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0BFD0">
      <w:pPr>
        <w:rPr>
          <w:rFonts w:ascii="宋体" w:hAnsi="宋体"/>
          <w:color w:val="auto"/>
          <w:sz w:val="44"/>
          <w:szCs w:val="44"/>
          <w:highlight w:val="none"/>
        </w:rPr>
      </w:pPr>
    </w:p>
    <w:p w14:paraId="454DB7C0">
      <w:pPr>
        <w:rPr>
          <w:rFonts w:ascii="宋体" w:hAnsi="宋体"/>
          <w:color w:val="auto"/>
          <w:sz w:val="44"/>
          <w:szCs w:val="44"/>
          <w:highlight w:val="none"/>
        </w:rPr>
      </w:pPr>
    </w:p>
    <w:p w14:paraId="322543D0">
      <w:pPr>
        <w:rPr>
          <w:rFonts w:ascii="宋体" w:hAnsi="宋体"/>
          <w:color w:val="auto"/>
          <w:sz w:val="44"/>
          <w:szCs w:val="44"/>
          <w:highlight w:val="none"/>
        </w:rPr>
      </w:pPr>
    </w:p>
    <w:p w14:paraId="47C96EC3">
      <w:pPr>
        <w:rPr>
          <w:rFonts w:ascii="宋体" w:hAnsi="宋体"/>
          <w:color w:val="auto"/>
          <w:sz w:val="44"/>
          <w:szCs w:val="44"/>
          <w:highlight w:val="none"/>
        </w:rPr>
      </w:pPr>
    </w:p>
    <w:p w14:paraId="78408D54">
      <w:pPr>
        <w:rPr>
          <w:rFonts w:ascii="宋体" w:hAnsi="宋体"/>
          <w:color w:val="auto"/>
          <w:sz w:val="44"/>
          <w:szCs w:val="44"/>
          <w:highlight w:val="none"/>
        </w:rPr>
      </w:pPr>
    </w:p>
    <w:p w14:paraId="5D676C93">
      <w:pPr>
        <w:rPr>
          <w:rFonts w:ascii="宋体" w:hAnsi="宋体"/>
          <w:color w:val="auto"/>
          <w:sz w:val="44"/>
          <w:szCs w:val="44"/>
          <w:highlight w:val="none"/>
        </w:rPr>
      </w:pPr>
      <w:bookmarkStart w:id="1880" w:name="_GoBack"/>
      <w:bookmarkEnd w:id="1880"/>
    </w:p>
    <w:p w14:paraId="531E9986">
      <w:pPr>
        <w:rPr>
          <w:rFonts w:ascii="宋体" w:hAnsi="宋体"/>
          <w:color w:val="auto"/>
          <w:sz w:val="44"/>
          <w:szCs w:val="44"/>
          <w:highlight w:val="none"/>
        </w:rPr>
      </w:pPr>
    </w:p>
    <w:p w14:paraId="7E6FB6CA">
      <w:pPr>
        <w:jc w:val="center"/>
        <w:rPr>
          <w:rFonts w:hint="eastAsia" w:ascii="宋体" w:hAnsi="宋体" w:cs="宋体"/>
          <w:b/>
          <w:bCs/>
          <w:color w:val="auto"/>
          <w:kern w:val="0"/>
          <w:sz w:val="32"/>
          <w:szCs w:val="32"/>
          <w:highlight w:val="none"/>
          <w:u w:val="none"/>
          <w:lang w:eastAsia="zh-CN" w:bidi="ar"/>
        </w:rPr>
      </w:pPr>
      <w:r>
        <w:rPr>
          <w:rFonts w:hint="eastAsia" w:ascii="宋体" w:hAnsi="宋体" w:cs="宋体"/>
          <w:b/>
          <w:bCs/>
          <w:color w:val="auto"/>
          <w:kern w:val="0"/>
          <w:sz w:val="32"/>
          <w:szCs w:val="32"/>
          <w:highlight w:val="none"/>
          <w:u w:val="none"/>
          <w:lang w:eastAsia="zh-CN" w:bidi="ar"/>
        </w:rPr>
        <w:t>国药控股生命健康（南沙）产业园大湾区物流</w:t>
      </w:r>
    </w:p>
    <w:p w14:paraId="57F40DF0">
      <w:pPr>
        <w:jc w:val="center"/>
        <w:rPr>
          <w:rFonts w:hint="eastAsia" w:ascii="宋体" w:hAnsi="宋体" w:cs="宋体"/>
          <w:b/>
          <w:bCs/>
          <w:color w:val="auto"/>
          <w:kern w:val="0"/>
          <w:sz w:val="32"/>
          <w:szCs w:val="32"/>
          <w:highlight w:val="none"/>
          <w:u w:val="none"/>
          <w:lang w:bidi="ar"/>
        </w:rPr>
      </w:pPr>
      <w:r>
        <w:rPr>
          <w:rFonts w:hint="eastAsia" w:ascii="宋体" w:hAnsi="宋体" w:cs="宋体"/>
          <w:b/>
          <w:bCs/>
          <w:color w:val="auto"/>
          <w:kern w:val="0"/>
          <w:sz w:val="32"/>
          <w:szCs w:val="32"/>
          <w:highlight w:val="none"/>
          <w:u w:val="none"/>
          <w:lang w:eastAsia="zh-CN" w:bidi="ar"/>
        </w:rPr>
        <w:t>枢纽建设</w:t>
      </w:r>
      <w:r>
        <w:rPr>
          <w:rFonts w:hint="eastAsia" w:ascii="宋体" w:hAnsi="宋体" w:cs="宋体"/>
          <w:b/>
          <w:bCs/>
          <w:color w:val="auto"/>
          <w:kern w:val="0"/>
          <w:sz w:val="32"/>
          <w:szCs w:val="32"/>
          <w:highlight w:val="none"/>
          <w:u w:val="none"/>
          <w:lang w:bidi="ar"/>
        </w:rPr>
        <w:t>项目工程总承包</w:t>
      </w:r>
    </w:p>
    <w:p w14:paraId="200EA50B">
      <w:pPr>
        <w:jc w:val="center"/>
        <w:rPr>
          <w:rFonts w:hint="eastAsia" w:ascii="宋体" w:hAnsi="宋体" w:cs="宋体"/>
          <w:b/>
          <w:bCs/>
          <w:color w:val="auto"/>
          <w:kern w:val="0"/>
          <w:sz w:val="32"/>
          <w:szCs w:val="32"/>
          <w:highlight w:val="none"/>
          <w:lang w:bidi="ar"/>
        </w:rPr>
      </w:pPr>
      <w:r>
        <w:rPr>
          <w:rFonts w:hint="eastAsia" w:ascii="宋体" w:hAnsi="宋体" w:cs="宋体"/>
          <w:b/>
          <w:bCs/>
          <w:color w:val="auto"/>
          <w:kern w:val="0"/>
          <w:sz w:val="32"/>
          <w:szCs w:val="32"/>
          <w:highlight w:val="none"/>
          <w:lang w:bidi="ar"/>
        </w:rPr>
        <w:t>合同条款及格式</w:t>
      </w:r>
    </w:p>
    <w:p w14:paraId="0C3F22BD">
      <w:pPr>
        <w:rPr>
          <w:rFonts w:ascii="宋体" w:hAnsi="宋体"/>
          <w:color w:val="auto"/>
          <w:sz w:val="44"/>
          <w:szCs w:val="44"/>
          <w:highlight w:val="none"/>
        </w:rPr>
      </w:pPr>
    </w:p>
    <w:p w14:paraId="631C7F23">
      <w:pPr>
        <w:rPr>
          <w:rFonts w:ascii="宋体" w:hAnsi="宋体"/>
          <w:color w:val="auto"/>
          <w:sz w:val="44"/>
          <w:szCs w:val="44"/>
          <w:highlight w:val="none"/>
        </w:rPr>
      </w:pPr>
    </w:p>
    <w:p w14:paraId="492EC10C">
      <w:pPr>
        <w:rPr>
          <w:rFonts w:ascii="宋体" w:hAnsi="宋体"/>
          <w:color w:val="auto"/>
          <w:sz w:val="44"/>
          <w:szCs w:val="44"/>
          <w:highlight w:val="none"/>
        </w:rPr>
      </w:pPr>
    </w:p>
    <w:p w14:paraId="59C1F33E">
      <w:pPr>
        <w:rPr>
          <w:rFonts w:ascii="宋体" w:hAnsi="宋体"/>
          <w:color w:val="auto"/>
          <w:sz w:val="44"/>
          <w:szCs w:val="44"/>
          <w:highlight w:val="none"/>
        </w:rPr>
      </w:pPr>
    </w:p>
    <w:p w14:paraId="08FACD88">
      <w:pPr>
        <w:rPr>
          <w:rFonts w:ascii="宋体" w:hAnsi="宋体"/>
          <w:color w:val="auto"/>
          <w:sz w:val="44"/>
          <w:szCs w:val="44"/>
          <w:highlight w:val="none"/>
        </w:rPr>
      </w:pPr>
    </w:p>
    <w:p w14:paraId="669060B4">
      <w:pPr>
        <w:rPr>
          <w:rFonts w:ascii="宋体" w:hAnsi="宋体"/>
          <w:color w:val="auto"/>
          <w:sz w:val="44"/>
          <w:szCs w:val="44"/>
          <w:highlight w:val="none"/>
        </w:rPr>
      </w:pPr>
    </w:p>
    <w:p w14:paraId="08D162A5">
      <w:pPr>
        <w:rPr>
          <w:rFonts w:ascii="宋体" w:hAnsi="宋体"/>
          <w:color w:val="auto"/>
          <w:sz w:val="44"/>
          <w:szCs w:val="44"/>
          <w:highlight w:val="none"/>
        </w:rPr>
      </w:pPr>
    </w:p>
    <w:p w14:paraId="404897EC">
      <w:pPr>
        <w:rPr>
          <w:rFonts w:ascii="宋体" w:hAnsi="宋体"/>
          <w:color w:val="auto"/>
          <w:sz w:val="44"/>
          <w:szCs w:val="44"/>
          <w:highlight w:val="none"/>
        </w:rPr>
      </w:pPr>
    </w:p>
    <w:p w14:paraId="1040BB72">
      <w:pPr>
        <w:rPr>
          <w:rFonts w:ascii="宋体" w:hAnsi="宋体"/>
          <w:color w:val="auto"/>
          <w:sz w:val="44"/>
          <w:szCs w:val="44"/>
          <w:highlight w:val="none"/>
        </w:rPr>
      </w:pPr>
    </w:p>
    <w:p w14:paraId="35DDD229">
      <w:pPr>
        <w:rPr>
          <w:rFonts w:ascii="宋体" w:hAnsi="宋体"/>
          <w:color w:val="auto"/>
          <w:sz w:val="44"/>
          <w:szCs w:val="44"/>
          <w:highlight w:val="none"/>
        </w:rPr>
      </w:pPr>
    </w:p>
    <w:p w14:paraId="6C2BAB0B">
      <w:pPr>
        <w:rPr>
          <w:rFonts w:ascii="宋体" w:hAnsi="宋体"/>
          <w:color w:val="auto"/>
          <w:sz w:val="44"/>
          <w:szCs w:val="44"/>
          <w:highlight w:val="none"/>
        </w:rPr>
      </w:pPr>
    </w:p>
    <w:p w14:paraId="10016253">
      <w:pPr>
        <w:rPr>
          <w:rFonts w:ascii="宋体" w:hAnsi="宋体"/>
          <w:color w:val="auto"/>
          <w:sz w:val="44"/>
          <w:szCs w:val="44"/>
          <w:highlight w:val="none"/>
        </w:rPr>
      </w:pPr>
    </w:p>
    <w:p w14:paraId="292AC9EC">
      <w:pPr>
        <w:rPr>
          <w:rFonts w:ascii="华文中宋" w:hAnsi="华文中宋" w:eastAsia="华文中宋"/>
          <w:b/>
          <w:color w:val="auto"/>
          <w:kern w:val="44"/>
          <w:sz w:val="24"/>
          <w:highlight w:val="none"/>
          <w:lang w:bidi="ar"/>
        </w:rPr>
      </w:pPr>
    </w:p>
    <w:p w14:paraId="0829D486">
      <w:pPr>
        <w:rPr>
          <w:rFonts w:ascii="华文中宋" w:hAnsi="华文中宋" w:eastAsia="华文中宋"/>
          <w:b/>
          <w:color w:val="auto"/>
          <w:kern w:val="44"/>
          <w:sz w:val="24"/>
          <w:highlight w:val="none"/>
          <w:lang w:bidi="ar"/>
        </w:rPr>
        <w:sectPr>
          <w:footerReference r:id="rId3" w:type="default"/>
          <w:footerReference r:id="rId4" w:type="even"/>
          <w:pgSz w:w="11906" w:h="16838"/>
          <w:pgMar w:top="1304" w:right="1135" w:bottom="1304" w:left="1304" w:header="720" w:footer="720" w:gutter="0"/>
          <w:cols w:space="720" w:num="1"/>
          <w:docGrid w:type="lines" w:linePitch="312" w:charSpace="0"/>
        </w:sectPr>
      </w:pPr>
    </w:p>
    <w:p w14:paraId="68348DA7">
      <w:pPr>
        <w:widowControl/>
        <w:adjustRightInd w:val="0"/>
        <w:snapToGrid w:val="0"/>
        <w:spacing w:after="50" w:line="360" w:lineRule="auto"/>
        <w:jc w:val="center"/>
        <w:outlineLvl w:val="0"/>
        <w:rPr>
          <w:rFonts w:ascii="宋体" w:hAnsi="宋体" w:cs="宋体"/>
          <w:b/>
          <w:color w:val="auto"/>
          <w:kern w:val="44"/>
          <w:highlight w:val="none"/>
        </w:rPr>
      </w:pPr>
      <w:bookmarkStart w:id="0" w:name="_Toc20171709"/>
      <w:bookmarkEnd w:id="0"/>
      <w:bookmarkStart w:id="1" w:name="_Toc179885230"/>
      <w:bookmarkStart w:id="2" w:name="_Hlk59010609"/>
      <w:r>
        <w:rPr>
          <w:rFonts w:hint="eastAsia" w:ascii="宋体" w:hAnsi="宋体" w:cs="宋体"/>
          <w:b/>
          <w:color w:val="auto"/>
          <w:kern w:val="44"/>
          <w:szCs w:val="21"/>
          <w:highlight w:val="none"/>
          <w:lang w:bidi="ar"/>
        </w:rPr>
        <w:t>第一部分 合同协议书</w:t>
      </w:r>
      <w:bookmarkEnd w:id="1"/>
    </w:p>
    <w:p w14:paraId="5BFBD80D">
      <w:pPr>
        <w:widowControl/>
        <w:adjustRightInd w:val="0"/>
        <w:snapToGrid w:val="0"/>
        <w:spacing w:after="163" w:afterLines="50" w:line="360" w:lineRule="auto"/>
        <w:ind w:firstLine="420" w:firstLineChars="200"/>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联合体适用：</w:t>
      </w:r>
    </w:p>
    <w:p w14:paraId="7DE7F88B">
      <w:pPr>
        <w:widowControl/>
        <w:adjustRightInd w:val="0"/>
        <w:snapToGrid w:val="0"/>
        <w:spacing w:after="163" w:afterLines="50" w:line="360" w:lineRule="auto"/>
        <w:ind w:firstLine="420" w:firstLineChars="200"/>
        <w:rPr>
          <w:rFonts w:ascii="宋体" w:hAnsi="宋体" w:cs="宋体"/>
          <w:color w:val="auto"/>
          <w:kern w:val="0"/>
          <w:highlight w:val="none"/>
          <w:u w:val="single"/>
        </w:rPr>
      </w:pPr>
      <w:bookmarkStart w:id="3" w:name="OLE_LINK9"/>
      <w:r>
        <w:rPr>
          <w:rFonts w:hint="eastAsia" w:ascii="宋体" w:hAnsi="宋体" w:cs="宋体"/>
          <w:color w:val="auto"/>
          <w:kern w:val="0"/>
          <w:szCs w:val="21"/>
          <w:highlight w:val="none"/>
          <w:lang w:bidi="ar"/>
        </w:rPr>
        <w:t>发包人（全称）：</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u w:val="single"/>
          <w:lang w:eastAsia="zh-CN" w:bidi="ar"/>
        </w:rPr>
        <w:t>广州禾生物流管理有限公司</w:t>
      </w:r>
      <w:r>
        <w:rPr>
          <w:rFonts w:hint="eastAsia" w:ascii="宋体" w:hAnsi="宋体" w:cs="宋体"/>
          <w:color w:val="auto"/>
          <w:kern w:val="0"/>
          <w:szCs w:val="21"/>
          <w:highlight w:val="none"/>
          <w:u w:val="single"/>
          <w:lang w:bidi="ar"/>
        </w:rPr>
        <w:t xml:space="preserve">            </w:t>
      </w:r>
    </w:p>
    <w:p w14:paraId="0658D15E">
      <w:pPr>
        <w:snapToGrid w:val="0"/>
        <w:spacing w:line="360" w:lineRule="auto"/>
        <w:ind w:firstLine="420"/>
        <w:rPr>
          <w:color w:val="auto"/>
          <w:szCs w:val="21"/>
          <w:highlight w:val="none"/>
        </w:rPr>
      </w:pPr>
      <w:r>
        <w:rPr>
          <w:rFonts w:hint="eastAsia"/>
          <w:color w:val="auto"/>
          <w:szCs w:val="21"/>
          <w:highlight w:val="none"/>
        </w:rPr>
        <w:t>承包人</w:t>
      </w:r>
      <w:r>
        <w:rPr>
          <w:rFonts w:hint="eastAsia" w:ascii="宋体" w:hAnsi="宋体" w:cs="宋体"/>
          <w:color w:val="auto"/>
          <w:kern w:val="0"/>
          <w:szCs w:val="21"/>
          <w:highlight w:val="none"/>
          <w:lang w:bidi="ar"/>
        </w:rPr>
        <w:t>（全称）</w:t>
      </w:r>
      <w:r>
        <w:rPr>
          <w:rFonts w:hint="eastAsia"/>
          <w:color w:val="auto"/>
          <w:szCs w:val="21"/>
          <w:highlight w:val="none"/>
        </w:rPr>
        <w:t>（</w:t>
      </w:r>
      <w:r>
        <w:rPr>
          <w:rFonts w:hint="eastAsia"/>
          <w:color w:val="auto"/>
          <w:szCs w:val="21"/>
          <w:highlight w:val="none"/>
          <w:lang w:eastAsia="zh-CN"/>
        </w:rPr>
        <w:t>主办方</w:t>
      </w:r>
      <w:r>
        <w:rPr>
          <w:rFonts w:hint="eastAsia"/>
          <w:color w:val="auto"/>
          <w:szCs w:val="21"/>
          <w:highlight w:val="none"/>
        </w:rPr>
        <w:t>）：</w:t>
      </w:r>
    </w:p>
    <w:p w14:paraId="6103658C">
      <w:pPr>
        <w:snapToGrid w:val="0"/>
        <w:spacing w:line="360" w:lineRule="auto"/>
        <w:ind w:firstLine="420"/>
        <w:rPr>
          <w:rFonts w:hint="eastAsia"/>
          <w:color w:val="auto"/>
          <w:szCs w:val="21"/>
          <w:highlight w:val="none"/>
        </w:rPr>
      </w:pPr>
      <w:r>
        <w:rPr>
          <w:rFonts w:hint="eastAsia"/>
          <w:color w:val="auto"/>
          <w:szCs w:val="21"/>
          <w:highlight w:val="none"/>
        </w:rPr>
        <w:t>承包人</w:t>
      </w:r>
      <w:r>
        <w:rPr>
          <w:rFonts w:hint="eastAsia" w:ascii="宋体" w:hAnsi="宋体" w:cs="宋体"/>
          <w:color w:val="auto"/>
          <w:kern w:val="0"/>
          <w:szCs w:val="21"/>
          <w:highlight w:val="none"/>
          <w:lang w:bidi="ar"/>
        </w:rPr>
        <w:t>（全称）</w:t>
      </w:r>
      <w:r>
        <w:rPr>
          <w:rFonts w:hint="eastAsia"/>
          <w:color w:val="auto"/>
          <w:szCs w:val="21"/>
          <w:highlight w:val="none"/>
        </w:rPr>
        <w:t>（成员方）：</w:t>
      </w:r>
    </w:p>
    <w:p w14:paraId="5B2D7BC7">
      <w:pPr>
        <w:snapToGrid w:val="0"/>
        <w:spacing w:line="360" w:lineRule="auto"/>
        <w:ind w:firstLine="420"/>
        <w:rPr>
          <w:rFonts w:hint="eastAsia"/>
          <w:color w:val="auto"/>
          <w:szCs w:val="21"/>
          <w:highlight w:val="none"/>
        </w:rPr>
      </w:pPr>
    </w:p>
    <w:bookmarkEnd w:id="3"/>
    <w:p w14:paraId="02E1B6A8">
      <w:pPr>
        <w:widowControl/>
        <w:adjustRightInd w:val="0"/>
        <w:snapToGrid w:val="0"/>
        <w:spacing w:after="163" w:afterLines="50" w:line="360" w:lineRule="auto"/>
        <w:ind w:firstLine="420" w:firstLineChars="200"/>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非联合体适用：</w:t>
      </w:r>
    </w:p>
    <w:p w14:paraId="2E11ADCC">
      <w:pPr>
        <w:widowControl/>
        <w:adjustRightInd w:val="0"/>
        <w:snapToGrid w:val="0"/>
        <w:spacing w:after="163" w:afterLines="50" w:line="360" w:lineRule="auto"/>
        <w:ind w:firstLine="420" w:firstLineChars="200"/>
        <w:rPr>
          <w:rFonts w:ascii="宋体" w:hAnsi="宋体" w:cs="宋体"/>
          <w:color w:val="auto"/>
          <w:kern w:val="0"/>
          <w:highlight w:val="none"/>
          <w:u w:val="single"/>
        </w:rPr>
      </w:pPr>
      <w:r>
        <w:rPr>
          <w:rFonts w:hint="eastAsia" w:ascii="宋体" w:hAnsi="宋体" w:cs="宋体"/>
          <w:color w:val="auto"/>
          <w:kern w:val="0"/>
          <w:szCs w:val="21"/>
          <w:highlight w:val="none"/>
          <w:lang w:bidi="ar"/>
        </w:rPr>
        <w:t>发包人（全称）：</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u w:val="single"/>
          <w:lang w:eastAsia="zh-CN" w:bidi="ar"/>
        </w:rPr>
        <w:t>广州禾生物流管理有限公司</w:t>
      </w:r>
      <w:r>
        <w:rPr>
          <w:rFonts w:hint="eastAsia" w:ascii="宋体" w:hAnsi="宋体" w:cs="宋体"/>
          <w:color w:val="auto"/>
          <w:kern w:val="0"/>
          <w:szCs w:val="21"/>
          <w:highlight w:val="none"/>
          <w:u w:val="single"/>
          <w:lang w:bidi="ar"/>
        </w:rPr>
        <w:t xml:space="preserve">            </w:t>
      </w:r>
    </w:p>
    <w:p w14:paraId="6B300657">
      <w:pPr>
        <w:snapToGrid w:val="0"/>
        <w:spacing w:line="360" w:lineRule="auto"/>
        <w:ind w:firstLine="420"/>
        <w:rPr>
          <w:color w:val="auto"/>
          <w:szCs w:val="21"/>
          <w:highlight w:val="none"/>
        </w:rPr>
      </w:pPr>
      <w:r>
        <w:rPr>
          <w:rFonts w:hint="eastAsia"/>
          <w:color w:val="auto"/>
          <w:szCs w:val="21"/>
          <w:highlight w:val="none"/>
        </w:rPr>
        <w:t>承包人</w:t>
      </w:r>
      <w:r>
        <w:rPr>
          <w:rFonts w:hint="eastAsia" w:ascii="宋体" w:hAnsi="宋体" w:cs="宋体"/>
          <w:color w:val="auto"/>
          <w:kern w:val="0"/>
          <w:szCs w:val="21"/>
          <w:highlight w:val="none"/>
          <w:lang w:bidi="ar"/>
        </w:rPr>
        <w:t>（全称）</w:t>
      </w:r>
      <w:r>
        <w:rPr>
          <w:rFonts w:hint="eastAsia"/>
          <w:color w:val="auto"/>
          <w:szCs w:val="21"/>
          <w:highlight w:val="none"/>
        </w:rPr>
        <w:t>：</w:t>
      </w:r>
    </w:p>
    <w:p w14:paraId="7DD2DEB9">
      <w:pPr>
        <w:snapToGrid w:val="0"/>
        <w:spacing w:line="360" w:lineRule="auto"/>
        <w:ind w:firstLine="420"/>
        <w:rPr>
          <w:rFonts w:hint="default"/>
          <w:color w:val="auto"/>
          <w:szCs w:val="21"/>
          <w:highlight w:val="none"/>
          <w:lang w:val="en-US" w:eastAsia="zh-CN"/>
        </w:rPr>
      </w:pPr>
    </w:p>
    <w:p w14:paraId="6385A491">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根据《中华人民共和国民法典》、《中华人民共和国建筑法》及有关法律规定，遵循平等、自愿、公平和诚实信用的原则，双方就</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u w:val="single"/>
          <w:lang w:eastAsia="zh-CN" w:bidi="ar"/>
        </w:rPr>
        <w:t>国药控股生命健康（南沙）产业园大湾区物流枢纽建设</w:t>
      </w:r>
      <w:r>
        <w:rPr>
          <w:rFonts w:hint="eastAsia" w:ascii="宋体" w:hAnsi="宋体" w:cs="宋体"/>
          <w:color w:val="auto"/>
          <w:kern w:val="0"/>
          <w:szCs w:val="21"/>
          <w:highlight w:val="none"/>
          <w:u w:val="single"/>
          <w:lang w:bidi="ar"/>
        </w:rPr>
        <w:t>项目</w:t>
      </w:r>
      <w:r>
        <w:rPr>
          <w:rFonts w:hint="eastAsia" w:ascii="宋体" w:hAnsi="宋体" w:cs="宋体"/>
          <w:color w:val="auto"/>
          <w:kern w:val="0"/>
          <w:szCs w:val="21"/>
          <w:highlight w:val="none"/>
          <w:lang w:bidi="ar"/>
        </w:rPr>
        <w:t>的工程总承包及有关事项协商一致，共同达成如下协议：</w:t>
      </w:r>
    </w:p>
    <w:p w14:paraId="5C4C88CB">
      <w:pPr>
        <w:widowControl/>
        <w:adjustRightInd w:val="0"/>
        <w:snapToGrid w:val="0"/>
        <w:spacing w:after="163" w:afterLines="50" w:line="360" w:lineRule="auto"/>
        <w:jc w:val="left"/>
        <w:outlineLvl w:val="1"/>
        <w:rPr>
          <w:rFonts w:ascii="宋体" w:hAnsi="宋体" w:cs="宋体"/>
          <w:color w:val="auto"/>
          <w:kern w:val="0"/>
          <w:highlight w:val="none"/>
        </w:rPr>
      </w:pPr>
      <w:bookmarkStart w:id="4" w:name="_Toc20171710"/>
      <w:bookmarkEnd w:id="4"/>
      <w:bookmarkStart w:id="5" w:name="_Toc11635"/>
      <w:bookmarkStart w:id="6" w:name="_Toc18755"/>
      <w:bookmarkStart w:id="7" w:name="_Toc84930695"/>
      <w:bookmarkStart w:id="8" w:name="_Toc179885231"/>
      <w:r>
        <w:rPr>
          <w:rFonts w:hint="eastAsia" w:ascii="宋体" w:hAnsi="宋体" w:cs="宋体"/>
          <w:color w:val="auto"/>
          <w:kern w:val="0"/>
          <w:szCs w:val="21"/>
          <w:highlight w:val="none"/>
          <w:lang w:bidi="ar"/>
        </w:rPr>
        <w:t>一、工程概况</w:t>
      </w:r>
      <w:bookmarkEnd w:id="5"/>
      <w:bookmarkEnd w:id="6"/>
      <w:bookmarkEnd w:id="7"/>
      <w:bookmarkEnd w:id="8"/>
    </w:p>
    <w:p w14:paraId="6F22039D">
      <w:pPr>
        <w:widowControl/>
        <w:wordWrap w:val="0"/>
        <w:topLinePunct/>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 工程名称：</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u w:val="single"/>
          <w:lang w:eastAsia="zh-CN" w:bidi="ar"/>
        </w:rPr>
        <w:t>国药控股生命健康（南沙）产业园大湾区物流枢纽建设项目工程总承包</w:t>
      </w:r>
      <w:r>
        <w:rPr>
          <w:rFonts w:hint="eastAsia" w:ascii="宋体" w:hAnsi="宋体" w:cs="宋体"/>
          <w:color w:val="auto"/>
          <w:kern w:val="0"/>
          <w:szCs w:val="21"/>
          <w:highlight w:val="none"/>
          <w:u w:val="single"/>
          <w:lang w:bidi="ar"/>
        </w:rPr>
        <w:t xml:space="preserve">项目   </w:t>
      </w:r>
      <w:r>
        <w:rPr>
          <w:rFonts w:hint="eastAsia" w:ascii="宋体" w:hAnsi="宋体" w:cs="宋体"/>
          <w:color w:val="auto"/>
          <w:kern w:val="0"/>
          <w:szCs w:val="21"/>
          <w:highlight w:val="none"/>
          <w:lang w:bidi="ar"/>
        </w:rPr>
        <w:t>。</w:t>
      </w:r>
    </w:p>
    <w:p w14:paraId="36D3E131">
      <w:pPr>
        <w:widowControl/>
        <w:wordWrap w:val="0"/>
        <w:topLinePunct/>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 工程地点：</w:t>
      </w:r>
      <w:r>
        <w:rPr>
          <w:rFonts w:hint="eastAsia" w:ascii="宋体" w:hAnsi="宋体" w:cs="宋体"/>
          <w:color w:val="auto"/>
          <w:kern w:val="0"/>
          <w:szCs w:val="21"/>
          <w:highlight w:val="none"/>
          <w:u w:val="single"/>
          <w:lang w:bidi="ar"/>
        </w:rPr>
        <w:t xml:space="preserve">  广东省广州市   </w:t>
      </w:r>
      <w:r>
        <w:rPr>
          <w:rFonts w:hint="eastAsia" w:ascii="宋体" w:hAnsi="宋体" w:cs="宋体"/>
          <w:color w:val="auto"/>
          <w:kern w:val="0"/>
          <w:szCs w:val="21"/>
          <w:highlight w:val="none"/>
          <w:lang w:bidi="ar"/>
        </w:rPr>
        <w:t>。</w:t>
      </w:r>
    </w:p>
    <w:p w14:paraId="4697B0DF">
      <w:pPr>
        <w:widowControl/>
        <w:wordWrap w:val="0"/>
        <w:topLinePunct/>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 工程审批、核准或备案文号：</w:t>
      </w:r>
      <w:r>
        <w:rPr>
          <w:rFonts w:hint="eastAsia" w:ascii="宋体" w:hAnsi="宋体" w:cs="宋体"/>
          <w:color w:val="auto"/>
          <w:kern w:val="0"/>
          <w:szCs w:val="21"/>
          <w:highlight w:val="none"/>
          <w:u w:val="single"/>
          <w:lang w:bidi="ar"/>
        </w:rPr>
        <w:t xml:space="preserve"> 企业投资项目代码：240</w:t>
      </w:r>
      <w:r>
        <w:rPr>
          <w:rFonts w:hint="eastAsia" w:ascii="宋体" w:hAnsi="宋体" w:cs="宋体"/>
          <w:color w:val="auto"/>
          <w:kern w:val="0"/>
          <w:szCs w:val="21"/>
          <w:highlight w:val="none"/>
          <w:u w:val="single"/>
          <w:lang w:val="en-US" w:eastAsia="zh-CN" w:bidi="ar"/>
        </w:rPr>
        <w:t>7</w:t>
      </w:r>
      <w:r>
        <w:rPr>
          <w:rFonts w:hint="eastAsia" w:ascii="宋体" w:hAnsi="宋体" w:cs="宋体"/>
          <w:color w:val="auto"/>
          <w:kern w:val="0"/>
          <w:szCs w:val="21"/>
          <w:highlight w:val="none"/>
          <w:u w:val="single"/>
          <w:lang w:bidi="ar"/>
        </w:rPr>
        <w:t>-</w:t>
      </w:r>
      <w:r>
        <w:rPr>
          <w:rFonts w:hint="eastAsia" w:ascii="宋体" w:hAnsi="宋体" w:cs="宋体"/>
          <w:color w:val="auto"/>
          <w:kern w:val="0"/>
          <w:szCs w:val="21"/>
          <w:highlight w:val="none"/>
          <w:u w:val="single"/>
          <w:lang w:val="en-US" w:eastAsia="zh-CN" w:bidi="ar"/>
        </w:rPr>
        <w:t>440115</w:t>
      </w:r>
      <w:r>
        <w:rPr>
          <w:rFonts w:hint="eastAsia" w:ascii="宋体" w:hAnsi="宋体" w:cs="宋体"/>
          <w:color w:val="auto"/>
          <w:kern w:val="0"/>
          <w:szCs w:val="21"/>
          <w:highlight w:val="none"/>
          <w:u w:val="single"/>
          <w:lang w:bidi="ar"/>
        </w:rPr>
        <w:t>-04-0</w:t>
      </w:r>
      <w:r>
        <w:rPr>
          <w:rFonts w:hint="eastAsia" w:ascii="宋体" w:hAnsi="宋体" w:cs="宋体"/>
          <w:color w:val="auto"/>
          <w:kern w:val="0"/>
          <w:szCs w:val="21"/>
          <w:highlight w:val="none"/>
          <w:u w:val="single"/>
          <w:lang w:val="en-US" w:eastAsia="zh-CN" w:bidi="ar"/>
        </w:rPr>
        <w:t>1</w:t>
      </w:r>
      <w:r>
        <w:rPr>
          <w:rFonts w:hint="eastAsia" w:ascii="宋体" w:hAnsi="宋体" w:cs="宋体"/>
          <w:color w:val="auto"/>
          <w:kern w:val="0"/>
          <w:szCs w:val="21"/>
          <w:highlight w:val="none"/>
          <w:u w:val="single"/>
          <w:lang w:bidi="ar"/>
        </w:rPr>
        <w:t>-</w:t>
      </w:r>
      <w:r>
        <w:rPr>
          <w:rFonts w:hint="eastAsia" w:ascii="宋体" w:hAnsi="宋体" w:cs="宋体"/>
          <w:color w:val="auto"/>
          <w:kern w:val="0"/>
          <w:szCs w:val="21"/>
          <w:highlight w:val="none"/>
          <w:u w:val="single"/>
          <w:lang w:val="en-US" w:eastAsia="zh-CN" w:bidi="ar"/>
        </w:rPr>
        <w:t>577317</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w:t>
      </w:r>
    </w:p>
    <w:p w14:paraId="4B02261B">
      <w:pPr>
        <w:widowControl/>
        <w:wordWrap w:val="0"/>
        <w:topLinePunct/>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 xml:space="preserve">4. </w:t>
      </w:r>
      <w:bookmarkStart w:id="9" w:name="OLE_LINK17"/>
      <w:r>
        <w:rPr>
          <w:rFonts w:hint="eastAsia" w:ascii="宋体" w:hAnsi="宋体" w:cs="宋体"/>
          <w:color w:val="auto"/>
          <w:kern w:val="0"/>
          <w:szCs w:val="21"/>
          <w:highlight w:val="none"/>
          <w:lang w:bidi="ar"/>
        </w:rPr>
        <w:t>资金来源：</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u w:val="single"/>
          <w:lang w:val="en-US" w:eastAsia="zh-CN" w:bidi="ar"/>
        </w:rPr>
        <w:t>企业自筹</w:t>
      </w:r>
      <w:bookmarkEnd w:id="9"/>
      <w:r>
        <w:rPr>
          <w:rFonts w:hint="eastAsia" w:ascii="宋体" w:hAnsi="宋体" w:cs="宋体"/>
          <w:color w:val="auto"/>
          <w:kern w:val="0"/>
          <w:szCs w:val="21"/>
          <w:highlight w:val="none"/>
          <w:u w:val="single"/>
          <w:lang w:val="en-US" w:eastAsia="zh-CN" w:bidi="ar"/>
        </w:rPr>
        <w:t>及银行借款</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w:t>
      </w:r>
    </w:p>
    <w:p w14:paraId="4FD8E658">
      <w:pPr>
        <w:widowControl/>
        <w:wordWrap w:val="0"/>
        <w:topLinePunct/>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5. 工程内容及规模：</w:t>
      </w:r>
      <w:r>
        <w:rPr>
          <w:rFonts w:hint="eastAsia" w:ascii="宋体" w:hAnsi="宋体" w:cs="宋体"/>
          <w:color w:val="auto"/>
          <w:kern w:val="0"/>
          <w:szCs w:val="21"/>
          <w:highlight w:val="none"/>
          <w:u w:val="single"/>
          <w:lang w:bidi="ar"/>
        </w:rPr>
        <w:t xml:space="preserve">  本项目总规划建筑面积115444.23平方米，含1，2#供应链仓库、宿舍、门卫、连廊、汽车坡道及平台等，其中1#供应链库层高1层，钢排架结构+框架结构，建筑面积约22656平方米，高度约41.7米，</w:t>
      </w:r>
      <w:r>
        <w:rPr>
          <w:rFonts w:hint="eastAsia" w:ascii="宋体" w:hAnsi="宋体" w:cs="宋体"/>
          <w:color w:val="auto"/>
          <w:kern w:val="0"/>
          <w:szCs w:val="21"/>
          <w:highlight w:val="none"/>
          <w:u w:val="single"/>
          <w:lang w:val="en-US" w:eastAsia="zh-CN" w:bidi="ar"/>
        </w:rPr>
        <w:t>长</w:t>
      </w:r>
      <w:r>
        <w:rPr>
          <w:rFonts w:hint="eastAsia" w:ascii="宋体" w:hAnsi="宋体" w:cs="宋体"/>
          <w:color w:val="auto"/>
          <w:kern w:val="0"/>
          <w:szCs w:val="21"/>
          <w:highlight w:val="none"/>
          <w:u w:val="single"/>
          <w:lang w:bidi="ar"/>
        </w:rPr>
        <w:t>度约120米；2#供应链仓库层高7层，框架结构，建筑面积约77191.07平方米，高度约40.7米，</w:t>
      </w:r>
      <w:r>
        <w:rPr>
          <w:rFonts w:hint="eastAsia" w:ascii="宋体" w:hAnsi="宋体" w:cs="宋体"/>
          <w:color w:val="auto"/>
          <w:kern w:val="0"/>
          <w:szCs w:val="21"/>
          <w:highlight w:val="none"/>
          <w:u w:val="single"/>
          <w:lang w:val="en-US" w:eastAsia="zh-CN" w:bidi="ar"/>
        </w:rPr>
        <w:t>长</w:t>
      </w:r>
      <w:r>
        <w:rPr>
          <w:rFonts w:hint="eastAsia" w:ascii="宋体" w:hAnsi="宋体" w:cs="宋体"/>
          <w:color w:val="auto"/>
          <w:kern w:val="0"/>
          <w:szCs w:val="21"/>
          <w:highlight w:val="none"/>
          <w:u w:val="single"/>
          <w:lang w:bidi="ar"/>
        </w:rPr>
        <w:t xml:space="preserve">度约125.4米 </w:t>
      </w:r>
      <w:r>
        <w:rPr>
          <w:rFonts w:hint="eastAsia" w:ascii="宋体" w:hAnsi="宋体" w:cs="宋体"/>
          <w:color w:val="auto"/>
          <w:kern w:val="0"/>
          <w:szCs w:val="21"/>
          <w:highlight w:val="none"/>
          <w:lang w:bidi="ar"/>
        </w:rPr>
        <w:t>。</w:t>
      </w:r>
    </w:p>
    <w:p w14:paraId="78EA9A46">
      <w:pPr>
        <w:widowControl/>
        <w:wordWrap w:val="0"/>
        <w:topLinePunct/>
        <w:adjustRightInd w:val="0"/>
        <w:snapToGrid w:val="0"/>
        <w:spacing w:after="163" w:afterLines="50" w:line="360" w:lineRule="auto"/>
        <w:ind w:firstLine="420" w:firstLineChars="200"/>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 工程承包范围：</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u w:val="single"/>
          <w:lang w:eastAsia="zh-CN" w:bidi="ar"/>
        </w:rPr>
        <w:t>国药控股生命健康（南沙）产业园大湾区物流枢纽建设项目工程总承包</w:t>
      </w:r>
      <w:r>
        <w:rPr>
          <w:rFonts w:hint="eastAsia" w:ascii="宋体" w:hAnsi="宋体" w:cs="宋体"/>
          <w:color w:val="auto"/>
          <w:kern w:val="0"/>
          <w:szCs w:val="21"/>
          <w:highlight w:val="none"/>
          <w:u w:val="single"/>
          <w:lang w:bidi="ar"/>
        </w:rPr>
        <w:t xml:space="preserve">，包括施工图设计阶段、施工准备阶段、施工阶段、竣工验收阶段、联合试运行阶段至缺陷责任期阶段的设计、采购、施工全过程，并对工程的设计、质量、安全、工期、造价等全面负责   </w:t>
      </w:r>
      <w:r>
        <w:rPr>
          <w:rFonts w:hint="eastAsia" w:ascii="宋体" w:hAnsi="宋体" w:cs="宋体"/>
          <w:color w:val="auto"/>
          <w:kern w:val="0"/>
          <w:szCs w:val="21"/>
          <w:highlight w:val="none"/>
          <w:lang w:bidi="ar"/>
        </w:rPr>
        <w:t>。</w:t>
      </w:r>
    </w:p>
    <w:p w14:paraId="0A97C283">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6.1. 设计范围</w:t>
      </w:r>
    </w:p>
    <w:p w14:paraId="49898CA7">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6.1.1 设计内容</w:t>
      </w:r>
    </w:p>
    <w:p w14:paraId="1CBF478A">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根据招标人提供的方案及初步设计图纸基础上，完成后续所有专业限额设计工作包括但不限于：负责项目施工图设计、专项深化设计、施工图审查、施工报建所需相关资料、发包人要求变更（含造价分析）、现场技术指导、竣工图盖章、各专项验收工作的配合及竣工验收等。主要包括以下内容：</w:t>
      </w:r>
    </w:p>
    <w:p w14:paraId="4F71C086">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1）完成建筑、结构、精装修、电气、弱电（含网络、电话、消防监控、安防系统等）、给排水、暖通、自控、动力系统等施工图设计、冷库施工图设计，并通过施工图审图，取得审图合格证。</w:t>
      </w:r>
    </w:p>
    <w:p w14:paraId="62A16CCE">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2)物流工艺设计配合。</w:t>
      </w:r>
    </w:p>
    <w:p w14:paraId="21B1E3A3">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完成专项设计工作，应保证按规划及建筑功能要求、配套设施要求完成本工程中包含的全部项目的专业专项设计；限于专业资质问题不能进行的专项设计，报招标人同意后进行分包，专项分包设计费、论证费、评审费由承包人承担（上述费用包含在设计费内，不另行增加）。专项分包施工图设计文件中，需承包人校核确认的部分由承包人及专项分包方人员进行会签并盖经授权的图纸审核专用章或公章。</w:t>
      </w:r>
    </w:p>
    <w:p w14:paraId="2889407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①智慧园区专项设计（施工图）；</w:t>
      </w:r>
    </w:p>
    <w:p w14:paraId="0DF09426">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②景观绿化专项设计；</w:t>
      </w:r>
    </w:p>
    <w:p w14:paraId="19E783DF">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③LOGO、标志标识系统专项设计；</w:t>
      </w:r>
    </w:p>
    <w:p w14:paraId="5E3DD179">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④高压配电深化设计；</w:t>
      </w:r>
    </w:p>
    <w:p w14:paraId="1B63A69B">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⑤防撞系统设计（不含物流设备）；</w:t>
      </w:r>
    </w:p>
    <w:p w14:paraId="14F2DF4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⑥护坡及深基坑支护设计及论证、评审；</w:t>
      </w:r>
    </w:p>
    <w:p w14:paraId="49579EEF">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⑦燃气设计（表后至用气器具段如有）；</w:t>
      </w:r>
    </w:p>
    <w:p w14:paraId="1D469F1B">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⑧低碳专项设计；包括低碳设计及减碳效果分析，全生命周期建筑碳排放计算，包括通过对既有医药物流仓储建筑的碳排放盘查，建立全生命周期碳排放计算模型及评价体系等；</w:t>
      </w:r>
    </w:p>
    <w:p w14:paraId="69C8C7BE">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⑨其他专项设计（</w:t>
      </w:r>
      <w:bookmarkStart w:id="10" w:name="OLE_LINK7"/>
      <w:r>
        <w:rPr>
          <w:rFonts w:hint="eastAsia" w:ascii="宋体" w:hAnsi="宋体" w:cs="宋体"/>
          <w:color w:val="auto"/>
          <w:kern w:val="0"/>
          <w:szCs w:val="21"/>
          <w:highlight w:val="none"/>
          <w:lang w:val="en-US" w:eastAsia="zh-CN" w:bidi="ar"/>
        </w:rPr>
        <w:t>包括装配式、海绵城市、BIM、太阳能光伏等）审核、出图等配合工作</w:t>
      </w:r>
      <w:bookmarkEnd w:id="10"/>
      <w:r>
        <w:rPr>
          <w:rFonts w:hint="eastAsia" w:ascii="宋体" w:hAnsi="宋体" w:cs="宋体"/>
          <w:color w:val="auto"/>
          <w:kern w:val="0"/>
          <w:szCs w:val="21"/>
          <w:highlight w:val="none"/>
          <w:lang w:val="en-US" w:eastAsia="zh-CN" w:bidi="ar"/>
        </w:rPr>
        <w:t>；</w:t>
      </w:r>
    </w:p>
    <w:p w14:paraId="3EED1A1A">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4）协助办理项目的深基坑施工方案审查(如有)、各专业报建、施工图报建、竣工图备案等各专项报批报建和验收工作。</w:t>
      </w:r>
    </w:p>
    <w:p w14:paraId="543DE6EA">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5）现场技术服务工作：全过程设计服务及协调工作（含派设计代表驻现场），完成招标人后续各类招标工作配合，提供技术指导。</w:t>
      </w:r>
    </w:p>
    <w:p w14:paraId="7059181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6）完成项目竣工图编制工作。</w:t>
      </w:r>
    </w:p>
    <w:p w14:paraId="3DAB0F2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7）完成竣工验收及各专项验收的配合工作。</w:t>
      </w:r>
    </w:p>
    <w:p w14:paraId="7AE31C08">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6.2. 施工范围</w:t>
      </w:r>
    </w:p>
    <w:p w14:paraId="5B37345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6.2.1 施工内容</w:t>
      </w:r>
    </w:p>
    <w:p w14:paraId="3A3B5591">
      <w:pPr>
        <w:widowControl/>
        <w:adjustRightInd w:val="0"/>
        <w:snapToGrid w:val="0"/>
        <w:spacing w:after="163" w:afterLines="50" w:line="360" w:lineRule="auto"/>
        <w:ind w:firstLine="420" w:firstLineChars="200"/>
        <w:rPr>
          <w:rFonts w:hint="eastAsia" w:ascii="宋体" w:hAnsi="宋体" w:cs="宋体"/>
          <w:color w:val="auto"/>
          <w:kern w:val="0"/>
          <w:szCs w:val="21"/>
          <w:highlight w:val="none"/>
          <w:lang w:val="en-US" w:eastAsia="zh-CN" w:bidi="ar"/>
        </w:rPr>
      </w:pPr>
      <w:bookmarkStart w:id="11" w:name="_Hlk147837200"/>
      <w:r>
        <w:rPr>
          <w:rFonts w:hint="eastAsia" w:ascii="宋体" w:hAnsi="宋体" w:cs="宋体"/>
          <w:color w:val="auto"/>
          <w:kern w:val="0"/>
          <w:szCs w:val="21"/>
          <w:highlight w:val="none"/>
          <w:lang w:val="en-US" w:eastAsia="zh-CN" w:bidi="ar"/>
        </w:rPr>
        <w:t>按照招标文件及合同约定的范围和经住建部门审查合格批准的施工图纸进行施工总承包，包括但不限于包工、包料、包设备、包工期、包质量、包造价控制、包安全生产、包文明施工、包施工总承包管理和现场整体组织、包专业协调及配合、包承包范围内工程验收通过及移交、包结算、包竣工资料收集整理、编制竣工图、包保修等。主要包括：</w:t>
      </w:r>
    </w:p>
    <w:bookmarkEnd w:id="11"/>
    <w:p w14:paraId="7EECB031">
      <w:pPr>
        <w:autoSpaceDE/>
        <w:autoSpaceDN/>
        <w:spacing w:line="360" w:lineRule="auto"/>
        <w:ind w:firstLine="420" w:firstLineChars="200"/>
        <w:jc w:val="both"/>
        <w:rPr>
          <w:rFonts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6.2.1.1 单体工程，包括：1，2#供应链仓库、宿舍、门卫、连廊、汽车坡道及平台等的：</w:t>
      </w:r>
    </w:p>
    <w:p w14:paraId="5BB1A54E">
      <w:pPr>
        <w:numPr>
          <w:ilvl w:val="0"/>
          <w:numId w:val="1"/>
        </w:numPr>
        <w:autoSpaceDE/>
        <w:autoSpaceDN/>
        <w:spacing w:line="360" w:lineRule="auto"/>
        <w:ind w:firstLine="420" w:firstLineChars="200"/>
        <w:jc w:val="both"/>
        <w:rPr>
          <w:rFonts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建筑工程（不含内、外墙滑升门，月台升降设备，不含冷库门）；</w:t>
      </w:r>
    </w:p>
    <w:p w14:paraId="112F552A">
      <w:pPr>
        <w:numPr>
          <w:ilvl w:val="0"/>
          <w:numId w:val="1"/>
        </w:numPr>
        <w:autoSpaceDE/>
        <w:autoSpaceDN/>
        <w:spacing w:line="360" w:lineRule="auto"/>
        <w:ind w:firstLine="420" w:firstLineChars="200"/>
        <w:jc w:val="both"/>
        <w:rPr>
          <w:rFonts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结构工程（含工作范围内的混凝土设备基础，含空调主机及冷库室外机组的混凝土设备基础）；</w:t>
      </w:r>
    </w:p>
    <w:p w14:paraId="1093993E">
      <w:pPr>
        <w:numPr>
          <w:ilvl w:val="0"/>
          <w:numId w:val="1"/>
        </w:numPr>
        <w:autoSpaceDE/>
        <w:autoSpaceDN/>
        <w:spacing w:line="360" w:lineRule="auto"/>
        <w:ind w:firstLine="420" w:firstLineChars="200"/>
        <w:jc w:val="both"/>
        <w:rPr>
          <w:rFonts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动力配电及照明插座工程；</w:t>
      </w:r>
    </w:p>
    <w:p w14:paraId="05E8F0ED">
      <w:pPr>
        <w:numPr>
          <w:ilvl w:val="0"/>
          <w:numId w:val="1"/>
        </w:numPr>
        <w:autoSpaceDE/>
        <w:autoSpaceDN/>
        <w:spacing w:line="360" w:lineRule="auto"/>
        <w:ind w:firstLine="420" w:firstLineChars="200"/>
        <w:jc w:val="both"/>
        <w:rPr>
          <w:rFonts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给排水系统工程；</w:t>
      </w:r>
    </w:p>
    <w:p w14:paraId="4B511C31">
      <w:pPr>
        <w:numPr>
          <w:ilvl w:val="0"/>
          <w:numId w:val="1"/>
        </w:numPr>
        <w:autoSpaceDE/>
        <w:autoSpaceDN/>
        <w:spacing w:line="360" w:lineRule="auto"/>
        <w:ind w:firstLine="420" w:firstLineChars="200"/>
        <w:jc w:val="both"/>
        <w:rPr>
          <w:rFonts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消防系统（含消防水、消防电、防排烟、抗震支架）；</w:t>
      </w:r>
    </w:p>
    <w:p w14:paraId="05CC97EA">
      <w:pPr>
        <w:numPr>
          <w:ilvl w:val="0"/>
          <w:numId w:val="1"/>
        </w:numPr>
        <w:autoSpaceDE/>
        <w:autoSpaceDN/>
        <w:spacing w:line="360" w:lineRule="auto"/>
        <w:ind w:firstLine="420" w:firstLineChars="200"/>
        <w:jc w:val="both"/>
        <w:rPr>
          <w:rFonts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电梯工程；</w:t>
      </w:r>
    </w:p>
    <w:p w14:paraId="4C2511CB">
      <w:pPr>
        <w:numPr>
          <w:ilvl w:val="0"/>
          <w:numId w:val="1"/>
        </w:numPr>
        <w:autoSpaceDE/>
        <w:autoSpaceDN/>
        <w:spacing w:line="360" w:lineRule="auto"/>
        <w:ind w:firstLine="420" w:firstLineChars="200"/>
        <w:jc w:val="both"/>
        <w:rPr>
          <w:rFonts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幕墙工程；</w:t>
      </w:r>
    </w:p>
    <w:p w14:paraId="502FEA60">
      <w:pPr>
        <w:numPr>
          <w:ilvl w:val="0"/>
          <w:numId w:val="1"/>
        </w:numPr>
        <w:autoSpaceDE/>
        <w:autoSpaceDN/>
        <w:spacing w:line="360" w:lineRule="auto"/>
        <w:ind w:firstLine="420" w:firstLineChars="200"/>
        <w:jc w:val="both"/>
        <w:rPr>
          <w:rFonts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防火封堵；</w:t>
      </w:r>
    </w:p>
    <w:p w14:paraId="2AFC93E7">
      <w:pPr>
        <w:numPr>
          <w:ilvl w:val="0"/>
          <w:numId w:val="1"/>
        </w:numPr>
        <w:autoSpaceDE/>
        <w:autoSpaceDN/>
        <w:spacing w:line="360" w:lineRule="auto"/>
        <w:ind w:firstLine="420" w:firstLineChars="200"/>
        <w:jc w:val="both"/>
        <w:rPr>
          <w:rFonts w:hint="eastAsia"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预留设备机房位置和设备吊装平台及吊装口（如需）；</w:t>
      </w:r>
    </w:p>
    <w:p w14:paraId="7A22A57C">
      <w:pPr>
        <w:numPr>
          <w:ilvl w:val="0"/>
          <w:numId w:val="1"/>
        </w:numPr>
        <w:autoSpaceDE/>
        <w:autoSpaceDN/>
        <w:spacing w:line="360" w:lineRule="auto"/>
        <w:ind w:firstLine="420" w:firstLineChars="200"/>
        <w:jc w:val="both"/>
        <w:rPr>
          <w:rFonts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专业工程暂估项目及业主平行发包项目的预留预埋（不含物流设备安装预埋件）；</w:t>
      </w:r>
    </w:p>
    <w:p w14:paraId="61EA31EB">
      <w:pPr>
        <w:numPr>
          <w:ilvl w:val="0"/>
          <w:numId w:val="1"/>
        </w:numPr>
        <w:autoSpaceDE/>
        <w:autoSpaceDN/>
        <w:spacing w:line="360" w:lineRule="auto"/>
        <w:ind w:firstLine="420" w:firstLineChars="200"/>
        <w:jc w:val="both"/>
        <w:rPr>
          <w:rFonts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屋面光伏支架预埋；</w:t>
      </w:r>
    </w:p>
    <w:p w14:paraId="3263FAC1">
      <w:pPr>
        <w:numPr>
          <w:ilvl w:val="0"/>
          <w:numId w:val="1"/>
        </w:numPr>
        <w:autoSpaceDE/>
        <w:autoSpaceDN/>
        <w:spacing w:line="360" w:lineRule="auto"/>
        <w:ind w:firstLine="420" w:firstLineChars="200"/>
        <w:jc w:val="both"/>
        <w:rPr>
          <w:rFonts w:hint="eastAsia"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地坪工程（混凝土密封固化剂地坪、金刚砂耐磨地坪、环氧砂浆地坪；）</w:t>
      </w:r>
    </w:p>
    <w:p w14:paraId="4575A387">
      <w:pPr>
        <w:numPr>
          <w:ilvl w:val="0"/>
          <w:numId w:val="1"/>
        </w:numPr>
        <w:autoSpaceDE/>
        <w:autoSpaceDN/>
        <w:spacing w:line="360" w:lineRule="auto"/>
        <w:ind w:firstLine="420" w:firstLineChars="200"/>
        <w:jc w:val="both"/>
        <w:rPr>
          <w:rFonts w:hint="eastAsia"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冷库工程（含冷库门、充气门封、地面保温材料）</w:t>
      </w:r>
    </w:p>
    <w:p w14:paraId="152071B8">
      <w:pPr>
        <w:autoSpaceDE/>
        <w:autoSpaceDN/>
        <w:spacing w:line="360" w:lineRule="auto"/>
        <w:ind w:firstLine="420" w:firstLineChars="200"/>
        <w:jc w:val="both"/>
        <w:rPr>
          <w:rFonts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6.2.1.2 室外总体</w:t>
      </w:r>
    </w:p>
    <w:p w14:paraId="5DE08D39">
      <w:pPr>
        <w:numPr>
          <w:ilvl w:val="0"/>
          <w:numId w:val="2"/>
        </w:numPr>
        <w:autoSpaceDE/>
        <w:autoSpaceDN/>
        <w:spacing w:line="360" w:lineRule="auto"/>
        <w:ind w:firstLine="420" w:firstLineChars="200"/>
        <w:jc w:val="both"/>
        <w:rPr>
          <w:rFonts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室外广场、道路及停车场；</w:t>
      </w:r>
    </w:p>
    <w:p w14:paraId="3924EAC0">
      <w:pPr>
        <w:numPr>
          <w:ilvl w:val="0"/>
          <w:numId w:val="2"/>
        </w:numPr>
        <w:autoSpaceDE/>
        <w:autoSpaceDN/>
        <w:spacing w:line="360" w:lineRule="auto"/>
        <w:ind w:firstLine="420" w:firstLineChars="200"/>
        <w:jc w:val="both"/>
        <w:rPr>
          <w:rFonts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室外挡墙护坡工程（如需）；</w:t>
      </w:r>
    </w:p>
    <w:p w14:paraId="08552A92">
      <w:pPr>
        <w:numPr>
          <w:ilvl w:val="0"/>
          <w:numId w:val="2"/>
        </w:numPr>
        <w:autoSpaceDE/>
        <w:autoSpaceDN/>
        <w:spacing w:line="360" w:lineRule="auto"/>
        <w:ind w:firstLine="420" w:firstLineChars="200"/>
        <w:jc w:val="both"/>
        <w:rPr>
          <w:rFonts w:hint="eastAsia"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围墙及室外电动移门工程；</w:t>
      </w:r>
    </w:p>
    <w:p w14:paraId="039F13A3">
      <w:pPr>
        <w:numPr>
          <w:ilvl w:val="0"/>
          <w:numId w:val="2"/>
        </w:numPr>
        <w:autoSpaceDE/>
        <w:autoSpaceDN/>
        <w:spacing w:line="360" w:lineRule="auto"/>
        <w:ind w:firstLine="420" w:firstLineChars="200"/>
        <w:jc w:val="both"/>
        <w:rPr>
          <w:rFonts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室外给排水管网、雨污水管网、污水池、事故池、调蓄池、隔油池等；</w:t>
      </w:r>
    </w:p>
    <w:p w14:paraId="389A9FA6">
      <w:pPr>
        <w:numPr>
          <w:ilvl w:val="0"/>
          <w:numId w:val="2"/>
        </w:numPr>
        <w:autoSpaceDE/>
        <w:autoSpaceDN/>
        <w:spacing w:line="360" w:lineRule="auto"/>
        <w:ind w:firstLine="420" w:firstLineChars="200"/>
        <w:jc w:val="both"/>
        <w:rPr>
          <w:rFonts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室外消防管网、消防水池及泵房等；</w:t>
      </w:r>
    </w:p>
    <w:p w14:paraId="78FBB810">
      <w:pPr>
        <w:numPr>
          <w:ilvl w:val="0"/>
          <w:numId w:val="2"/>
        </w:numPr>
        <w:autoSpaceDE/>
        <w:autoSpaceDN/>
        <w:spacing w:line="360" w:lineRule="auto"/>
        <w:ind w:firstLine="420" w:firstLineChars="200"/>
        <w:jc w:val="both"/>
        <w:rPr>
          <w:rFonts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室外电力（低压）预埋管网；</w:t>
      </w:r>
    </w:p>
    <w:p w14:paraId="44251685">
      <w:pPr>
        <w:numPr>
          <w:ilvl w:val="0"/>
          <w:numId w:val="2"/>
        </w:numPr>
        <w:autoSpaceDE/>
        <w:autoSpaceDN/>
        <w:spacing w:line="360" w:lineRule="auto"/>
        <w:ind w:firstLine="420" w:firstLineChars="200"/>
        <w:jc w:val="both"/>
        <w:rPr>
          <w:rFonts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室外电信、消防电、其他弱电预埋管网；</w:t>
      </w:r>
    </w:p>
    <w:p w14:paraId="1ECD315B">
      <w:pPr>
        <w:autoSpaceDE/>
        <w:autoSpaceDN/>
        <w:spacing w:line="360" w:lineRule="auto"/>
        <w:ind w:firstLine="420" w:firstLineChars="200"/>
        <w:jc w:val="both"/>
        <w:rPr>
          <w:rFonts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6.2.1.3 总包包含的专业暂估</w:t>
      </w:r>
      <w:r>
        <w:rPr>
          <w:rFonts w:hint="eastAsia" w:cs="Times New Roman"/>
          <w:color w:val="auto"/>
          <w:kern w:val="2"/>
          <w:sz w:val="21"/>
          <w:szCs w:val="21"/>
          <w:highlight w:val="none"/>
          <w:u w:val="single"/>
          <w:lang w:val="zh-CN" w:eastAsia="zh-CN" w:bidi="ar-SA"/>
        </w:rPr>
        <w:t>项目</w:t>
      </w:r>
    </w:p>
    <w:p w14:paraId="6996E7BE">
      <w:pPr>
        <w:numPr>
          <w:ilvl w:val="0"/>
          <w:numId w:val="3"/>
        </w:numPr>
        <w:autoSpaceDE/>
        <w:autoSpaceDN/>
        <w:spacing w:line="360" w:lineRule="auto"/>
        <w:ind w:firstLine="420" w:firstLineChars="200"/>
        <w:jc w:val="both"/>
        <w:rPr>
          <w:rFonts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室外绿化工程（设计、施工、验收）；</w:t>
      </w:r>
    </w:p>
    <w:p w14:paraId="16C7F56C">
      <w:pPr>
        <w:numPr>
          <w:ilvl w:val="0"/>
          <w:numId w:val="3"/>
        </w:numPr>
        <w:autoSpaceDE/>
        <w:autoSpaceDN/>
        <w:spacing w:line="360" w:lineRule="auto"/>
        <w:ind w:firstLine="420" w:firstLineChars="200"/>
        <w:jc w:val="both"/>
        <w:rPr>
          <w:rFonts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发电机设备（供应、安装、调试）</w:t>
      </w:r>
      <w:bookmarkStart w:id="12" w:name="_Hlk172283183"/>
      <w:r>
        <w:rPr>
          <w:rFonts w:hint="eastAsia" w:cs="Times New Roman"/>
          <w:color w:val="auto"/>
          <w:kern w:val="2"/>
          <w:sz w:val="21"/>
          <w:szCs w:val="21"/>
          <w:highlight w:val="none"/>
          <w:u w:val="single"/>
          <w:lang w:val="en-US" w:eastAsia="zh-CN" w:bidi="ar-SA"/>
        </w:rPr>
        <w:t>；</w:t>
      </w:r>
    </w:p>
    <w:p w14:paraId="12A33D12">
      <w:pPr>
        <w:numPr>
          <w:ilvl w:val="0"/>
          <w:numId w:val="3"/>
        </w:numPr>
        <w:autoSpaceDE/>
        <w:autoSpaceDN/>
        <w:spacing w:line="360" w:lineRule="auto"/>
        <w:ind w:firstLine="420" w:firstLineChars="200"/>
        <w:jc w:val="both"/>
        <w:rPr>
          <w:rFonts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物流设备安装预埋件</w:t>
      </w:r>
      <w:bookmarkEnd w:id="12"/>
      <w:r>
        <w:rPr>
          <w:rFonts w:hint="eastAsia" w:cs="Times New Roman"/>
          <w:color w:val="auto"/>
          <w:kern w:val="2"/>
          <w:sz w:val="21"/>
          <w:szCs w:val="21"/>
          <w:highlight w:val="none"/>
          <w:u w:val="single"/>
          <w:lang w:val="en-US" w:eastAsia="zh-CN" w:bidi="ar-SA"/>
        </w:rPr>
        <w:t>等；</w:t>
      </w:r>
    </w:p>
    <w:p w14:paraId="4D5E1976">
      <w:pPr>
        <w:numPr>
          <w:ilvl w:val="0"/>
          <w:numId w:val="3"/>
        </w:numPr>
        <w:autoSpaceDE/>
        <w:autoSpaceDN/>
        <w:spacing w:line="360" w:lineRule="auto"/>
        <w:ind w:firstLine="420" w:firstLineChars="200"/>
        <w:jc w:val="both"/>
        <w:rPr>
          <w:rFonts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空调系统工程及空调自控系统（含空调主机采购）；</w:t>
      </w:r>
    </w:p>
    <w:p w14:paraId="5A195C6E">
      <w:pPr>
        <w:numPr>
          <w:ilvl w:val="0"/>
          <w:numId w:val="3"/>
        </w:numPr>
        <w:autoSpaceDE/>
        <w:autoSpaceDN/>
        <w:spacing w:line="360" w:lineRule="auto"/>
        <w:ind w:firstLine="420" w:firstLineChars="200"/>
        <w:jc w:val="both"/>
        <w:rPr>
          <w:rFonts w:hint="eastAsia"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宿舍、办公精装修工程（不含仓库内装修工程）；</w:t>
      </w:r>
    </w:p>
    <w:p w14:paraId="272AE818">
      <w:pPr>
        <w:numPr>
          <w:ilvl w:val="0"/>
          <w:numId w:val="3"/>
        </w:numPr>
        <w:autoSpaceDE/>
        <w:autoSpaceDN/>
        <w:spacing w:line="360" w:lineRule="auto"/>
        <w:ind w:firstLine="420" w:firstLineChars="200"/>
        <w:jc w:val="both"/>
        <w:rPr>
          <w:rFonts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LOGO，标志标识；</w:t>
      </w:r>
    </w:p>
    <w:p w14:paraId="15AFFB57">
      <w:pPr>
        <w:numPr>
          <w:ilvl w:val="0"/>
          <w:numId w:val="3"/>
        </w:numPr>
        <w:autoSpaceDE/>
        <w:autoSpaceDN/>
        <w:spacing w:line="360" w:lineRule="auto"/>
        <w:ind w:firstLine="420" w:firstLineChars="200"/>
        <w:jc w:val="both"/>
        <w:rPr>
          <w:rFonts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外立面装饰工程；</w:t>
      </w:r>
    </w:p>
    <w:p w14:paraId="564A08F9">
      <w:pPr>
        <w:numPr>
          <w:ilvl w:val="0"/>
          <w:numId w:val="3"/>
        </w:numPr>
        <w:autoSpaceDE/>
        <w:autoSpaceDN/>
        <w:spacing w:line="360" w:lineRule="auto"/>
        <w:ind w:firstLine="420" w:firstLineChars="200"/>
        <w:jc w:val="both"/>
        <w:rPr>
          <w:rFonts w:hint="eastAsia"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道路交通标志标线；</w:t>
      </w:r>
    </w:p>
    <w:p w14:paraId="5D20C85D">
      <w:pPr>
        <w:numPr>
          <w:ilvl w:val="0"/>
          <w:numId w:val="3"/>
        </w:numPr>
        <w:autoSpaceDE/>
        <w:autoSpaceDN/>
        <w:spacing w:line="360" w:lineRule="auto"/>
        <w:ind w:firstLine="420" w:firstLineChars="200"/>
        <w:jc w:val="both"/>
        <w:rPr>
          <w:rFonts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燃气系统工程（燃气表房至燃气器具）；</w:t>
      </w:r>
    </w:p>
    <w:p w14:paraId="180A4D2F">
      <w:pPr>
        <w:autoSpaceDE/>
        <w:autoSpaceDN/>
        <w:spacing w:line="360" w:lineRule="auto"/>
        <w:ind w:firstLine="420" w:firstLineChars="200"/>
        <w:jc w:val="both"/>
        <w:rPr>
          <w:rFonts w:hint="default" w:cs="Times New Roman"/>
          <w:color w:val="auto"/>
          <w:kern w:val="2"/>
          <w:sz w:val="21"/>
          <w:szCs w:val="21"/>
          <w:highlight w:val="none"/>
          <w:u w:val="single"/>
          <w:lang w:val="en-US" w:eastAsia="zh-CN" w:bidi="ar-SA"/>
        </w:rPr>
      </w:pPr>
      <w:r>
        <w:rPr>
          <w:rFonts w:hint="eastAsia" w:cs="Times New Roman"/>
          <w:color w:val="auto"/>
          <w:kern w:val="2"/>
          <w:sz w:val="21"/>
          <w:szCs w:val="21"/>
          <w:highlight w:val="none"/>
          <w:u w:val="single"/>
          <w:lang w:val="en-US" w:eastAsia="zh-CN" w:bidi="ar-SA"/>
        </w:rPr>
        <w:t>各施工工作内容的界面划分详见招标文件招标人提供资料</w:t>
      </w:r>
    </w:p>
    <w:p w14:paraId="6AD68D11">
      <w:pPr>
        <w:autoSpaceDE/>
        <w:autoSpaceDN/>
        <w:spacing w:line="360" w:lineRule="auto"/>
        <w:ind w:firstLine="420" w:firstLineChars="200"/>
        <w:jc w:val="both"/>
        <w:rPr>
          <w:rFonts w:cs="Times New Roman"/>
          <w:color w:val="auto"/>
          <w:kern w:val="2"/>
          <w:sz w:val="21"/>
          <w:szCs w:val="21"/>
          <w:highlight w:val="none"/>
          <w:u w:val="none"/>
          <w:lang w:val="en-US" w:eastAsia="zh-CN" w:bidi="ar-SA"/>
        </w:rPr>
      </w:pPr>
      <w:r>
        <w:rPr>
          <w:rFonts w:hint="eastAsia" w:cs="Times New Roman"/>
          <w:color w:val="auto"/>
          <w:kern w:val="2"/>
          <w:sz w:val="21"/>
          <w:szCs w:val="21"/>
          <w:highlight w:val="none"/>
          <w:u w:val="none"/>
          <w:lang w:val="en-US" w:eastAsia="zh-CN" w:bidi="ar-SA"/>
        </w:rPr>
        <w:t>6.2.2 施工其他服务</w:t>
      </w:r>
    </w:p>
    <w:p w14:paraId="05F2D211">
      <w:pPr>
        <w:numPr>
          <w:ilvl w:val="0"/>
          <w:numId w:val="4"/>
        </w:numPr>
        <w:autoSpaceDE/>
        <w:autoSpaceDN/>
        <w:spacing w:line="360" w:lineRule="auto"/>
        <w:ind w:firstLine="420" w:firstLineChars="200"/>
        <w:jc w:val="both"/>
        <w:rPr>
          <w:rFonts w:cs="Times New Roman"/>
          <w:color w:val="auto"/>
          <w:kern w:val="2"/>
          <w:sz w:val="21"/>
          <w:szCs w:val="21"/>
          <w:highlight w:val="none"/>
          <w:u w:val="none"/>
          <w:lang w:val="en-US" w:eastAsia="zh-CN" w:bidi="ar-SA"/>
        </w:rPr>
      </w:pPr>
      <w:r>
        <w:rPr>
          <w:rFonts w:hint="eastAsia" w:cs="Times New Roman"/>
          <w:color w:val="auto"/>
          <w:kern w:val="2"/>
          <w:sz w:val="21"/>
          <w:szCs w:val="21"/>
          <w:highlight w:val="none"/>
          <w:u w:val="none"/>
          <w:lang w:val="en-US" w:eastAsia="zh-CN" w:bidi="ar-SA"/>
        </w:rPr>
        <w:t>负责预算、结算的编制工作，配合发包人对预算和结算的审核及审计工作；</w:t>
      </w:r>
    </w:p>
    <w:p w14:paraId="6421A53E">
      <w:pPr>
        <w:numPr>
          <w:ilvl w:val="0"/>
          <w:numId w:val="4"/>
        </w:numPr>
        <w:autoSpaceDE/>
        <w:autoSpaceDN/>
        <w:spacing w:line="360" w:lineRule="auto"/>
        <w:ind w:firstLine="420" w:firstLineChars="200"/>
        <w:jc w:val="both"/>
        <w:rPr>
          <w:rFonts w:cs="Times New Roman"/>
          <w:color w:val="auto"/>
          <w:kern w:val="2"/>
          <w:sz w:val="21"/>
          <w:szCs w:val="21"/>
          <w:highlight w:val="none"/>
          <w:u w:val="none"/>
          <w:lang w:val="en-US" w:eastAsia="zh-CN" w:bidi="ar-SA"/>
        </w:rPr>
      </w:pPr>
      <w:r>
        <w:rPr>
          <w:rFonts w:hint="eastAsia" w:cs="Times New Roman"/>
          <w:color w:val="auto"/>
          <w:kern w:val="2"/>
          <w:sz w:val="21"/>
          <w:szCs w:val="21"/>
          <w:highlight w:val="none"/>
          <w:u w:val="none"/>
          <w:lang w:val="en-US" w:eastAsia="zh-CN" w:bidi="ar-SA"/>
        </w:rPr>
        <w:t>对需要专业分包的专项设计和工程，承包人与专业分包单位签订专业分包合同，配合做好协调和管理工作。同时，承包人须按国家、地方、行业规定以及发包人要求的工程措施、安全措施、文明措施对项目进行工程总承包管理，作为联合体主办方负责项目设计、施工总协调工作及工程涉及的其它协调工作；</w:t>
      </w:r>
      <w:r>
        <w:rPr>
          <w:rFonts w:hint="eastAsia" w:cs="Times New Roman"/>
          <w:color w:val="auto"/>
          <w:kern w:val="2"/>
          <w:sz w:val="21"/>
          <w:szCs w:val="21"/>
          <w:highlight w:val="none"/>
          <w:u w:val="none"/>
          <w:lang w:val="en-US" w:eastAsia="zh-CN" w:bidi="ar-SA"/>
        </w:rPr>
        <w:t>对于发包人直接发包的工程（如弱电工程、高压电工程、物流设备工程等），承包人也需做好相应的协调配合与支持工作，以保证其顺利实施。</w:t>
      </w:r>
    </w:p>
    <w:p w14:paraId="4F6DEF67">
      <w:pPr>
        <w:numPr>
          <w:ilvl w:val="0"/>
          <w:numId w:val="4"/>
        </w:numPr>
        <w:autoSpaceDE/>
        <w:autoSpaceDN/>
        <w:spacing w:line="360" w:lineRule="auto"/>
        <w:ind w:firstLine="420" w:firstLineChars="200"/>
        <w:jc w:val="both"/>
        <w:rPr>
          <w:rFonts w:cs="Times New Roman"/>
          <w:color w:val="auto"/>
          <w:kern w:val="2"/>
          <w:sz w:val="21"/>
          <w:szCs w:val="21"/>
          <w:highlight w:val="none"/>
          <w:u w:val="none"/>
          <w:lang w:val="en-US" w:eastAsia="zh-CN" w:bidi="ar-SA"/>
        </w:rPr>
      </w:pPr>
      <w:r>
        <w:rPr>
          <w:rFonts w:hint="eastAsia" w:cs="Times New Roman"/>
          <w:color w:val="auto"/>
          <w:kern w:val="2"/>
          <w:sz w:val="21"/>
          <w:szCs w:val="21"/>
          <w:highlight w:val="none"/>
          <w:u w:val="none"/>
          <w:lang w:val="en-US" w:eastAsia="zh-CN" w:bidi="ar-SA"/>
        </w:rPr>
        <w:t>负责或配合办理工程开工及验收所需的各项手续，包括但不限于办理施工许可证(或临时施工许可)、报建手续、渣土外运许可、排污手续、排水接驳、水质检测、排水许可证、环保验收及分项分部工程验收和各专业验收,并承担办理上述手续施工方的费用；</w:t>
      </w:r>
    </w:p>
    <w:p w14:paraId="4E02A53C">
      <w:pPr>
        <w:numPr>
          <w:ilvl w:val="0"/>
          <w:numId w:val="4"/>
        </w:numPr>
        <w:autoSpaceDE/>
        <w:autoSpaceDN/>
        <w:spacing w:line="360" w:lineRule="auto"/>
        <w:ind w:firstLine="420" w:firstLineChars="200"/>
        <w:jc w:val="both"/>
        <w:rPr>
          <w:rFonts w:cs="Times New Roman"/>
          <w:color w:val="auto"/>
          <w:kern w:val="2"/>
          <w:sz w:val="21"/>
          <w:szCs w:val="21"/>
          <w:highlight w:val="none"/>
          <w:u w:val="none"/>
          <w:lang w:val="en-US" w:eastAsia="zh-CN" w:bidi="ar-SA"/>
        </w:rPr>
      </w:pPr>
      <w:r>
        <w:rPr>
          <w:rFonts w:hint="eastAsia" w:cs="Times New Roman"/>
          <w:color w:val="auto"/>
          <w:kern w:val="2"/>
          <w:sz w:val="21"/>
          <w:szCs w:val="21"/>
          <w:highlight w:val="none"/>
          <w:u w:val="none"/>
          <w:lang w:val="en-US" w:eastAsia="zh-CN" w:bidi="ar-SA"/>
        </w:rPr>
        <w:t>协助做好迎检、开工仪式（如需）等筹备工作；</w:t>
      </w:r>
    </w:p>
    <w:p w14:paraId="3CFD713F">
      <w:pPr>
        <w:numPr>
          <w:ilvl w:val="0"/>
          <w:numId w:val="4"/>
        </w:numPr>
        <w:autoSpaceDE/>
        <w:autoSpaceDN/>
        <w:spacing w:line="360" w:lineRule="auto"/>
        <w:ind w:firstLine="420" w:firstLineChars="200"/>
        <w:jc w:val="both"/>
        <w:rPr>
          <w:rFonts w:cs="Times New Roman"/>
          <w:color w:val="auto"/>
          <w:kern w:val="2"/>
          <w:sz w:val="21"/>
          <w:szCs w:val="21"/>
          <w:highlight w:val="none"/>
          <w:u w:val="none"/>
          <w:lang w:val="en-US" w:eastAsia="zh-CN" w:bidi="ar-SA"/>
        </w:rPr>
      </w:pPr>
      <w:r>
        <w:rPr>
          <w:rFonts w:hint="eastAsia" w:cs="Times New Roman"/>
          <w:color w:val="auto"/>
          <w:kern w:val="2"/>
          <w:sz w:val="21"/>
          <w:szCs w:val="21"/>
          <w:highlight w:val="none"/>
          <w:u w:val="none"/>
          <w:lang w:val="en-US" w:eastAsia="zh-CN" w:bidi="ar-SA"/>
        </w:rPr>
        <w:t>组织本项目的验收备案和工程资料汇总及整理归档工作;</w:t>
      </w:r>
    </w:p>
    <w:p w14:paraId="1DEAC67F">
      <w:pPr>
        <w:numPr>
          <w:ilvl w:val="0"/>
          <w:numId w:val="4"/>
        </w:numPr>
        <w:autoSpaceDE/>
        <w:autoSpaceDN/>
        <w:spacing w:line="360" w:lineRule="auto"/>
        <w:ind w:firstLine="420" w:firstLineChars="200"/>
        <w:jc w:val="both"/>
        <w:rPr>
          <w:rFonts w:cs="Times New Roman"/>
          <w:color w:val="auto"/>
          <w:kern w:val="2"/>
          <w:sz w:val="21"/>
          <w:szCs w:val="21"/>
          <w:highlight w:val="none"/>
          <w:u w:val="none"/>
          <w:lang w:val="en-US" w:eastAsia="zh-CN" w:bidi="ar-SA"/>
        </w:rPr>
      </w:pPr>
      <w:r>
        <w:rPr>
          <w:rFonts w:hint="eastAsia" w:cs="Times New Roman"/>
          <w:color w:val="auto"/>
          <w:kern w:val="2"/>
          <w:sz w:val="21"/>
          <w:szCs w:val="21"/>
          <w:highlight w:val="none"/>
          <w:u w:val="none"/>
          <w:lang w:val="en-US" w:eastAsia="zh-CN" w:bidi="ar-SA"/>
        </w:rPr>
        <w:t>总承包工作还包括汇总编制、提交竣工档案、配合发包人办理相关政府行政审批文件以及配合发包人完成物流工艺调试、GSP验证及工程审计相关工作内容。</w:t>
      </w:r>
    </w:p>
    <w:p w14:paraId="2AEFD4CB">
      <w:pPr>
        <w:numPr>
          <w:ilvl w:val="0"/>
          <w:numId w:val="4"/>
        </w:numPr>
        <w:autoSpaceDE/>
        <w:autoSpaceDN/>
        <w:spacing w:line="360" w:lineRule="auto"/>
        <w:ind w:firstLine="420" w:firstLineChars="200"/>
        <w:jc w:val="both"/>
        <w:rPr>
          <w:rFonts w:cs="Times New Roman"/>
          <w:color w:val="auto"/>
          <w:kern w:val="2"/>
          <w:sz w:val="21"/>
          <w:szCs w:val="21"/>
          <w:highlight w:val="none"/>
          <w:u w:val="none"/>
          <w:lang w:val="en-US" w:eastAsia="zh-CN" w:bidi="ar-SA"/>
        </w:rPr>
      </w:pPr>
      <w:r>
        <w:rPr>
          <w:rFonts w:hint="eastAsia" w:ascii="宋体" w:hAnsi="宋体" w:cs="宋体"/>
          <w:color w:val="auto"/>
          <w:szCs w:val="21"/>
          <w:highlight w:val="none"/>
        </w:rPr>
        <w:t>本工程</w:t>
      </w:r>
      <w:r>
        <w:rPr>
          <w:rFonts w:hint="eastAsia" w:ascii="宋体" w:hAnsi="宋体" w:cs="宋体"/>
          <w:color w:val="auto"/>
          <w:szCs w:val="21"/>
          <w:highlight w:val="none"/>
          <w:lang w:val="en-US" w:eastAsia="zh-CN"/>
        </w:rPr>
        <w:t>立库（单体）设计及施工标准</w:t>
      </w:r>
      <w:r>
        <w:rPr>
          <w:rFonts w:hint="eastAsia" w:ascii="宋体" w:hAnsi="宋体" w:cs="宋体"/>
          <w:color w:val="auto"/>
          <w:szCs w:val="21"/>
          <w:highlight w:val="none"/>
        </w:rPr>
        <w:t>按</w:t>
      </w:r>
      <w:r>
        <w:rPr>
          <w:rFonts w:hint="eastAsia" w:ascii="宋体" w:hAnsi="宋体" w:cs="宋体"/>
          <w:color w:val="auto"/>
          <w:szCs w:val="21"/>
          <w:highlight w:val="none"/>
          <w:lang w:val="en-US" w:eastAsia="zh-CN"/>
        </w:rPr>
        <w:t>LEED金级</w:t>
      </w:r>
      <w:r>
        <w:rPr>
          <w:rFonts w:hint="eastAsia" w:ascii="宋体" w:hAnsi="宋体" w:cs="宋体"/>
          <w:color w:val="auto"/>
          <w:szCs w:val="21"/>
          <w:highlight w:val="none"/>
        </w:rPr>
        <w:t>标准实施</w:t>
      </w:r>
      <w:r>
        <w:rPr>
          <w:rFonts w:hint="eastAsia" w:ascii="宋体" w:hAnsi="宋体" w:cs="宋体"/>
          <w:color w:val="auto"/>
          <w:szCs w:val="21"/>
          <w:highlight w:val="none"/>
          <w:lang w:eastAsia="zh-CN"/>
        </w:rPr>
        <w:t>，</w:t>
      </w:r>
      <w:r>
        <w:rPr>
          <w:rFonts w:hint="eastAsia" w:ascii="宋体" w:hAnsi="宋体" w:cs="宋体"/>
          <w:color w:val="auto"/>
          <w:szCs w:val="21"/>
          <w:highlight w:val="none"/>
        </w:rPr>
        <w:t>确保获得“省级工程优质奖项”（省级或以上工程优质奖）</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三星级智慧工地（参照广州市南沙区住房和城乡建设局关于转发《广州市住房和城乡建设局关于进一步推进全市房屋建筑工程智慧工地建设的通知（试行）》的通知）</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此部分费用包含在报价内。</w:t>
      </w:r>
    </w:p>
    <w:p w14:paraId="2A616B55">
      <w:pPr>
        <w:autoSpaceDE/>
        <w:autoSpaceDN/>
        <w:spacing w:line="360" w:lineRule="auto"/>
        <w:ind w:firstLine="420" w:firstLineChars="200"/>
        <w:jc w:val="both"/>
        <w:rPr>
          <w:rFonts w:cs="Times New Roman"/>
          <w:color w:val="auto"/>
          <w:kern w:val="2"/>
          <w:sz w:val="21"/>
          <w:szCs w:val="21"/>
          <w:highlight w:val="none"/>
          <w:u w:val="none"/>
          <w:lang w:val="en-US" w:eastAsia="zh-CN" w:bidi="ar-SA"/>
        </w:rPr>
      </w:pPr>
      <w:r>
        <w:rPr>
          <w:rFonts w:hint="eastAsia" w:cs="Times New Roman"/>
          <w:color w:val="auto"/>
          <w:kern w:val="2"/>
          <w:sz w:val="21"/>
          <w:szCs w:val="21"/>
          <w:highlight w:val="none"/>
          <w:u w:val="none"/>
          <w:lang w:val="en-US" w:eastAsia="zh-CN" w:bidi="ar-SA"/>
        </w:rPr>
        <w:t>6.3采购工作包括：施工工作范围内的相关设备及材料的采购、安装、调试。</w:t>
      </w:r>
    </w:p>
    <w:p w14:paraId="41D9C7BB">
      <w:pPr>
        <w:widowControl/>
        <w:adjustRightInd w:val="0"/>
        <w:snapToGrid w:val="0"/>
        <w:spacing w:after="163" w:afterLines="50" w:line="360" w:lineRule="auto"/>
        <w:jc w:val="left"/>
        <w:outlineLvl w:val="1"/>
        <w:rPr>
          <w:rFonts w:ascii="宋体" w:hAnsi="宋体" w:cs="宋体"/>
          <w:color w:val="auto"/>
          <w:kern w:val="0"/>
          <w:highlight w:val="none"/>
        </w:rPr>
      </w:pPr>
      <w:bookmarkStart w:id="13" w:name="_Toc20171711"/>
      <w:bookmarkEnd w:id="13"/>
      <w:bookmarkStart w:id="14" w:name="_Toc11949"/>
      <w:bookmarkStart w:id="15" w:name="_Toc28239"/>
      <w:bookmarkStart w:id="16" w:name="_Toc179885232"/>
      <w:bookmarkStart w:id="17" w:name="_Toc84930696"/>
      <w:r>
        <w:rPr>
          <w:rFonts w:hint="eastAsia" w:ascii="宋体" w:hAnsi="宋体" w:cs="宋体"/>
          <w:color w:val="auto"/>
          <w:kern w:val="0"/>
          <w:szCs w:val="21"/>
          <w:highlight w:val="none"/>
          <w:lang w:bidi="ar"/>
        </w:rPr>
        <w:t>二、合同工期</w:t>
      </w:r>
      <w:bookmarkEnd w:id="14"/>
      <w:bookmarkEnd w:id="15"/>
      <w:bookmarkEnd w:id="16"/>
      <w:bookmarkEnd w:id="17"/>
    </w:p>
    <w:p w14:paraId="0A86C6B5">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计划开始工作日期：</w:t>
      </w:r>
      <w:r>
        <w:rPr>
          <w:rFonts w:hint="eastAsia" w:ascii="宋体" w:hAnsi="宋体" w:cs="宋体"/>
          <w:color w:val="auto"/>
          <w:kern w:val="0"/>
          <w:szCs w:val="21"/>
          <w:highlight w:val="none"/>
          <w:u w:val="single"/>
          <w:lang w:bidi="ar"/>
        </w:rPr>
        <w:t xml:space="preserve">  202</w:t>
      </w:r>
      <w:r>
        <w:rPr>
          <w:rFonts w:hint="eastAsia" w:ascii="宋体" w:hAnsi="宋体" w:cs="宋体"/>
          <w:color w:val="auto"/>
          <w:kern w:val="0"/>
          <w:szCs w:val="21"/>
          <w:highlight w:val="none"/>
          <w:u w:val="single"/>
          <w:lang w:val="en-US" w:eastAsia="zh-CN" w:bidi="ar"/>
        </w:rPr>
        <w:t>5</w:t>
      </w:r>
      <w:r>
        <w:rPr>
          <w:rFonts w:hint="eastAsia" w:ascii="宋体" w:hAnsi="宋体" w:cs="宋体"/>
          <w:color w:val="auto"/>
          <w:kern w:val="0"/>
          <w:szCs w:val="21"/>
          <w:highlight w:val="none"/>
          <w:lang w:bidi="ar"/>
        </w:rPr>
        <w:t>年</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u w:val="single"/>
          <w:lang w:val="en-US" w:eastAsia="zh-CN" w:bidi="ar"/>
        </w:rPr>
        <w:t xml:space="preserve"> </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月</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日。</w:t>
      </w:r>
    </w:p>
    <w:p w14:paraId="226DCBA6">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计划开始现场施工日期：</w:t>
      </w:r>
      <w:r>
        <w:rPr>
          <w:rFonts w:hint="eastAsia" w:ascii="宋体" w:hAnsi="宋体" w:cs="宋体"/>
          <w:color w:val="auto"/>
          <w:kern w:val="0"/>
          <w:szCs w:val="21"/>
          <w:highlight w:val="none"/>
          <w:u w:val="single"/>
          <w:lang w:bidi="ar"/>
        </w:rPr>
        <w:t xml:space="preserve">  202</w:t>
      </w:r>
      <w:r>
        <w:rPr>
          <w:rFonts w:hint="eastAsia" w:ascii="宋体" w:hAnsi="宋体" w:cs="宋体"/>
          <w:color w:val="auto"/>
          <w:kern w:val="0"/>
          <w:szCs w:val="21"/>
          <w:highlight w:val="none"/>
          <w:u w:val="single"/>
          <w:lang w:val="en-US" w:eastAsia="zh-CN" w:bidi="ar"/>
        </w:rPr>
        <w:t>6</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年</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月</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日。</w:t>
      </w:r>
    </w:p>
    <w:p w14:paraId="3366BA07">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计划竣工日期：</w:t>
      </w:r>
      <w:r>
        <w:rPr>
          <w:rFonts w:hint="eastAsia" w:ascii="宋体" w:hAnsi="MingLiU_HKSCS" w:cs="MingLiU_HKSCS"/>
          <w:color w:val="auto"/>
          <w:kern w:val="0"/>
          <w:szCs w:val="21"/>
          <w:highlight w:val="none"/>
          <w:u w:val="single"/>
          <w:lang w:bidi="ar"/>
        </w:rPr>
        <w:t xml:space="preserve"> </w:t>
      </w:r>
      <w:r>
        <w:rPr>
          <w:rFonts w:hint="eastAsia" w:ascii="宋体" w:hAnsi="MingLiU_HKSCS" w:cs="MingLiU_HKSCS"/>
          <w:color w:val="auto"/>
          <w:kern w:val="0"/>
          <w:szCs w:val="21"/>
          <w:highlight w:val="none"/>
          <w:u w:val="single"/>
          <w:lang w:val="en-US" w:eastAsia="zh-CN" w:bidi="ar"/>
        </w:rPr>
        <w:t xml:space="preserve"> </w:t>
      </w:r>
      <w:r>
        <w:rPr>
          <w:rFonts w:hint="eastAsia" w:ascii="宋体" w:hAnsi="MingLiU_HKSCS" w:cs="MingLiU_HKSCS"/>
          <w:color w:val="auto"/>
          <w:kern w:val="0"/>
          <w:szCs w:val="21"/>
          <w:highlight w:val="none"/>
          <w:u w:val="single"/>
          <w:lang w:bidi="ar"/>
        </w:rPr>
        <w:t xml:space="preserve">  </w:t>
      </w:r>
      <w:r>
        <w:rPr>
          <w:rFonts w:hint="eastAsia" w:ascii="宋体" w:hAnsi="宋体" w:cs="宋体"/>
          <w:color w:val="auto"/>
          <w:kern w:val="0"/>
          <w:szCs w:val="21"/>
          <w:highlight w:val="none"/>
          <w:lang w:bidi="ar"/>
        </w:rPr>
        <w:t>年</w:t>
      </w:r>
      <w:r>
        <w:rPr>
          <w:rFonts w:hint="eastAsia" w:ascii="宋体" w:hAnsi="MingLiU_HKSCS" w:cs="MingLiU_HKSCS"/>
          <w:color w:val="auto"/>
          <w:kern w:val="0"/>
          <w:szCs w:val="21"/>
          <w:highlight w:val="none"/>
          <w:u w:val="single"/>
          <w:lang w:bidi="ar"/>
        </w:rPr>
        <w:t xml:space="preserve">       </w:t>
      </w:r>
      <w:r>
        <w:rPr>
          <w:rFonts w:hint="eastAsia" w:ascii="宋体" w:hAnsi="宋体" w:cs="宋体"/>
          <w:color w:val="auto"/>
          <w:kern w:val="0"/>
          <w:szCs w:val="21"/>
          <w:highlight w:val="none"/>
          <w:lang w:bidi="ar"/>
        </w:rPr>
        <w:t>月</w:t>
      </w:r>
      <w:r>
        <w:rPr>
          <w:rFonts w:hint="eastAsia" w:ascii="宋体" w:hAnsi="MingLiU_HKSCS" w:cs="MingLiU_HKSCS"/>
          <w:color w:val="auto"/>
          <w:kern w:val="0"/>
          <w:szCs w:val="21"/>
          <w:highlight w:val="none"/>
          <w:u w:val="single"/>
          <w:lang w:bidi="ar"/>
        </w:rPr>
        <w:t xml:space="preserve">     </w:t>
      </w:r>
      <w:r>
        <w:rPr>
          <w:rFonts w:hint="eastAsia" w:ascii="宋体" w:hAnsi="宋体" w:cs="宋体"/>
          <w:color w:val="auto"/>
          <w:kern w:val="0"/>
          <w:szCs w:val="21"/>
          <w:highlight w:val="none"/>
          <w:lang w:bidi="ar"/>
        </w:rPr>
        <w:t>日，实际竣工日期以工程竣工验收合格之日为准。</w:t>
      </w:r>
    </w:p>
    <w:p w14:paraId="109DA4FB">
      <w:pPr>
        <w:widowControl/>
        <w:adjustRightInd w:val="0"/>
        <w:snapToGrid w:val="0"/>
        <w:spacing w:after="163" w:afterLines="50" w:line="360" w:lineRule="auto"/>
        <w:ind w:firstLine="420" w:firstLineChars="200"/>
        <w:rPr>
          <w:rFonts w:hint="eastAsia" w:ascii="宋体" w:hAnsi="宋体" w:cs="宋体"/>
          <w:color w:val="auto"/>
          <w:kern w:val="0"/>
          <w:szCs w:val="21"/>
          <w:highlight w:val="none"/>
          <w:u w:val="single"/>
          <w:lang w:bidi="ar"/>
        </w:rPr>
      </w:pPr>
      <w:r>
        <w:rPr>
          <w:rFonts w:hint="eastAsia" w:ascii="宋体" w:hAnsi="宋体" w:cs="宋体"/>
          <w:color w:val="auto"/>
          <w:kern w:val="0"/>
          <w:szCs w:val="21"/>
          <w:highlight w:val="none"/>
          <w:lang w:bidi="ar"/>
        </w:rPr>
        <w:t>工期总日历天数：</w:t>
      </w:r>
      <w:r>
        <w:rPr>
          <w:rFonts w:hint="eastAsia" w:ascii="宋体" w:hAnsi="宋体" w:cs="宋体"/>
          <w:color w:val="auto"/>
          <w:kern w:val="0"/>
          <w:szCs w:val="21"/>
          <w:highlight w:val="none"/>
          <w:u w:val="single"/>
          <w:lang w:bidi="ar"/>
        </w:rPr>
        <w:t>工期总日历天数570天(含施工审图及施工许可证办理)，其中施工图设计及施工许可证办理30日历天，施工工期540日历天。</w:t>
      </w:r>
    </w:p>
    <w:p w14:paraId="19D7CF2E">
      <w:pPr>
        <w:widowControl/>
        <w:adjustRightInd w:val="0"/>
        <w:snapToGrid w:val="0"/>
        <w:spacing w:after="163" w:afterLines="50" w:line="360" w:lineRule="auto"/>
        <w:jc w:val="left"/>
        <w:outlineLvl w:val="1"/>
        <w:rPr>
          <w:rFonts w:ascii="宋体" w:hAnsi="宋体" w:cs="宋体"/>
          <w:color w:val="auto"/>
          <w:kern w:val="0"/>
          <w:highlight w:val="none"/>
        </w:rPr>
      </w:pPr>
      <w:bookmarkStart w:id="18" w:name="_Toc20171712"/>
      <w:bookmarkEnd w:id="18"/>
      <w:bookmarkStart w:id="19" w:name="_Toc179885233"/>
      <w:bookmarkStart w:id="20" w:name="_Toc84930697"/>
      <w:bookmarkStart w:id="21" w:name="_Toc8498"/>
      <w:bookmarkStart w:id="22" w:name="_Toc16825"/>
      <w:r>
        <w:rPr>
          <w:rFonts w:hint="eastAsia" w:ascii="宋体" w:hAnsi="宋体" w:cs="宋体"/>
          <w:color w:val="auto"/>
          <w:kern w:val="0"/>
          <w:szCs w:val="21"/>
          <w:highlight w:val="none"/>
          <w:lang w:bidi="ar"/>
        </w:rPr>
        <w:t>三、质量标准</w:t>
      </w:r>
      <w:bookmarkEnd w:id="19"/>
      <w:bookmarkEnd w:id="20"/>
      <w:bookmarkEnd w:id="21"/>
      <w:bookmarkEnd w:id="22"/>
    </w:p>
    <w:p w14:paraId="1FC9C397">
      <w:pPr>
        <w:widowControl/>
        <w:adjustRightInd w:val="0"/>
        <w:snapToGrid w:val="0"/>
        <w:spacing w:after="163" w:afterLines="50" w:line="360" w:lineRule="auto"/>
        <w:ind w:firstLine="420" w:firstLineChars="200"/>
        <w:rPr>
          <w:rFonts w:hint="eastAsia" w:ascii="宋体" w:hAnsi="宋体" w:cs="宋体"/>
          <w:color w:val="auto"/>
          <w:kern w:val="0"/>
          <w:szCs w:val="21"/>
          <w:highlight w:val="none"/>
          <w:u w:val="single"/>
          <w:lang w:bidi="ar"/>
        </w:rPr>
      </w:pPr>
      <w:r>
        <w:rPr>
          <w:rFonts w:hint="eastAsia" w:ascii="宋体" w:hAnsi="宋体" w:cs="宋体"/>
          <w:color w:val="auto"/>
          <w:kern w:val="0"/>
          <w:szCs w:val="21"/>
          <w:highlight w:val="none"/>
          <w:lang w:bidi="ar"/>
        </w:rPr>
        <w:t>工程设计质量标准：</w:t>
      </w:r>
      <w:r>
        <w:rPr>
          <w:rFonts w:hint="eastAsia" w:ascii="宋体" w:hAnsi="宋体" w:cs="宋体"/>
          <w:color w:val="auto"/>
          <w:kern w:val="0"/>
          <w:szCs w:val="21"/>
          <w:highlight w:val="none"/>
          <w:u w:val="single"/>
          <w:lang w:bidi="ar"/>
        </w:rPr>
        <w:t>本工程立库（单体）设计及施工标准按LEED金级标准实施，符合《建设工程质量管理条例》、《建设工程勘察设计管理条例》、《建筑工程设计文件编制深度规定（2016年版）》等国家及地方有关工程设计管理法规和规章，达到行业相关规范技术标准等要求；符合建设工程设计的技术规范及本项目设计任务书的要求。</w:t>
      </w:r>
    </w:p>
    <w:p w14:paraId="146C9EE8">
      <w:pPr>
        <w:widowControl/>
        <w:adjustRightInd w:val="0"/>
        <w:snapToGrid w:val="0"/>
        <w:spacing w:after="163" w:afterLines="50" w:line="360" w:lineRule="auto"/>
        <w:ind w:firstLine="420" w:firstLineChars="200"/>
        <w:rPr>
          <w:rFonts w:hint="eastAsia" w:ascii="宋体" w:hAnsi="宋体" w:eastAsia="宋体" w:cs="宋体"/>
          <w:color w:val="auto"/>
          <w:kern w:val="0"/>
          <w:szCs w:val="21"/>
          <w:highlight w:val="none"/>
          <w:u w:val="single"/>
          <w:lang w:eastAsia="zh-CN" w:bidi="ar"/>
        </w:rPr>
      </w:pPr>
      <w:r>
        <w:rPr>
          <w:rFonts w:hint="eastAsia" w:ascii="宋体" w:hAnsi="宋体" w:cs="宋体"/>
          <w:color w:val="auto"/>
          <w:kern w:val="0"/>
          <w:szCs w:val="21"/>
          <w:highlight w:val="none"/>
          <w:lang w:bidi="ar"/>
        </w:rPr>
        <w:t>工程施工质量标准：</w:t>
      </w:r>
      <w:r>
        <w:rPr>
          <w:rFonts w:hint="eastAsia" w:ascii="宋体" w:hAnsi="宋体" w:cs="宋体"/>
          <w:color w:val="auto"/>
          <w:kern w:val="0"/>
          <w:szCs w:val="21"/>
          <w:highlight w:val="none"/>
          <w:u w:val="single"/>
          <w:lang w:bidi="ar"/>
        </w:rPr>
        <w:t>国家及地方相关规范要求，并达到国家验收标准（合格标准），工程质量标准为合格，且需一次性验收合格率100%</w:t>
      </w:r>
      <w:r>
        <w:rPr>
          <w:rFonts w:hint="eastAsia" w:ascii="宋体" w:hAnsi="宋体" w:cs="宋体"/>
          <w:color w:val="auto"/>
          <w:kern w:val="0"/>
          <w:szCs w:val="21"/>
          <w:highlight w:val="none"/>
          <w:u w:val="single"/>
          <w:lang w:eastAsia="zh-CN" w:bidi="ar"/>
        </w:rPr>
        <w:t>，</w:t>
      </w:r>
      <w:r>
        <w:rPr>
          <w:rFonts w:hint="eastAsia" w:ascii="宋体" w:hAnsi="宋体" w:cs="宋体"/>
          <w:color w:val="auto"/>
          <w:szCs w:val="21"/>
          <w:highlight w:val="none"/>
          <w:u w:val="single"/>
          <w:lang w:val="en-US" w:eastAsia="zh-CN"/>
        </w:rPr>
        <w:t>并且确保获得“省级工程优质奖项”（省级或以上工程优质奖）。</w:t>
      </w:r>
      <w:bookmarkStart w:id="23" w:name="ai-0-autoApply-XGO4b6xK_op9-wTgcTjZA"/>
      <w:r>
        <w:rPr>
          <w:rFonts w:hint="eastAsia" w:ascii="宋体" w:hAnsi="宋体" w:cs="宋体"/>
          <w:color w:val="auto"/>
          <w:highlight w:val="none"/>
          <w:u w:val="single"/>
        </w:rPr>
        <w:t>承包人未能达到上述质量标准</w:t>
      </w:r>
      <w:r>
        <w:rPr>
          <w:rFonts w:hint="eastAsia" w:ascii="宋体" w:hAnsi="宋体" w:cs="宋体"/>
          <w:color w:val="auto"/>
          <w:highlight w:val="none"/>
          <w:u w:val="single"/>
          <w:lang w:eastAsia="zh-CN"/>
        </w:rPr>
        <w:t>的</w:t>
      </w:r>
      <w:r>
        <w:rPr>
          <w:rFonts w:hint="eastAsia" w:ascii="宋体" w:hAnsi="宋体" w:cs="宋体"/>
          <w:color w:val="auto"/>
          <w:highlight w:val="none"/>
          <w:u w:val="single"/>
        </w:rPr>
        <w:t>，</w:t>
      </w:r>
      <w:bookmarkEnd w:id="23"/>
      <w:r>
        <w:rPr>
          <w:rFonts w:hint="eastAsia" w:ascii="宋体" w:hAnsi="宋体" w:cs="宋体"/>
          <w:color w:val="auto"/>
          <w:highlight w:val="none"/>
          <w:u w:val="single"/>
          <w:lang w:val="en-US" w:eastAsia="zh-CN"/>
        </w:rPr>
        <w:t>按专用条款第15.2.3（18）条承担违约责任。</w:t>
      </w:r>
    </w:p>
    <w:p w14:paraId="6C53D73E">
      <w:pPr>
        <w:widowControl/>
        <w:adjustRightInd w:val="0"/>
        <w:snapToGrid w:val="0"/>
        <w:spacing w:after="163" w:afterLines="50" w:line="360" w:lineRule="auto"/>
        <w:jc w:val="left"/>
        <w:outlineLvl w:val="1"/>
        <w:rPr>
          <w:rFonts w:ascii="宋体" w:hAnsi="宋体" w:cs="宋体"/>
          <w:color w:val="auto"/>
          <w:kern w:val="0"/>
          <w:highlight w:val="none"/>
        </w:rPr>
      </w:pPr>
      <w:bookmarkStart w:id="24" w:name="_Toc20171713"/>
      <w:bookmarkEnd w:id="24"/>
      <w:bookmarkStart w:id="25" w:name="_Toc84930698"/>
      <w:bookmarkStart w:id="26" w:name="_Toc179885234"/>
      <w:bookmarkStart w:id="27" w:name="_Toc8024"/>
      <w:bookmarkStart w:id="28" w:name="_Toc24355"/>
      <w:r>
        <w:rPr>
          <w:rFonts w:hint="eastAsia" w:ascii="宋体" w:hAnsi="宋体" w:cs="宋体"/>
          <w:color w:val="auto"/>
          <w:kern w:val="0"/>
          <w:szCs w:val="21"/>
          <w:highlight w:val="none"/>
          <w:lang w:bidi="ar"/>
        </w:rPr>
        <w:t>四、签约合同价与合同价格形式</w:t>
      </w:r>
      <w:bookmarkEnd w:id="25"/>
      <w:bookmarkEnd w:id="26"/>
      <w:bookmarkEnd w:id="27"/>
      <w:bookmarkEnd w:id="28"/>
    </w:p>
    <w:p w14:paraId="2BC03FFB">
      <w:pPr>
        <w:widowControl/>
        <w:wordWrap w:val="0"/>
        <w:topLinePunct/>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 签约合同价（含税）为：</w:t>
      </w:r>
    </w:p>
    <w:p w14:paraId="2226CBD5">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 xml:space="preserve">人民币（大写) </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元）。</w:t>
      </w:r>
    </w:p>
    <w:p w14:paraId="73BCDA38">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 xml:space="preserve">具体构成详见价格清单。其中： </w:t>
      </w:r>
    </w:p>
    <w:p w14:paraId="6F3ECE72">
      <w:pPr>
        <w:widowControl/>
        <w:adjustRightInd w:val="0"/>
        <w:snapToGrid w:val="0"/>
        <w:spacing w:after="163" w:afterLines="50" w:line="360" w:lineRule="auto"/>
        <w:ind w:firstLine="420" w:firstLineChars="200"/>
        <w:rPr>
          <w:rFonts w:ascii="宋体" w:hAnsi="宋体" w:cs="宋体"/>
          <w:color w:val="auto"/>
          <w:kern w:val="0"/>
          <w:szCs w:val="21"/>
          <w:highlight w:val="none"/>
          <w:lang w:bidi="ar"/>
        </w:rPr>
      </w:pPr>
      <w:r>
        <w:rPr>
          <w:rFonts w:ascii="宋体" w:hAnsi="宋体" w:cs="宋体"/>
          <w:color w:val="auto"/>
          <w:kern w:val="0"/>
          <w:szCs w:val="21"/>
          <w:highlight w:val="none"/>
          <w:lang w:bidi="ar"/>
        </w:rPr>
        <w:t xml:space="preserve">1. </w:t>
      </w:r>
      <w:r>
        <w:rPr>
          <w:rFonts w:hint="eastAsia" w:ascii="宋体" w:hAnsi="宋体" w:cs="宋体"/>
          <w:color w:val="auto"/>
          <w:kern w:val="0"/>
          <w:szCs w:val="21"/>
          <w:highlight w:val="none"/>
          <w:lang w:bidi="ar"/>
        </w:rPr>
        <w:t>签约合同价（含税）为：</w:t>
      </w:r>
    </w:p>
    <w:p w14:paraId="0FEA422F">
      <w:pPr>
        <w:widowControl/>
        <w:adjustRightInd w:val="0"/>
        <w:snapToGrid w:val="0"/>
        <w:spacing w:after="163"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人民币（大写</w:t>
      </w:r>
      <w:r>
        <w:rPr>
          <w:rFonts w:ascii="宋体" w:hAnsi="宋体" w:cs="宋体"/>
          <w:color w:val="auto"/>
          <w:kern w:val="0"/>
          <w:szCs w:val="21"/>
          <w:highlight w:val="none"/>
          <w:lang w:bidi="ar"/>
        </w:rPr>
        <w:t>)（¥元）。</w:t>
      </w:r>
    </w:p>
    <w:p w14:paraId="735D3BE6">
      <w:pPr>
        <w:widowControl/>
        <w:adjustRightInd w:val="0"/>
        <w:snapToGrid w:val="0"/>
        <w:spacing w:after="163"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签约合同价（不含税）为：</w:t>
      </w:r>
    </w:p>
    <w:p w14:paraId="3EB49966">
      <w:pPr>
        <w:widowControl/>
        <w:adjustRightInd w:val="0"/>
        <w:snapToGrid w:val="0"/>
        <w:spacing w:after="163"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人民币（大写</w:t>
      </w:r>
      <w:r>
        <w:rPr>
          <w:rFonts w:ascii="宋体" w:hAnsi="宋体" w:cs="宋体"/>
          <w:color w:val="auto"/>
          <w:kern w:val="0"/>
          <w:szCs w:val="21"/>
          <w:highlight w:val="none"/>
          <w:lang w:bidi="ar"/>
        </w:rPr>
        <w:t xml:space="preserve">)（¥ </w:t>
      </w:r>
      <w:r>
        <w:rPr>
          <w:rFonts w:hint="eastAsia" w:ascii="宋体" w:hAnsi="宋体" w:cs="宋体"/>
          <w:color w:val="auto"/>
          <w:kern w:val="0"/>
          <w:szCs w:val="21"/>
          <w:highlight w:val="none"/>
          <w:lang w:bidi="ar"/>
        </w:rPr>
        <w:t>元）。</w:t>
      </w:r>
    </w:p>
    <w:p w14:paraId="1360DA7F">
      <w:pPr>
        <w:widowControl/>
        <w:adjustRightInd w:val="0"/>
        <w:snapToGrid w:val="0"/>
        <w:spacing w:after="163"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具体构成详见价格清单。其中：</w:t>
      </w:r>
      <w:r>
        <w:rPr>
          <w:rFonts w:ascii="宋体" w:hAnsi="宋体" w:cs="宋体"/>
          <w:color w:val="auto"/>
          <w:kern w:val="0"/>
          <w:szCs w:val="21"/>
          <w:highlight w:val="none"/>
          <w:lang w:bidi="ar"/>
        </w:rPr>
        <w:t xml:space="preserve"> </w:t>
      </w:r>
    </w:p>
    <w:p w14:paraId="01762069">
      <w:pPr>
        <w:widowControl/>
        <w:adjustRightInd w:val="0"/>
        <w:snapToGrid w:val="0"/>
        <w:spacing w:after="163"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 xml:space="preserve">1） </w:t>
      </w:r>
      <w:r>
        <w:rPr>
          <w:rFonts w:hint="eastAsia" w:ascii="宋体" w:hAnsi="宋体" w:cs="宋体"/>
          <w:color w:val="auto"/>
          <w:kern w:val="0"/>
          <w:szCs w:val="21"/>
          <w:highlight w:val="none"/>
          <w:lang w:bidi="ar"/>
        </w:rPr>
        <w:t>设计费（含税）：</w:t>
      </w:r>
    </w:p>
    <w:p w14:paraId="52EFABF9">
      <w:pPr>
        <w:widowControl/>
        <w:adjustRightInd w:val="0"/>
        <w:snapToGrid w:val="0"/>
        <w:spacing w:after="163"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人民币（大写</w:t>
      </w:r>
      <w:r>
        <w:rPr>
          <w:rFonts w:ascii="宋体" w:hAnsi="宋体" w:cs="宋体"/>
          <w:color w:val="auto"/>
          <w:kern w:val="0"/>
          <w:szCs w:val="21"/>
          <w:highlight w:val="none"/>
          <w:lang w:bidi="ar"/>
        </w:rPr>
        <w:t xml:space="preserve">) 整（¥元）；适用税率：6%，税金为人民币（大写)（¥元）； </w:t>
      </w:r>
    </w:p>
    <w:p w14:paraId="5452AD3B">
      <w:pPr>
        <w:widowControl/>
        <w:adjustRightInd w:val="0"/>
        <w:snapToGrid w:val="0"/>
        <w:spacing w:after="163"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 xml:space="preserve">2） </w:t>
      </w:r>
      <w:r>
        <w:rPr>
          <w:rFonts w:hint="eastAsia" w:ascii="宋体" w:hAnsi="宋体" w:cs="宋体"/>
          <w:color w:val="auto"/>
          <w:kern w:val="0"/>
          <w:szCs w:val="21"/>
          <w:highlight w:val="none"/>
          <w:lang w:bidi="ar"/>
        </w:rPr>
        <w:t>建筑安装工程费（含税）：</w:t>
      </w:r>
    </w:p>
    <w:p w14:paraId="20333980">
      <w:pPr>
        <w:widowControl/>
        <w:adjustRightInd w:val="0"/>
        <w:snapToGrid w:val="0"/>
        <w:spacing w:after="163"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人民币（大写</w:t>
      </w:r>
      <w:r>
        <w:rPr>
          <w:rFonts w:ascii="宋体" w:hAnsi="宋体" w:cs="宋体"/>
          <w:color w:val="auto"/>
          <w:kern w:val="0"/>
          <w:szCs w:val="21"/>
          <w:highlight w:val="none"/>
          <w:lang w:bidi="ar"/>
        </w:rPr>
        <w:t xml:space="preserve">)（¥ </w:t>
      </w:r>
      <w:r>
        <w:rPr>
          <w:rFonts w:hint="eastAsia" w:ascii="宋体" w:hAnsi="宋体" w:cs="宋体"/>
          <w:color w:val="auto"/>
          <w:kern w:val="0"/>
          <w:szCs w:val="21"/>
          <w:highlight w:val="none"/>
          <w:lang w:bidi="ar"/>
        </w:rPr>
        <w:t>元）；适用税率：适用税率</w:t>
      </w:r>
      <w:r>
        <w:rPr>
          <w:rFonts w:ascii="宋体" w:hAnsi="宋体" w:cs="宋体"/>
          <w:color w:val="auto"/>
          <w:kern w:val="0"/>
          <w:szCs w:val="21"/>
          <w:highlight w:val="none"/>
          <w:lang w:bidi="ar"/>
        </w:rPr>
        <w:t>9%</w:t>
      </w:r>
    </w:p>
    <w:p w14:paraId="7AEA5405">
      <w:pPr>
        <w:widowControl/>
        <w:adjustRightInd w:val="0"/>
        <w:snapToGrid w:val="0"/>
        <w:spacing w:after="163"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其中：</w:t>
      </w:r>
      <w:r>
        <w:rPr>
          <w:rFonts w:ascii="宋体" w:hAnsi="宋体" w:cs="宋体"/>
          <w:color w:val="auto"/>
          <w:kern w:val="0"/>
          <w:szCs w:val="21"/>
          <w:highlight w:val="none"/>
          <w:lang w:bidi="ar"/>
        </w:rPr>
        <w:t>a. 暂估价（含税，税率暂按9%，具体以实际业务事项适用税率为准</w:t>
      </w:r>
      <w:r>
        <w:rPr>
          <w:rFonts w:hint="eastAsia" w:ascii="宋体" w:hAnsi="宋体" w:cs="宋体"/>
          <w:color w:val="auto"/>
          <w:kern w:val="0"/>
          <w:szCs w:val="21"/>
          <w:highlight w:val="none"/>
          <w:lang w:bidi="ar"/>
        </w:rPr>
        <w:t>）：</w:t>
      </w:r>
    </w:p>
    <w:p w14:paraId="6680EF98">
      <w:pPr>
        <w:widowControl/>
        <w:adjustRightInd w:val="0"/>
        <w:snapToGrid w:val="0"/>
        <w:spacing w:after="163"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人民币（大写</w:t>
      </w:r>
      <w:r>
        <w:rPr>
          <w:rFonts w:ascii="宋体" w:hAnsi="宋体" w:cs="宋体"/>
          <w:color w:val="auto"/>
          <w:kern w:val="0"/>
          <w:szCs w:val="21"/>
          <w:highlight w:val="none"/>
          <w:lang w:bidi="ar"/>
        </w:rPr>
        <w:t>)整（¥元）。</w:t>
      </w:r>
    </w:p>
    <w:p w14:paraId="6BD3E8F1">
      <w:pPr>
        <w:widowControl/>
        <w:adjustRightInd w:val="0"/>
        <w:snapToGrid w:val="0"/>
        <w:spacing w:after="163" w:afterLines="50" w:line="360" w:lineRule="auto"/>
        <w:ind w:firstLine="1050" w:firstLineChars="500"/>
        <w:rPr>
          <w:rFonts w:ascii="宋体" w:hAnsi="宋体" w:cs="宋体"/>
          <w:color w:val="auto"/>
          <w:kern w:val="0"/>
          <w:szCs w:val="21"/>
          <w:highlight w:val="none"/>
          <w:lang w:bidi="ar"/>
        </w:rPr>
      </w:pPr>
      <w:r>
        <w:rPr>
          <w:rFonts w:ascii="宋体" w:hAnsi="宋体" w:cs="宋体"/>
          <w:color w:val="auto"/>
          <w:kern w:val="0"/>
          <w:szCs w:val="21"/>
          <w:highlight w:val="none"/>
          <w:lang w:bidi="ar"/>
        </w:rPr>
        <w:t>b.</w:t>
      </w:r>
      <w:r>
        <w:rPr>
          <w:rFonts w:hint="eastAsia" w:ascii="宋体" w:hAnsi="宋体" w:cs="宋体"/>
          <w:color w:val="auto"/>
          <w:kern w:val="0"/>
          <w:szCs w:val="21"/>
          <w:highlight w:val="none"/>
          <w:lang w:bidi="ar"/>
        </w:rPr>
        <w:t>暂列金额（含税，税率暂按</w:t>
      </w:r>
      <w:r>
        <w:rPr>
          <w:rFonts w:ascii="宋体" w:hAnsi="宋体" w:cs="宋体"/>
          <w:color w:val="auto"/>
          <w:kern w:val="0"/>
          <w:szCs w:val="21"/>
          <w:highlight w:val="none"/>
          <w:lang w:bidi="ar"/>
        </w:rPr>
        <w:t>9%，具体以实际业务事项适用税率为准</w:t>
      </w:r>
      <w:r>
        <w:rPr>
          <w:rFonts w:hint="eastAsia" w:ascii="宋体" w:hAnsi="宋体" w:cs="宋体"/>
          <w:color w:val="auto"/>
          <w:kern w:val="0"/>
          <w:szCs w:val="21"/>
          <w:highlight w:val="none"/>
          <w:lang w:bidi="ar"/>
        </w:rPr>
        <w:t>）：</w:t>
      </w:r>
    </w:p>
    <w:p w14:paraId="1650A026">
      <w:pPr>
        <w:widowControl/>
        <w:adjustRightInd w:val="0"/>
        <w:snapToGrid w:val="0"/>
        <w:spacing w:after="163"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人民币（大写</w:t>
      </w:r>
      <w:r>
        <w:rPr>
          <w:rFonts w:ascii="宋体" w:hAnsi="宋体" w:cs="宋体"/>
          <w:color w:val="auto"/>
          <w:kern w:val="0"/>
          <w:szCs w:val="21"/>
          <w:highlight w:val="none"/>
          <w:lang w:bidi="ar"/>
        </w:rPr>
        <w:t>)整（¥元）。</w:t>
      </w:r>
    </w:p>
    <w:p w14:paraId="10D2F979">
      <w:pPr>
        <w:widowControl/>
        <w:wordWrap w:val="0"/>
        <w:topLinePunct/>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 合同价格形式：</w:t>
      </w:r>
    </w:p>
    <w:p w14:paraId="66D56155">
      <w:pPr>
        <w:widowControl/>
        <w:kinsoku w:val="0"/>
        <w:adjustRightInd w:val="0"/>
        <w:snapToGrid w:val="0"/>
        <w:spacing w:after="163" w:afterLines="50" w:line="360" w:lineRule="auto"/>
        <w:ind w:left="263" w:leftChars="125" w:firstLine="210" w:firstLineChars="100"/>
        <w:jc w:val="left"/>
        <w:rPr>
          <w:rFonts w:ascii="宋体" w:hAnsi="宋体" w:cs="宋体"/>
          <w:color w:val="auto"/>
          <w:kern w:val="0"/>
          <w:szCs w:val="21"/>
          <w:highlight w:val="none"/>
          <w:lang w:bidi="ar"/>
        </w:rPr>
      </w:pPr>
      <w:r>
        <w:rPr>
          <w:rFonts w:hint="eastAsia"/>
          <w:color w:val="auto"/>
          <w:szCs w:val="21"/>
          <w:highlight w:val="none"/>
        </w:rPr>
        <w:t>2.1合同价格形式为可调总价合同</w:t>
      </w:r>
      <w:r>
        <w:rPr>
          <w:rFonts w:hint="eastAsia" w:ascii="宋体" w:hAnsi="宋体" w:cs="宋体"/>
          <w:color w:val="auto"/>
          <w:kern w:val="0"/>
          <w:szCs w:val="21"/>
          <w:highlight w:val="none"/>
          <w:u w:val="none"/>
          <w:lang w:bidi="ar"/>
        </w:rPr>
        <w:t>。</w:t>
      </w:r>
      <w:r>
        <w:rPr>
          <w:rFonts w:hint="eastAsia" w:ascii="宋体" w:hAnsi="宋体" w:cs="宋体"/>
          <w:color w:val="auto"/>
          <w:kern w:val="0"/>
          <w:szCs w:val="21"/>
          <w:highlight w:val="none"/>
          <w:u w:val="single"/>
          <w:lang w:bidi="ar"/>
        </w:rPr>
        <w:t xml:space="preserve">当税率根据国家要求发生变化时，合同不含税价不予调整，涉及税率变化，按国家相关规定执行 </w:t>
      </w:r>
      <w:r>
        <w:rPr>
          <w:rFonts w:hint="eastAsia" w:ascii="宋体" w:hAnsi="宋体" w:cs="宋体"/>
          <w:color w:val="auto"/>
          <w:kern w:val="0"/>
          <w:szCs w:val="21"/>
          <w:highlight w:val="none"/>
          <w:lang w:bidi="ar"/>
        </w:rPr>
        <w:t>。</w:t>
      </w:r>
    </w:p>
    <w:p w14:paraId="1111D230">
      <w:pPr>
        <w:adjustRightInd w:val="0"/>
        <w:snapToGrid w:val="0"/>
        <w:spacing w:line="360" w:lineRule="auto"/>
        <w:ind w:firstLine="420"/>
        <w:rPr>
          <w:color w:val="auto"/>
          <w:szCs w:val="21"/>
          <w:highlight w:val="none"/>
        </w:rPr>
      </w:pPr>
      <w:r>
        <w:rPr>
          <w:rFonts w:hint="eastAsia"/>
          <w:color w:val="auto"/>
          <w:szCs w:val="21"/>
          <w:highlight w:val="none"/>
        </w:rPr>
        <w:t>2.1.1其中设计费的不含税价固定包干，结算时不予调整。</w:t>
      </w:r>
    </w:p>
    <w:p w14:paraId="37485C0D">
      <w:pPr>
        <w:spacing w:line="360" w:lineRule="auto"/>
        <w:ind w:firstLine="420" w:firstLineChars="200"/>
        <w:rPr>
          <w:rFonts w:hint="eastAsia"/>
          <w:color w:val="auto"/>
          <w:szCs w:val="21"/>
          <w:highlight w:val="none"/>
        </w:rPr>
      </w:pPr>
      <w:r>
        <w:rPr>
          <w:rFonts w:hint="eastAsia"/>
          <w:color w:val="auto"/>
          <w:szCs w:val="21"/>
          <w:highlight w:val="none"/>
        </w:rPr>
        <w:t>2.1.2合同已明确的承包范围（含相应风险包干范围）的最终结算价（包含设计费、建筑安装工程费、暂列金额）不得超过中标价（不包括暂估价</w:t>
      </w:r>
      <w:r>
        <w:rPr>
          <w:rFonts w:hint="eastAsia"/>
          <w:color w:val="auto"/>
          <w:szCs w:val="21"/>
          <w:highlight w:val="none"/>
          <w:lang w:val="en-US" w:eastAsia="zh-CN"/>
        </w:rPr>
        <w:t>及总承包服务费</w:t>
      </w:r>
      <w:r>
        <w:rPr>
          <w:rFonts w:hint="eastAsia"/>
          <w:color w:val="auto"/>
          <w:szCs w:val="21"/>
          <w:highlight w:val="none"/>
        </w:rPr>
        <w:t>）。合同不含税价不予调整，涉及税率变化，按国家相关规定执行。涉及合同增减变动，双方需签订补充协议。</w:t>
      </w:r>
    </w:p>
    <w:p w14:paraId="63C0022D">
      <w:pPr>
        <w:spacing w:line="360" w:lineRule="auto"/>
        <w:ind w:firstLine="420" w:firstLineChars="200"/>
        <w:rPr>
          <w:rFonts w:hint="eastAsia"/>
          <w:color w:val="auto"/>
          <w:szCs w:val="21"/>
          <w:highlight w:val="none"/>
        </w:rPr>
      </w:pPr>
      <w:r>
        <w:rPr>
          <w:rFonts w:hint="eastAsia"/>
          <w:color w:val="auto"/>
          <w:szCs w:val="21"/>
          <w:highlight w:val="none"/>
          <w:lang w:val="en-US" w:eastAsia="zh-CN"/>
        </w:rPr>
        <w:t>2.1.3</w:t>
      </w:r>
      <w:r>
        <w:rPr>
          <w:rFonts w:hint="eastAsia"/>
          <w:color w:val="auto"/>
          <w:szCs w:val="21"/>
          <w:highlight w:val="none"/>
        </w:rPr>
        <w:t>发包人施工图确认内容</w:t>
      </w:r>
      <w:r>
        <w:rPr>
          <w:rFonts w:hint="eastAsia"/>
          <w:color w:val="auto"/>
          <w:szCs w:val="21"/>
          <w:highlight w:val="none"/>
          <w:lang w:val="en-US" w:eastAsia="zh-CN"/>
        </w:rPr>
        <w:t>包括</w:t>
      </w:r>
      <w:r>
        <w:rPr>
          <w:rFonts w:hint="eastAsia"/>
          <w:color w:val="auto"/>
          <w:szCs w:val="21"/>
          <w:highlight w:val="none"/>
        </w:rPr>
        <w:t>：</w:t>
      </w:r>
    </w:p>
    <w:p w14:paraId="491FEDB0">
      <w:pPr>
        <w:spacing w:line="360" w:lineRule="auto"/>
        <w:ind w:firstLine="420" w:firstLineChars="200"/>
        <w:rPr>
          <w:rFonts w:hint="eastAsia" w:eastAsia="宋体"/>
          <w:color w:val="auto"/>
          <w:szCs w:val="21"/>
          <w:highlight w:val="none"/>
          <w:lang w:eastAsia="zh-CN"/>
        </w:rPr>
      </w:pPr>
      <w:r>
        <w:rPr>
          <w:rFonts w:hint="eastAsia"/>
          <w:color w:val="auto"/>
          <w:szCs w:val="21"/>
          <w:highlight w:val="none"/>
        </w:rPr>
        <w:t>（1）发包人</w:t>
      </w:r>
      <w:r>
        <w:rPr>
          <w:rFonts w:hint="eastAsia"/>
          <w:color w:val="auto"/>
          <w:szCs w:val="21"/>
          <w:highlight w:val="none"/>
          <w:lang w:val="en-US" w:eastAsia="zh-CN"/>
        </w:rPr>
        <w:t>要求（</w:t>
      </w:r>
      <w:r>
        <w:rPr>
          <w:rFonts w:hint="eastAsia"/>
          <w:color w:val="auto"/>
          <w:szCs w:val="21"/>
          <w:highlight w:val="none"/>
        </w:rPr>
        <w:t>含虽未明确表述，但可根据常规、常识进行推论的内容</w:t>
      </w:r>
      <w:r>
        <w:rPr>
          <w:rFonts w:hint="eastAsia"/>
          <w:color w:val="auto"/>
          <w:szCs w:val="21"/>
          <w:highlight w:val="none"/>
          <w:lang w:eastAsia="zh-CN"/>
        </w:rPr>
        <w:t>）</w:t>
      </w:r>
      <w:r>
        <w:rPr>
          <w:rFonts w:hint="eastAsia"/>
          <w:color w:val="auto"/>
          <w:szCs w:val="21"/>
          <w:highlight w:val="none"/>
        </w:rPr>
        <w:t>在施工图中全部得到响应；</w:t>
      </w:r>
    </w:p>
    <w:p w14:paraId="3C9655F6">
      <w:pPr>
        <w:spacing w:line="360" w:lineRule="auto"/>
        <w:ind w:firstLine="420" w:firstLineChars="200"/>
        <w:rPr>
          <w:rFonts w:hint="eastAsia" w:eastAsia="宋体"/>
          <w:color w:val="auto"/>
          <w:szCs w:val="21"/>
          <w:highlight w:val="none"/>
          <w:lang w:eastAsia="zh-CN"/>
        </w:rPr>
      </w:pPr>
      <w:r>
        <w:rPr>
          <w:rFonts w:hint="eastAsia"/>
          <w:color w:val="auto"/>
          <w:szCs w:val="21"/>
          <w:highlight w:val="none"/>
        </w:rPr>
        <w:t>（2）施工图过程中承包人</w:t>
      </w:r>
      <w:r>
        <w:rPr>
          <w:rFonts w:hint="eastAsia"/>
          <w:color w:val="auto"/>
          <w:szCs w:val="21"/>
          <w:highlight w:val="none"/>
          <w:lang w:val="en-US" w:eastAsia="zh-CN"/>
        </w:rPr>
        <w:t>复核</w:t>
      </w:r>
      <w:r>
        <w:rPr>
          <w:rFonts w:hint="eastAsia"/>
          <w:color w:val="auto"/>
          <w:szCs w:val="21"/>
          <w:highlight w:val="none"/>
        </w:rPr>
        <w:t>发包人要求发现错误的，</w:t>
      </w:r>
      <w:r>
        <w:rPr>
          <w:rFonts w:hint="eastAsia"/>
          <w:color w:val="auto"/>
          <w:szCs w:val="21"/>
          <w:highlight w:val="none"/>
          <w:lang w:val="en-US" w:eastAsia="zh-CN"/>
        </w:rPr>
        <w:t>经</w:t>
      </w:r>
      <w:r>
        <w:rPr>
          <w:rFonts w:hint="eastAsia"/>
          <w:color w:val="auto"/>
          <w:szCs w:val="21"/>
          <w:highlight w:val="none"/>
        </w:rPr>
        <w:t>发包人</w:t>
      </w:r>
      <w:r>
        <w:rPr>
          <w:rFonts w:hint="eastAsia"/>
          <w:color w:val="auto"/>
          <w:szCs w:val="21"/>
          <w:highlight w:val="none"/>
          <w:lang w:val="en-US" w:eastAsia="zh-CN"/>
        </w:rPr>
        <w:t>认可后</w:t>
      </w:r>
      <w:r>
        <w:rPr>
          <w:rFonts w:hint="eastAsia"/>
          <w:color w:val="auto"/>
          <w:szCs w:val="21"/>
          <w:highlight w:val="none"/>
        </w:rPr>
        <w:t>作相应修改</w:t>
      </w:r>
      <w:r>
        <w:rPr>
          <w:rFonts w:hint="eastAsia"/>
          <w:color w:val="auto"/>
          <w:szCs w:val="21"/>
          <w:highlight w:val="none"/>
          <w:lang w:eastAsia="zh-CN"/>
        </w:rPr>
        <w:t>，</w:t>
      </w:r>
      <w:r>
        <w:rPr>
          <w:rFonts w:hint="eastAsia"/>
          <w:color w:val="auto"/>
          <w:szCs w:val="21"/>
          <w:highlight w:val="none"/>
        </w:rPr>
        <w:t>在承包风险包干范围外结算差额部分</w:t>
      </w:r>
      <w:r>
        <w:rPr>
          <w:rFonts w:hint="eastAsia"/>
          <w:color w:val="auto"/>
          <w:szCs w:val="21"/>
          <w:highlight w:val="none"/>
          <w:lang w:eastAsia="zh-CN"/>
        </w:rPr>
        <w:t>。</w:t>
      </w:r>
    </w:p>
    <w:p w14:paraId="029A950B">
      <w:pPr>
        <w:spacing w:line="360" w:lineRule="auto"/>
        <w:ind w:firstLine="420" w:firstLineChars="200"/>
        <w:rPr>
          <w:rFonts w:hint="eastAsia" w:eastAsia="宋体"/>
          <w:color w:val="auto"/>
          <w:szCs w:val="21"/>
          <w:highlight w:val="none"/>
          <w:lang w:eastAsia="zh-CN"/>
        </w:rPr>
      </w:pPr>
      <w:r>
        <w:rPr>
          <w:rFonts w:hint="eastAsia"/>
          <w:color w:val="auto"/>
          <w:szCs w:val="21"/>
          <w:highlight w:val="none"/>
        </w:rPr>
        <w:t>（3）施工图过程中，承包人提高了原招标文件标准</w:t>
      </w:r>
      <w:r>
        <w:rPr>
          <w:rFonts w:hint="eastAsia"/>
          <w:color w:val="auto"/>
          <w:szCs w:val="21"/>
          <w:highlight w:val="none"/>
          <w:lang w:val="en-US" w:eastAsia="zh-CN"/>
        </w:rPr>
        <w:t>或发包人新增要求</w:t>
      </w:r>
      <w:r>
        <w:rPr>
          <w:rFonts w:hint="eastAsia"/>
          <w:color w:val="auto"/>
          <w:szCs w:val="21"/>
          <w:highlight w:val="none"/>
        </w:rPr>
        <w:t>，经过发包人确认</w:t>
      </w:r>
      <w:r>
        <w:rPr>
          <w:rFonts w:hint="eastAsia"/>
          <w:color w:val="auto"/>
          <w:szCs w:val="21"/>
          <w:highlight w:val="none"/>
          <w:lang w:val="en-US" w:eastAsia="zh-CN"/>
        </w:rPr>
        <w:t>后，</w:t>
      </w:r>
      <w:r>
        <w:rPr>
          <w:rFonts w:hint="eastAsia"/>
          <w:color w:val="auto"/>
          <w:szCs w:val="21"/>
          <w:highlight w:val="none"/>
        </w:rPr>
        <w:t>在承包风险包干范围外结算差额部分</w:t>
      </w:r>
      <w:r>
        <w:rPr>
          <w:rFonts w:hint="eastAsia"/>
          <w:color w:val="auto"/>
          <w:szCs w:val="21"/>
          <w:highlight w:val="none"/>
          <w:lang w:eastAsia="zh-CN"/>
        </w:rPr>
        <w:t>。</w:t>
      </w:r>
    </w:p>
    <w:p w14:paraId="4D03B0AD">
      <w:pPr>
        <w:spacing w:line="360" w:lineRule="auto"/>
        <w:ind w:firstLine="420" w:firstLineChars="200"/>
        <w:rPr>
          <w:rFonts w:hint="eastAsia"/>
          <w:color w:val="auto"/>
          <w:szCs w:val="21"/>
          <w:highlight w:val="none"/>
        </w:rPr>
      </w:pPr>
      <w:r>
        <w:rPr>
          <w:rFonts w:hint="eastAsia"/>
          <w:color w:val="auto"/>
          <w:szCs w:val="21"/>
          <w:highlight w:val="none"/>
        </w:rPr>
        <w:t>（4）在上述（2）（3）确认的前提下，其余未提及部分，发包人确认图纸（发包人对于施工图的确认，并不减轻或免除承包人的合同责任），承包人应在</w:t>
      </w:r>
      <w:r>
        <w:rPr>
          <w:rFonts w:hint="eastAsia"/>
          <w:color w:val="auto"/>
          <w:szCs w:val="21"/>
          <w:highlight w:val="none"/>
          <w:lang w:val="en-US" w:eastAsia="zh-CN"/>
        </w:rPr>
        <w:t>中标合同价内</w:t>
      </w:r>
      <w:r>
        <w:rPr>
          <w:rFonts w:hint="eastAsia"/>
          <w:color w:val="auto"/>
          <w:szCs w:val="21"/>
          <w:highlight w:val="none"/>
        </w:rPr>
        <w:t>完成施工图设计和预算编制，经过</w:t>
      </w:r>
      <w:r>
        <w:rPr>
          <w:rFonts w:hint="eastAsia"/>
          <w:color w:val="auto"/>
          <w:szCs w:val="21"/>
          <w:highlight w:val="none"/>
          <w:lang w:val="en-US" w:eastAsia="zh-CN"/>
        </w:rPr>
        <w:t>发包人委托的</w:t>
      </w:r>
      <w:r>
        <w:rPr>
          <w:rFonts w:hint="eastAsia"/>
          <w:color w:val="auto"/>
          <w:szCs w:val="21"/>
          <w:highlight w:val="none"/>
        </w:rPr>
        <w:t>造价咨询单位审核且不超承包风险包干范围内的合同价，后再开始大面积施工。</w:t>
      </w:r>
    </w:p>
    <w:p w14:paraId="00DF5F05">
      <w:pPr>
        <w:spacing w:line="360" w:lineRule="auto"/>
        <w:ind w:firstLine="420" w:firstLineChars="200"/>
        <w:rPr>
          <w:rFonts w:hint="eastAsia"/>
          <w:color w:val="auto"/>
          <w:szCs w:val="21"/>
          <w:highlight w:val="none"/>
        </w:rPr>
      </w:pPr>
      <w:r>
        <w:rPr>
          <w:rFonts w:hint="eastAsia"/>
          <w:color w:val="auto"/>
          <w:szCs w:val="21"/>
          <w:highlight w:val="none"/>
        </w:rPr>
        <w:t>（5）上述（2）、（3）条在施工图确认过程中同步以施工图</w:t>
      </w:r>
      <w:r>
        <w:rPr>
          <w:rFonts w:hint="eastAsia"/>
          <w:color w:val="auto"/>
          <w:szCs w:val="21"/>
          <w:highlight w:val="none"/>
          <w:lang w:val="en-US" w:eastAsia="zh-CN"/>
        </w:rPr>
        <w:t>内部</w:t>
      </w:r>
      <w:r>
        <w:rPr>
          <w:rFonts w:hint="eastAsia"/>
          <w:color w:val="auto"/>
          <w:szCs w:val="21"/>
          <w:highlight w:val="none"/>
        </w:rPr>
        <w:t>审查意见的方式进行确认，</w:t>
      </w:r>
      <w:r>
        <w:rPr>
          <w:rFonts w:hint="eastAsia"/>
          <w:color w:val="auto"/>
          <w:szCs w:val="21"/>
          <w:highlight w:val="none"/>
          <w:lang w:val="en-US" w:eastAsia="zh-CN"/>
        </w:rPr>
        <w:t>发包人委托的</w:t>
      </w:r>
      <w:r>
        <w:rPr>
          <w:rFonts w:hint="eastAsia"/>
          <w:color w:val="auto"/>
          <w:szCs w:val="21"/>
          <w:highlight w:val="none"/>
        </w:rPr>
        <w:t>造价咨询单位以此作为施工图阶段变更结算依据。</w:t>
      </w:r>
    </w:p>
    <w:p w14:paraId="7F726095">
      <w:pPr>
        <w:spacing w:line="360" w:lineRule="auto"/>
        <w:ind w:firstLine="420" w:firstLineChars="200"/>
        <w:rPr>
          <w:color w:val="auto"/>
          <w:szCs w:val="21"/>
          <w:highlight w:val="none"/>
        </w:rPr>
      </w:pPr>
      <w:r>
        <w:rPr>
          <w:rFonts w:hint="eastAsia"/>
          <w:color w:val="auto"/>
          <w:szCs w:val="21"/>
          <w:highlight w:val="none"/>
        </w:rPr>
        <w:t>2.2 风险包干范围内的合同价格调整</w:t>
      </w:r>
    </w:p>
    <w:p w14:paraId="75E2EDAA">
      <w:pPr>
        <w:spacing w:line="360" w:lineRule="auto"/>
        <w:ind w:firstLine="420" w:firstLineChars="200"/>
        <w:rPr>
          <w:rFonts w:hint="eastAsia" w:eastAsia="宋体"/>
          <w:color w:val="auto"/>
          <w:szCs w:val="21"/>
          <w:highlight w:val="none"/>
          <w:lang w:val="en-US" w:eastAsia="zh-CN"/>
        </w:rPr>
      </w:pPr>
      <w:r>
        <w:rPr>
          <w:rFonts w:hint="eastAsia"/>
          <w:color w:val="auto"/>
          <w:szCs w:val="21"/>
          <w:highlight w:val="none"/>
        </w:rPr>
        <w:t>2.2.1承包人中标后要根据发包人最终确认的施工图纸按照中标单价重新核算承包范围内的施工图预算（不含专业工程暂估价）并报发包人委托的造价咨询单位审</w:t>
      </w:r>
      <w:r>
        <w:rPr>
          <w:rFonts w:hint="eastAsia"/>
          <w:color w:val="auto"/>
          <w:szCs w:val="21"/>
          <w:highlight w:val="none"/>
        </w:rPr>
        <w:t>核，施工图审核阶段措施费暂按中标金额计入，在工程结算时单价措施费根据实际发生情况按实结算，总价措施费包干记取</w:t>
      </w:r>
      <w:r>
        <w:rPr>
          <w:rFonts w:hint="eastAsia"/>
          <w:color w:val="auto"/>
          <w:szCs w:val="21"/>
          <w:highlight w:val="none"/>
          <w:lang w:eastAsia="zh-CN"/>
        </w:rPr>
        <w:t>。</w:t>
      </w:r>
    </w:p>
    <w:p w14:paraId="41307F63">
      <w:pPr>
        <w:spacing w:line="360" w:lineRule="auto"/>
        <w:ind w:firstLine="420" w:firstLineChars="200"/>
        <w:rPr>
          <w:color w:val="auto"/>
          <w:szCs w:val="21"/>
          <w:highlight w:val="none"/>
        </w:rPr>
      </w:pPr>
      <w:r>
        <w:rPr>
          <w:rFonts w:hint="eastAsia"/>
          <w:color w:val="auto"/>
          <w:szCs w:val="21"/>
          <w:highlight w:val="none"/>
        </w:rPr>
        <w:t>2.2.2新增加的单价（包括且不限于招标清单中工程量清单缺漏项、施工图中增加的工程量清单），未包含在投标报价中的单价调整原则同合同</w:t>
      </w:r>
      <w:r>
        <w:rPr>
          <w:rFonts w:hint="eastAsia"/>
          <w:color w:val="auto"/>
          <w:highlight w:val="none"/>
        </w:rPr>
        <w:t>专用合同条件【</w:t>
      </w:r>
      <w:r>
        <w:rPr>
          <w:color w:val="auto"/>
          <w:highlight w:val="none"/>
        </w:rPr>
        <w:t xml:space="preserve">13.3.3.1 </w:t>
      </w:r>
      <w:r>
        <w:rPr>
          <w:rFonts w:hint="eastAsia"/>
          <w:color w:val="auto"/>
          <w:highlight w:val="none"/>
        </w:rPr>
        <w:t>变更估价原则】</w:t>
      </w:r>
      <w:r>
        <w:rPr>
          <w:rFonts w:hint="eastAsia"/>
          <w:color w:val="auto"/>
          <w:szCs w:val="21"/>
          <w:highlight w:val="none"/>
        </w:rPr>
        <w:t>第</w:t>
      </w:r>
      <w:r>
        <w:rPr>
          <w:color w:val="auto"/>
          <w:szCs w:val="21"/>
          <w:highlight w:val="none"/>
        </w:rPr>
        <w:t>5）条执行。</w:t>
      </w:r>
    </w:p>
    <w:p w14:paraId="38E4CE4F">
      <w:pPr>
        <w:spacing w:line="360" w:lineRule="auto"/>
        <w:ind w:firstLine="420" w:firstLineChars="200"/>
        <w:rPr>
          <w:color w:val="auto"/>
          <w:szCs w:val="21"/>
          <w:highlight w:val="none"/>
        </w:rPr>
      </w:pPr>
      <w:r>
        <w:rPr>
          <w:color w:val="auto"/>
          <w:szCs w:val="21"/>
          <w:highlight w:val="none"/>
        </w:rPr>
        <w:t>2.2.3如造价咨询单位审核后的预算，高于投标报价，风险范围内的合同价格不做调整。</w:t>
      </w:r>
    </w:p>
    <w:p w14:paraId="366FEB8F">
      <w:pPr>
        <w:spacing w:line="360" w:lineRule="auto"/>
        <w:ind w:firstLine="420" w:firstLineChars="200"/>
        <w:rPr>
          <w:color w:val="auto"/>
          <w:sz w:val="32"/>
          <w:szCs w:val="21"/>
          <w:highlight w:val="none"/>
        </w:rPr>
      </w:pPr>
      <w:r>
        <w:rPr>
          <w:color w:val="auto"/>
          <w:szCs w:val="21"/>
          <w:highlight w:val="none"/>
        </w:rPr>
        <w:t>2.2.4如造价咨询单位审核后的预算，低于于投标报价，风险范围内的合同价格为按实结算价格。</w:t>
      </w:r>
    </w:p>
    <w:p w14:paraId="04635D64">
      <w:pPr>
        <w:kinsoku w:val="0"/>
        <w:adjustRightInd w:val="0"/>
        <w:snapToGrid w:val="0"/>
        <w:spacing w:line="360" w:lineRule="auto"/>
        <w:ind w:firstLine="472" w:firstLineChars="225"/>
        <w:rPr>
          <w:color w:val="auto"/>
          <w:szCs w:val="21"/>
          <w:highlight w:val="none"/>
        </w:rPr>
      </w:pPr>
      <w:r>
        <w:rPr>
          <w:color w:val="auto"/>
          <w:szCs w:val="21"/>
          <w:highlight w:val="none"/>
        </w:rPr>
        <w:t>2.3风险</w:t>
      </w:r>
      <w:r>
        <w:rPr>
          <w:rFonts w:hint="eastAsia"/>
          <w:color w:val="auto"/>
          <w:szCs w:val="21"/>
          <w:highlight w:val="none"/>
        </w:rPr>
        <w:t>包干</w:t>
      </w:r>
      <w:r>
        <w:rPr>
          <w:color w:val="auto"/>
          <w:szCs w:val="21"/>
          <w:highlight w:val="none"/>
        </w:rPr>
        <w:t>范围外的内容</w:t>
      </w:r>
    </w:p>
    <w:p w14:paraId="27510D55">
      <w:pPr>
        <w:kinsoku w:val="0"/>
        <w:adjustRightInd w:val="0"/>
        <w:snapToGrid w:val="0"/>
        <w:spacing w:line="360" w:lineRule="auto"/>
        <w:ind w:firstLine="472" w:firstLineChars="225"/>
        <w:rPr>
          <w:color w:val="auto"/>
          <w:szCs w:val="21"/>
          <w:highlight w:val="none"/>
        </w:rPr>
      </w:pPr>
      <w:r>
        <w:rPr>
          <w:rFonts w:hint="eastAsia"/>
          <w:color w:val="auto"/>
          <w:szCs w:val="21"/>
          <w:highlight w:val="none"/>
        </w:rPr>
        <w:t>因下述允许调整合同价款增加的工程造价超过中标价的部分，另行协商后签订补充协议。</w:t>
      </w:r>
    </w:p>
    <w:p w14:paraId="6B665BD8">
      <w:pPr>
        <w:adjustRightInd w:val="0"/>
        <w:snapToGrid w:val="0"/>
        <w:spacing w:line="360" w:lineRule="auto"/>
        <w:ind w:firstLine="420" w:firstLineChars="200"/>
        <w:rPr>
          <w:color w:val="auto"/>
          <w:highlight w:val="none"/>
        </w:rPr>
      </w:pPr>
      <w:r>
        <w:rPr>
          <w:color w:val="auto"/>
          <w:highlight w:val="none"/>
        </w:rPr>
        <w:t>2.3.1主要工程材料、人工价格与投标截止期基期价相比，波动幅度超过±5%约定幅度的部分；</w:t>
      </w:r>
    </w:p>
    <w:p w14:paraId="79FCD5F7">
      <w:pPr>
        <w:adjustRightInd w:val="0"/>
        <w:snapToGrid w:val="0"/>
        <w:spacing w:line="360" w:lineRule="auto"/>
        <w:ind w:firstLine="420" w:firstLineChars="200"/>
        <w:rPr>
          <w:color w:val="auto"/>
          <w:highlight w:val="none"/>
        </w:rPr>
      </w:pPr>
      <w:r>
        <w:rPr>
          <w:color w:val="auto"/>
          <w:highlight w:val="none"/>
        </w:rPr>
        <w:t xml:space="preserve">2.3.2因国家法律法规政策变化引起的合同价款的变化； </w:t>
      </w:r>
    </w:p>
    <w:p w14:paraId="7081910D">
      <w:pPr>
        <w:adjustRightInd w:val="0"/>
        <w:snapToGrid w:val="0"/>
        <w:spacing w:line="360" w:lineRule="auto"/>
        <w:ind w:firstLine="420" w:firstLineChars="200"/>
        <w:rPr>
          <w:color w:val="auto"/>
          <w:highlight w:val="none"/>
        </w:rPr>
      </w:pPr>
      <w:r>
        <w:rPr>
          <w:color w:val="auto"/>
          <w:highlight w:val="none"/>
        </w:rPr>
        <w:t xml:space="preserve">2.3.3不可预见的地质条件造成的工程费用和工期的变化； </w:t>
      </w:r>
    </w:p>
    <w:p w14:paraId="36545BEC">
      <w:pPr>
        <w:adjustRightInd w:val="0"/>
        <w:snapToGrid w:val="0"/>
        <w:spacing w:line="360" w:lineRule="auto"/>
        <w:ind w:firstLine="420" w:firstLineChars="200"/>
        <w:rPr>
          <w:color w:val="auto"/>
          <w:highlight w:val="none"/>
        </w:rPr>
      </w:pPr>
      <w:r>
        <w:rPr>
          <w:color w:val="auto"/>
          <w:highlight w:val="none"/>
        </w:rPr>
        <w:t>2.3.4不可抗力造成的工程费用和工期的变化；</w:t>
      </w:r>
    </w:p>
    <w:p w14:paraId="2F97C346">
      <w:pPr>
        <w:adjustRightInd w:val="0"/>
        <w:snapToGrid w:val="0"/>
        <w:spacing w:line="360" w:lineRule="auto"/>
        <w:ind w:firstLine="420" w:firstLineChars="200"/>
        <w:rPr>
          <w:color w:val="auto"/>
          <w:highlight w:val="none"/>
        </w:rPr>
      </w:pPr>
      <w:r>
        <w:rPr>
          <w:color w:val="auto"/>
          <w:highlight w:val="none"/>
        </w:rPr>
        <w:t xml:space="preserve">2.3.5发生专用合同条件【13.3.3.1 </w:t>
      </w:r>
      <w:r>
        <w:rPr>
          <w:rFonts w:hint="eastAsia"/>
          <w:color w:val="auto"/>
          <w:highlight w:val="none"/>
        </w:rPr>
        <w:t>变更估价原则】允许调整合同价款的事项。</w:t>
      </w:r>
    </w:p>
    <w:p w14:paraId="5520DA0B">
      <w:pPr>
        <w:adjustRightInd w:val="0"/>
        <w:snapToGrid w:val="0"/>
        <w:spacing w:line="360" w:lineRule="auto"/>
        <w:ind w:firstLine="420" w:firstLineChars="200"/>
        <w:rPr>
          <w:color w:val="auto"/>
          <w:szCs w:val="21"/>
          <w:highlight w:val="none"/>
        </w:rPr>
      </w:pPr>
      <w:r>
        <w:rPr>
          <w:rFonts w:hint="eastAsia"/>
          <w:color w:val="auto"/>
          <w:szCs w:val="21"/>
          <w:highlight w:val="none"/>
        </w:rPr>
        <w:t>当发生以上情形影响工程造价的，承包人应当在事件发生后【</w:t>
      </w:r>
      <w:r>
        <w:rPr>
          <w:color w:val="auto"/>
          <w:szCs w:val="21"/>
          <w:highlight w:val="none"/>
        </w:rPr>
        <w:t>15】日内向发包人申请办理相应的签证，经项目管理单位及造价单位审核，报发包人审定后，在结算时统一调整合同价款：</w:t>
      </w:r>
    </w:p>
    <w:p w14:paraId="4FA92ADB">
      <w:pPr>
        <w:pStyle w:val="4"/>
        <w:rPr>
          <w:rFonts w:ascii="宋体" w:hAnsi="宋体" w:cs="宋体"/>
          <w:color w:val="auto"/>
          <w:kern w:val="0"/>
          <w:szCs w:val="21"/>
          <w:highlight w:val="none"/>
          <w:lang w:bidi="ar"/>
        </w:rPr>
      </w:pPr>
      <w:r>
        <w:rPr>
          <w:color w:val="auto"/>
          <w:szCs w:val="21"/>
          <w:highlight w:val="none"/>
        </w:rPr>
        <w:t>2.4如涉及合同增减变动，双方需签订补充协议。</w:t>
      </w:r>
    </w:p>
    <w:p w14:paraId="3DD53275">
      <w:pPr>
        <w:rPr>
          <w:color w:val="auto"/>
          <w:highlight w:val="none"/>
        </w:rPr>
      </w:pPr>
    </w:p>
    <w:p w14:paraId="315DBE04">
      <w:pPr>
        <w:widowControl/>
        <w:adjustRightInd w:val="0"/>
        <w:snapToGrid w:val="0"/>
        <w:spacing w:after="163" w:afterLines="50" w:line="360" w:lineRule="auto"/>
        <w:jc w:val="left"/>
        <w:outlineLvl w:val="1"/>
        <w:rPr>
          <w:rFonts w:ascii="宋体" w:hAnsi="宋体" w:cs="宋体"/>
          <w:color w:val="auto"/>
          <w:kern w:val="0"/>
          <w:highlight w:val="none"/>
        </w:rPr>
      </w:pPr>
      <w:bookmarkStart w:id="29" w:name="_Toc11124"/>
      <w:bookmarkStart w:id="30" w:name="_Toc84930699"/>
      <w:bookmarkStart w:id="31" w:name="_Toc179885235"/>
      <w:bookmarkStart w:id="32" w:name="_Toc29030"/>
      <w:r>
        <w:rPr>
          <w:rFonts w:hint="eastAsia" w:ascii="宋体" w:hAnsi="宋体" w:cs="宋体"/>
          <w:color w:val="auto"/>
          <w:kern w:val="0"/>
          <w:szCs w:val="21"/>
          <w:highlight w:val="none"/>
          <w:lang w:bidi="ar"/>
        </w:rPr>
        <w:t>五、工程总承包主要管理人员</w:t>
      </w:r>
      <w:bookmarkEnd w:id="29"/>
      <w:bookmarkEnd w:id="30"/>
      <w:bookmarkEnd w:id="31"/>
      <w:bookmarkEnd w:id="32"/>
    </w:p>
    <w:p w14:paraId="7486FE9D">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工程总承包项目经理：</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w:t>
      </w:r>
    </w:p>
    <w:p w14:paraId="7E2F85D3">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设计负责人：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w:t>
      </w:r>
    </w:p>
    <w:p w14:paraId="461D0480">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szCs w:val="21"/>
          <w:highlight w:val="none"/>
          <w:lang w:bidi="ar"/>
        </w:rPr>
        <w:t>□采购负责人：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w:t>
      </w:r>
    </w:p>
    <w:p w14:paraId="1867F52F">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施工负责人：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w:t>
      </w:r>
    </w:p>
    <w:p w14:paraId="25CF260B">
      <w:pPr>
        <w:widowControl/>
        <w:adjustRightInd w:val="0"/>
        <w:snapToGrid w:val="0"/>
        <w:spacing w:after="163" w:afterLines="50" w:line="360" w:lineRule="auto"/>
        <w:jc w:val="left"/>
        <w:outlineLvl w:val="1"/>
        <w:rPr>
          <w:rFonts w:ascii="宋体" w:hAnsi="宋体" w:cs="宋体"/>
          <w:color w:val="auto"/>
          <w:kern w:val="0"/>
          <w:highlight w:val="none"/>
        </w:rPr>
      </w:pPr>
      <w:bookmarkStart w:id="33" w:name="_Toc20171715"/>
      <w:bookmarkEnd w:id="33"/>
      <w:bookmarkStart w:id="34" w:name="_Toc84930700"/>
      <w:bookmarkStart w:id="35" w:name="_Toc27886"/>
      <w:bookmarkStart w:id="36" w:name="_Toc179885236"/>
      <w:bookmarkStart w:id="37" w:name="_Toc22089"/>
      <w:r>
        <w:rPr>
          <w:rFonts w:hint="eastAsia" w:ascii="宋体" w:hAnsi="宋体" w:cs="宋体"/>
          <w:color w:val="auto"/>
          <w:kern w:val="0"/>
          <w:szCs w:val="21"/>
          <w:highlight w:val="none"/>
          <w:lang w:bidi="ar"/>
        </w:rPr>
        <w:t>六、合同文件构成</w:t>
      </w:r>
      <w:bookmarkEnd w:id="34"/>
      <w:bookmarkEnd w:id="35"/>
      <w:bookmarkEnd w:id="36"/>
      <w:bookmarkEnd w:id="37"/>
    </w:p>
    <w:p w14:paraId="45AFBED3">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 xml:space="preserve">本协议书与下列文件一起构成合同文件： </w:t>
      </w:r>
    </w:p>
    <w:p w14:paraId="348F257C">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（1）中标通知书（如果有）；</w:t>
      </w:r>
    </w:p>
    <w:p w14:paraId="6A30E9B0">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（2）投标函及投标函附录（如果有）；</w:t>
      </w:r>
    </w:p>
    <w:p w14:paraId="0C302893">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（3）专用合同条件及《发包人要求》等附件；</w:t>
      </w:r>
    </w:p>
    <w:p w14:paraId="0671B895">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（4）通用合同条件；</w:t>
      </w:r>
    </w:p>
    <w:p w14:paraId="612CDD31">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 xml:space="preserve">（5）投标文件和（或）承包人建议书； </w:t>
      </w:r>
    </w:p>
    <w:p w14:paraId="3A7E6FFA">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（6）价格清单；</w:t>
      </w:r>
    </w:p>
    <w:p w14:paraId="189227A6">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（7）双方约定的其他合同文件。</w:t>
      </w:r>
    </w:p>
    <w:p w14:paraId="5F92BF47">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上述各项合同文件包括双方就该项合同文件所作出的补充和修改，属于同一类内容的合同文件应以最新签署的为准。专用合同条件及其附件须经合同当事人签名或盖章。</w:t>
      </w:r>
    </w:p>
    <w:p w14:paraId="1FD0235C">
      <w:pPr>
        <w:widowControl/>
        <w:adjustRightInd w:val="0"/>
        <w:snapToGrid w:val="0"/>
        <w:spacing w:after="163" w:afterLines="50" w:line="360" w:lineRule="auto"/>
        <w:jc w:val="left"/>
        <w:outlineLvl w:val="1"/>
        <w:rPr>
          <w:rFonts w:ascii="宋体" w:hAnsi="宋体" w:cs="宋体"/>
          <w:color w:val="auto"/>
          <w:kern w:val="0"/>
          <w:highlight w:val="none"/>
        </w:rPr>
      </w:pPr>
      <w:bookmarkStart w:id="38" w:name="_Toc20171716"/>
      <w:bookmarkEnd w:id="38"/>
      <w:bookmarkStart w:id="39" w:name="_Toc84930701"/>
      <w:bookmarkStart w:id="40" w:name="_Toc32738"/>
      <w:bookmarkStart w:id="41" w:name="_Toc19950"/>
      <w:bookmarkStart w:id="42" w:name="_Toc179885237"/>
      <w:r>
        <w:rPr>
          <w:rFonts w:hint="eastAsia" w:ascii="宋体" w:hAnsi="宋体" w:cs="宋体"/>
          <w:color w:val="auto"/>
          <w:kern w:val="0"/>
          <w:szCs w:val="21"/>
          <w:highlight w:val="none"/>
          <w:lang w:bidi="ar"/>
        </w:rPr>
        <w:t>七、承诺</w:t>
      </w:r>
      <w:bookmarkEnd w:id="39"/>
      <w:bookmarkEnd w:id="40"/>
      <w:bookmarkEnd w:id="41"/>
      <w:bookmarkEnd w:id="42"/>
    </w:p>
    <w:p w14:paraId="094993D5">
      <w:pPr>
        <w:widowControl/>
        <w:wordWrap w:val="0"/>
        <w:topLinePunct/>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 发包人承诺按照法律规定履行项目审批手续、筹集工程建设资金并按照合同约定的期限和方式支付合同价款。</w:t>
      </w:r>
    </w:p>
    <w:p w14:paraId="2300E746">
      <w:pPr>
        <w:widowControl/>
        <w:wordWrap w:val="0"/>
        <w:topLinePunct/>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 承包人承诺按照法律规定及合同约定组织完成工程的设计、采购和施工等工作，确保工程质量和安全，不进行转包及违法分包，并在缺陷责任期及保修期内承担相应的工程维修责任。</w:t>
      </w:r>
    </w:p>
    <w:p w14:paraId="32892F41">
      <w:pPr>
        <w:widowControl/>
        <w:adjustRightInd w:val="0"/>
        <w:snapToGrid w:val="0"/>
        <w:spacing w:after="163" w:afterLines="50" w:line="360" w:lineRule="auto"/>
        <w:jc w:val="left"/>
        <w:outlineLvl w:val="1"/>
        <w:rPr>
          <w:rFonts w:ascii="宋体" w:hAnsi="宋体" w:cs="宋体"/>
          <w:color w:val="auto"/>
          <w:kern w:val="0"/>
          <w:highlight w:val="none"/>
        </w:rPr>
      </w:pPr>
      <w:bookmarkStart w:id="43" w:name="_Toc20171717"/>
      <w:bookmarkEnd w:id="43"/>
      <w:bookmarkStart w:id="44" w:name="_Toc179885238"/>
      <w:bookmarkStart w:id="45" w:name="_Toc14460"/>
      <w:bookmarkStart w:id="46" w:name="_Toc30228"/>
      <w:bookmarkStart w:id="47" w:name="_Toc84930702"/>
      <w:r>
        <w:rPr>
          <w:rFonts w:hint="eastAsia" w:ascii="宋体" w:hAnsi="宋体" w:cs="宋体"/>
          <w:color w:val="auto"/>
          <w:kern w:val="0"/>
          <w:szCs w:val="21"/>
          <w:highlight w:val="none"/>
          <w:lang w:bidi="ar"/>
        </w:rPr>
        <w:t>八、订立时间</w:t>
      </w:r>
      <w:bookmarkEnd w:id="44"/>
      <w:bookmarkEnd w:id="45"/>
      <w:bookmarkEnd w:id="46"/>
      <w:bookmarkEnd w:id="47"/>
    </w:p>
    <w:p w14:paraId="3442C999">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本合同于</w:t>
      </w:r>
      <w:r>
        <w:rPr>
          <w:rFonts w:hint="eastAsia" w:ascii="宋体" w:hAnsi="宋体" w:cs="宋体"/>
          <w:color w:val="auto"/>
          <w:kern w:val="0"/>
          <w:szCs w:val="21"/>
          <w:highlight w:val="none"/>
          <w:u w:val="single"/>
          <w:lang w:bidi="ar"/>
        </w:rPr>
        <w:t xml:space="preserve">  202</w:t>
      </w:r>
      <w:r>
        <w:rPr>
          <w:rFonts w:hint="eastAsia" w:ascii="宋体" w:hAnsi="宋体" w:cs="宋体"/>
          <w:color w:val="auto"/>
          <w:kern w:val="0"/>
          <w:szCs w:val="21"/>
          <w:highlight w:val="none"/>
          <w:u w:val="single"/>
          <w:lang w:val="en-US" w:eastAsia="zh-CN" w:bidi="ar"/>
        </w:rPr>
        <w:t>5</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年</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月</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日订立。</w:t>
      </w:r>
    </w:p>
    <w:p w14:paraId="322EF97C">
      <w:pPr>
        <w:widowControl/>
        <w:adjustRightInd w:val="0"/>
        <w:snapToGrid w:val="0"/>
        <w:spacing w:after="163" w:afterLines="50" w:line="360" w:lineRule="auto"/>
        <w:jc w:val="left"/>
        <w:outlineLvl w:val="1"/>
        <w:rPr>
          <w:rFonts w:ascii="宋体" w:hAnsi="宋体" w:cs="宋体"/>
          <w:color w:val="auto"/>
          <w:kern w:val="0"/>
          <w:highlight w:val="none"/>
        </w:rPr>
      </w:pPr>
      <w:bookmarkStart w:id="48" w:name="_Toc20171718"/>
      <w:bookmarkEnd w:id="48"/>
      <w:bookmarkStart w:id="49" w:name="_Toc4976"/>
      <w:bookmarkStart w:id="50" w:name="_Toc84930703"/>
      <w:bookmarkStart w:id="51" w:name="_Toc2658"/>
      <w:bookmarkStart w:id="52" w:name="_Toc179885239"/>
      <w:r>
        <w:rPr>
          <w:rFonts w:hint="eastAsia" w:ascii="宋体" w:hAnsi="宋体" w:cs="宋体"/>
          <w:color w:val="auto"/>
          <w:kern w:val="0"/>
          <w:szCs w:val="21"/>
          <w:highlight w:val="none"/>
          <w:lang w:bidi="ar"/>
        </w:rPr>
        <w:t>九、订立地点</w:t>
      </w:r>
      <w:bookmarkEnd w:id="49"/>
      <w:bookmarkEnd w:id="50"/>
      <w:bookmarkEnd w:id="51"/>
      <w:bookmarkEnd w:id="52"/>
    </w:p>
    <w:p w14:paraId="0923C760">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本合同在</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订立。</w:t>
      </w:r>
    </w:p>
    <w:p w14:paraId="5EE24559">
      <w:pPr>
        <w:widowControl/>
        <w:adjustRightInd w:val="0"/>
        <w:snapToGrid w:val="0"/>
        <w:spacing w:after="163" w:afterLines="50" w:line="360" w:lineRule="auto"/>
        <w:jc w:val="left"/>
        <w:outlineLvl w:val="1"/>
        <w:rPr>
          <w:rFonts w:ascii="宋体" w:hAnsi="宋体" w:cs="宋体"/>
          <w:color w:val="auto"/>
          <w:kern w:val="0"/>
          <w:highlight w:val="none"/>
        </w:rPr>
      </w:pPr>
      <w:bookmarkStart w:id="53" w:name="_Toc20171719"/>
      <w:bookmarkEnd w:id="53"/>
      <w:bookmarkStart w:id="54" w:name="_Toc7340"/>
      <w:bookmarkStart w:id="55" w:name="_Toc179885240"/>
      <w:bookmarkStart w:id="56" w:name="_Toc84930704"/>
      <w:bookmarkStart w:id="57" w:name="_Toc17789"/>
      <w:r>
        <w:rPr>
          <w:rFonts w:hint="eastAsia" w:ascii="宋体" w:hAnsi="宋体" w:cs="宋体"/>
          <w:color w:val="auto"/>
          <w:kern w:val="0"/>
          <w:szCs w:val="21"/>
          <w:highlight w:val="none"/>
          <w:lang w:bidi="ar"/>
        </w:rPr>
        <w:t>十、合同生效</w:t>
      </w:r>
      <w:bookmarkEnd w:id="54"/>
      <w:bookmarkEnd w:id="55"/>
      <w:bookmarkEnd w:id="56"/>
      <w:bookmarkEnd w:id="57"/>
    </w:p>
    <w:p w14:paraId="51DB95CB">
      <w:pPr>
        <w:widowControl/>
        <w:wordWrap w:val="0"/>
        <w:topLinePunct/>
        <w:adjustRightInd w:val="0"/>
        <w:snapToGrid w:val="0"/>
        <w:spacing w:after="163"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本合同在以下条件全部满足之后生效：</w:t>
      </w:r>
    </w:p>
    <w:p w14:paraId="13A3B496">
      <w:pPr>
        <w:widowControl/>
        <w:wordWrap w:val="0"/>
        <w:topLinePunct/>
        <w:adjustRightInd w:val="0"/>
        <w:snapToGrid w:val="0"/>
        <w:spacing w:after="163"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1.经双方法定代表人或其委托代理人签名并加盖公章或合同专用章；</w:t>
      </w:r>
    </w:p>
    <w:p w14:paraId="1D9906C8">
      <w:pPr>
        <w:widowControl/>
        <w:adjustRightInd w:val="0"/>
        <w:snapToGrid w:val="0"/>
        <w:spacing w:after="163" w:afterLines="50" w:line="360" w:lineRule="auto"/>
        <w:jc w:val="left"/>
        <w:outlineLvl w:val="1"/>
        <w:rPr>
          <w:rFonts w:ascii="宋体" w:hAnsi="宋体" w:cs="宋体"/>
          <w:color w:val="auto"/>
          <w:kern w:val="0"/>
          <w:highlight w:val="none"/>
        </w:rPr>
      </w:pPr>
      <w:bookmarkStart w:id="58" w:name="_Toc20171720"/>
      <w:bookmarkEnd w:id="58"/>
      <w:bookmarkStart w:id="59" w:name="_Toc13067"/>
      <w:bookmarkStart w:id="60" w:name="_Toc22497"/>
      <w:bookmarkStart w:id="61" w:name="_Toc179885241"/>
      <w:bookmarkStart w:id="62" w:name="_Toc84930705"/>
      <w:r>
        <w:rPr>
          <w:rFonts w:hint="eastAsia" w:ascii="宋体" w:hAnsi="宋体" w:cs="宋体"/>
          <w:color w:val="auto"/>
          <w:kern w:val="0"/>
          <w:szCs w:val="21"/>
          <w:highlight w:val="none"/>
          <w:lang w:bidi="ar"/>
        </w:rPr>
        <w:t>十一、合同份数</w:t>
      </w:r>
      <w:bookmarkEnd w:id="59"/>
      <w:bookmarkEnd w:id="60"/>
      <w:bookmarkEnd w:id="61"/>
      <w:bookmarkEnd w:id="62"/>
    </w:p>
    <w:p w14:paraId="340F96B3">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本合同一式</w:t>
      </w:r>
      <w:r>
        <w:rPr>
          <w:rFonts w:hint="eastAsia" w:ascii="宋体" w:hAnsi="宋体" w:cs="宋体"/>
          <w:color w:val="auto"/>
          <w:kern w:val="0"/>
          <w:szCs w:val="21"/>
          <w:highlight w:val="none"/>
          <w:u w:val="single"/>
          <w:lang w:bidi="ar"/>
        </w:rPr>
        <w:t xml:space="preserve"> 拾贰 </w:t>
      </w:r>
      <w:r>
        <w:rPr>
          <w:rFonts w:hint="eastAsia" w:ascii="宋体" w:hAnsi="宋体" w:cs="宋体"/>
          <w:color w:val="auto"/>
          <w:kern w:val="0"/>
          <w:szCs w:val="21"/>
          <w:highlight w:val="none"/>
          <w:lang w:bidi="ar"/>
        </w:rPr>
        <w:t>份，均具有同等法律效力，发包人执</w:t>
      </w:r>
      <w:r>
        <w:rPr>
          <w:rFonts w:hint="eastAsia" w:ascii="宋体" w:hAnsi="宋体" w:cs="宋体"/>
          <w:color w:val="auto"/>
          <w:kern w:val="0"/>
          <w:szCs w:val="21"/>
          <w:highlight w:val="none"/>
          <w:u w:val="single"/>
          <w:lang w:bidi="ar"/>
        </w:rPr>
        <w:t xml:space="preserve"> 肆 </w:t>
      </w:r>
      <w:r>
        <w:rPr>
          <w:rFonts w:hint="eastAsia" w:ascii="宋体" w:hAnsi="宋体" w:cs="宋体"/>
          <w:color w:val="auto"/>
          <w:kern w:val="0"/>
          <w:szCs w:val="21"/>
          <w:highlight w:val="none"/>
          <w:lang w:bidi="ar"/>
        </w:rPr>
        <w:t>份，</w:t>
      </w:r>
      <w:r>
        <w:rPr>
          <w:rFonts w:hint="eastAsia" w:ascii="Calibri" w:hAnsi="Calibri" w:cs="Calibri"/>
          <w:color w:val="auto"/>
          <w:szCs w:val="21"/>
          <w:highlight w:val="none"/>
        </w:rPr>
        <w:t>承包人（</w:t>
      </w:r>
      <w:r>
        <w:rPr>
          <w:rFonts w:hint="eastAsia" w:ascii="Calibri" w:hAnsi="Calibri" w:cs="Calibri"/>
          <w:color w:val="auto"/>
          <w:szCs w:val="21"/>
          <w:highlight w:val="none"/>
          <w:lang w:eastAsia="zh-CN"/>
        </w:rPr>
        <w:t>主办方</w:t>
      </w:r>
      <w:r>
        <w:rPr>
          <w:rFonts w:hint="eastAsia" w:ascii="Calibri" w:hAnsi="Calibri" w:cs="Calibri"/>
          <w:color w:val="auto"/>
          <w:szCs w:val="21"/>
          <w:highlight w:val="none"/>
        </w:rPr>
        <w:t>）、承包人（成员方）各执</w:t>
      </w:r>
      <w:r>
        <w:rPr>
          <w:rFonts w:hint="eastAsia" w:ascii="Calibri" w:hAnsi="Calibri" w:cs="Calibri"/>
          <w:color w:val="auto"/>
          <w:szCs w:val="21"/>
          <w:highlight w:val="none"/>
          <w:u w:val="single"/>
        </w:rPr>
        <w:t>肆</w:t>
      </w:r>
      <w:r>
        <w:rPr>
          <w:rFonts w:hint="eastAsia" w:ascii="Calibri" w:hAnsi="Calibri" w:cs="Calibri"/>
          <w:color w:val="auto"/>
          <w:szCs w:val="21"/>
          <w:highlight w:val="none"/>
        </w:rPr>
        <w:t>份。</w:t>
      </w:r>
    </w:p>
    <w:p w14:paraId="2247D186">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 xml:space="preserve"> </w:t>
      </w:r>
    </w:p>
    <w:p w14:paraId="404EFE9D">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 xml:space="preserve"> </w:t>
      </w:r>
    </w:p>
    <w:tbl>
      <w:tblPr>
        <w:tblStyle w:val="7"/>
        <w:tblW w:w="9072" w:type="dxa"/>
        <w:tblInd w:w="135" w:type="dxa"/>
        <w:tblLayout w:type="fixed"/>
        <w:tblCellMar>
          <w:top w:w="0" w:type="dxa"/>
          <w:left w:w="108" w:type="dxa"/>
          <w:bottom w:w="0" w:type="dxa"/>
          <w:right w:w="108" w:type="dxa"/>
        </w:tblCellMar>
      </w:tblPr>
      <w:tblGrid>
        <w:gridCol w:w="4507"/>
        <w:gridCol w:w="4565"/>
      </w:tblGrid>
      <w:tr w14:paraId="587EF05D">
        <w:tblPrEx>
          <w:tblCellMar>
            <w:top w:w="0" w:type="dxa"/>
            <w:left w:w="108" w:type="dxa"/>
            <w:bottom w:w="0" w:type="dxa"/>
            <w:right w:w="108" w:type="dxa"/>
          </w:tblCellMar>
        </w:tblPrEx>
        <w:tc>
          <w:tcPr>
            <w:tcW w:w="4507" w:type="dxa"/>
            <w:shd w:val="clear" w:color="auto" w:fill="auto"/>
          </w:tcPr>
          <w:p w14:paraId="16A74FD5">
            <w:pPr>
              <w:widowControl/>
              <w:adjustRightInd w:val="0"/>
              <w:snapToGrid w:val="0"/>
              <w:spacing w:after="50" w:line="360" w:lineRule="auto"/>
              <w:jc w:val="left"/>
              <w:rPr>
                <w:rFonts w:ascii="宋体" w:hAnsi="宋体" w:cs="宋体"/>
                <w:color w:val="auto"/>
                <w:kern w:val="0"/>
                <w:highlight w:val="none"/>
              </w:rPr>
            </w:pPr>
            <w:r>
              <w:rPr>
                <w:rFonts w:hint="eastAsia" w:ascii="宋体" w:hAnsi="宋体" w:cs="宋体"/>
                <w:color w:val="auto"/>
                <w:kern w:val="0"/>
                <w:szCs w:val="21"/>
                <w:highlight w:val="none"/>
                <w:lang w:bidi="ar"/>
              </w:rPr>
              <w:t>发包人：（公章）</w:t>
            </w:r>
          </w:p>
          <w:p w14:paraId="058B9DCB">
            <w:pPr>
              <w:widowControl/>
              <w:adjustRightInd w:val="0"/>
              <w:snapToGrid w:val="0"/>
              <w:spacing w:after="50" w:line="360" w:lineRule="auto"/>
              <w:jc w:val="left"/>
              <w:rPr>
                <w:rFonts w:ascii="宋体" w:hAnsi="宋体" w:cs="宋体"/>
                <w:color w:val="auto"/>
                <w:kern w:val="0"/>
                <w:highlight w:val="none"/>
              </w:rPr>
            </w:pPr>
          </w:p>
          <w:p w14:paraId="325B5B5B">
            <w:pPr>
              <w:widowControl/>
              <w:adjustRightInd w:val="0"/>
              <w:snapToGrid w:val="0"/>
              <w:spacing w:after="50" w:line="360" w:lineRule="auto"/>
              <w:jc w:val="left"/>
              <w:rPr>
                <w:rFonts w:ascii="宋体" w:hAnsi="宋体" w:cs="宋体"/>
                <w:color w:val="auto"/>
                <w:kern w:val="0"/>
                <w:highlight w:val="none"/>
              </w:rPr>
            </w:pPr>
          </w:p>
        </w:tc>
        <w:tc>
          <w:tcPr>
            <w:tcW w:w="4565" w:type="dxa"/>
            <w:shd w:val="clear" w:color="auto" w:fill="auto"/>
          </w:tcPr>
          <w:p w14:paraId="4AA66BD6">
            <w:pPr>
              <w:widowControl/>
              <w:adjustRightInd w:val="0"/>
              <w:snapToGrid w:val="0"/>
              <w:spacing w:after="50" w:line="360" w:lineRule="auto"/>
              <w:jc w:val="left"/>
              <w:rPr>
                <w:rFonts w:ascii="宋体" w:hAnsi="宋体" w:cs="宋体"/>
                <w:color w:val="auto"/>
                <w:kern w:val="0"/>
                <w:highlight w:val="none"/>
              </w:rPr>
            </w:pPr>
            <w:r>
              <w:rPr>
                <w:rFonts w:hint="eastAsia" w:ascii="宋体" w:hAnsi="宋体" w:cs="宋体"/>
                <w:color w:val="auto"/>
                <w:kern w:val="0"/>
                <w:szCs w:val="21"/>
                <w:highlight w:val="none"/>
                <w:lang w:bidi="ar"/>
              </w:rPr>
              <w:t>承包人</w:t>
            </w:r>
            <w:r>
              <w:rPr>
                <w:rFonts w:hint="eastAsia" w:ascii="Calibri" w:cs="Calibri"/>
                <w:color w:val="auto"/>
                <w:szCs w:val="21"/>
                <w:highlight w:val="none"/>
              </w:rPr>
              <w:t>（</w:t>
            </w:r>
            <w:r>
              <w:rPr>
                <w:rFonts w:hint="eastAsia" w:ascii="Calibri" w:cs="Calibri"/>
                <w:color w:val="auto"/>
                <w:szCs w:val="21"/>
                <w:highlight w:val="none"/>
                <w:lang w:eastAsia="zh-CN"/>
              </w:rPr>
              <w:t>主办方</w:t>
            </w:r>
            <w:r>
              <w:rPr>
                <w:rFonts w:hint="eastAsia" w:ascii="Calibri" w:cs="Calibri"/>
                <w:color w:val="auto"/>
                <w:szCs w:val="21"/>
                <w:highlight w:val="none"/>
              </w:rPr>
              <w:t>）</w:t>
            </w:r>
            <w:r>
              <w:rPr>
                <w:rFonts w:hint="eastAsia" w:ascii="宋体" w:hAnsi="宋体" w:cs="宋体"/>
                <w:color w:val="auto"/>
                <w:kern w:val="0"/>
                <w:szCs w:val="21"/>
                <w:highlight w:val="none"/>
                <w:lang w:bidi="ar"/>
              </w:rPr>
              <w:t>：（公章）</w:t>
            </w:r>
          </w:p>
          <w:p w14:paraId="2BA045EC">
            <w:pPr>
              <w:widowControl/>
              <w:adjustRightInd w:val="0"/>
              <w:snapToGrid w:val="0"/>
              <w:spacing w:after="50" w:line="360" w:lineRule="auto"/>
              <w:jc w:val="left"/>
              <w:rPr>
                <w:rFonts w:ascii="宋体" w:hAnsi="宋体" w:cs="宋体"/>
                <w:color w:val="auto"/>
                <w:kern w:val="0"/>
                <w:highlight w:val="none"/>
              </w:rPr>
            </w:pPr>
          </w:p>
          <w:p w14:paraId="75DCAFB2">
            <w:pPr>
              <w:widowControl/>
              <w:adjustRightInd w:val="0"/>
              <w:snapToGrid w:val="0"/>
              <w:spacing w:after="50" w:line="360" w:lineRule="auto"/>
              <w:jc w:val="left"/>
              <w:rPr>
                <w:rFonts w:ascii="宋体" w:hAnsi="宋体" w:cs="宋体"/>
                <w:color w:val="auto"/>
                <w:kern w:val="0"/>
                <w:highlight w:val="none"/>
              </w:rPr>
            </w:pPr>
          </w:p>
        </w:tc>
      </w:tr>
      <w:tr w14:paraId="42C2560B">
        <w:tblPrEx>
          <w:tblCellMar>
            <w:top w:w="0" w:type="dxa"/>
            <w:left w:w="108" w:type="dxa"/>
            <w:bottom w:w="0" w:type="dxa"/>
            <w:right w:w="108" w:type="dxa"/>
          </w:tblCellMar>
        </w:tblPrEx>
        <w:tc>
          <w:tcPr>
            <w:tcW w:w="4507" w:type="dxa"/>
            <w:shd w:val="clear" w:color="auto" w:fill="auto"/>
          </w:tcPr>
          <w:p w14:paraId="40C5A33A">
            <w:pPr>
              <w:widowControl/>
              <w:adjustRightInd w:val="0"/>
              <w:snapToGrid w:val="0"/>
              <w:spacing w:after="50" w:line="360" w:lineRule="auto"/>
              <w:jc w:val="left"/>
              <w:rPr>
                <w:rFonts w:ascii="宋体" w:hAnsi="宋体" w:cs="宋体"/>
                <w:color w:val="auto"/>
                <w:kern w:val="0"/>
                <w:highlight w:val="none"/>
              </w:rPr>
            </w:pPr>
            <w:r>
              <w:rPr>
                <w:rFonts w:hint="eastAsia" w:ascii="宋体" w:hAnsi="宋体" w:cs="宋体"/>
                <w:color w:val="auto"/>
                <w:kern w:val="0"/>
                <w:szCs w:val="21"/>
                <w:highlight w:val="none"/>
                <w:lang w:bidi="ar"/>
              </w:rPr>
              <w:t>法定代表人或其委托代理人：</w:t>
            </w:r>
          </w:p>
          <w:p w14:paraId="55EA2E98">
            <w:pPr>
              <w:widowControl/>
              <w:adjustRightInd w:val="0"/>
              <w:snapToGrid w:val="0"/>
              <w:spacing w:after="50" w:line="360" w:lineRule="auto"/>
              <w:jc w:val="left"/>
              <w:rPr>
                <w:rFonts w:ascii="宋体" w:hAnsi="宋体" w:cs="宋体"/>
                <w:color w:val="auto"/>
                <w:kern w:val="0"/>
                <w:highlight w:val="none"/>
              </w:rPr>
            </w:pPr>
            <w:r>
              <w:rPr>
                <w:rFonts w:hint="eastAsia" w:ascii="宋体" w:hAnsi="宋体" w:cs="宋体"/>
                <w:color w:val="auto"/>
                <w:kern w:val="0"/>
                <w:szCs w:val="21"/>
                <w:highlight w:val="none"/>
                <w:lang w:bidi="ar"/>
              </w:rPr>
              <w:t>（签名）</w:t>
            </w:r>
          </w:p>
          <w:p w14:paraId="3FE9991E">
            <w:pPr>
              <w:widowControl/>
              <w:adjustRightInd w:val="0"/>
              <w:snapToGrid w:val="0"/>
              <w:spacing w:after="50" w:line="360" w:lineRule="auto"/>
              <w:jc w:val="left"/>
              <w:rPr>
                <w:rFonts w:ascii="宋体" w:hAnsi="宋体" w:cs="宋体"/>
                <w:color w:val="auto"/>
                <w:kern w:val="0"/>
                <w:highlight w:val="none"/>
              </w:rPr>
            </w:pPr>
          </w:p>
        </w:tc>
        <w:tc>
          <w:tcPr>
            <w:tcW w:w="4565" w:type="dxa"/>
            <w:shd w:val="clear" w:color="auto" w:fill="auto"/>
          </w:tcPr>
          <w:p w14:paraId="54896CB0">
            <w:pPr>
              <w:widowControl/>
              <w:adjustRightInd w:val="0"/>
              <w:snapToGrid w:val="0"/>
              <w:spacing w:after="50" w:line="360" w:lineRule="auto"/>
              <w:jc w:val="left"/>
              <w:rPr>
                <w:rFonts w:ascii="宋体" w:hAnsi="宋体" w:cs="宋体"/>
                <w:color w:val="auto"/>
                <w:kern w:val="0"/>
                <w:highlight w:val="none"/>
              </w:rPr>
            </w:pPr>
            <w:r>
              <w:rPr>
                <w:rFonts w:hint="eastAsia" w:ascii="宋体" w:hAnsi="宋体" w:cs="宋体"/>
                <w:color w:val="auto"/>
                <w:kern w:val="0"/>
                <w:szCs w:val="21"/>
                <w:highlight w:val="none"/>
                <w:lang w:bidi="ar"/>
              </w:rPr>
              <w:t>法定代表人或其委托代理人：</w:t>
            </w:r>
          </w:p>
          <w:p w14:paraId="0096589B">
            <w:pPr>
              <w:widowControl/>
              <w:adjustRightInd w:val="0"/>
              <w:snapToGrid w:val="0"/>
              <w:spacing w:after="50" w:line="360" w:lineRule="auto"/>
              <w:jc w:val="left"/>
              <w:rPr>
                <w:rFonts w:ascii="宋体" w:hAnsi="宋体" w:cs="宋体"/>
                <w:color w:val="auto"/>
                <w:kern w:val="0"/>
                <w:highlight w:val="none"/>
              </w:rPr>
            </w:pPr>
            <w:r>
              <w:rPr>
                <w:rFonts w:hint="eastAsia" w:ascii="宋体" w:hAnsi="宋体" w:cs="宋体"/>
                <w:color w:val="auto"/>
                <w:kern w:val="0"/>
                <w:szCs w:val="21"/>
                <w:highlight w:val="none"/>
                <w:lang w:bidi="ar"/>
              </w:rPr>
              <w:t>（签名）</w:t>
            </w:r>
          </w:p>
          <w:p w14:paraId="248B0453">
            <w:pPr>
              <w:widowControl/>
              <w:adjustRightInd w:val="0"/>
              <w:snapToGrid w:val="0"/>
              <w:spacing w:after="50" w:line="360" w:lineRule="auto"/>
              <w:jc w:val="left"/>
              <w:rPr>
                <w:rFonts w:ascii="宋体" w:hAnsi="宋体" w:cs="宋体"/>
                <w:color w:val="auto"/>
                <w:kern w:val="0"/>
                <w:highlight w:val="none"/>
              </w:rPr>
            </w:pPr>
          </w:p>
        </w:tc>
      </w:tr>
      <w:tr w14:paraId="1C6E67B3">
        <w:tblPrEx>
          <w:tblCellMar>
            <w:top w:w="0" w:type="dxa"/>
            <w:left w:w="108" w:type="dxa"/>
            <w:bottom w:w="0" w:type="dxa"/>
            <w:right w:w="108" w:type="dxa"/>
          </w:tblCellMar>
        </w:tblPrEx>
        <w:tc>
          <w:tcPr>
            <w:tcW w:w="4507" w:type="dxa"/>
            <w:shd w:val="clear" w:color="auto" w:fill="auto"/>
          </w:tcPr>
          <w:p w14:paraId="44688A9F">
            <w:pPr>
              <w:widowControl/>
              <w:adjustRightInd w:val="0"/>
              <w:snapToGrid w:val="0"/>
              <w:spacing w:after="50" w:line="360" w:lineRule="auto"/>
              <w:jc w:val="left"/>
              <w:rPr>
                <w:rFonts w:ascii="宋体" w:hAnsi="宋体" w:cs="宋体"/>
                <w:color w:val="auto"/>
                <w:kern w:val="0"/>
                <w:highlight w:val="none"/>
              </w:rPr>
            </w:pPr>
            <w:r>
              <w:rPr>
                <w:rFonts w:hint="eastAsia" w:ascii="宋体" w:hAnsi="宋体" w:cs="宋体"/>
                <w:color w:val="auto"/>
                <w:kern w:val="0"/>
                <w:szCs w:val="21"/>
                <w:highlight w:val="none"/>
                <w:u w:val="single"/>
                <w:lang w:bidi="ar"/>
              </w:rPr>
              <w:t xml:space="preserve"> </w:t>
            </w:r>
          </w:p>
        </w:tc>
        <w:tc>
          <w:tcPr>
            <w:tcW w:w="4565" w:type="dxa"/>
            <w:shd w:val="clear" w:color="auto" w:fill="auto"/>
          </w:tcPr>
          <w:p w14:paraId="2AE88C4D">
            <w:pPr>
              <w:widowControl/>
              <w:adjustRightInd w:val="0"/>
              <w:snapToGrid w:val="0"/>
              <w:spacing w:line="360" w:lineRule="auto"/>
              <w:rPr>
                <w:rFonts w:cs="Calibri"/>
                <w:color w:val="auto"/>
                <w:szCs w:val="21"/>
                <w:highlight w:val="none"/>
              </w:rPr>
            </w:pPr>
            <w:r>
              <w:rPr>
                <w:rFonts w:hint="eastAsia" w:cs="Calibri"/>
                <w:color w:val="auto"/>
                <w:szCs w:val="21"/>
                <w:highlight w:val="none"/>
              </w:rPr>
              <w:t>承包人</w:t>
            </w:r>
            <w:r>
              <w:rPr>
                <w:rFonts w:hint="eastAsia" w:cs="Calibri"/>
                <w:color w:val="auto"/>
                <w:szCs w:val="21"/>
                <w:highlight w:val="none"/>
              </w:rPr>
              <w:t>（成员方）</w:t>
            </w:r>
            <w:r>
              <w:rPr>
                <w:rFonts w:hint="eastAsia" w:cs="Calibri"/>
                <w:color w:val="auto"/>
                <w:szCs w:val="21"/>
                <w:highlight w:val="none"/>
              </w:rPr>
              <w:t>：（公章）</w:t>
            </w:r>
          </w:p>
          <w:p w14:paraId="3AC5BF20">
            <w:pPr>
              <w:widowControl/>
              <w:adjustRightInd w:val="0"/>
              <w:snapToGrid w:val="0"/>
              <w:spacing w:after="50" w:line="360" w:lineRule="auto"/>
              <w:jc w:val="left"/>
              <w:rPr>
                <w:rFonts w:ascii="宋体" w:hAnsi="宋体" w:cs="宋体"/>
                <w:color w:val="auto"/>
                <w:kern w:val="0"/>
                <w:highlight w:val="none"/>
              </w:rPr>
            </w:pPr>
          </w:p>
        </w:tc>
      </w:tr>
      <w:tr w14:paraId="1051C02A">
        <w:tblPrEx>
          <w:tblCellMar>
            <w:top w:w="0" w:type="dxa"/>
            <w:left w:w="108" w:type="dxa"/>
            <w:bottom w:w="0" w:type="dxa"/>
            <w:right w:w="108" w:type="dxa"/>
          </w:tblCellMar>
        </w:tblPrEx>
        <w:tc>
          <w:tcPr>
            <w:tcW w:w="4507" w:type="dxa"/>
            <w:shd w:val="clear" w:color="auto" w:fill="auto"/>
          </w:tcPr>
          <w:p w14:paraId="580933FA">
            <w:pPr>
              <w:widowControl/>
              <w:adjustRightInd w:val="0"/>
              <w:snapToGrid w:val="0"/>
              <w:spacing w:after="50" w:line="360" w:lineRule="auto"/>
              <w:jc w:val="left"/>
              <w:rPr>
                <w:rFonts w:ascii="宋体" w:hAnsi="宋体" w:cs="宋体"/>
                <w:color w:val="auto"/>
                <w:kern w:val="0"/>
                <w:szCs w:val="21"/>
                <w:highlight w:val="none"/>
                <w:lang w:bidi="ar"/>
              </w:rPr>
            </w:pPr>
          </w:p>
        </w:tc>
        <w:tc>
          <w:tcPr>
            <w:tcW w:w="4565" w:type="dxa"/>
            <w:shd w:val="clear" w:color="auto" w:fill="auto"/>
          </w:tcPr>
          <w:p w14:paraId="0E9EBEF8">
            <w:pPr>
              <w:widowControl/>
              <w:adjustRightInd w:val="0"/>
              <w:snapToGrid w:val="0"/>
              <w:spacing w:line="360" w:lineRule="auto"/>
              <w:rPr>
                <w:rFonts w:cs="Calibri"/>
                <w:color w:val="auto"/>
                <w:szCs w:val="21"/>
                <w:highlight w:val="none"/>
              </w:rPr>
            </w:pPr>
            <w:r>
              <w:rPr>
                <w:rFonts w:hint="eastAsia" w:cs="Calibri"/>
                <w:color w:val="auto"/>
                <w:szCs w:val="21"/>
                <w:highlight w:val="none"/>
              </w:rPr>
              <w:t>法定代表人或其委托代理人：</w:t>
            </w:r>
          </w:p>
          <w:p w14:paraId="2EFD4BD6">
            <w:pPr>
              <w:widowControl/>
              <w:adjustRightInd w:val="0"/>
              <w:snapToGrid w:val="0"/>
              <w:spacing w:line="360" w:lineRule="auto"/>
              <w:rPr>
                <w:rFonts w:cs="Calibri"/>
                <w:color w:val="auto"/>
                <w:szCs w:val="21"/>
                <w:highlight w:val="none"/>
              </w:rPr>
            </w:pPr>
            <w:r>
              <w:rPr>
                <w:rFonts w:hint="eastAsia" w:cs="Calibri"/>
                <w:color w:val="auto"/>
                <w:szCs w:val="21"/>
                <w:highlight w:val="none"/>
              </w:rPr>
              <w:t>（签字）</w:t>
            </w:r>
          </w:p>
        </w:tc>
      </w:tr>
    </w:tbl>
    <w:p w14:paraId="1BCB69BE">
      <w:pPr>
        <w:widowControl/>
        <w:adjustRightInd w:val="0"/>
        <w:snapToGrid w:val="0"/>
        <w:spacing w:after="163" w:afterLines="50" w:line="360" w:lineRule="auto"/>
        <w:ind w:firstLine="420" w:firstLineChars="200"/>
        <w:rPr>
          <w:rFonts w:ascii="宋体" w:hAnsi="宋体" w:cs="宋体"/>
          <w:color w:val="auto"/>
          <w:highlight w:val="none"/>
        </w:rPr>
      </w:pPr>
      <w:r>
        <w:rPr>
          <w:rFonts w:hint="eastAsia" w:ascii="宋体" w:hAnsi="宋体" w:cs="宋体"/>
          <w:color w:val="auto"/>
          <w:kern w:val="0"/>
          <w:szCs w:val="21"/>
          <w:highlight w:val="none"/>
          <w:lang w:bidi="ar"/>
        </w:rPr>
        <w:tab/>
      </w:r>
    </w:p>
    <w:p w14:paraId="0FC7E18B">
      <w:pPr>
        <w:spacing w:line="360" w:lineRule="auto"/>
        <w:rPr>
          <w:rFonts w:ascii="宋体" w:hAnsi="宋体"/>
          <w:b/>
          <w:color w:val="auto"/>
          <w:kern w:val="44"/>
          <w:szCs w:val="21"/>
          <w:highlight w:val="none"/>
          <w:lang w:bidi="ar"/>
        </w:rPr>
        <w:sectPr>
          <w:type w:val="continuous"/>
          <w:pgSz w:w="11906" w:h="16838"/>
          <w:pgMar w:top="1304" w:right="1135" w:bottom="1304" w:left="1304" w:header="720" w:footer="720" w:gutter="0"/>
          <w:cols w:space="720" w:num="1"/>
          <w:docGrid w:type="lines" w:linePitch="326" w:charSpace="0"/>
        </w:sectPr>
      </w:pPr>
    </w:p>
    <w:p w14:paraId="2D20B10D">
      <w:pPr>
        <w:widowControl/>
        <w:adjustRightInd w:val="0"/>
        <w:snapToGrid w:val="0"/>
        <w:spacing w:after="50" w:line="360" w:lineRule="auto"/>
        <w:jc w:val="center"/>
        <w:outlineLvl w:val="0"/>
        <w:rPr>
          <w:rFonts w:ascii="宋体" w:hAnsi="宋体" w:cs="宋体"/>
          <w:b/>
          <w:color w:val="auto"/>
          <w:kern w:val="44"/>
          <w:highlight w:val="none"/>
        </w:rPr>
      </w:pPr>
      <w:bookmarkStart w:id="63" w:name="_Toc20171721"/>
      <w:bookmarkEnd w:id="63"/>
      <w:bookmarkStart w:id="64" w:name="_Toc179885242"/>
      <w:r>
        <w:rPr>
          <w:rFonts w:hint="eastAsia" w:ascii="宋体" w:hAnsi="宋体" w:cs="宋体"/>
          <w:b/>
          <w:color w:val="auto"/>
          <w:kern w:val="44"/>
          <w:szCs w:val="21"/>
          <w:highlight w:val="none"/>
          <w:lang w:bidi="ar"/>
        </w:rPr>
        <w:t>第二部分 通用合同条件</w:t>
      </w:r>
      <w:bookmarkEnd w:id="64"/>
    </w:p>
    <w:p w14:paraId="42B7C172">
      <w:pPr>
        <w:widowControl/>
        <w:adjustRightInd w:val="0"/>
        <w:snapToGrid w:val="0"/>
        <w:spacing w:after="120" w:afterLines="50" w:line="360" w:lineRule="auto"/>
        <w:outlineLvl w:val="1"/>
        <w:rPr>
          <w:rFonts w:ascii="宋体" w:hAnsi="宋体" w:cs="宋体"/>
          <w:color w:val="auto"/>
          <w:kern w:val="0"/>
          <w:highlight w:val="none"/>
        </w:rPr>
      </w:pPr>
      <w:bookmarkStart w:id="65" w:name="_Ref509040831"/>
      <w:bookmarkEnd w:id="65"/>
      <w:bookmarkStart w:id="66" w:name="_Ref509040826"/>
      <w:bookmarkEnd w:id="66"/>
      <w:bookmarkStart w:id="67" w:name="_Ref531952761"/>
      <w:bookmarkEnd w:id="67"/>
      <w:bookmarkStart w:id="68" w:name="_Ref508893699"/>
      <w:bookmarkEnd w:id="68"/>
      <w:bookmarkStart w:id="69" w:name="_Toc20171722"/>
      <w:bookmarkEnd w:id="69"/>
      <w:bookmarkStart w:id="70" w:name="_Ref531952756"/>
      <w:bookmarkStart w:id="71" w:name="_Toc179885243"/>
      <w:r>
        <w:rPr>
          <w:rFonts w:hint="eastAsia" w:ascii="宋体" w:hAnsi="宋体" w:cs="宋体"/>
          <w:color w:val="auto"/>
          <w:kern w:val="0"/>
          <w:szCs w:val="21"/>
          <w:highlight w:val="none"/>
          <w:lang w:bidi="ar"/>
        </w:rPr>
        <w:t xml:space="preserve">第1条 </w:t>
      </w:r>
      <w:bookmarkEnd w:id="70"/>
      <w:r>
        <w:rPr>
          <w:rFonts w:hint="eastAsia" w:ascii="宋体" w:hAnsi="宋体" w:cs="宋体"/>
          <w:color w:val="auto"/>
          <w:kern w:val="0"/>
          <w:szCs w:val="21"/>
          <w:highlight w:val="none"/>
          <w:lang w:bidi="ar"/>
        </w:rPr>
        <w:t xml:space="preserve"> 一般约定</w:t>
      </w:r>
      <w:bookmarkEnd w:id="71"/>
    </w:p>
    <w:p w14:paraId="644B5530">
      <w:pPr>
        <w:widowControl/>
        <w:wordWrap w:val="0"/>
        <w:topLinePunct/>
        <w:adjustRightInd w:val="0"/>
        <w:snapToGrid w:val="0"/>
        <w:spacing w:after="120" w:afterLines="50" w:line="360" w:lineRule="auto"/>
        <w:outlineLvl w:val="2"/>
        <w:rPr>
          <w:rFonts w:ascii="宋体" w:hAnsi="宋体" w:cs="宋体"/>
          <w:color w:val="auto"/>
          <w:highlight w:val="none"/>
        </w:rPr>
      </w:pPr>
      <w:bookmarkStart w:id="72" w:name="_Ref523741471"/>
      <w:bookmarkEnd w:id="72"/>
      <w:bookmarkStart w:id="73" w:name="_Toc20171723"/>
      <w:bookmarkEnd w:id="73"/>
      <w:bookmarkStart w:id="74" w:name="_Ref523741474"/>
      <w:bookmarkStart w:id="75" w:name="_Toc24072"/>
      <w:bookmarkStart w:id="76" w:name="_Toc84930708"/>
      <w:bookmarkStart w:id="77" w:name="_Toc58860158"/>
      <w:bookmarkStart w:id="78" w:name="_Toc179885244"/>
      <w:bookmarkStart w:id="79" w:name="_Toc51766571"/>
      <w:bookmarkStart w:id="80" w:name="_Toc16029"/>
      <w:bookmarkStart w:id="81" w:name="_Toc19685"/>
      <w:r>
        <w:rPr>
          <w:rFonts w:hint="eastAsia" w:ascii="宋体" w:hAnsi="宋体" w:cs="宋体"/>
          <w:color w:val="auto"/>
          <w:szCs w:val="21"/>
          <w:highlight w:val="none"/>
          <w:lang w:bidi="ar"/>
        </w:rPr>
        <w:t>1</w:t>
      </w:r>
      <w:bookmarkEnd w:id="74"/>
      <w:r>
        <w:rPr>
          <w:rFonts w:hint="eastAsia" w:ascii="宋体" w:hAnsi="宋体" w:cs="宋体"/>
          <w:color w:val="auto"/>
          <w:szCs w:val="21"/>
          <w:highlight w:val="none"/>
          <w:lang w:bidi="ar"/>
        </w:rPr>
        <w:t>.1  词语定义和解释</w:t>
      </w:r>
      <w:bookmarkEnd w:id="75"/>
      <w:bookmarkEnd w:id="76"/>
      <w:bookmarkEnd w:id="77"/>
      <w:bookmarkEnd w:id="78"/>
      <w:bookmarkEnd w:id="79"/>
      <w:bookmarkEnd w:id="80"/>
      <w:bookmarkEnd w:id="81"/>
    </w:p>
    <w:p w14:paraId="75190A3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合同协议书、通用合同条件、专用合同条件中的下列词语应具有本款所赋予的含义：</w:t>
      </w:r>
    </w:p>
    <w:p w14:paraId="625CB42F">
      <w:pPr>
        <w:widowControl/>
        <w:adjustRightInd w:val="0"/>
        <w:snapToGrid w:val="0"/>
        <w:spacing w:after="120" w:afterLines="50" w:line="360" w:lineRule="auto"/>
        <w:ind w:firstLine="420" w:firstLineChars="200"/>
        <w:outlineLvl w:val="3"/>
        <w:rPr>
          <w:rFonts w:ascii="宋体" w:hAnsi="宋体" w:cs="宋体"/>
          <w:color w:val="auto"/>
          <w:highlight w:val="none"/>
        </w:rPr>
      </w:pPr>
      <w:bookmarkStart w:id="82" w:name="_Ref4757289"/>
      <w:bookmarkEnd w:id="82"/>
      <w:bookmarkStart w:id="83" w:name="_Ref521288340"/>
      <w:r>
        <w:rPr>
          <w:rFonts w:hint="eastAsia" w:ascii="宋体" w:hAnsi="宋体" w:cs="宋体"/>
          <w:color w:val="auto"/>
          <w:szCs w:val="21"/>
          <w:highlight w:val="none"/>
          <w:lang w:bidi="ar"/>
        </w:rPr>
        <w:t>1</w:t>
      </w:r>
      <w:bookmarkEnd w:id="83"/>
      <w:r>
        <w:rPr>
          <w:rFonts w:hint="eastAsia" w:ascii="宋体" w:hAnsi="宋体" w:cs="宋体"/>
          <w:color w:val="auto"/>
          <w:szCs w:val="21"/>
          <w:highlight w:val="none"/>
          <w:lang w:bidi="ar"/>
        </w:rPr>
        <w:t>.1.1合同</w:t>
      </w:r>
    </w:p>
    <w:p w14:paraId="503B0122">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1.1.1.1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14:paraId="059F2480">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1.1.1.2合同协议书：是指构成合同的由发包人和承包人共同签署的称为“合同协议书”的书面文件。</w:t>
      </w:r>
    </w:p>
    <w:p w14:paraId="05487AF3">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1.1.1.3中标通知书：是指构成合同的由发包人通知承包人中标的书面文件。中标通知书随附的澄清、说明、补正事项纪要等，是中标通知书的组成部分。</w:t>
      </w:r>
    </w:p>
    <w:p w14:paraId="0053DAE6">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1.1.1.4投标函：是指构成合同的由承包人填写并签署的用于投标的称为“投标函”的文件。</w:t>
      </w:r>
    </w:p>
    <w:p w14:paraId="73D35036">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1.1.1.5投标函附录：是指构成合同的附在投标函后的称为“投标函附录”的文件。</w:t>
      </w:r>
    </w:p>
    <w:p w14:paraId="102FF590">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1.1.1.6《发包人要求》：指构成合同文件组成部分的名为《发包人要求》的文件，其中列明工程的目的、范围、设计与其他技术标准和要求，以及合同双方当事人约定对其所作的修改或补充。</w:t>
      </w:r>
    </w:p>
    <w:p w14:paraId="5AB405A2">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1.1.1.7项目清单：是指发包人提供的载明工程总承包项目勘察费（如果有）、设计费、建筑安装工程费、设备购置费、暂估价、暂列金额和双方约定的其他费用的名称和相应数量等内容的项目明细。</w:t>
      </w:r>
    </w:p>
    <w:p w14:paraId="0B92DF38">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1.1.1.8价格清单：指构成合同文件组成部分的由承包人按发包人提供的项目清单规定的格式和要求填写并标明价格的清单。</w:t>
      </w:r>
    </w:p>
    <w:p w14:paraId="1F1532EE">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1.1.1.9承包人建议书：指构成合同文件组成部分的名为承包人建议书的文件。承包人建议书由承包人随投标函一起提交。</w:t>
      </w:r>
    </w:p>
    <w:p w14:paraId="18C66F30">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bookmarkStart w:id="84" w:name="_Ref4415300"/>
      <w:bookmarkEnd w:id="84"/>
      <w:r>
        <w:rPr>
          <w:rFonts w:hint="eastAsia" w:ascii="宋体" w:hAnsi="宋体" w:cs="宋体"/>
          <w:color w:val="auto"/>
          <w:szCs w:val="21"/>
          <w:highlight w:val="none"/>
          <w:lang w:bidi="ar"/>
        </w:rPr>
        <w:t>1.1.1.10其他合同文件：是指经合同当事人约定的与工程实施有关的具有合同约束力的文件或书面协议。合同当事人可以在专用合同条件中进行约定。</w:t>
      </w:r>
    </w:p>
    <w:p w14:paraId="7B45FF41">
      <w:pPr>
        <w:widowControl/>
        <w:adjustRightInd w:val="0"/>
        <w:snapToGrid w:val="0"/>
        <w:spacing w:after="120" w:afterLines="50" w:line="360" w:lineRule="auto"/>
        <w:ind w:firstLine="420" w:firstLineChars="200"/>
        <w:outlineLvl w:val="3"/>
        <w:rPr>
          <w:rFonts w:ascii="宋体" w:hAnsi="宋体" w:cs="宋体"/>
          <w:color w:val="auto"/>
          <w:highlight w:val="none"/>
        </w:rPr>
      </w:pPr>
      <w:bookmarkStart w:id="85" w:name="_Ref4757418"/>
      <w:bookmarkEnd w:id="85"/>
      <w:r>
        <w:rPr>
          <w:rFonts w:hint="eastAsia" w:ascii="宋体" w:hAnsi="宋体" w:cs="宋体"/>
          <w:color w:val="auto"/>
          <w:szCs w:val="21"/>
          <w:highlight w:val="none"/>
          <w:lang w:bidi="ar"/>
        </w:rPr>
        <w:t>1.1.2合同当事人及其他相关方</w:t>
      </w:r>
    </w:p>
    <w:p w14:paraId="0D8B3B6F">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1.1.2.1合同当事人：是指发包人和（或）承包人。</w:t>
      </w:r>
    </w:p>
    <w:p w14:paraId="7227A319">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1.1.2.2发包人：是指与承包人订立合同协议书的当事人及取得该当事人资格的合法继受人。本合同中“因发包人原因”里的“发包人”包括发包人及所有发包人人员。</w:t>
      </w:r>
    </w:p>
    <w:p w14:paraId="39CD834E">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1.1.2.3承包人：是指与发包人订立合同协议书的当事人及取得该当事人资格的合法继受人。</w:t>
      </w:r>
    </w:p>
    <w:p w14:paraId="286582B3">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1.1.2.4联合体：是指经发包人同意由两个或两个以上法人或者其他组织组成的，作为承包人的临时机构。</w:t>
      </w:r>
    </w:p>
    <w:p w14:paraId="08500FE8">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bookmarkStart w:id="86" w:name="_Ref4420046"/>
      <w:bookmarkEnd w:id="86"/>
      <w:r>
        <w:rPr>
          <w:rFonts w:hint="eastAsia" w:ascii="宋体" w:hAnsi="宋体" w:cs="宋体"/>
          <w:color w:val="auto"/>
          <w:szCs w:val="21"/>
          <w:highlight w:val="none"/>
          <w:lang w:bidi="ar"/>
        </w:rPr>
        <w:t>1.1.2.5发包人代表：是指由发包人任命并派驻工作现场，在发包人授权范围内行使发包人权利和履行发包人义务的人。</w:t>
      </w:r>
    </w:p>
    <w:p w14:paraId="5193FF84">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bookmarkStart w:id="87" w:name="_Ref4756982"/>
      <w:bookmarkEnd w:id="87"/>
      <w:r>
        <w:rPr>
          <w:rFonts w:hint="eastAsia" w:ascii="宋体" w:hAnsi="宋体" w:cs="宋体"/>
          <w:color w:val="auto"/>
          <w:szCs w:val="21"/>
          <w:highlight w:val="none"/>
          <w:lang w:bidi="ar"/>
        </w:rPr>
        <w:t>1.1.2.6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p>
    <w:p w14:paraId="7BD00D92">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1.1.2.7工程总承包项目经理：是指由承包人任命的，在承包人授权范围内负责合同履行的管理，且按照法律规定具有相应资格的项目负责人。</w:t>
      </w:r>
    </w:p>
    <w:p w14:paraId="46837729">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1.1.2.8设计负责人：是指承包人指定负责组织、指导、协调设计工作并具有相应资格的人员。</w:t>
      </w:r>
    </w:p>
    <w:p w14:paraId="696D4F4A">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1.1.2.9采购负责人：是指承包人指定负责组织、指导、协调采购工作的人员。</w:t>
      </w:r>
    </w:p>
    <w:p w14:paraId="4A7CF14D">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1.1.2.10施工负责人：是指承包人指定负责组织、指导、协调施工工作并具有相应资格的人员。</w:t>
      </w:r>
    </w:p>
    <w:p w14:paraId="2F1097C3">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1.1.2.11分包人：是指按照法律规定和合同约定，分包部分工程或工作，并与承包人订立分包合同的具有相应资质或资格的法人或其他组织。</w:t>
      </w:r>
    </w:p>
    <w:p w14:paraId="0D138788">
      <w:pPr>
        <w:widowControl/>
        <w:adjustRightInd w:val="0"/>
        <w:snapToGrid w:val="0"/>
        <w:spacing w:after="120" w:afterLines="50" w:line="360" w:lineRule="auto"/>
        <w:ind w:firstLine="420" w:firstLineChars="200"/>
        <w:outlineLvl w:val="3"/>
        <w:rPr>
          <w:rFonts w:ascii="宋体" w:hAnsi="宋体" w:cs="宋体"/>
          <w:color w:val="auto"/>
          <w:highlight w:val="none"/>
        </w:rPr>
      </w:pPr>
      <w:bookmarkStart w:id="88" w:name="_Ref4758319"/>
      <w:bookmarkEnd w:id="88"/>
      <w:r>
        <w:rPr>
          <w:rFonts w:hint="eastAsia" w:ascii="宋体" w:hAnsi="宋体" w:cs="宋体"/>
          <w:color w:val="auto"/>
          <w:szCs w:val="21"/>
          <w:highlight w:val="none"/>
          <w:lang w:bidi="ar"/>
        </w:rPr>
        <w:t>1.1.3工程和设备</w:t>
      </w:r>
    </w:p>
    <w:p w14:paraId="42C7DD47">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1.1.3.1工程：是指与合同协议书中工程承包范围对应的永久工程和（或）临时工程。</w:t>
      </w:r>
    </w:p>
    <w:p w14:paraId="61383796">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1.1.3.2工程实施：是指进行工程的设计、采购、施工和竣工以及对工程任何缺陷的修复。</w:t>
      </w:r>
    </w:p>
    <w:p w14:paraId="488B2E25">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1.1.3.3永久工程：是指按合同约定建造并移交给发包人的工程，包括工程设备。</w:t>
      </w:r>
    </w:p>
    <w:p w14:paraId="408CFDF8">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1.1.3.4临时工程：是指为完成合同约定的永久工程所修建的各类临时性工程，不包括施工设备。</w:t>
      </w:r>
    </w:p>
    <w:p w14:paraId="3406F10A">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bookmarkStart w:id="89" w:name="_Ref4419825"/>
      <w:bookmarkEnd w:id="89"/>
      <w:r>
        <w:rPr>
          <w:rFonts w:hint="eastAsia" w:ascii="宋体" w:hAnsi="宋体" w:cs="宋体"/>
          <w:color w:val="auto"/>
          <w:szCs w:val="21"/>
          <w:highlight w:val="none"/>
          <w:lang w:bidi="ar"/>
        </w:rPr>
        <w:t>1.1.3.5单位/区段工程：是指在专用合同条件中指明特定范围的，能单独接收并使用的永久工程。</w:t>
      </w:r>
    </w:p>
    <w:p w14:paraId="4B823965">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1.1.3.6工程设备：指构成永久工程的机电设备、仪器装置、运载工具及其他类似的设备和装置，包括其配件及备品、备件、易损易耗件等。</w:t>
      </w:r>
    </w:p>
    <w:p w14:paraId="2544DC2B">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1.1.3.7施工设备：指为完成合同约定的各项工作所需的设备、器具和其他物品，不包括工程设备、临时工程和材料。</w:t>
      </w:r>
    </w:p>
    <w:p w14:paraId="1040378C">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1.1.3.8临时设施：指为完成合同约定的各项工作所服务的临时性生产和生活设施。</w:t>
      </w:r>
    </w:p>
    <w:p w14:paraId="26CB65BD">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bookmarkStart w:id="90" w:name="_Ref4420577"/>
      <w:bookmarkEnd w:id="90"/>
      <w:r>
        <w:rPr>
          <w:rFonts w:hint="eastAsia" w:ascii="宋体" w:hAnsi="宋体" w:cs="宋体"/>
          <w:color w:val="auto"/>
          <w:szCs w:val="21"/>
          <w:highlight w:val="none"/>
          <w:lang w:bidi="ar"/>
        </w:rPr>
        <w:t>1.1.3.9施工现场：是指用于工程施工的场所，以及在专用合同条件中指明作为施工场所组成部分的其他场所，包括永久占地和临时占地。</w:t>
      </w:r>
    </w:p>
    <w:p w14:paraId="5C494847">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bookmarkStart w:id="91" w:name="_Ref4420746"/>
      <w:bookmarkEnd w:id="91"/>
      <w:r>
        <w:rPr>
          <w:rFonts w:hint="eastAsia" w:ascii="宋体" w:hAnsi="宋体" w:cs="宋体"/>
          <w:color w:val="auto"/>
          <w:szCs w:val="21"/>
          <w:highlight w:val="none"/>
          <w:lang w:bidi="ar"/>
        </w:rPr>
        <w:t>1.1.3.10永久占地：是指专用合同条件中指明为实施工程需永久占用的土地。</w:t>
      </w:r>
    </w:p>
    <w:p w14:paraId="163FCFFF">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bookmarkStart w:id="92" w:name="_Ref4420821"/>
      <w:bookmarkEnd w:id="92"/>
      <w:r>
        <w:rPr>
          <w:rFonts w:hint="eastAsia" w:ascii="宋体" w:hAnsi="宋体" w:cs="宋体"/>
          <w:color w:val="auto"/>
          <w:szCs w:val="21"/>
          <w:highlight w:val="none"/>
          <w:lang w:bidi="ar"/>
        </w:rPr>
        <w:t>1.1.3.11临时占地：是指专用合同条件中指明为实施工程需临时占用的土地。</w:t>
      </w:r>
    </w:p>
    <w:p w14:paraId="0EF09008">
      <w:pPr>
        <w:widowControl/>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1.1.4日期和期限</w:t>
      </w:r>
    </w:p>
    <w:p w14:paraId="5C873414">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1.1.4.1开始工作通知：指工程师按第8.1.2项[开始工作通知]的约定通知承包人开始工作的函件。</w:t>
      </w:r>
    </w:p>
    <w:p w14:paraId="6BB48A8A">
      <w:pPr>
        <w:widowControl/>
        <w:autoSpaceDE w:val="0"/>
        <w:autoSpaceDN w:val="0"/>
        <w:adjustRightInd w:val="0"/>
        <w:snapToGrid w:val="0"/>
        <w:spacing w:after="120" w:afterLines="50"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1.1.4.2开始工作日期：包括计划开始工作日期和实际开始工作日期。计划开始工作日期是指合同协议书约定的开始工作日期；实际开始工作日期是指工程师按照第8.1款[开始工作]约定发出的符合法律规定的开始工作通知中载明的开始工作日期。</w:t>
      </w:r>
    </w:p>
    <w:p w14:paraId="0B9AB04D">
      <w:pPr>
        <w:widowControl/>
        <w:autoSpaceDE w:val="0"/>
        <w:autoSpaceDN w:val="0"/>
        <w:adjustRightInd w:val="0"/>
        <w:snapToGrid w:val="0"/>
        <w:spacing w:after="120" w:afterLines="50"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1</w:t>
      </w:r>
      <w:r>
        <w:rPr>
          <w:rFonts w:ascii="宋体" w:hAnsi="宋体" w:cs="宋体"/>
          <w:color w:val="auto"/>
          <w:szCs w:val="21"/>
          <w:highlight w:val="none"/>
          <w:lang w:bidi="ar"/>
        </w:rPr>
        <w:t xml:space="preserve">.1.4.3 </w:t>
      </w:r>
      <w:r>
        <w:rPr>
          <w:rFonts w:hint="eastAsia" w:ascii="宋体" w:hAnsi="宋体" w:cs="宋体"/>
          <w:color w:val="auto"/>
          <w:szCs w:val="21"/>
          <w:highlight w:val="none"/>
          <w:lang w:bidi="ar"/>
        </w:rPr>
        <w:t>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14:paraId="7C56E8C2">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1.1.4.</w:t>
      </w:r>
      <w:r>
        <w:rPr>
          <w:rFonts w:ascii="宋体" w:hAnsi="宋体" w:cs="宋体"/>
          <w:color w:val="auto"/>
          <w:szCs w:val="21"/>
          <w:highlight w:val="none"/>
          <w:lang w:bidi="ar"/>
        </w:rPr>
        <w:t>4</w:t>
      </w:r>
      <w:r>
        <w:rPr>
          <w:rFonts w:hint="eastAsia" w:ascii="宋体" w:hAnsi="宋体" w:cs="宋体"/>
          <w:color w:val="auto"/>
          <w:szCs w:val="21"/>
          <w:highlight w:val="none"/>
          <w:lang w:bidi="ar"/>
        </w:rPr>
        <w:t>竣工日期：包括计划竣工日期和实际竣工日期。计划竣工日期是指合同协议书约定的竣工日期；实际竣工日期按照第8.2款[竣工日期]的约定确定。</w:t>
      </w:r>
    </w:p>
    <w:p w14:paraId="253EFB24">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1.1.4.</w:t>
      </w:r>
      <w:r>
        <w:rPr>
          <w:rFonts w:ascii="宋体" w:hAnsi="宋体" w:cs="宋体"/>
          <w:color w:val="auto"/>
          <w:szCs w:val="21"/>
          <w:highlight w:val="none"/>
          <w:lang w:bidi="ar"/>
        </w:rPr>
        <w:t>5</w:t>
      </w:r>
      <w:r>
        <w:rPr>
          <w:rFonts w:hint="eastAsia" w:ascii="宋体" w:hAnsi="宋体" w:cs="宋体"/>
          <w:color w:val="auto"/>
          <w:szCs w:val="21"/>
          <w:highlight w:val="none"/>
          <w:lang w:bidi="ar"/>
        </w:rPr>
        <w:t>工期：是指在合同协议书约定的承包人完成合同工作所需的期限，包括按照合同约定所作的期限变更及按合同约定承包人有权取得的工期延长。</w:t>
      </w:r>
    </w:p>
    <w:p w14:paraId="2EF0C465">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1.1.4.</w:t>
      </w:r>
      <w:r>
        <w:rPr>
          <w:rFonts w:ascii="宋体" w:hAnsi="宋体" w:cs="宋体"/>
          <w:color w:val="auto"/>
          <w:szCs w:val="21"/>
          <w:highlight w:val="none"/>
          <w:lang w:bidi="ar"/>
        </w:rPr>
        <w:t>6</w:t>
      </w:r>
      <w:r>
        <w:rPr>
          <w:rFonts w:hint="eastAsia" w:ascii="宋体" w:hAnsi="宋体" w:cs="宋体"/>
          <w:color w:val="auto"/>
          <w:szCs w:val="21"/>
          <w:highlight w:val="none"/>
          <w:lang w:bidi="ar"/>
        </w:rPr>
        <w:t>缺陷责任期：是指发包人预留工程质量保证金以保证承包人履行第</w:t>
      </w:r>
      <w:r>
        <w:rPr>
          <w:rFonts w:ascii="宋体" w:hAnsi="宋体" w:cs="宋体"/>
          <w:color w:val="auto"/>
          <w:szCs w:val="21"/>
          <w:highlight w:val="none"/>
          <w:lang w:bidi="ar"/>
        </w:rPr>
        <w:t>11.3</w:t>
      </w:r>
      <w:r>
        <w:rPr>
          <w:rFonts w:hint="eastAsia" w:ascii="宋体" w:hAnsi="宋体" w:cs="宋体"/>
          <w:color w:val="auto"/>
          <w:szCs w:val="21"/>
          <w:highlight w:val="none"/>
          <w:lang w:bidi="ar"/>
        </w:rPr>
        <w:t>款[缺陷调查]</w:t>
      </w:r>
      <w:r>
        <w:rPr>
          <w:rFonts w:ascii="宋体" w:hAnsi="宋体" w:cs="宋体"/>
          <w:color w:val="auto"/>
          <w:szCs w:val="21"/>
          <w:highlight w:val="none"/>
          <w:lang w:bidi="ar"/>
        </w:rPr>
        <w:t>下质量缺陷责任的期限</w:t>
      </w:r>
      <w:r>
        <w:rPr>
          <w:rFonts w:hint="eastAsia" w:ascii="宋体" w:hAnsi="宋体" w:cs="宋体"/>
          <w:color w:val="auto"/>
          <w:szCs w:val="21"/>
          <w:highlight w:val="none"/>
          <w:lang w:bidi="ar"/>
        </w:rPr>
        <w:t>。</w:t>
      </w:r>
    </w:p>
    <w:p w14:paraId="3C8F8068">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1.1.4.</w:t>
      </w:r>
      <w:r>
        <w:rPr>
          <w:rFonts w:ascii="宋体" w:hAnsi="宋体" w:cs="宋体"/>
          <w:color w:val="auto"/>
          <w:szCs w:val="21"/>
          <w:highlight w:val="none"/>
          <w:lang w:bidi="ar"/>
        </w:rPr>
        <w:t>7</w:t>
      </w:r>
      <w:r>
        <w:rPr>
          <w:rFonts w:hint="eastAsia" w:ascii="宋体" w:hAnsi="宋体" w:cs="宋体"/>
          <w:color w:val="auto"/>
          <w:szCs w:val="21"/>
          <w:highlight w:val="none"/>
          <w:lang w:bidi="ar"/>
        </w:rPr>
        <w:t>保修期：是指承包人按照合同约定和法律规定对工程质量承担保修责任的期限，该期限自缺陷责任期起算之日起计算。</w:t>
      </w:r>
    </w:p>
    <w:p w14:paraId="172355D1">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1.1.4.</w:t>
      </w:r>
      <w:r>
        <w:rPr>
          <w:rFonts w:ascii="宋体" w:hAnsi="宋体" w:cs="宋体"/>
          <w:color w:val="auto"/>
          <w:szCs w:val="21"/>
          <w:highlight w:val="none"/>
          <w:lang w:bidi="ar"/>
        </w:rPr>
        <w:t>8</w:t>
      </w:r>
      <w:r>
        <w:rPr>
          <w:rFonts w:hint="eastAsia" w:ascii="宋体" w:hAnsi="宋体" w:cs="宋体"/>
          <w:color w:val="auto"/>
          <w:szCs w:val="21"/>
          <w:highlight w:val="none"/>
          <w:lang w:bidi="ar"/>
        </w:rPr>
        <w:t>基准日期：招标发包的工程以投标截止日前28天的日期为基准日期，直接发包的工程以合同订立日前28天的日期为基准日期。</w:t>
      </w:r>
    </w:p>
    <w:p w14:paraId="77DB0FCC">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1.1.4.</w:t>
      </w:r>
      <w:r>
        <w:rPr>
          <w:rFonts w:ascii="宋体" w:hAnsi="宋体" w:cs="宋体"/>
          <w:color w:val="auto"/>
          <w:szCs w:val="21"/>
          <w:highlight w:val="none"/>
          <w:lang w:bidi="ar"/>
        </w:rPr>
        <w:t>9</w:t>
      </w:r>
      <w:r>
        <w:rPr>
          <w:rFonts w:hint="eastAsia" w:ascii="宋体" w:hAnsi="宋体" w:cs="宋体"/>
          <w:color w:val="auto"/>
          <w:szCs w:val="21"/>
          <w:highlight w:val="none"/>
          <w:lang w:bidi="ar"/>
        </w:rPr>
        <w:t>天：除特别指明外，均指日历天。合同中按天计算时间的，开始当天不计入，从次日开始计算。期限最后一天的截止时间为当天24:00。</w:t>
      </w:r>
    </w:p>
    <w:p w14:paraId="28145AC6">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1.1.4.</w:t>
      </w:r>
      <w:r>
        <w:rPr>
          <w:rFonts w:ascii="宋体" w:hAnsi="宋体" w:cs="宋体"/>
          <w:color w:val="auto"/>
          <w:szCs w:val="21"/>
          <w:highlight w:val="none"/>
          <w:lang w:bidi="ar"/>
        </w:rPr>
        <w:t>10</w:t>
      </w:r>
      <w:r>
        <w:rPr>
          <w:rFonts w:hint="eastAsia" w:ascii="宋体" w:hAnsi="宋体" w:cs="宋体"/>
          <w:color w:val="auto"/>
          <w:szCs w:val="21"/>
          <w:highlight w:val="none"/>
          <w:lang w:bidi="ar"/>
        </w:rPr>
        <w:t>竣工试验：是指在工程竣工验收前，根据第9条[竣工试验]要求进行的试验。</w:t>
      </w:r>
    </w:p>
    <w:p w14:paraId="17BBF7DB">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1.1.4.1</w:t>
      </w:r>
      <w:r>
        <w:rPr>
          <w:rFonts w:ascii="宋体" w:hAnsi="宋体" w:cs="宋体"/>
          <w:color w:val="auto"/>
          <w:szCs w:val="21"/>
          <w:highlight w:val="none"/>
          <w:lang w:bidi="ar"/>
        </w:rPr>
        <w:t>1</w:t>
      </w:r>
      <w:r>
        <w:rPr>
          <w:rFonts w:hint="eastAsia" w:ascii="宋体" w:hAnsi="宋体" w:cs="宋体"/>
          <w:color w:val="auto"/>
          <w:szCs w:val="21"/>
          <w:highlight w:val="none"/>
          <w:lang w:bidi="ar"/>
        </w:rPr>
        <w:t>竣工验收：是指承包人完成了合同约定的各项内容后，发包人按合同要求进行的验收。</w:t>
      </w:r>
    </w:p>
    <w:p w14:paraId="1D53C46E">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1.1.4.1</w:t>
      </w:r>
      <w:r>
        <w:rPr>
          <w:rFonts w:ascii="宋体" w:hAnsi="宋体" w:cs="宋体"/>
          <w:color w:val="auto"/>
          <w:szCs w:val="21"/>
          <w:highlight w:val="none"/>
          <w:lang w:bidi="ar"/>
        </w:rPr>
        <w:t>2</w:t>
      </w:r>
      <w:r>
        <w:rPr>
          <w:rFonts w:hint="eastAsia" w:ascii="宋体" w:hAnsi="宋体" w:cs="宋体"/>
          <w:color w:val="auto"/>
          <w:szCs w:val="21"/>
          <w:highlight w:val="none"/>
          <w:lang w:bidi="ar"/>
        </w:rPr>
        <w:t>竣工后试验：是指在工程竣工验收后，根据第12条[竣工后试验]约定进行的试验。</w:t>
      </w:r>
    </w:p>
    <w:p w14:paraId="622C1CE6">
      <w:pPr>
        <w:widowControl/>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1.1.5合同价格和费用</w:t>
      </w:r>
    </w:p>
    <w:p w14:paraId="3EC951D5">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1.1.5.1签约合同价：是指发包人和承包人在合同协议书中确定的总金额，包括暂估价及暂列金额等。</w:t>
      </w:r>
    </w:p>
    <w:p w14:paraId="252F0562">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1.1.5.2合同价格：是指发包人用于支付承包人按照合同约定完成承包范围内全部工作的金额，包括合同履行过程中按合同约定发生的价格变化。</w:t>
      </w:r>
    </w:p>
    <w:p w14:paraId="0C993E82">
      <w:pPr>
        <w:widowControl/>
        <w:autoSpaceDE w:val="0"/>
        <w:autoSpaceDN w:val="0"/>
        <w:adjustRightInd w:val="0"/>
        <w:snapToGrid w:val="0"/>
        <w:spacing w:after="120" w:afterLines="50"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1.1.5.3费用：是指为履行合同所发生的或将要发生的所有合理开支，包括管理费和应分摊的其他费用，但不包括利润。</w:t>
      </w:r>
    </w:p>
    <w:p w14:paraId="4E6EB552">
      <w:pPr>
        <w:widowControl/>
        <w:autoSpaceDE w:val="0"/>
        <w:autoSpaceDN w:val="0"/>
        <w:adjustRightInd w:val="0"/>
        <w:snapToGrid w:val="0"/>
        <w:spacing w:after="120" w:afterLines="50"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1</w:t>
      </w:r>
      <w:r>
        <w:rPr>
          <w:rFonts w:ascii="宋体" w:hAnsi="宋体" w:cs="宋体"/>
          <w:color w:val="auto"/>
          <w:szCs w:val="21"/>
          <w:highlight w:val="none"/>
          <w:lang w:bidi="ar"/>
        </w:rPr>
        <w:t xml:space="preserve">.1.5.4 </w:t>
      </w:r>
      <w:r>
        <w:rPr>
          <w:rFonts w:hint="eastAsia" w:ascii="宋体" w:hAnsi="宋体" w:cs="宋体"/>
          <w:color w:val="auto"/>
          <w:szCs w:val="21"/>
          <w:highlight w:val="none"/>
          <w:lang w:bidi="ar"/>
        </w:rPr>
        <w:t>人工费：是指支付给直接从事建筑安装工程施工作业的建筑工人的各项费用。</w:t>
      </w:r>
    </w:p>
    <w:p w14:paraId="0A6A6FE2">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1.1.5.</w:t>
      </w:r>
      <w:r>
        <w:rPr>
          <w:rFonts w:ascii="宋体" w:hAnsi="宋体" w:cs="宋体"/>
          <w:color w:val="auto"/>
          <w:szCs w:val="21"/>
          <w:highlight w:val="none"/>
          <w:lang w:bidi="ar"/>
        </w:rPr>
        <w:t>5</w:t>
      </w:r>
      <w:r>
        <w:rPr>
          <w:rFonts w:hint="eastAsia" w:ascii="宋体" w:hAnsi="宋体" w:cs="宋体"/>
          <w:color w:val="auto"/>
          <w:szCs w:val="21"/>
          <w:highlight w:val="none"/>
          <w:lang w:bidi="ar"/>
        </w:rPr>
        <w:t>暂估价：</w:t>
      </w:r>
      <w:bookmarkStart w:id="93" w:name="_Hlk18973781"/>
      <w:r>
        <w:rPr>
          <w:rFonts w:hint="eastAsia" w:ascii="宋体" w:hAnsi="宋体" w:cs="宋体"/>
          <w:color w:val="auto"/>
          <w:szCs w:val="21"/>
          <w:highlight w:val="none"/>
          <w:lang w:bidi="ar"/>
        </w:rPr>
        <w:t>是指发包人在项目清单中给定的，用于支付必然发生但暂时不能确定价格的专业服务、材料、设备、专业工程的金额。</w:t>
      </w:r>
      <w:bookmarkEnd w:id="93"/>
    </w:p>
    <w:p w14:paraId="4EAA3214">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1.1.5.</w:t>
      </w:r>
      <w:r>
        <w:rPr>
          <w:rFonts w:ascii="宋体" w:hAnsi="宋体" w:cs="宋体"/>
          <w:color w:val="auto"/>
          <w:szCs w:val="21"/>
          <w:highlight w:val="none"/>
          <w:lang w:bidi="ar"/>
        </w:rPr>
        <w:t>6</w:t>
      </w:r>
      <w:r>
        <w:rPr>
          <w:rFonts w:hint="eastAsia" w:ascii="宋体" w:hAnsi="宋体" w:cs="宋体"/>
          <w:color w:val="auto"/>
          <w:szCs w:val="21"/>
          <w:highlight w:val="none"/>
          <w:lang w:bidi="ar"/>
        </w:rPr>
        <w:t>暂列金额：是指发包人在项目清单中给定的，用于在订立协议书时尚未确定或不可预见变更的设计、施工及其所需材料、工程设备、服务等的金额，包括以计日工方式支付的金额。</w:t>
      </w:r>
    </w:p>
    <w:p w14:paraId="575A0EA8">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1.1.5.</w:t>
      </w:r>
      <w:r>
        <w:rPr>
          <w:rFonts w:ascii="宋体" w:hAnsi="宋体" w:cs="宋体"/>
          <w:color w:val="auto"/>
          <w:szCs w:val="21"/>
          <w:highlight w:val="none"/>
          <w:lang w:bidi="ar"/>
        </w:rPr>
        <w:t>7</w:t>
      </w:r>
      <w:r>
        <w:rPr>
          <w:rFonts w:hint="eastAsia" w:ascii="宋体" w:hAnsi="宋体" w:cs="宋体"/>
          <w:color w:val="auto"/>
          <w:szCs w:val="21"/>
          <w:highlight w:val="none"/>
          <w:lang w:bidi="ar"/>
        </w:rPr>
        <w:t>计日工：是指合同履行过程中，承包人完成发包人提出的零星工作或需要采用计日工计价的变更工作时，按合同中约定的单价计价的一种方式。</w:t>
      </w:r>
    </w:p>
    <w:p w14:paraId="24DD0AC7">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1.1.5.</w:t>
      </w:r>
      <w:r>
        <w:rPr>
          <w:rFonts w:ascii="宋体" w:hAnsi="宋体" w:cs="宋体"/>
          <w:color w:val="auto"/>
          <w:szCs w:val="21"/>
          <w:highlight w:val="none"/>
          <w:lang w:bidi="ar"/>
        </w:rPr>
        <w:t>8</w:t>
      </w:r>
      <w:r>
        <w:rPr>
          <w:rFonts w:hint="eastAsia" w:ascii="宋体" w:hAnsi="宋体" w:cs="宋体"/>
          <w:color w:val="auto"/>
          <w:szCs w:val="21"/>
          <w:highlight w:val="none"/>
          <w:lang w:bidi="ar"/>
        </w:rPr>
        <w:t>质量保证金：是指按第14.6款[质量保证金]约定承包人用于保证其在缺陷责任期内履行缺陷修复义务的担保。</w:t>
      </w:r>
    </w:p>
    <w:p w14:paraId="34C8E327">
      <w:pPr>
        <w:widowControl/>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1.1.6其他</w:t>
      </w:r>
    </w:p>
    <w:p w14:paraId="4692D64B">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1.1.6.1书面形式：指合同文件、信函、电报、传真、数据电文、电子邮件、会议纪要等可以有形地表现所载内容的形式。</w:t>
      </w:r>
    </w:p>
    <w:p w14:paraId="53C2B7FF">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1.1.6.2承包人文件：指由承包人根据合同约定应提交的所有图纸、手册、模型、计算书、软件、函件、洽商性文件和其他技术性文件。</w:t>
      </w:r>
    </w:p>
    <w:p w14:paraId="328E9BDB">
      <w:pPr>
        <w:widowControl/>
        <w:autoSpaceDE w:val="0"/>
        <w:autoSpaceDN w:val="0"/>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1.1.6.3变更：指根据第13条[变更与调整]的约定，经指示或批准对《发包人要求》或工程所做的改变。</w:t>
      </w:r>
    </w:p>
    <w:p w14:paraId="182DC775">
      <w:pPr>
        <w:widowControl/>
        <w:wordWrap w:val="0"/>
        <w:topLinePunct/>
        <w:adjustRightInd w:val="0"/>
        <w:snapToGrid w:val="0"/>
        <w:spacing w:after="120" w:afterLines="50" w:line="360" w:lineRule="auto"/>
        <w:outlineLvl w:val="2"/>
        <w:rPr>
          <w:rFonts w:ascii="宋体" w:hAnsi="宋体" w:cs="宋体"/>
          <w:color w:val="auto"/>
          <w:highlight w:val="none"/>
        </w:rPr>
      </w:pPr>
      <w:bookmarkStart w:id="94" w:name="_Toc20171724"/>
      <w:bookmarkEnd w:id="94"/>
      <w:bookmarkStart w:id="95" w:name="_Ref522730353"/>
      <w:bookmarkEnd w:id="95"/>
      <w:bookmarkStart w:id="96" w:name="_Ref509042104"/>
      <w:bookmarkEnd w:id="96"/>
      <w:bookmarkStart w:id="97" w:name="_Ref509042101"/>
      <w:bookmarkEnd w:id="97"/>
      <w:bookmarkStart w:id="98" w:name="_Ref522730349"/>
      <w:bookmarkStart w:id="99" w:name="_Toc58860159"/>
      <w:bookmarkStart w:id="100" w:name="_Toc1171"/>
      <w:bookmarkStart w:id="101" w:name="_Toc84930709"/>
      <w:bookmarkStart w:id="102" w:name="_Toc22618"/>
      <w:bookmarkStart w:id="103" w:name="_Toc179885245"/>
      <w:bookmarkStart w:id="104" w:name="_Toc51766572"/>
      <w:bookmarkStart w:id="105" w:name="_Toc7677"/>
      <w:r>
        <w:rPr>
          <w:rFonts w:hint="eastAsia" w:ascii="宋体" w:hAnsi="宋体" w:cs="宋体"/>
          <w:color w:val="auto"/>
          <w:szCs w:val="21"/>
          <w:highlight w:val="none"/>
          <w:lang w:bidi="ar"/>
        </w:rPr>
        <w:t>1</w:t>
      </w:r>
      <w:bookmarkEnd w:id="98"/>
      <w:r>
        <w:rPr>
          <w:rFonts w:hint="eastAsia" w:ascii="宋体" w:hAnsi="宋体" w:cs="宋体"/>
          <w:color w:val="auto"/>
          <w:szCs w:val="21"/>
          <w:highlight w:val="none"/>
          <w:lang w:bidi="ar"/>
        </w:rPr>
        <w:t>.2  语言文字</w:t>
      </w:r>
      <w:bookmarkEnd w:id="99"/>
      <w:bookmarkEnd w:id="100"/>
      <w:bookmarkEnd w:id="101"/>
      <w:bookmarkEnd w:id="102"/>
      <w:bookmarkEnd w:id="103"/>
      <w:bookmarkEnd w:id="104"/>
      <w:bookmarkEnd w:id="105"/>
      <w:r>
        <w:rPr>
          <w:rFonts w:hint="eastAsia" w:ascii="宋体" w:hAnsi="宋体" w:cs="宋体"/>
          <w:color w:val="auto"/>
          <w:szCs w:val="21"/>
          <w:highlight w:val="none"/>
          <w:lang w:bidi="ar"/>
        </w:rPr>
        <w:t xml:space="preserve"> </w:t>
      </w:r>
    </w:p>
    <w:p w14:paraId="0762DC2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合同文件以中国的汉语简体语言文字编写、解释和说明。专用术语使用外文的，应附有中文注释。合同当事人在专用合同条件约定使用两种及以上语言时，汉语为优先解释和说明合同的语言。</w:t>
      </w:r>
    </w:p>
    <w:p w14:paraId="00E270C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与合同有关的联络应使用专用合同条件约定的语言。如没有约定，则应使用中国的汉语简体语言文字。</w:t>
      </w:r>
    </w:p>
    <w:p w14:paraId="6D0FA527">
      <w:pPr>
        <w:widowControl/>
        <w:wordWrap w:val="0"/>
        <w:topLinePunct/>
        <w:adjustRightInd w:val="0"/>
        <w:snapToGrid w:val="0"/>
        <w:spacing w:after="120" w:afterLines="50" w:line="360" w:lineRule="auto"/>
        <w:outlineLvl w:val="2"/>
        <w:rPr>
          <w:rFonts w:ascii="宋体" w:hAnsi="宋体" w:cs="宋体"/>
          <w:color w:val="auto"/>
          <w:highlight w:val="none"/>
        </w:rPr>
      </w:pPr>
      <w:bookmarkStart w:id="106" w:name="_Toc20171725"/>
      <w:bookmarkEnd w:id="106"/>
      <w:bookmarkStart w:id="107" w:name="_Ref531949539"/>
      <w:bookmarkEnd w:id="107"/>
      <w:bookmarkStart w:id="108" w:name="_Ref531949543"/>
      <w:bookmarkStart w:id="109" w:name="_Toc84930710"/>
      <w:bookmarkStart w:id="110" w:name="_Toc179885246"/>
      <w:bookmarkStart w:id="111" w:name="_Toc21263"/>
      <w:bookmarkStart w:id="112" w:name="_Toc58860160"/>
      <w:bookmarkStart w:id="113" w:name="_Toc20312"/>
      <w:bookmarkStart w:id="114" w:name="_Toc51766573"/>
      <w:bookmarkStart w:id="115" w:name="_Toc8304"/>
      <w:r>
        <w:rPr>
          <w:rFonts w:hint="eastAsia" w:ascii="宋体" w:hAnsi="宋体" w:cs="宋体"/>
          <w:color w:val="auto"/>
          <w:szCs w:val="21"/>
          <w:highlight w:val="none"/>
          <w:lang w:bidi="ar"/>
        </w:rPr>
        <w:t>1</w:t>
      </w:r>
      <w:bookmarkEnd w:id="108"/>
      <w:r>
        <w:rPr>
          <w:rFonts w:hint="eastAsia" w:ascii="宋体" w:hAnsi="宋体" w:cs="宋体"/>
          <w:color w:val="auto"/>
          <w:szCs w:val="21"/>
          <w:highlight w:val="none"/>
          <w:lang w:bidi="ar"/>
        </w:rPr>
        <w:t>.3  法律</w:t>
      </w:r>
      <w:bookmarkEnd w:id="109"/>
      <w:bookmarkEnd w:id="110"/>
      <w:bookmarkEnd w:id="111"/>
      <w:bookmarkEnd w:id="112"/>
      <w:bookmarkEnd w:id="113"/>
      <w:bookmarkEnd w:id="114"/>
      <w:bookmarkEnd w:id="115"/>
    </w:p>
    <w:p w14:paraId="3839400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合同所称法律是指中华人民共和国法律、行政法规、部门规章，以及工程所在地的地方法规、自治条例、单行条例和地方政府规章等。</w:t>
      </w:r>
    </w:p>
    <w:p w14:paraId="2ED34D1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合同当事人可以在专用合同条件中约定合同适用的其他规范性文件。</w:t>
      </w:r>
    </w:p>
    <w:p w14:paraId="4F1C02E0">
      <w:pPr>
        <w:widowControl/>
        <w:wordWrap w:val="0"/>
        <w:topLinePunct/>
        <w:adjustRightInd w:val="0"/>
        <w:snapToGrid w:val="0"/>
        <w:spacing w:after="120" w:afterLines="50" w:line="360" w:lineRule="auto"/>
        <w:outlineLvl w:val="2"/>
        <w:rPr>
          <w:rFonts w:ascii="宋体" w:hAnsi="宋体" w:cs="宋体"/>
          <w:color w:val="auto"/>
          <w:highlight w:val="none"/>
        </w:rPr>
      </w:pPr>
      <w:bookmarkStart w:id="116" w:name="_Ref531949594"/>
      <w:bookmarkEnd w:id="116"/>
      <w:bookmarkStart w:id="117" w:name="_Toc20171726"/>
      <w:bookmarkEnd w:id="117"/>
      <w:bookmarkStart w:id="118" w:name="_Ref531949589"/>
      <w:bookmarkStart w:id="119" w:name="_Toc17552"/>
      <w:bookmarkStart w:id="120" w:name="_Toc58860161"/>
      <w:bookmarkStart w:id="121" w:name="_Toc179885247"/>
      <w:bookmarkStart w:id="122" w:name="_Toc84930711"/>
      <w:bookmarkStart w:id="123" w:name="_Toc13940"/>
      <w:bookmarkStart w:id="124" w:name="_Toc51766574"/>
      <w:bookmarkStart w:id="125" w:name="_Toc17914"/>
      <w:r>
        <w:rPr>
          <w:rFonts w:hint="eastAsia" w:ascii="宋体" w:hAnsi="宋体" w:cs="宋体"/>
          <w:color w:val="auto"/>
          <w:szCs w:val="21"/>
          <w:highlight w:val="none"/>
          <w:lang w:bidi="ar"/>
        </w:rPr>
        <w:t>1</w:t>
      </w:r>
      <w:bookmarkEnd w:id="118"/>
      <w:r>
        <w:rPr>
          <w:rFonts w:hint="eastAsia" w:ascii="宋体" w:hAnsi="宋体" w:cs="宋体"/>
          <w:color w:val="auto"/>
          <w:szCs w:val="21"/>
          <w:highlight w:val="none"/>
          <w:lang w:bidi="ar"/>
        </w:rPr>
        <w:t>.4  标准和规范</w:t>
      </w:r>
      <w:bookmarkEnd w:id="119"/>
      <w:bookmarkEnd w:id="120"/>
      <w:bookmarkEnd w:id="121"/>
      <w:bookmarkEnd w:id="122"/>
      <w:bookmarkEnd w:id="123"/>
      <w:bookmarkEnd w:id="124"/>
      <w:bookmarkEnd w:id="125"/>
    </w:p>
    <w:p w14:paraId="2141CC31">
      <w:pPr>
        <w:widowControl/>
        <w:adjustRightInd w:val="0"/>
        <w:snapToGrid w:val="0"/>
        <w:spacing w:after="120" w:afterLines="50" w:line="360" w:lineRule="auto"/>
        <w:ind w:firstLine="420" w:firstLineChars="200"/>
        <w:outlineLvl w:val="3"/>
        <w:rPr>
          <w:rFonts w:ascii="宋体" w:hAnsi="宋体" w:cs="宋体"/>
          <w:color w:val="auto"/>
          <w:highlight w:val="none"/>
        </w:rPr>
      </w:pPr>
      <w:bookmarkStart w:id="126" w:name="_Ref4420991"/>
      <w:bookmarkEnd w:id="126"/>
      <w:r>
        <w:rPr>
          <w:rFonts w:hint="eastAsia" w:ascii="宋体" w:hAnsi="宋体" w:cs="宋体"/>
          <w:color w:val="auto"/>
          <w:szCs w:val="21"/>
          <w:highlight w:val="none"/>
          <w:lang w:bidi="ar"/>
        </w:rPr>
        <w:t>1.4.1适用于工程的国家标准、行业标准、工程所在地的地方性标准，以及相应的规范、规程等，合同当事人有特别要求的，应在专用合同条件中约定。</w:t>
      </w:r>
    </w:p>
    <w:p w14:paraId="52FA0BF2">
      <w:pPr>
        <w:widowControl/>
        <w:adjustRightInd w:val="0"/>
        <w:snapToGrid w:val="0"/>
        <w:spacing w:after="120" w:afterLines="50" w:line="360" w:lineRule="auto"/>
        <w:ind w:firstLine="420" w:firstLineChars="200"/>
        <w:outlineLvl w:val="3"/>
        <w:rPr>
          <w:rFonts w:ascii="宋体" w:hAnsi="宋体" w:cs="宋体"/>
          <w:color w:val="auto"/>
          <w:highlight w:val="none"/>
        </w:rPr>
      </w:pPr>
      <w:bookmarkStart w:id="127" w:name="_Ref531949642"/>
      <w:bookmarkEnd w:id="127"/>
      <w:r>
        <w:rPr>
          <w:rFonts w:hint="eastAsia" w:ascii="宋体" w:hAnsi="宋体" w:cs="宋体"/>
          <w:color w:val="auto"/>
          <w:szCs w:val="21"/>
          <w:highlight w:val="none"/>
          <w:lang w:bidi="ar"/>
        </w:rPr>
        <w:t>1.4.2发包人要求使用国外标准、规范的，发包人负责提供原文版本和中文译本，并在专用合同条件中约定提供标准规范的名称、份数和时间。</w:t>
      </w:r>
    </w:p>
    <w:p w14:paraId="20D00E8E">
      <w:pPr>
        <w:widowControl/>
        <w:adjustRightInd w:val="0"/>
        <w:snapToGrid w:val="0"/>
        <w:spacing w:after="120" w:afterLines="50" w:line="360" w:lineRule="auto"/>
        <w:ind w:firstLine="420" w:firstLineChars="200"/>
        <w:outlineLvl w:val="3"/>
        <w:rPr>
          <w:rFonts w:ascii="宋体" w:hAnsi="宋体" w:cs="宋体"/>
          <w:color w:val="auto"/>
          <w:highlight w:val="none"/>
        </w:rPr>
      </w:pPr>
      <w:bookmarkStart w:id="128" w:name="_Ref531949657"/>
      <w:bookmarkEnd w:id="128"/>
      <w:r>
        <w:rPr>
          <w:rFonts w:hint="eastAsia" w:ascii="宋体" w:hAnsi="宋体" w:cs="宋体"/>
          <w:color w:val="auto"/>
          <w:szCs w:val="21"/>
          <w:highlight w:val="none"/>
          <w:lang w:bidi="ar"/>
        </w:rPr>
        <w:t>1.4.3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p>
    <w:p w14:paraId="05339F34">
      <w:pPr>
        <w:widowControl/>
        <w:adjustRightInd w:val="0"/>
        <w:snapToGrid w:val="0"/>
        <w:spacing w:after="120" w:afterLines="50" w:line="360" w:lineRule="auto"/>
        <w:ind w:firstLine="420" w:firstLineChars="200"/>
        <w:outlineLvl w:val="3"/>
        <w:rPr>
          <w:rFonts w:ascii="宋体" w:hAnsi="宋体" w:cs="宋体"/>
          <w:color w:val="auto"/>
          <w:highlight w:val="none"/>
        </w:rPr>
      </w:pPr>
      <w:bookmarkStart w:id="129" w:name="_Ref4421272"/>
      <w:bookmarkEnd w:id="129"/>
      <w:r>
        <w:rPr>
          <w:rFonts w:hint="eastAsia" w:ascii="宋体" w:hAnsi="宋体" w:cs="宋体"/>
          <w:color w:val="auto"/>
          <w:szCs w:val="21"/>
          <w:highlight w:val="none"/>
          <w:lang w:bidi="ar"/>
        </w:rPr>
        <w:t>1.4.4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p>
    <w:p w14:paraId="6FAF7C0F">
      <w:pPr>
        <w:widowControl/>
        <w:wordWrap w:val="0"/>
        <w:topLinePunct/>
        <w:adjustRightInd w:val="0"/>
        <w:snapToGrid w:val="0"/>
        <w:spacing w:after="120" w:afterLines="50" w:line="360" w:lineRule="auto"/>
        <w:outlineLvl w:val="2"/>
        <w:rPr>
          <w:rFonts w:ascii="宋体" w:hAnsi="宋体" w:cs="宋体"/>
          <w:color w:val="auto"/>
          <w:highlight w:val="none"/>
        </w:rPr>
      </w:pPr>
      <w:bookmarkStart w:id="130" w:name="_Toc20171727"/>
      <w:bookmarkEnd w:id="130"/>
      <w:bookmarkStart w:id="131" w:name="_Ref4421717"/>
      <w:bookmarkStart w:id="132" w:name="_Toc9094"/>
      <w:bookmarkStart w:id="133" w:name="_Toc179885248"/>
      <w:bookmarkStart w:id="134" w:name="_Toc13096"/>
      <w:bookmarkStart w:id="135" w:name="_Toc84930712"/>
      <w:bookmarkStart w:id="136" w:name="_Toc58860162"/>
      <w:bookmarkStart w:id="137" w:name="_Toc20449"/>
      <w:bookmarkStart w:id="138" w:name="_Toc51766575"/>
      <w:r>
        <w:rPr>
          <w:rFonts w:hint="eastAsia" w:ascii="宋体" w:hAnsi="宋体" w:cs="宋体"/>
          <w:color w:val="auto"/>
          <w:szCs w:val="21"/>
          <w:highlight w:val="none"/>
          <w:lang w:bidi="ar"/>
        </w:rPr>
        <w:t>1</w:t>
      </w:r>
      <w:bookmarkEnd w:id="131"/>
      <w:r>
        <w:rPr>
          <w:rFonts w:hint="eastAsia" w:ascii="宋体" w:hAnsi="宋体" w:cs="宋体"/>
          <w:color w:val="auto"/>
          <w:szCs w:val="21"/>
          <w:highlight w:val="none"/>
          <w:lang w:bidi="ar"/>
        </w:rPr>
        <w:t>.5  合同文件的优先顺序</w:t>
      </w:r>
      <w:bookmarkEnd w:id="132"/>
      <w:bookmarkEnd w:id="133"/>
      <w:bookmarkEnd w:id="134"/>
      <w:bookmarkEnd w:id="135"/>
      <w:bookmarkEnd w:id="136"/>
      <w:bookmarkEnd w:id="137"/>
      <w:bookmarkEnd w:id="138"/>
    </w:p>
    <w:p w14:paraId="2AB9E79B">
      <w:pPr>
        <w:widowControl/>
        <w:adjustRightInd w:val="0"/>
        <w:snapToGrid w:val="0"/>
        <w:spacing w:after="120" w:afterLines="50" w:line="360" w:lineRule="auto"/>
        <w:ind w:firstLine="420" w:firstLineChars="200"/>
        <w:rPr>
          <w:rFonts w:ascii="宋体" w:hAnsi="宋体" w:cs="宋体"/>
          <w:color w:val="auto"/>
          <w:kern w:val="0"/>
          <w:highlight w:val="none"/>
        </w:rPr>
      </w:pPr>
      <w:bookmarkStart w:id="139" w:name="_Ref531948776"/>
      <w:bookmarkEnd w:id="139"/>
      <w:r>
        <w:rPr>
          <w:rFonts w:hint="eastAsia" w:ascii="宋体" w:hAnsi="宋体" w:cs="宋体"/>
          <w:color w:val="auto"/>
          <w:kern w:val="0"/>
          <w:szCs w:val="21"/>
          <w:highlight w:val="none"/>
          <w:lang w:bidi="ar"/>
        </w:rPr>
        <w:t>组成合同的各项文件应互相解释，互为说明。除专用合同条件另有约定外，解释合同文件的优先顺序如下：</w:t>
      </w:r>
    </w:p>
    <w:p w14:paraId="64E3731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（1）合同协议书；</w:t>
      </w:r>
    </w:p>
    <w:p w14:paraId="06F5A56A">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（2）中标通知书（如果有）；</w:t>
      </w:r>
    </w:p>
    <w:p w14:paraId="77EE8ED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（3）投标函及投标函附录（如果有）；</w:t>
      </w:r>
    </w:p>
    <w:p w14:paraId="7D58F1C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（4）专用合同条件及《发包人要求》等附件；</w:t>
      </w:r>
    </w:p>
    <w:p w14:paraId="3460684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（5）通用合同条件；</w:t>
      </w:r>
    </w:p>
    <w:p w14:paraId="7260871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 xml:space="preserve">（6）承包人建议书； </w:t>
      </w:r>
    </w:p>
    <w:p w14:paraId="0FBC1CE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7</w:t>
      </w:r>
      <w:r>
        <w:rPr>
          <w:rFonts w:hint="eastAsia" w:ascii="宋体" w:hAnsi="宋体" w:cs="宋体"/>
          <w:color w:val="auto"/>
          <w:kern w:val="0"/>
          <w:szCs w:val="21"/>
          <w:highlight w:val="none"/>
          <w:lang w:bidi="ar"/>
        </w:rPr>
        <w:t>）价格清单；</w:t>
      </w:r>
    </w:p>
    <w:p w14:paraId="0ADB9C7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8</w:t>
      </w:r>
      <w:r>
        <w:rPr>
          <w:rFonts w:hint="eastAsia" w:ascii="宋体" w:hAnsi="宋体" w:cs="宋体"/>
          <w:color w:val="auto"/>
          <w:kern w:val="0"/>
          <w:szCs w:val="21"/>
          <w:highlight w:val="none"/>
          <w:lang w:bidi="ar"/>
        </w:rPr>
        <w:t>）双方约定的其他合同文件。</w:t>
      </w:r>
    </w:p>
    <w:p w14:paraId="38DD7D1D">
      <w:pPr>
        <w:widowControl/>
        <w:adjustRightInd w:val="0"/>
        <w:snapToGrid w:val="0"/>
        <w:spacing w:after="120" w:afterLines="50" w:line="360" w:lineRule="auto"/>
        <w:ind w:firstLine="420" w:firstLineChars="200"/>
        <w:rPr>
          <w:rFonts w:ascii="宋体" w:hAnsi="宋体" w:cs="宋体"/>
          <w:color w:val="auto"/>
          <w:kern w:val="0"/>
          <w:highlight w:val="none"/>
        </w:rPr>
      </w:pPr>
      <w:bookmarkStart w:id="140" w:name="_Hlk18951547"/>
      <w:bookmarkEnd w:id="140"/>
      <w:r>
        <w:rPr>
          <w:rFonts w:hint="eastAsia" w:ascii="宋体" w:hAnsi="宋体" w:cs="宋体"/>
          <w:color w:val="auto"/>
          <w:kern w:val="0"/>
          <w:szCs w:val="21"/>
          <w:highlight w:val="none"/>
          <w:lang w:bidi="ar"/>
        </w:rPr>
        <w:t>上述各项合同文件包括合同当事人就该项合同文件所作出的补充和修改，属于同一类内容的文件，应以最新签署的为准。</w:t>
      </w:r>
    </w:p>
    <w:p w14:paraId="376F601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在合同订立及履行过程中形成的与合同有关的文件均构成合同文件组成部分，并根据其性质确定优先解释顺序。</w:t>
      </w:r>
    </w:p>
    <w:p w14:paraId="35C7D345">
      <w:pPr>
        <w:widowControl/>
        <w:wordWrap w:val="0"/>
        <w:topLinePunct/>
        <w:adjustRightInd w:val="0"/>
        <w:snapToGrid w:val="0"/>
        <w:spacing w:after="120" w:afterLines="50" w:line="360" w:lineRule="auto"/>
        <w:outlineLvl w:val="2"/>
        <w:rPr>
          <w:rFonts w:ascii="宋体" w:hAnsi="宋体" w:cs="宋体"/>
          <w:color w:val="auto"/>
          <w:highlight w:val="none"/>
        </w:rPr>
      </w:pPr>
      <w:bookmarkStart w:id="141" w:name="_Ref531949803"/>
      <w:bookmarkEnd w:id="141"/>
      <w:bookmarkStart w:id="142" w:name="_Ref531949822"/>
      <w:bookmarkEnd w:id="142"/>
      <w:bookmarkStart w:id="143" w:name="_Toc20171728"/>
      <w:bookmarkEnd w:id="143"/>
      <w:bookmarkStart w:id="144" w:name="_Ref523403409"/>
      <w:bookmarkEnd w:id="144"/>
      <w:bookmarkStart w:id="145" w:name="_Ref531949807"/>
      <w:bookmarkEnd w:id="145"/>
      <w:bookmarkStart w:id="146" w:name="_Ref523403776"/>
      <w:bookmarkEnd w:id="146"/>
      <w:bookmarkStart w:id="147" w:name="_Ref4422060"/>
      <w:bookmarkEnd w:id="147"/>
      <w:bookmarkStart w:id="148" w:name="_Ref11917818"/>
      <w:bookmarkStart w:id="149" w:name="_Toc51766576"/>
      <w:bookmarkStart w:id="150" w:name="_Toc84930713"/>
      <w:bookmarkStart w:id="151" w:name="_Toc58860163"/>
      <w:bookmarkStart w:id="152" w:name="_Toc3242"/>
      <w:bookmarkStart w:id="153" w:name="_Toc5752"/>
      <w:bookmarkStart w:id="154" w:name="_Toc179885249"/>
      <w:bookmarkStart w:id="155" w:name="_Toc19770"/>
      <w:r>
        <w:rPr>
          <w:rFonts w:hint="eastAsia" w:ascii="宋体" w:hAnsi="宋体" w:cs="宋体"/>
          <w:color w:val="auto"/>
          <w:szCs w:val="21"/>
          <w:highlight w:val="none"/>
          <w:lang w:bidi="ar"/>
        </w:rPr>
        <w:t>1</w:t>
      </w:r>
      <w:bookmarkEnd w:id="148"/>
      <w:r>
        <w:rPr>
          <w:rFonts w:hint="eastAsia" w:ascii="宋体" w:hAnsi="宋体" w:cs="宋体"/>
          <w:color w:val="auto"/>
          <w:szCs w:val="21"/>
          <w:highlight w:val="none"/>
          <w:lang w:bidi="ar"/>
        </w:rPr>
        <w:t>.6  文件的提供和照管</w:t>
      </w:r>
      <w:bookmarkEnd w:id="149"/>
      <w:bookmarkEnd w:id="150"/>
      <w:bookmarkEnd w:id="151"/>
      <w:bookmarkEnd w:id="152"/>
      <w:bookmarkEnd w:id="153"/>
      <w:bookmarkEnd w:id="154"/>
      <w:bookmarkEnd w:id="155"/>
    </w:p>
    <w:p w14:paraId="42A7C3E7">
      <w:pPr>
        <w:widowControl/>
        <w:adjustRightInd w:val="0"/>
        <w:snapToGrid w:val="0"/>
        <w:spacing w:after="120" w:afterLines="50" w:line="360" w:lineRule="auto"/>
        <w:ind w:firstLine="420" w:firstLineChars="200"/>
        <w:outlineLvl w:val="3"/>
        <w:rPr>
          <w:rFonts w:ascii="宋体" w:hAnsi="宋体" w:cs="宋体"/>
          <w:color w:val="auto"/>
          <w:highlight w:val="none"/>
        </w:rPr>
      </w:pPr>
      <w:bookmarkStart w:id="156" w:name="_Ref4421991"/>
      <w:bookmarkEnd w:id="156"/>
      <w:r>
        <w:rPr>
          <w:rFonts w:hint="eastAsia" w:ascii="宋体" w:hAnsi="宋体" w:cs="宋体"/>
          <w:color w:val="auto"/>
          <w:szCs w:val="21"/>
          <w:highlight w:val="none"/>
          <w:lang w:bidi="ar"/>
        </w:rPr>
        <w:t>1.6.1发包人文件的提供</w:t>
      </w:r>
    </w:p>
    <w:p w14:paraId="4C8F485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8.7.1项[因发包人原因导致工期延误]约定办理。</w:t>
      </w:r>
    </w:p>
    <w:p w14:paraId="6FF2A22F">
      <w:pPr>
        <w:widowControl/>
        <w:adjustRightInd w:val="0"/>
        <w:snapToGrid w:val="0"/>
        <w:spacing w:after="120" w:afterLines="50" w:line="360" w:lineRule="auto"/>
        <w:ind w:firstLine="420" w:firstLineChars="200"/>
        <w:outlineLvl w:val="3"/>
        <w:rPr>
          <w:rFonts w:ascii="宋体" w:hAnsi="宋体" w:cs="宋体"/>
          <w:color w:val="auto"/>
          <w:highlight w:val="none"/>
        </w:rPr>
      </w:pPr>
      <w:bookmarkStart w:id="157" w:name="_Ref4422317"/>
      <w:bookmarkEnd w:id="157"/>
      <w:r>
        <w:rPr>
          <w:rFonts w:hint="eastAsia" w:ascii="宋体" w:hAnsi="宋体" w:cs="宋体"/>
          <w:color w:val="auto"/>
          <w:szCs w:val="21"/>
          <w:highlight w:val="none"/>
          <w:lang w:bidi="ar"/>
        </w:rPr>
        <w:t>1.6.2承包人文件的提供</w:t>
      </w:r>
    </w:p>
    <w:p w14:paraId="52BADA8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除专用合同条件另有约定外，承包人文件应包含下列内容，并用第1.2款[语言文字]约定的语言制作：</w:t>
      </w:r>
    </w:p>
    <w:p w14:paraId="77D9325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（1）《发包人要求》中规定的相关文件；</w:t>
      </w:r>
    </w:p>
    <w:p w14:paraId="63D4EAD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（2）满足工程相关行政审批手续所必须的应由承包人负责的相关文件；</w:t>
      </w:r>
    </w:p>
    <w:p w14:paraId="626D970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（3）第5.4款[竣工文件]与第5.5款[操作和维修手册]中要求的相关文件。</w:t>
      </w:r>
    </w:p>
    <w:p w14:paraId="1273F56A">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5.2款[承包人文件审查]和第5.4款[竣工文件]的约定。</w:t>
      </w:r>
    </w:p>
    <w:p w14:paraId="3193EE58">
      <w:pPr>
        <w:widowControl/>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1.6.3文件错误的通知</w:t>
      </w:r>
    </w:p>
    <w:p w14:paraId="31B9759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任何一方发现文件中存在明显的错误或疏忽，应及时通知另一方。</w:t>
      </w:r>
    </w:p>
    <w:p w14:paraId="06C4FF49">
      <w:pPr>
        <w:widowControl/>
        <w:adjustRightInd w:val="0"/>
        <w:snapToGrid w:val="0"/>
        <w:spacing w:after="120" w:afterLines="50" w:line="360" w:lineRule="auto"/>
        <w:ind w:firstLine="420" w:firstLineChars="200"/>
        <w:outlineLvl w:val="3"/>
        <w:rPr>
          <w:rFonts w:ascii="宋体" w:hAnsi="宋体" w:cs="宋体"/>
          <w:color w:val="auto"/>
          <w:highlight w:val="none"/>
        </w:rPr>
      </w:pPr>
      <w:bookmarkStart w:id="158" w:name="_Ref4678410"/>
      <w:bookmarkEnd w:id="158"/>
      <w:bookmarkStart w:id="159" w:name="_Ref11957673"/>
      <w:r>
        <w:rPr>
          <w:rFonts w:hint="eastAsia" w:ascii="宋体" w:hAnsi="宋体" w:cs="宋体"/>
          <w:color w:val="auto"/>
          <w:szCs w:val="21"/>
          <w:highlight w:val="none"/>
          <w:lang w:bidi="ar"/>
        </w:rPr>
        <w:t>1</w:t>
      </w:r>
      <w:bookmarkEnd w:id="159"/>
      <w:r>
        <w:rPr>
          <w:rFonts w:hint="eastAsia" w:ascii="宋体" w:hAnsi="宋体" w:cs="宋体"/>
          <w:color w:val="auto"/>
          <w:szCs w:val="21"/>
          <w:highlight w:val="none"/>
          <w:lang w:bidi="ar"/>
        </w:rPr>
        <w:t>.6.4文件的照管</w:t>
      </w:r>
    </w:p>
    <w:p w14:paraId="2C9D82A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14:paraId="63863A37">
      <w:pPr>
        <w:widowControl/>
        <w:wordWrap w:val="0"/>
        <w:topLinePunct/>
        <w:adjustRightInd w:val="0"/>
        <w:snapToGrid w:val="0"/>
        <w:spacing w:after="120" w:afterLines="50" w:line="360" w:lineRule="auto"/>
        <w:outlineLvl w:val="2"/>
        <w:rPr>
          <w:rFonts w:ascii="宋体" w:hAnsi="宋体" w:cs="宋体"/>
          <w:color w:val="auto"/>
          <w:highlight w:val="none"/>
        </w:rPr>
      </w:pPr>
      <w:bookmarkStart w:id="160" w:name="_Ref4415170"/>
      <w:bookmarkEnd w:id="160"/>
      <w:bookmarkStart w:id="161" w:name="_Toc20171729"/>
      <w:bookmarkStart w:id="162" w:name="_Toc84930714"/>
      <w:bookmarkStart w:id="163" w:name="_Toc13577"/>
      <w:bookmarkStart w:id="164" w:name="_Toc12557"/>
      <w:bookmarkStart w:id="165" w:name="_Toc51766577"/>
      <w:bookmarkStart w:id="166" w:name="_Toc58860164"/>
      <w:bookmarkStart w:id="167" w:name="_Toc179885250"/>
      <w:bookmarkStart w:id="168" w:name="_Toc11695"/>
      <w:r>
        <w:rPr>
          <w:rFonts w:hint="eastAsia" w:ascii="宋体" w:hAnsi="宋体" w:cs="宋体"/>
          <w:color w:val="auto"/>
          <w:szCs w:val="21"/>
          <w:highlight w:val="none"/>
          <w:lang w:bidi="ar"/>
        </w:rPr>
        <w:t>1</w:t>
      </w:r>
      <w:bookmarkEnd w:id="161"/>
      <w:r>
        <w:rPr>
          <w:rFonts w:hint="eastAsia" w:ascii="宋体" w:hAnsi="宋体" w:cs="宋体"/>
          <w:color w:val="auto"/>
          <w:szCs w:val="21"/>
          <w:highlight w:val="none"/>
          <w:lang w:bidi="ar"/>
        </w:rPr>
        <w:t>.7  联络</w:t>
      </w:r>
      <w:bookmarkEnd w:id="162"/>
      <w:bookmarkEnd w:id="163"/>
      <w:bookmarkEnd w:id="164"/>
      <w:bookmarkEnd w:id="165"/>
      <w:bookmarkEnd w:id="166"/>
      <w:bookmarkEnd w:id="167"/>
      <w:bookmarkEnd w:id="168"/>
    </w:p>
    <w:p w14:paraId="1F2CE8A4">
      <w:pPr>
        <w:widowControl/>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1.7.1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14:paraId="09ED57FE">
      <w:pPr>
        <w:widowControl/>
        <w:adjustRightInd w:val="0"/>
        <w:snapToGrid w:val="0"/>
        <w:spacing w:after="120" w:afterLines="50" w:line="360" w:lineRule="auto"/>
        <w:ind w:firstLine="420" w:firstLineChars="200"/>
        <w:outlineLvl w:val="3"/>
        <w:rPr>
          <w:rFonts w:ascii="宋体" w:hAnsi="宋体" w:cs="宋体"/>
          <w:color w:val="auto"/>
          <w:highlight w:val="none"/>
        </w:rPr>
      </w:pPr>
      <w:bookmarkStart w:id="169" w:name="_Ref531949897"/>
      <w:bookmarkEnd w:id="169"/>
      <w:r>
        <w:rPr>
          <w:rFonts w:hint="eastAsia" w:ascii="宋体" w:hAnsi="宋体" w:cs="宋体"/>
          <w:color w:val="auto"/>
          <w:szCs w:val="21"/>
          <w:highlight w:val="none"/>
          <w:lang w:bidi="ar"/>
        </w:rPr>
        <w:t>1.7.2发包人和承包人应在专用合同条件中约定各自的送达方式和收件地址。任何一方合同当事人指定的送达方式或收件地址发生变动的，应提前3天以书面形式通知对方。</w:t>
      </w:r>
    </w:p>
    <w:p w14:paraId="441D96DB">
      <w:pPr>
        <w:widowControl/>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1.7.3发包人和承包人应当及时签收另一方通过约定的送达方式送达至收件地址的来往文件。拒不签收的，由此增加的费用和（或）延误的工期由拒绝接收一方承担。</w:t>
      </w:r>
    </w:p>
    <w:p w14:paraId="01575F91">
      <w:pPr>
        <w:widowControl/>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1.7.4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14:paraId="2B01D3C5">
      <w:pPr>
        <w:widowControl/>
        <w:wordWrap w:val="0"/>
        <w:topLinePunct/>
        <w:adjustRightInd w:val="0"/>
        <w:snapToGrid w:val="0"/>
        <w:spacing w:after="120" w:afterLines="50" w:line="360" w:lineRule="auto"/>
        <w:outlineLvl w:val="2"/>
        <w:rPr>
          <w:rFonts w:ascii="宋体" w:hAnsi="宋体" w:cs="宋体"/>
          <w:color w:val="auto"/>
          <w:highlight w:val="none"/>
        </w:rPr>
      </w:pPr>
      <w:bookmarkStart w:id="170" w:name="_Toc20171730"/>
      <w:bookmarkEnd w:id="170"/>
      <w:bookmarkStart w:id="171" w:name="_Toc179885251"/>
      <w:bookmarkStart w:id="172" w:name="_Toc58860165"/>
      <w:bookmarkStart w:id="173" w:name="_Toc51766578"/>
      <w:bookmarkStart w:id="174" w:name="_Toc25797"/>
      <w:bookmarkStart w:id="175" w:name="_Toc84930715"/>
      <w:bookmarkStart w:id="176" w:name="_Toc24948"/>
      <w:bookmarkStart w:id="177" w:name="_Toc20465"/>
      <w:r>
        <w:rPr>
          <w:rFonts w:hint="eastAsia" w:ascii="宋体" w:hAnsi="宋体" w:cs="宋体"/>
          <w:color w:val="auto"/>
          <w:szCs w:val="21"/>
          <w:highlight w:val="none"/>
          <w:lang w:bidi="ar"/>
        </w:rPr>
        <w:t>1.8  严禁贿赂</w:t>
      </w:r>
      <w:bookmarkEnd w:id="171"/>
      <w:bookmarkEnd w:id="172"/>
      <w:bookmarkEnd w:id="173"/>
      <w:bookmarkEnd w:id="174"/>
      <w:bookmarkEnd w:id="175"/>
      <w:bookmarkEnd w:id="176"/>
      <w:bookmarkEnd w:id="177"/>
    </w:p>
    <w:p w14:paraId="4AB47B7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合同当事人不得以贿赂或变相贿赂的方式，谋取非法利益或损害对方权益。因一方合同当事人的贿赂造成对方损失的，应赔偿损失，并承担相应的法律责任。</w:t>
      </w:r>
    </w:p>
    <w:p w14:paraId="5039265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承包人不得与工程师或发包人聘请的第三方串通损害发包人利益。未经发包人书面同意，承包人不得为工程师提供合同约定以外的通讯设备、交通工具及其他任何形式的利益，不得向工程师支付报酬。</w:t>
      </w:r>
    </w:p>
    <w:p w14:paraId="7B56103D">
      <w:pPr>
        <w:widowControl/>
        <w:wordWrap w:val="0"/>
        <w:topLinePunct/>
        <w:adjustRightInd w:val="0"/>
        <w:snapToGrid w:val="0"/>
        <w:spacing w:after="120" w:afterLines="50" w:line="360" w:lineRule="auto"/>
        <w:outlineLvl w:val="2"/>
        <w:rPr>
          <w:rFonts w:ascii="宋体" w:hAnsi="宋体" w:cs="宋体"/>
          <w:color w:val="auto"/>
          <w:highlight w:val="none"/>
        </w:rPr>
      </w:pPr>
      <w:bookmarkStart w:id="178" w:name="_Toc20171731"/>
      <w:bookmarkEnd w:id="178"/>
      <w:bookmarkStart w:id="179" w:name="_Toc51766579"/>
      <w:bookmarkStart w:id="180" w:name="_Toc179885252"/>
      <w:bookmarkStart w:id="181" w:name="_Toc28524"/>
      <w:bookmarkStart w:id="182" w:name="_Toc7748"/>
      <w:bookmarkStart w:id="183" w:name="_Toc58860166"/>
      <w:bookmarkStart w:id="184" w:name="_Toc84930716"/>
      <w:bookmarkStart w:id="185" w:name="_Toc11840"/>
      <w:r>
        <w:rPr>
          <w:rFonts w:hint="eastAsia" w:ascii="宋体" w:hAnsi="宋体" w:cs="宋体"/>
          <w:color w:val="auto"/>
          <w:szCs w:val="21"/>
          <w:highlight w:val="none"/>
          <w:lang w:bidi="ar"/>
        </w:rPr>
        <w:t>1.9  化石、文物</w:t>
      </w:r>
      <w:bookmarkEnd w:id="179"/>
      <w:bookmarkEnd w:id="180"/>
      <w:bookmarkEnd w:id="181"/>
      <w:bookmarkEnd w:id="182"/>
      <w:bookmarkEnd w:id="183"/>
      <w:bookmarkEnd w:id="184"/>
      <w:bookmarkEnd w:id="185"/>
    </w:p>
    <w:p w14:paraId="656D362A">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14:paraId="262E9BA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发包人、工程师和承包人应按有关政府行政管理部门要求采取妥善的保护措施，由此增加的费用和（或）延误的工期由发包人承担。</w:t>
      </w:r>
    </w:p>
    <w:p w14:paraId="3D2DA11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承包人发现文物后不及时报告或隐瞒不报，致使文物丢失或损坏的，应赔偿损失，并承担相应的法律责任。</w:t>
      </w:r>
    </w:p>
    <w:p w14:paraId="553187BD">
      <w:pPr>
        <w:widowControl/>
        <w:wordWrap w:val="0"/>
        <w:topLinePunct/>
        <w:adjustRightInd w:val="0"/>
        <w:snapToGrid w:val="0"/>
        <w:spacing w:after="120" w:afterLines="50" w:line="360" w:lineRule="auto"/>
        <w:outlineLvl w:val="2"/>
        <w:rPr>
          <w:rFonts w:ascii="宋体" w:hAnsi="宋体" w:cs="宋体"/>
          <w:color w:val="auto"/>
          <w:highlight w:val="none"/>
        </w:rPr>
      </w:pPr>
      <w:bookmarkStart w:id="186" w:name="_Toc20171732"/>
      <w:bookmarkEnd w:id="186"/>
      <w:bookmarkStart w:id="187" w:name="_Ref531949826"/>
      <w:bookmarkEnd w:id="187"/>
      <w:bookmarkStart w:id="188" w:name="_Ref531949855"/>
      <w:bookmarkEnd w:id="188"/>
      <w:bookmarkStart w:id="189" w:name="_Ref531949770"/>
      <w:bookmarkEnd w:id="189"/>
      <w:bookmarkStart w:id="190" w:name="_Ref531949766"/>
      <w:bookmarkEnd w:id="190"/>
      <w:bookmarkStart w:id="191" w:name="_Ref4423426"/>
      <w:bookmarkEnd w:id="191"/>
      <w:bookmarkStart w:id="192" w:name="_Ref531949841"/>
      <w:bookmarkStart w:id="193" w:name="_Toc31658"/>
      <w:bookmarkStart w:id="194" w:name="_Toc23840"/>
      <w:bookmarkStart w:id="195" w:name="_Toc21125"/>
      <w:bookmarkStart w:id="196" w:name="_Toc84930717"/>
      <w:bookmarkStart w:id="197" w:name="_Toc179885253"/>
      <w:bookmarkStart w:id="198" w:name="_Toc58860167"/>
      <w:bookmarkStart w:id="199" w:name="_Toc51766580"/>
      <w:r>
        <w:rPr>
          <w:rFonts w:hint="eastAsia" w:ascii="宋体" w:hAnsi="宋体" w:cs="宋体"/>
          <w:color w:val="auto"/>
          <w:szCs w:val="21"/>
          <w:highlight w:val="none"/>
          <w:lang w:bidi="ar"/>
        </w:rPr>
        <w:t>1</w:t>
      </w:r>
      <w:bookmarkEnd w:id="192"/>
      <w:r>
        <w:rPr>
          <w:rFonts w:hint="eastAsia" w:ascii="宋体" w:hAnsi="宋体" w:cs="宋体"/>
          <w:color w:val="auto"/>
          <w:szCs w:val="21"/>
          <w:highlight w:val="none"/>
          <w:lang w:bidi="ar"/>
        </w:rPr>
        <w:t>.10  知识产权</w:t>
      </w:r>
      <w:bookmarkEnd w:id="193"/>
      <w:bookmarkEnd w:id="194"/>
      <w:bookmarkEnd w:id="195"/>
      <w:bookmarkEnd w:id="196"/>
      <w:bookmarkEnd w:id="197"/>
      <w:bookmarkEnd w:id="198"/>
      <w:bookmarkEnd w:id="199"/>
      <w:r>
        <w:rPr>
          <w:rFonts w:hint="eastAsia" w:ascii="宋体" w:hAnsi="宋体" w:cs="宋体"/>
          <w:color w:val="auto"/>
          <w:szCs w:val="21"/>
          <w:highlight w:val="none"/>
          <w:lang w:bidi="ar"/>
        </w:rPr>
        <w:t xml:space="preserve"> </w:t>
      </w:r>
    </w:p>
    <w:p w14:paraId="1E8B36BE">
      <w:pPr>
        <w:widowControl/>
        <w:adjustRightInd w:val="0"/>
        <w:snapToGrid w:val="0"/>
        <w:spacing w:after="120" w:afterLines="50" w:line="360" w:lineRule="auto"/>
        <w:ind w:firstLine="420" w:firstLineChars="200"/>
        <w:outlineLvl w:val="3"/>
        <w:rPr>
          <w:rFonts w:ascii="宋体" w:hAnsi="宋体" w:cs="宋体"/>
          <w:color w:val="auto"/>
          <w:highlight w:val="none"/>
        </w:rPr>
      </w:pPr>
      <w:bookmarkStart w:id="200" w:name="_Ref4423563"/>
      <w:bookmarkEnd w:id="200"/>
      <w:r>
        <w:rPr>
          <w:rFonts w:hint="eastAsia" w:ascii="宋体" w:hAnsi="宋体" w:cs="宋体"/>
          <w:color w:val="auto"/>
          <w:szCs w:val="21"/>
          <w:highlight w:val="none"/>
          <w:lang w:bidi="ar"/>
        </w:rPr>
        <w:t>1.10.1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p>
    <w:p w14:paraId="673912E1">
      <w:pPr>
        <w:widowControl/>
        <w:adjustRightInd w:val="0"/>
        <w:snapToGrid w:val="0"/>
        <w:spacing w:after="120" w:afterLines="50" w:line="360" w:lineRule="auto"/>
        <w:ind w:firstLine="420" w:firstLineChars="200"/>
        <w:outlineLvl w:val="3"/>
        <w:rPr>
          <w:rFonts w:ascii="宋体" w:hAnsi="宋体" w:cs="宋体"/>
          <w:color w:val="auto"/>
          <w:highlight w:val="none"/>
        </w:rPr>
      </w:pPr>
      <w:bookmarkStart w:id="201" w:name="_Ref4423604"/>
      <w:bookmarkEnd w:id="201"/>
      <w:r>
        <w:rPr>
          <w:rFonts w:hint="eastAsia" w:ascii="宋体" w:hAnsi="宋体" w:cs="宋体"/>
          <w:color w:val="auto"/>
          <w:szCs w:val="21"/>
          <w:highlight w:val="none"/>
          <w:lang w:bidi="ar"/>
        </w:rPr>
        <w:t>1.10.2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p>
    <w:p w14:paraId="7905FE5C">
      <w:pPr>
        <w:widowControl/>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1.10.3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14:paraId="2903C96F">
      <w:pPr>
        <w:widowControl/>
        <w:adjustRightInd w:val="0"/>
        <w:snapToGrid w:val="0"/>
        <w:spacing w:after="120" w:afterLines="50" w:line="360" w:lineRule="auto"/>
        <w:ind w:firstLine="420" w:firstLineChars="200"/>
        <w:outlineLvl w:val="3"/>
        <w:rPr>
          <w:rFonts w:ascii="宋体" w:hAnsi="宋体" w:cs="宋体"/>
          <w:color w:val="auto"/>
          <w:highlight w:val="none"/>
        </w:rPr>
      </w:pPr>
      <w:bookmarkStart w:id="202" w:name="_Ref4423695"/>
      <w:bookmarkEnd w:id="202"/>
      <w:r>
        <w:rPr>
          <w:rFonts w:hint="eastAsia" w:ascii="宋体" w:hAnsi="宋体" w:cs="宋体"/>
          <w:color w:val="auto"/>
          <w:szCs w:val="21"/>
          <w:highlight w:val="none"/>
          <w:lang w:bidi="ar"/>
        </w:rPr>
        <w:t>1.10.4除专用合同条件另有约定外，承包人在投标文件中采用的专利、专有技术、商业软件、技术秘密的使用费已包含在签约合同价中。</w:t>
      </w:r>
    </w:p>
    <w:p w14:paraId="2BAA2BCC">
      <w:pPr>
        <w:widowControl/>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1.10.5合同当事人可就本合同涉及的合同一方、或合同双方（含一方或双方相关的专利商或第三方设计单位)的技术专利、建筑设计方案、专有技术、设计文件著作权等知识产权，订立知识产权及保密协议，作为本合同的组成部分。</w:t>
      </w:r>
    </w:p>
    <w:p w14:paraId="28B38B13">
      <w:pPr>
        <w:widowControl/>
        <w:wordWrap w:val="0"/>
        <w:topLinePunct/>
        <w:adjustRightInd w:val="0"/>
        <w:snapToGrid w:val="0"/>
        <w:spacing w:after="120" w:afterLines="50" w:line="360" w:lineRule="auto"/>
        <w:outlineLvl w:val="2"/>
        <w:rPr>
          <w:rFonts w:ascii="宋体" w:hAnsi="宋体" w:cs="宋体"/>
          <w:color w:val="auto"/>
          <w:highlight w:val="none"/>
        </w:rPr>
      </w:pPr>
      <w:bookmarkStart w:id="203" w:name="_Ref4423898"/>
      <w:bookmarkEnd w:id="203"/>
      <w:bookmarkStart w:id="204" w:name="_Ref4423873"/>
      <w:bookmarkEnd w:id="204"/>
      <w:bookmarkStart w:id="205" w:name="_Toc20171733"/>
      <w:bookmarkStart w:id="206" w:name="_Toc6051"/>
      <w:bookmarkStart w:id="207" w:name="_Toc24212"/>
      <w:bookmarkStart w:id="208" w:name="_Toc58860168"/>
      <w:bookmarkStart w:id="209" w:name="_Toc179885254"/>
      <w:bookmarkStart w:id="210" w:name="_Toc51766581"/>
      <w:bookmarkStart w:id="211" w:name="_Toc84930718"/>
      <w:bookmarkStart w:id="212" w:name="_Toc20020"/>
      <w:r>
        <w:rPr>
          <w:rFonts w:hint="eastAsia" w:ascii="宋体" w:hAnsi="宋体" w:cs="宋体"/>
          <w:color w:val="auto"/>
          <w:szCs w:val="21"/>
          <w:highlight w:val="none"/>
          <w:lang w:bidi="ar"/>
        </w:rPr>
        <w:t xml:space="preserve">1.11  </w:t>
      </w:r>
      <w:bookmarkEnd w:id="205"/>
      <w:r>
        <w:rPr>
          <w:rFonts w:hint="eastAsia" w:ascii="宋体" w:hAnsi="宋体" w:cs="宋体"/>
          <w:color w:val="auto"/>
          <w:szCs w:val="21"/>
          <w:highlight w:val="none"/>
          <w:lang w:bidi="ar"/>
        </w:rPr>
        <w:t>保密</w:t>
      </w:r>
      <w:bookmarkEnd w:id="206"/>
      <w:bookmarkEnd w:id="207"/>
      <w:bookmarkEnd w:id="208"/>
      <w:bookmarkEnd w:id="209"/>
      <w:bookmarkEnd w:id="210"/>
      <w:bookmarkEnd w:id="211"/>
      <w:bookmarkEnd w:id="212"/>
    </w:p>
    <w:p w14:paraId="761B108A">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合同当事人一方对在订立和履行合同过程中知悉的另一方的商业秘密、技术秘密，以及任何一方明确要求保密的其它信息，负有保密责任。</w:t>
      </w:r>
    </w:p>
    <w:p w14:paraId="71AEC8D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除法律规定或合同另有约定外，未经对方同意，任何一方当事人不得将对方提供的文件、技术秘密以及声明需要保密的资料信息等商业秘密泄露给第三方或者用于本合同以外的目的。</w:t>
      </w:r>
    </w:p>
    <w:p w14:paraId="796B8BA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14:paraId="7D515DDC">
      <w:pPr>
        <w:widowControl/>
        <w:wordWrap w:val="0"/>
        <w:topLinePunct/>
        <w:adjustRightInd w:val="0"/>
        <w:snapToGrid w:val="0"/>
        <w:spacing w:after="120" w:afterLines="50" w:line="360" w:lineRule="auto"/>
        <w:outlineLvl w:val="2"/>
        <w:rPr>
          <w:rFonts w:ascii="宋体" w:hAnsi="宋体" w:cs="宋体"/>
          <w:color w:val="auto"/>
          <w:highlight w:val="none"/>
        </w:rPr>
      </w:pPr>
      <w:bookmarkStart w:id="213" w:name="_Ref532336812"/>
      <w:bookmarkEnd w:id="213"/>
      <w:bookmarkStart w:id="214" w:name="_Toc20171734"/>
      <w:bookmarkStart w:id="215" w:name="_Toc84930719"/>
      <w:bookmarkStart w:id="216" w:name="_Toc179885255"/>
      <w:bookmarkStart w:id="217" w:name="_Toc58860169"/>
      <w:bookmarkStart w:id="218" w:name="_Toc2004"/>
      <w:bookmarkStart w:id="219" w:name="_Toc51766582"/>
      <w:bookmarkStart w:id="220" w:name="_Toc31924"/>
      <w:bookmarkStart w:id="221" w:name="_Toc25330"/>
      <w:r>
        <w:rPr>
          <w:rFonts w:hint="eastAsia" w:ascii="宋体" w:hAnsi="宋体" w:cs="宋体"/>
          <w:color w:val="auto"/>
          <w:szCs w:val="21"/>
          <w:highlight w:val="none"/>
          <w:lang w:bidi="ar"/>
        </w:rPr>
        <w:t>1</w:t>
      </w:r>
      <w:bookmarkEnd w:id="214"/>
      <w:r>
        <w:rPr>
          <w:rFonts w:hint="eastAsia" w:ascii="宋体" w:hAnsi="宋体" w:cs="宋体"/>
          <w:color w:val="auto"/>
          <w:szCs w:val="21"/>
          <w:highlight w:val="none"/>
          <w:lang w:bidi="ar"/>
        </w:rPr>
        <w:t>.12  《发包人要求》和基础资料中的错误</w:t>
      </w:r>
      <w:bookmarkEnd w:id="215"/>
      <w:bookmarkEnd w:id="216"/>
      <w:bookmarkEnd w:id="217"/>
      <w:bookmarkEnd w:id="218"/>
      <w:bookmarkEnd w:id="219"/>
      <w:bookmarkEnd w:id="220"/>
      <w:bookmarkEnd w:id="221"/>
    </w:p>
    <w:p w14:paraId="7AD0CDCE">
      <w:pPr>
        <w:widowControl/>
        <w:wordWrap w:val="0"/>
        <w:topLinePunct/>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承包人应尽早认真阅读、复核《发包人要求》以及其提供的基础资料，发现错误的，应及时书面通知发包人补正。发包人作相应修改的，按照第13条[变更与调整]的约定处理。</w:t>
      </w:r>
    </w:p>
    <w:p w14:paraId="01232B0A">
      <w:pPr>
        <w:widowControl/>
        <w:wordWrap w:val="0"/>
        <w:topLinePunct/>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《发包人要求》或其提供的基础资料中的错误导致承包人增加费用和（或）工期延误的，发包人应承担由此增加的费用和（或）工期延误，并向承包人支付合理利润。</w:t>
      </w:r>
    </w:p>
    <w:p w14:paraId="637F494A">
      <w:pPr>
        <w:widowControl/>
        <w:wordWrap w:val="0"/>
        <w:topLinePunct/>
        <w:adjustRightInd w:val="0"/>
        <w:snapToGrid w:val="0"/>
        <w:spacing w:after="120" w:afterLines="50" w:line="360" w:lineRule="auto"/>
        <w:outlineLvl w:val="2"/>
        <w:rPr>
          <w:rFonts w:hint="eastAsia" w:ascii="宋体" w:hAnsi="宋体" w:cs="宋体"/>
          <w:color w:val="auto"/>
          <w:kern w:val="0"/>
          <w:szCs w:val="21"/>
          <w:highlight w:val="none"/>
          <w:lang w:bidi="ar"/>
        </w:rPr>
      </w:pPr>
      <w:bookmarkStart w:id="222" w:name="_Ref531949937"/>
      <w:bookmarkEnd w:id="222"/>
      <w:bookmarkStart w:id="223" w:name="_Toc20171735"/>
      <w:bookmarkEnd w:id="223"/>
      <w:bookmarkStart w:id="224" w:name="_Ref531949933"/>
      <w:bookmarkStart w:id="225" w:name="_Toc58860170"/>
      <w:bookmarkStart w:id="226" w:name="_Toc23034"/>
      <w:bookmarkStart w:id="227" w:name="_Toc179885256"/>
      <w:bookmarkStart w:id="228" w:name="_Toc4532"/>
      <w:bookmarkStart w:id="229" w:name="_Toc51766583"/>
      <w:bookmarkStart w:id="230" w:name="_Toc6982"/>
      <w:bookmarkStart w:id="231" w:name="_Toc84930720"/>
      <w:r>
        <w:rPr>
          <w:rFonts w:hint="eastAsia" w:ascii="宋体" w:hAnsi="宋体" w:cs="宋体"/>
          <w:color w:val="auto"/>
          <w:szCs w:val="21"/>
          <w:highlight w:val="none"/>
          <w:lang w:bidi="ar"/>
        </w:rPr>
        <w:t>1</w:t>
      </w:r>
      <w:bookmarkEnd w:id="224"/>
      <w:r>
        <w:rPr>
          <w:rFonts w:hint="eastAsia" w:ascii="宋体" w:hAnsi="宋体" w:cs="宋体"/>
          <w:color w:val="auto"/>
          <w:szCs w:val="21"/>
          <w:highlight w:val="none"/>
          <w:lang w:bidi="ar"/>
        </w:rPr>
        <w:t xml:space="preserve">.13 </w:t>
      </w:r>
      <w:bookmarkEnd w:id="225"/>
      <w:bookmarkEnd w:id="226"/>
      <w:bookmarkEnd w:id="227"/>
      <w:bookmarkEnd w:id="228"/>
      <w:bookmarkEnd w:id="229"/>
      <w:bookmarkEnd w:id="230"/>
      <w:bookmarkEnd w:id="231"/>
      <w:r>
        <w:rPr>
          <w:rFonts w:ascii="Arial" w:hAnsi="Arial" w:eastAsia="宋体" w:cs="Arial"/>
          <w:i w:val="0"/>
          <w:iCs w:val="0"/>
          <w:caps w:val="0"/>
          <w:color w:val="auto"/>
          <w:spacing w:val="0"/>
          <w:sz w:val="14"/>
          <w:szCs w:val="14"/>
          <w:highlight w:val="none"/>
          <w:shd w:val="clear" w:fill="FFFFFF"/>
        </w:rPr>
        <w:t> </w:t>
      </w:r>
      <w:r>
        <w:rPr>
          <w:rFonts w:hint="default" w:ascii="宋体" w:hAnsi="宋体" w:cs="宋体"/>
          <w:color w:val="auto"/>
          <w:kern w:val="0"/>
          <w:szCs w:val="21"/>
          <w:highlight w:val="none"/>
          <w:lang w:bidi="ar"/>
        </w:rPr>
        <w:t>责任限制</w:t>
      </w:r>
    </w:p>
    <w:p w14:paraId="2CC0ABA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对发包人的赔偿责任不应超过专用合同条件约定的赔偿最高限额。若专用合同条件未约定，则承包人对发包人的赔偿责任不应超过签约合同价。但对于因欺诈、犯罪、故意、重大过失、人身伤害等不当行为造成的损失，赔偿的责任限度不受上述最高限额的限制。</w:t>
      </w:r>
    </w:p>
    <w:p w14:paraId="7011D7BC">
      <w:pPr>
        <w:widowControl/>
        <w:wordWrap w:val="0"/>
        <w:topLinePunct/>
        <w:adjustRightInd w:val="0"/>
        <w:snapToGrid w:val="0"/>
        <w:spacing w:after="120" w:afterLines="50" w:line="360" w:lineRule="auto"/>
        <w:outlineLvl w:val="2"/>
        <w:rPr>
          <w:rFonts w:ascii="宋体" w:hAnsi="宋体" w:cs="宋体"/>
          <w:color w:val="auto"/>
          <w:highlight w:val="none"/>
        </w:rPr>
      </w:pPr>
      <w:bookmarkStart w:id="232" w:name="_Toc19848"/>
      <w:bookmarkStart w:id="233" w:name="_Toc84930721"/>
      <w:bookmarkStart w:id="234" w:name="_Toc51766584"/>
      <w:bookmarkStart w:id="235" w:name="_Toc25550"/>
      <w:bookmarkStart w:id="236" w:name="_Toc179885257"/>
      <w:bookmarkStart w:id="237" w:name="_Toc8652"/>
      <w:bookmarkStart w:id="238" w:name="_Toc58860171"/>
      <w:r>
        <w:rPr>
          <w:rFonts w:hint="eastAsia" w:ascii="宋体" w:hAnsi="宋体" w:cs="宋体"/>
          <w:color w:val="auto"/>
          <w:szCs w:val="21"/>
          <w:highlight w:val="none"/>
          <w:lang w:bidi="ar"/>
        </w:rPr>
        <w:t>1.14  建筑信息模型技术的应用</w:t>
      </w:r>
      <w:bookmarkEnd w:id="232"/>
      <w:bookmarkEnd w:id="233"/>
      <w:bookmarkEnd w:id="234"/>
      <w:bookmarkEnd w:id="235"/>
      <w:bookmarkEnd w:id="236"/>
      <w:bookmarkEnd w:id="237"/>
      <w:bookmarkEnd w:id="238"/>
    </w:p>
    <w:p w14:paraId="32FD10A0">
      <w:pPr>
        <w:widowControl/>
        <w:wordWrap w:val="0"/>
        <w:topLinePunct/>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14:paraId="29C5E3BF">
      <w:pPr>
        <w:widowControl/>
        <w:adjustRightInd w:val="0"/>
        <w:snapToGrid w:val="0"/>
        <w:spacing w:after="120" w:afterLines="50" w:line="360" w:lineRule="auto"/>
        <w:outlineLvl w:val="1"/>
        <w:rPr>
          <w:rFonts w:ascii="宋体" w:hAnsi="宋体" w:cs="宋体"/>
          <w:color w:val="auto"/>
          <w:kern w:val="0"/>
          <w:highlight w:val="none"/>
        </w:rPr>
      </w:pPr>
      <w:bookmarkStart w:id="239" w:name="_Toc20171736"/>
      <w:bookmarkEnd w:id="239"/>
      <w:bookmarkStart w:id="240" w:name="_Ref4796511"/>
      <w:bookmarkStart w:id="241" w:name="_Toc179885258"/>
      <w:r>
        <w:rPr>
          <w:rFonts w:hint="eastAsia" w:ascii="宋体" w:hAnsi="宋体" w:cs="宋体"/>
          <w:color w:val="auto"/>
          <w:kern w:val="0"/>
          <w:szCs w:val="21"/>
          <w:highlight w:val="none"/>
          <w:lang w:bidi="ar"/>
        </w:rPr>
        <w:t xml:space="preserve">第2条 </w:t>
      </w:r>
      <w:bookmarkEnd w:id="240"/>
      <w:r>
        <w:rPr>
          <w:rFonts w:hint="eastAsia" w:ascii="宋体" w:hAnsi="宋体" w:cs="宋体"/>
          <w:color w:val="auto"/>
          <w:kern w:val="0"/>
          <w:szCs w:val="21"/>
          <w:highlight w:val="none"/>
          <w:lang w:bidi="ar"/>
        </w:rPr>
        <w:t xml:space="preserve"> 发包人</w:t>
      </w:r>
      <w:bookmarkEnd w:id="241"/>
      <w:bookmarkStart w:id="242" w:name="_Toc20171737"/>
      <w:bookmarkEnd w:id="242"/>
    </w:p>
    <w:p w14:paraId="7350ABFF">
      <w:pPr>
        <w:widowControl/>
        <w:wordWrap w:val="0"/>
        <w:topLinePunct/>
        <w:adjustRightInd w:val="0"/>
        <w:snapToGrid w:val="0"/>
        <w:spacing w:after="120" w:afterLines="50" w:line="360" w:lineRule="auto"/>
        <w:outlineLvl w:val="1"/>
        <w:rPr>
          <w:rFonts w:ascii="宋体" w:hAnsi="宋体" w:cs="宋体"/>
          <w:color w:val="auto"/>
          <w:kern w:val="0"/>
          <w:highlight w:val="none"/>
        </w:rPr>
      </w:pPr>
      <w:bookmarkStart w:id="243" w:name="_Toc58860173"/>
      <w:bookmarkStart w:id="244" w:name="_Toc19402"/>
      <w:bookmarkStart w:id="245" w:name="_Toc32045"/>
      <w:bookmarkStart w:id="246" w:name="_Toc84930723"/>
      <w:bookmarkStart w:id="247" w:name="_Toc3169"/>
      <w:bookmarkStart w:id="248" w:name="_Toc51766586"/>
      <w:bookmarkStart w:id="249" w:name="_Toc179885259"/>
      <w:r>
        <w:rPr>
          <w:rFonts w:hint="eastAsia" w:ascii="宋体" w:hAnsi="宋体" w:cs="宋体"/>
          <w:color w:val="auto"/>
          <w:kern w:val="0"/>
          <w:szCs w:val="21"/>
          <w:highlight w:val="none"/>
          <w:lang w:bidi="ar"/>
        </w:rPr>
        <w:t>2.1  遵守法律</w:t>
      </w:r>
      <w:bookmarkEnd w:id="243"/>
      <w:bookmarkEnd w:id="244"/>
      <w:bookmarkEnd w:id="245"/>
      <w:bookmarkEnd w:id="246"/>
      <w:bookmarkEnd w:id="247"/>
      <w:bookmarkEnd w:id="248"/>
      <w:bookmarkEnd w:id="249"/>
    </w:p>
    <w:p w14:paraId="12D46CB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14:paraId="44BAFC55">
      <w:pPr>
        <w:widowControl/>
        <w:wordWrap w:val="0"/>
        <w:topLinePunct/>
        <w:adjustRightInd w:val="0"/>
        <w:snapToGrid w:val="0"/>
        <w:spacing w:after="120" w:afterLines="50" w:line="360" w:lineRule="auto"/>
        <w:outlineLvl w:val="1"/>
        <w:rPr>
          <w:rFonts w:ascii="宋体" w:hAnsi="宋体" w:cs="宋体"/>
          <w:color w:val="auto"/>
          <w:kern w:val="0"/>
          <w:highlight w:val="none"/>
        </w:rPr>
      </w:pPr>
      <w:bookmarkStart w:id="250" w:name="_Toc20171738"/>
      <w:bookmarkEnd w:id="250"/>
      <w:bookmarkStart w:id="251" w:name="_Ref11917977"/>
      <w:bookmarkEnd w:id="251"/>
      <w:bookmarkStart w:id="252" w:name="_Ref11917995"/>
      <w:bookmarkStart w:id="253" w:name="_Toc16167"/>
      <w:bookmarkStart w:id="254" w:name="_Toc51766587"/>
      <w:bookmarkStart w:id="255" w:name="_Toc22419"/>
      <w:bookmarkStart w:id="256" w:name="_Toc58860174"/>
      <w:bookmarkStart w:id="257" w:name="_Toc8155"/>
      <w:bookmarkStart w:id="258" w:name="_Toc179885260"/>
      <w:bookmarkStart w:id="259" w:name="_Toc84930724"/>
      <w:r>
        <w:rPr>
          <w:rFonts w:hint="eastAsia" w:ascii="宋体" w:hAnsi="宋体" w:cs="宋体"/>
          <w:color w:val="auto"/>
          <w:kern w:val="0"/>
          <w:szCs w:val="21"/>
          <w:highlight w:val="none"/>
          <w:lang w:bidi="ar"/>
        </w:rPr>
        <w:t>2</w:t>
      </w:r>
      <w:bookmarkEnd w:id="252"/>
      <w:r>
        <w:rPr>
          <w:rFonts w:hint="eastAsia" w:ascii="宋体" w:hAnsi="宋体" w:cs="宋体"/>
          <w:color w:val="auto"/>
          <w:kern w:val="0"/>
          <w:szCs w:val="21"/>
          <w:highlight w:val="none"/>
          <w:lang w:bidi="ar"/>
        </w:rPr>
        <w:t>.2  提供施工现场和工作条件</w:t>
      </w:r>
      <w:bookmarkEnd w:id="253"/>
      <w:bookmarkEnd w:id="254"/>
      <w:bookmarkEnd w:id="255"/>
      <w:bookmarkEnd w:id="256"/>
      <w:bookmarkEnd w:id="257"/>
      <w:bookmarkEnd w:id="258"/>
      <w:bookmarkEnd w:id="259"/>
    </w:p>
    <w:p w14:paraId="57A139C0">
      <w:pPr>
        <w:widowControl/>
        <w:numPr>
          <w:ilvl w:val="0"/>
          <w:numId w:val="5"/>
        </w:numPr>
        <w:wordWrap w:val="0"/>
        <w:topLinePunct/>
        <w:adjustRightInd w:val="0"/>
        <w:snapToGrid w:val="0"/>
        <w:spacing w:after="120" w:afterLines="50" w:line="360" w:lineRule="auto"/>
        <w:ind w:firstLine="422" w:firstLineChars="200"/>
        <w:outlineLvl w:val="2"/>
        <w:rPr>
          <w:rFonts w:ascii="宋体" w:hAnsi="宋体" w:cs="宋体"/>
          <w:b/>
          <w:vanish/>
          <w:color w:val="auto"/>
          <w:highlight w:val="none"/>
        </w:rPr>
      </w:pPr>
      <w:bookmarkStart w:id="260" w:name="_Toc84930725"/>
      <w:bookmarkEnd w:id="260"/>
      <w:bookmarkStart w:id="261" w:name="_Toc2583"/>
      <w:bookmarkEnd w:id="261"/>
      <w:bookmarkStart w:id="262" w:name="_Toc51766588"/>
      <w:bookmarkEnd w:id="262"/>
      <w:bookmarkStart w:id="263" w:name="_Toc179885261"/>
      <w:bookmarkEnd w:id="263"/>
      <w:bookmarkStart w:id="264" w:name="_Toc58860175"/>
      <w:bookmarkEnd w:id="264"/>
      <w:bookmarkStart w:id="265" w:name="_Ref531950085"/>
      <w:bookmarkEnd w:id="265"/>
      <w:bookmarkStart w:id="266" w:name="_Toc11090"/>
      <w:bookmarkEnd w:id="266"/>
    </w:p>
    <w:p w14:paraId="73A3FA36">
      <w:pPr>
        <w:widowControl/>
        <w:numPr>
          <w:ilvl w:val="1"/>
          <w:numId w:val="5"/>
        </w:numPr>
        <w:wordWrap w:val="0"/>
        <w:topLinePunct/>
        <w:adjustRightInd w:val="0"/>
        <w:snapToGrid w:val="0"/>
        <w:spacing w:after="120" w:afterLines="50" w:line="360" w:lineRule="auto"/>
        <w:ind w:firstLine="422" w:firstLineChars="200"/>
        <w:outlineLvl w:val="2"/>
        <w:rPr>
          <w:rFonts w:ascii="宋体" w:hAnsi="宋体" w:cs="宋体"/>
          <w:b/>
          <w:vanish/>
          <w:color w:val="auto"/>
          <w:highlight w:val="none"/>
        </w:rPr>
      </w:pPr>
      <w:bookmarkStart w:id="267" w:name="_Toc84930726"/>
      <w:bookmarkEnd w:id="267"/>
      <w:bookmarkStart w:id="268" w:name="_Toc28319"/>
      <w:bookmarkEnd w:id="268"/>
      <w:bookmarkStart w:id="269" w:name="_Toc179885262"/>
      <w:bookmarkEnd w:id="269"/>
      <w:bookmarkStart w:id="270" w:name="_Toc51766589"/>
      <w:bookmarkEnd w:id="270"/>
      <w:bookmarkStart w:id="271" w:name="_Toc21955"/>
      <w:bookmarkEnd w:id="271"/>
      <w:bookmarkStart w:id="272" w:name="_Toc58860176"/>
      <w:bookmarkEnd w:id="272"/>
    </w:p>
    <w:p w14:paraId="73402434">
      <w:pPr>
        <w:widowControl/>
        <w:numPr>
          <w:ilvl w:val="1"/>
          <w:numId w:val="5"/>
        </w:numPr>
        <w:wordWrap w:val="0"/>
        <w:topLinePunct/>
        <w:adjustRightInd w:val="0"/>
        <w:snapToGrid w:val="0"/>
        <w:spacing w:after="120" w:afterLines="50" w:line="360" w:lineRule="auto"/>
        <w:ind w:firstLine="422" w:firstLineChars="200"/>
        <w:outlineLvl w:val="2"/>
        <w:rPr>
          <w:rFonts w:ascii="宋体" w:hAnsi="宋体" w:cs="宋体"/>
          <w:b/>
          <w:vanish/>
          <w:color w:val="auto"/>
          <w:highlight w:val="none"/>
        </w:rPr>
      </w:pPr>
      <w:bookmarkStart w:id="273" w:name="_Toc179885263"/>
      <w:bookmarkEnd w:id="273"/>
      <w:bookmarkStart w:id="274" w:name="_Toc21587"/>
      <w:bookmarkEnd w:id="274"/>
      <w:bookmarkStart w:id="275" w:name="_Toc51766590"/>
      <w:bookmarkEnd w:id="275"/>
      <w:bookmarkStart w:id="276" w:name="_Toc84930727"/>
      <w:bookmarkEnd w:id="276"/>
      <w:bookmarkStart w:id="277" w:name="_Toc58860177"/>
      <w:bookmarkEnd w:id="277"/>
      <w:bookmarkStart w:id="278" w:name="_Toc18733"/>
      <w:bookmarkEnd w:id="278"/>
    </w:p>
    <w:p w14:paraId="2DF8324D">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2.2.1提供施工现场</w:t>
      </w:r>
    </w:p>
    <w:p w14:paraId="747B63E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7天前向承包人移交施工现场，但承包人未能按照第4.2款[履约担保]提供履约担保的除外。</w:t>
      </w:r>
    </w:p>
    <w:p w14:paraId="4B37B532">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bookmarkStart w:id="279" w:name="_Ref531950101"/>
      <w:bookmarkEnd w:id="279"/>
      <w:r>
        <w:rPr>
          <w:rFonts w:hint="eastAsia" w:ascii="宋体" w:hAnsi="宋体" w:cs="宋体"/>
          <w:color w:val="auto"/>
          <w:szCs w:val="21"/>
          <w:highlight w:val="none"/>
          <w:lang w:bidi="ar"/>
        </w:rPr>
        <w:t>2.2.2提供工作条件</w:t>
      </w:r>
    </w:p>
    <w:p w14:paraId="2766BE5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发包人应按专用合同条件约定向承包人提供工作条件。专用合同条件对此没有约定的，发包人应负责提供开展本合同相关工作所需要的条件，包括：</w:t>
      </w:r>
    </w:p>
    <w:p w14:paraId="619674C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（1）将施工用水、电力、通讯线路等施工所必需的条件接至施工现场内；</w:t>
      </w:r>
    </w:p>
    <w:p w14:paraId="70E0D8B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（2）保证向承包人提供正常施工所需要的进入施工现场的交通条件；</w:t>
      </w:r>
    </w:p>
    <w:p w14:paraId="6FD97E5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（3）协调处理施工现场周围地下管线和邻近建筑物、构筑物、古树名木、文物、化石及坟墓等的保护工作，并承担相关费用；</w:t>
      </w:r>
    </w:p>
    <w:p w14:paraId="641D023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（4）对工程现场临近发包人正在使用、运行、或由发包人用于生产的建筑物、构筑物、生产装置、设施、设备等，设置隔离设施，竖立禁止入内、禁止动火的明显标志， 并以书面形式通知承包人须遵守的安全规定和位置范围；</w:t>
      </w:r>
    </w:p>
    <w:p w14:paraId="79DF6F3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（5）按照专用合同条件约定应提供的其他设施和条件。</w:t>
      </w:r>
    </w:p>
    <w:p w14:paraId="38DD0439">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2.2.3逾期提供的责任</w:t>
      </w:r>
    </w:p>
    <w:p w14:paraId="4949C4C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因发包人原因未能按合同约定及时向承包人提供施工现场和施工条件的，由发包人承担由此增加的费用和（或）延误的工期。</w:t>
      </w:r>
    </w:p>
    <w:p w14:paraId="70005CDF">
      <w:pPr>
        <w:widowControl/>
        <w:wordWrap w:val="0"/>
        <w:topLinePunct/>
        <w:adjustRightInd w:val="0"/>
        <w:snapToGrid w:val="0"/>
        <w:spacing w:after="120" w:afterLines="50" w:line="360" w:lineRule="auto"/>
        <w:outlineLvl w:val="1"/>
        <w:rPr>
          <w:rFonts w:ascii="宋体" w:hAnsi="宋体" w:cs="宋体"/>
          <w:color w:val="auto"/>
          <w:kern w:val="0"/>
          <w:highlight w:val="none"/>
        </w:rPr>
      </w:pPr>
      <w:bookmarkStart w:id="280" w:name="_Toc20171739"/>
      <w:bookmarkEnd w:id="280"/>
      <w:bookmarkStart w:id="281" w:name="_Ref11956647"/>
      <w:bookmarkEnd w:id="281"/>
      <w:bookmarkStart w:id="282" w:name="_Ref11918036"/>
      <w:bookmarkEnd w:id="282"/>
      <w:bookmarkStart w:id="283" w:name="_Ref11956654"/>
      <w:bookmarkEnd w:id="283"/>
      <w:bookmarkStart w:id="284" w:name="_Ref11918025"/>
      <w:bookmarkStart w:id="285" w:name="_Toc22653"/>
      <w:bookmarkStart w:id="286" w:name="_Toc21035"/>
      <w:bookmarkStart w:id="287" w:name="_Toc51766591"/>
      <w:bookmarkStart w:id="288" w:name="_Toc8858"/>
      <w:bookmarkStart w:id="289" w:name="_Toc179885264"/>
      <w:bookmarkStart w:id="290" w:name="_Toc58860178"/>
      <w:bookmarkStart w:id="291" w:name="_Toc84930728"/>
      <w:r>
        <w:rPr>
          <w:rFonts w:hint="eastAsia" w:ascii="宋体" w:hAnsi="宋体" w:cs="宋体"/>
          <w:color w:val="auto"/>
          <w:kern w:val="0"/>
          <w:szCs w:val="21"/>
          <w:highlight w:val="none"/>
          <w:lang w:bidi="ar"/>
        </w:rPr>
        <w:t>2</w:t>
      </w:r>
      <w:bookmarkEnd w:id="284"/>
      <w:r>
        <w:rPr>
          <w:rFonts w:hint="eastAsia" w:ascii="宋体" w:hAnsi="宋体" w:cs="宋体"/>
          <w:color w:val="auto"/>
          <w:kern w:val="0"/>
          <w:szCs w:val="21"/>
          <w:highlight w:val="none"/>
          <w:lang w:bidi="ar"/>
        </w:rPr>
        <w:t>.3  提供基础资料</w:t>
      </w:r>
      <w:bookmarkEnd w:id="285"/>
      <w:bookmarkEnd w:id="286"/>
      <w:bookmarkEnd w:id="287"/>
      <w:bookmarkEnd w:id="288"/>
      <w:bookmarkEnd w:id="289"/>
      <w:bookmarkEnd w:id="290"/>
      <w:bookmarkEnd w:id="291"/>
    </w:p>
    <w:p w14:paraId="4904CB8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应按专用合同条件和《发包人要求》中的约定向承包人提供施工现场及工程实施所必需的毗邻区域内的供水、排水、供电、供气、供热、通信、广播电视等地上、地下管线和设施资料，气象和水文观测资料，地质勘察资料，相邻建筑物、构筑物和地下工程等有关基础资料，并根据第1.12款[《发包人要求》和基础资料中的错误]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14:paraId="0D875007">
      <w:pPr>
        <w:widowControl/>
        <w:wordWrap w:val="0"/>
        <w:topLinePunct/>
        <w:adjustRightInd w:val="0"/>
        <w:snapToGrid w:val="0"/>
        <w:spacing w:after="120" w:afterLines="50" w:line="360" w:lineRule="auto"/>
        <w:outlineLvl w:val="1"/>
        <w:rPr>
          <w:rFonts w:ascii="宋体" w:hAnsi="宋体" w:cs="宋体"/>
          <w:color w:val="auto"/>
          <w:kern w:val="0"/>
          <w:highlight w:val="none"/>
        </w:rPr>
      </w:pPr>
      <w:bookmarkStart w:id="292" w:name="_Toc20171740"/>
      <w:bookmarkEnd w:id="292"/>
      <w:bookmarkStart w:id="293" w:name="_Ref531950045"/>
      <w:bookmarkEnd w:id="293"/>
      <w:bookmarkStart w:id="294" w:name="_Ref531950041"/>
      <w:bookmarkStart w:id="295" w:name="_Toc5242"/>
      <w:bookmarkStart w:id="296" w:name="_Toc51766592"/>
      <w:bookmarkStart w:id="297" w:name="_Toc58860179"/>
      <w:bookmarkStart w:id="298" w:name="_Toc84930729"/>
      <w:bookmarkStart w:id="299" w:name="_Toc21118"/>
      <w:bookmarkStart w:id="300" w:name="_Toc26446"/>
      <w:bookmarkStart w:id="301" w:name="_Toc179885265"/>
      <w:r>
        <w:rPr>
          <w:rFonts w:hint="eastAsia" w:ascii="宋体" w:hAnsi="宋体" w:cs="宋体"/>
          <w:color w:val="auto"/>
          <w:kern w:val="0"/>
          <w:szCs w:val="21"/>
          <w:highlight w:val="none"/>
          <w:lang w:bidi="ar"/>
        </w:rPr>
        <w:t>2</w:t>
      </w:r>
      <w:bookmarkEnd w:id="294"/>
      <w:r>
        <w:rPr>
          <w:rFonts w:hint="eastAsia" w:ascii="宋体" w:hAnsi="宋体" w:cs="宋体"/>
          <w:color w:val="auto"/>
          <w:kern w:val="0"/>
          <w:szCs w:val="21"/>
          <w:highlight w:val="none"/>
          <w:lang w:bidi="ar"/>
        </w:rPr>
        <w:t>.4  办理许可和批准</w:t>
      </w:r>
      <w:bookmarkEnd w:id="295"/>
      <w:bookmarkEnd w:id="296"/>
      <w:bookmarkEnd w:id="297"/>
      <w:bookmarkEnd w:id="298"/>
      <w:bookmarkEnd w:id="299"/>
      <w:bookmarkEnd w:id="300"/>
      <w:bookmarkEnd w:id="301"/>
    </w:p>
    <w:p w14:paraId="1618DF85">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2.4.1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p>
    <w:p w14:paraId="7C40F087">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2.4.2因发包人原因未能及时办理完毕前述许可、批准或备案，由发包人承担由此增加的费用和（或）延误的工期，并支付承包人合理的利润。</w:t>
      </w:r>
    </w:p>
    <w:p w14:paraId="46327FF3">
      <w:pPr>
        <w:widowControl/>
        <w:wordWrap w:val="0"/>
        <w:topLinePunct/>
        <w:adjustRightInd w:val="0"/>
        <w:snapToGrid w:val="0"/>
        <w:spacing w:after="120" w:afterLines="50" w:line="360" w:lineRule="auto"/>
        <w:outlineLvl w:val="1"/>
        <w:rPr>
          <w:rFonts w:ascii="宋体" w:hAnsi="宋体" w:cs="宋体"/>
          <w:color w:val="auto"/>
          <w:kern w:val="0"/>
          <w:highlight w:val="none"/>
        </w:rPr>
      </w:pPr>
      <w:bookmarkStart w:id="302" w:name="_Ref11956525"/>
      <w:bookmarkEnd w:id="302"/>
      <w:bookmarkStart w:id="303" w:name="_Ref11918060"/>
      <w:bookmarkEnd w:id="303"/>
      <w:bookmarkStart w:id="304" w:name="_Toc20171741"/>
      <w:bookmarkEnd w:id="304"/>
      <w:bookmarkStart w:id="305" w:name="_Ref11918070"/>
      <w:bookmarkEnd w:id="305"/>
      <w:bookmarkStart w:id="306" w:name="_Ref11956533"/>
      <w:bookmarkStart w:id="307" w:name="_Toc51766593"/>
      <w:bookmarkStart w:id="308" w:name="_Toc84930730"/>
      <w:bookmarkStart w:id="309" w:name="_Toc30604"/>
      <w:bookmarkStart w:id="310" w:name="_Toc11186"/>
      <w:bookmarkStart w:id="311" w:name="_Toc58860180"/>
      <w:bookmarkStart w:id="312" w:name="_Toc179885266"/>
      <w:bookmarkStart w:id="313" w:name="_Toc28834"/>
      <w:r>
        <w:rPr>
          <w:rFonts w:hint="eastAsia" w:ascii="宋体" w:hAnsi="宋体" w:cs="宋体"/>
          <w:color w:val="auto"/>
          <w:kern w:val="0"/>
          <w:szCs w:val="21"/>
          <w:highlight w:val="none"/>
          <w:lang w:bidi="ar"/>
        </w:rPr>
        <w:t>2.5  支付合同价款</w:t>
      </w:r>
      <w:bookmarkEnd w:id="306"/>
      <w:bookmarkEnd w:id="307"/>
      <w:bookmarkEnd w:id="308"/>
      <w:bookmarkEnd w:id="309"/>
      <w:bookmarkEnd w:id="310"/>
      <w:bookmarkEnd w:id="311"/>
      <w:bookmarkEnd w:id="312"/>
      <w:bookmarkEnd w:id="313"/>
    </w:p>
    <w:p w14:paraId="30EFA293">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bookmarkStart w:id="314" w:name="_Ref531950147"/>
      <w:bookmarkEnd w:id="314"/>
      <w:r>
        <w:rPr>
          <w:rFonts w:hint="eastAsia" w:ascii="宋体" w:hAnsi="宋体" w:cs="宋体"/>
          <w:color w:val="auto"/>
          <w:szCs w:val="21"/>
          <w:highlight w:val="none"/>
          <w:lang w:bidi="ar"/>
        </w:rPr>
        <w:t>2.5.1发包人应按合同约定向承包人及时支付合同价款。</w:t>
      </w:r>
    </w:p>
    <w:p w14:paraId="4045F8CF">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2.5.2发包人应当制定资金安排计划，除专用合同条件另有约定外，如发包人拟对资金安排做任何重要变更，应将变更的详细情况通知承包人。如发生承包人收到价格大于签约合同价10%的变更指示或累计变更的总价超过签约合同价30%；或承包人未能根据第14条[合同价格与支付]收到付款，或承包人得知发包人的资金安排发生重要变更但并未收到发包人上述重要变更通知的情况，则承包人可随时要求发包人在28天内补充提供能够按照合同约定支付合同价款的相应资金来源证明。</w:t>
      </w:r>
    </w:p>
    <w:p w14:paraId="1BE20DD8">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bookmarkStart w:id="315" w:name="_Ref531950161"/>
      <w:bookmarkEnd w:id="315"/>
      <w:r>
        <w:rPr>
          <w:rFonts w:hint="eastAsia" w:ascii="宋体" w:hAnsi="宋体" w:cs="宋体"/>
          <w:color w:val="auto"/>
          <w:szCs w:val="21"/>
          <w:highlight w:val="none"/>
          <w:lang w:bidi="ar"/>
        </w:rPr>
        <w:t>2.5.3发包人应当向承包人提供支付担保。支付担保可以采用银行保函或担保公司担保等形式，具体由合同当事人在专用合同条件中约定。</w:t>
      </w:r>
    </w:p>
    <w:p w14:paraId="279E7911">
      <w:pPr>
        <w:widowControl/>
        <w:wordWrap w:val="0"/>
        <w:topLinePunct/>
        <w:adjustRightInd w:val="0"/>
        <w:snapToGrid w:val="0"/>
        <w:spacing w:after="120" w:afterLines="50" w:line="360" w:lineRule="auto"/>
        <w:outlineLvl w:val="1"/>
        <w:rPr>
          <w:rFonts w:ascii="宋体" w:hAnsi="宋体" w:cs="宋体"/>
          <w:color w:val="auto"/>
          <w:kern w:val="0"/>
          <w:highlight w:val="none"/>
        </w:rPr>
      </w:pPr>
      <w:bookmarkStart w:id="316" w:name="_Toc20171742"/>
      <w:bookmarkEnd w:id="316"/>
      <w:bookmarkStart w:id="317" w:name="_Toc179885267"/>
      <w:bookmarkStart w:id="318" w:name="_Toc19952"/>
      <w:bookmarkStart w:id="319" w:name="_Toc21197"/>
      <w:bookmarkStart w:id="320" w:name="_Toc51766594"/>
      <w:bookmarkStart w:id="321" w:name="_Toc84930731"/>
      <w:bookmarkStart w:id="322" w:name="_Toc30704"/>
      <w:bookmarkStart w:id="323" w:name="_Toc58860181"/>
      <w:r>
        <w:rPr>
          <w:rFonts w:hint="eastAsia" w:ascii="宋体" w:hAnsi="宋体" w:cs="宋体"/>
          <w:color w:val="auto"/>
          <w:kern w:val="0"/>
          <w:szCs w:val="21"/>
          <w:highlight w:val="none"/>
          <w:lang w:bidi="ar"/>
        </w:rPr>
        <w:t>2.6  现场管理配合</w:t>
      </w:r>
      <w:bookmarkEnd w:id="317"/>
      <w:bookmarkEnd w:id="318"/>
      <w:bookmarkEnd w:id="319"/>
      <w:bookmarkEnd w:id="320"/>
      <w:bookmarkEnd w:id="321"/>
      <w:bookmarkEnd w:id="322"/>
      <w:bookmarkEnd w:id="323"/>
    </w:p>
    <w:p w14:paraId="1600998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发包人应负责保证在现场或现场附近的发包人人员和发包人的其他承包人（如有）：</w:t>
      </w:r>
    </w:p>
    <w:p w14:paraId="56424C6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（1）根据第7.3款[现场合作]的约定，与承包人进行合作；</w:t>
      </w:r>
    </w:p>
    <w:p w14:paraId="1A0DF89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（2）遵守第</w:t>
      </w:r>
      <w:r>
        <w:rPr>
          <w:rFonts w:ascii="宋体" w:hAnsi="宋体" w:cs="宋体"/>
          <w:color w:val="auto"/>
          <w:kern w:val="0"/>
          <w:szCs w:val="21"/>
          <w:highlight w:val="none"/>
          <w:lang w:bidi="ar"/>
        </w:rPr>
        <w:t>7.5</w:t>
      </w:r>
      <w:r>
        <w:rPr>
          <w:rFonts w:hint="eastAsia" w:ascii="宋体" w:hAnsi="宋体" w:cs="宋体"/>
          <w:color w:val="auto"/>
          <w:kern w:val="0"/>
          <w:szCs w:val="21"/>
          <w:highlight w:val="none"/>
          <w:lang w:bidi="ar"/>
        </w:rPr>
        <w:t>款[现场劳动用工</w:t>
      </w:r>
      <w:r>
        <w:rPr>
          <w:rFonts w:ascii="宋体" w:hAnsi="宋体" w:cs="宋体"/>
          <w:color w:val="auto"/>
          <w:kern w:val="0"/>
          <w:szCs w:val="21"/>
          <w:highlight w:val="none"/>
          <w:lang w:bidi="ar"/>
        </w:rPr>
        <w:t>]</w:t>
      </w:r>
      <w:r>
        <w:rPr>
          <w:rFonts w:hint="eastAsia" w:ascii="宋体" w:hAnsi="宋体" w:cs="宋体"/>
          <w:color w:val="auto"/>
          <w:kern w:val="0"/>
          <w:szCs w:val="21"/>
          <w:highlight w:val="none"/>
          <w:lang w:bidi="ar"/>
        </w:rPr>
        <w:t>、第7.6款[安全文明施工]、第7.7款[职业健康]和第7.8款[环境保护]的相关约定。</w:t>
      </w:r>
    </w:p>
    <w:p w14:paraId="37250D5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发包人应与承包人、由发包人直接发包的其他承包人（如有）订立施工现场统一管理协议，明确各方的权利义务。</w:t>
      </w:r>
    </w:p>
    <w:p w14:paraId="13990DC9">
      <w:pPr>
        <w:widowControl/>
        <w:wordWrap w:val="0"/>
        <w:topLinePunct/>
        <w:adjustRightInd w:val="0"/>
        <w:snapToGrid w:val="0"/>
        <w:spacing w:after="120" w:afterLines="50" w:line="360" w:lineRule="auto"/>
        <w:outlineLvl w:val="1"/>
        <w:rPr>
          <w:rFonts w:ascii="宋体" w:hAnsi="宋体" w:cs="宋体"/>
          <w:color w:val="auto"/>
          <w:kern w:val="0"/>
          <w:highlight w:val="none"/>
        </w:rPr>
      </w:pPr>
      <w:bookmarkStart w:id="324" w:name="_Toc20171743"/>
      <w:bookmarkEnd w:id="324"/>
      <w:bookmarkStart w:id="325" w:name="_Ref11959376"/>
      <w:bookmarkEnd w:id="325"/>
      <w:bookmarkStart w:id="326" w:name="_Ref11959372"/>
      <w:bookmarkStart w:id="327" w:name="_Toc51766595"/>
      <w:bookmarkStart w:id="328" w:name="_Toc28117"/>
      <w:bookmarkStart w:id="329" w:name="_Toc58860182"/>
      <w:bookmarkStart w:id="330" w:name="_Toc26806"/>
      <w:bookmarkStart w:id="331" w:name="_Toc179885268"/>
      <w:bookmarkStart w:id="332" w:name="_Toc84930732"/>
      <w:bookmarkStart w:id="333" w:name="_Toc25655"/>
      <w:r>
        <w:rPr>
          <w:rFonts w:hint="eastAsia" w:ascii="宋体" w:hAnsi="宋体" w:cs="宋体"/>
          <w:color w:val="auto"/>
          <w:kern w:val="0"/>
          <w:szCs w:val="21"/>
          <w:highlight w:val="none"/>
          <w:lang w:bidi="ar"/>
        </w:rPr>
        <w:t>2</w:t>
      </w:r>
      <w:bookmarkEnd w:id="326"/>
      <w:r>
        <w:rPr>
          <w:rFonts w:hint="eastAsia" w:ascii="宋体" w:hAnsi="宋体" w:cs="宋体"/>
          <w:color w:val="auto"/>
          <w:kern w:val="0"/>
          <w:szCs w:val="21"/>
          <w:highlight w:val="none"/>
          <w:lang w:bidi="ar"/>
        </w:rPr>
        <w:t>.7  其他义务</w:t>
      </w:r>
      <w:bookmarkEnd w:id="327"/>
      <w:bookmarkEnd w:id="328"/>
      <w:bookmarkEnd w:id="329"/>
      <w:bookmarkEnd w:id="330"/>
      <w:bookmarkEnd w:id="331"/>
      <w:bookmarkEnd w:id="332"/>
      <w:bookmarkEnd w:id="333"/>
    </w:p>
    <w:p w14:paraId="2FCCE42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发包人应履行合同约定的其他义务，双方可在专用合同条件内对发包人应履行的其他义务进行补充约定。</w:t>
      </w:r>
    </w:p>
    <w:p w14:paraId="1087239E">
      <w:pPr>
        <w:widowControl/>
        <w:wordWrap w:val="0"/>
        <w:topLinePunct/>
        <w:adjustRightInd w:val="0"/>
        <w:snapToGrid w:val="0"/>
        <w:spacing w:after="120" w:afterLines="50" w:line="360" w:lineRule="auto"/>
        <w:outlineLvl w:val="1"/>
        <w:rPr>
          <w:rFonts w:ascii="宋体" w:hAnsi="宋体" w:cs="宋体"/>
          <w:color w:val="auto"/>
          <w:kern w:val="0"/>
          <w:highlight w:val="none"/>
        </w:rPr>
      </w:pPr>
      <w:bookmarkStart w:id="334" w:name="_Toc20171744"/>
      <w:bookmarkEnd w:id="334"/>
      <w:bookmarkStart w:id="335" w:name="_Ref531952791"/>
      <w:bookmarkEnd w:id="335"/>
      <w:bookmarkStart w:id="336" w:name="_Toc179885269"/>
      <w:r>
        <w:rPr>
          <w:rFonts w:hint="eastAsia" w:ascii="宋体" w:hAnsi="宋体" w:cs="宋体"/>
          <w:color w:val="auto"/>
          <w:kern w:val="0"/>
          <w:szCs w:val="21"/>
          <w:highlight w:val="none"/>
          <w:lang w:bidi="ar"/>
        </w:rPr>
        <w:t>第3条  发包人的管理</w:t>
      </w:r>
      <w:bookmarkEnd w:id="336"/>
    </w:p>
    <w:p w14:paraId="4A03B5DA">
      <w:pPr>
        <w:widowControl/>
        <w:wordWrap w:val="0"/>
        <w:topLinePunct/>
        <w:adjustRightInd w:val="0"/>
        <w:snapToGrid w:val="0"/>
        <w:spacing w:after="120" w:afterLines="50" w:line="360" w:lineRule="auto"/>
        <w:outlineLvl w:val="2"/>
        <w:rPr>
          <w:rFonts w:ascii="宋体" w:hAnsi="宋体" w:cs="宋体"/>
          <w:color w:val="auto"/>
          <w:highlight w:val="none"/>
        </w:rPr>
      </w:pPr>
      <w:bookmarkStart w:id="337" w:name="_Ref522810097"/>
      <w:bookmarkEnd w:id="337"/>
      <w:bookmarkStart w:id="338" w:name="_Toc20171745"/>
      <w:bookmarkEnd w:id="338"/>
      <w:bookmarkStart w:id="339" w:name="_Ref522810094"/>
      <w:bookmarkEnd w:id="339"/>
      <w:bookmarkStart w:id="340" w:name="_Ref531951533"/>
      <w:bookmarkEnd w:id="340"/>
      <w:bookmarkStart w:id="341" w:name="_Ref531951538"/>
      <w:bookmarkStart w:id="342" w:name="_Toc28000"/>
      <w:bookmarkStart w:id="343" w:name="_Toc26025"/>
      <w:bookmarkStart w:id="344" w:name="_Toc58860184"/>
      <w:bookmarkStart w:id="345" w:name="_Toc51766597"/>
      <w:bookmarkStart w:id="346" w:name="_Toc27386"/>
      <w:bookmarkStart w:id="347" w:name="_Toc84930734"/>
      <w:bookmarkStart w:id="348" w:name="_Toc179885270"/>
      <w:r>
        <w:rPr>
          <w:rFonts w:hint="eastAsia" w:ascii="宋体" w:hAnsi="宋体" w:cs="宋体"/>
          <w:color w:val="auto"/>
          <w:szCs w:val="21"/>
          <w:highlight w:val="none"/>
          <w:lang w:bidi="ar"/>
        </w:rPr>
        <w:t>3</w:t>
      </w:r>
      <w:bookmarkEnd w:id="341"/>
      <w:r>
        <w:rPr>
          <w:rFonts w:hint="eastAsia" w:ascii="宋体" w:hAnsi="宋体" w:cs="宋体"/>
          <w:color w:val="auto"/>
          <w:szCs w:val="21"/>
          <w:highlight w:val="none"/>
          <w:lang w:bidi="ar"/>
        </w:rPr>
        <w:t>.1  发包人代表</w:t>
      </w:r>
      <w:bookmarkEnd w:id="342"/>
      <w:bookmarkEnd w:id="343"/>
      <w:bookmarkEnd w:id="344"/>
      <w:bookmarkEnd w:id="345"/>
      <w:bookmarkEnd w:id="346"/>
      <w:bookmarkEnd w:id="347"/>
      <w:bookmarkEnd w:id="348"/>
    </w:p>
    <w:p w14:paraId="0D0B094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14:paraId="7953893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除非发包人另行通知承包人，发包人代表应被授予并且被认为具有发包人在授权范围内享有的相应权利，涉及第16.1款[由发包人解除合同]的权利除外。</w:t>
      </w:r>
    </w:p>
    <w:p w14:paraId="582D76D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发包人代表（或者在其为法人的情况下，被任命代表其行事的自然人）应：</w:t>
      </w:r>
    </w:p>
    <w:p w14:paraId="32839A7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（1）履行指派给其的职责，行使发包人托付给的权利；</w:t>
      </w:r>
    </w:p>
    <w:p w14:paraId="616E992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（2）具备履行这些职责、行使这些权利的能力；</w:t>
      </w:r>
    </w:p>
    <w:p w14:paraId="7A9ECD4A">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（3）作为熟练的专业人员行事。</w:t>
      </w:r>
    </w:p>
    <w:p w14:paraId="0FA993F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如果发包人代表为法人且在订立本合同时未能确定授权代表的，发包人代表应在本合同订立之日起3日内向双方发出书面通知，告知被任命和授权的自然人以及任何替代人员。此授权在双方收到本通知后生效。发包人代表撤销该授权或者变更授权代表时也应同样发出该通知。</w:t>
      </w:r>
    </w:p>
    <w:p w14:paraId="2A9CCAE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14:paraId="1B44041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发包人代表不能按照合同约定履行其职责及义务，并导致合同无法继续正常履行的，承包人可以要求发包人撤换发包人代表。</w:t>
      </w:r>
    </w:p>
    <w:p w14:paraId="6F3FF520">
      <w:pPr>
        <w:widowControl/>
        <w:wordWrap w:val="0"/>
        <w:topLinePunct/>
        <w:adjustRightInd w:val="0"/>
        <w:snapToGrid w:val="0"/>
        <w:spacing w:after="120" w:afterLines="50" w:line="360" w:lineRule="auto"/>
        <w:outlineLvl w:val="2"/>
        <w:rPr>
          <w:rFonts w:ascii="宋体" w:hAnsi="宋体" w:cs="宋体"/>
          <w:color w:val="auto"/>
          <w:highlight w:val="none"/>
        </w:rPr>
      </w:pPr>
      <w:bookmarkStart w:id="349" w:name="_Ref531951557"/>
      <w:bookmarkEnd w:id="349"/>
      <w:bookmarkStart w:id="350" w:name="_Toc20171746"/>
      <w:bookmarkEnd w:id="350"/>
      <w:bookmarkStart w:id="351" w:name="_Ref531951553"/>
      <w:bookmarkStart w:id="352" w:name="_Toc179885271"/>
      <w:bookmarkStart w:id="353" w:name="_Toc84930735"/>
      <w:bookmarkStart w:id="354" w:name="_Toc51766598"/>
      <w:bookmarkStart w:id="355" w:name="_Toc12170"/>
      <w:bookmarkStart w:id="356" w:name="_Toc12145"/>
      <w:bookmarkStart w:id="357" w:name="_Toc15100"/>
      <w:bookmarkStart w:id="358" w:name="_Toc58860185"/>
      <w:r>
        <w:rPr>
          <w:rFonts w:hint="eastAsia" w:ascii="宋体" w:hAnsi="宋体" w:cs="宋体"/>
          <w:color w:val="auto"/>
          <w:szCs w:val="21"/>
          <w:highlight w:val="none"/>
          <w:lang w:bidi="ar"/>
        </w:rPr>
        <w:t>3</w:t>
      </w:r>
      <w:bookmarkEnd w:id="351"/>
      <w:r>
        <w:rPr>
          <w:rFonts w:hint="eastAsia" w:ascii="宋体" w:hAnsi="宋体" w:cs="宋体"/>
          <w:color w:val="auto"/>
          <w:szCs w:val="21"/>
          <w:highlight w:val="none"/>
          <w:lang w:bidi="ar"/>
        </w:rPr>
        <w:t>.2  发包人人员</w:t>
      </w:r>
      <w:bookmarkEnd w:id="352"/>
      <w:bookmarkEnd w:id="353"/>
      <w:bookmarkEnd w:id="354"/>
      <w:bookmarkEnd w:id="355"/>
      <w:bookmarkEnd w:id="356"/>
      <w:bookmarkEnd w:id="357"/>
      <w:bookmarkEnd w:id="358"/>
    </w:p>
    <w:p w14:paraId="32EAEF4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14:paraId="748B5C8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发包人应要求在施工现场的发包人人员遵守法律及有关安全、质量、环境保护、文明施工等规定，因发包人人员未遵守上述要求给承包人造成的损失和责任由发包人承担。</w:t>
      </w:r>
    </w:p>
    <w:p w14:paraId="6B50FF42">
      <w:pPr>
        <w:widowControl/>
        <w:wordWrap w:val="0"/>
        <w:topLinePunct/>
        <w:adjustRightInd w:val="0"/>
        <w:snapToGrid w:val="0"/>
        <w:spacing w:after="120" w:afterLines="50" w:line="360" w:lineRule="auto"/>
        <w:outlineLvl w:val="2"/>
        <w:rPr>
          <w:rFonts w:ascii="宋体" w:hAnsi="宋体" w:cs="宋体"/>
          <w:color w:val="auto"/>
          <w:highlight w:val="none"/>
        </w:rPr>
      </w:pPr>
      <w:bookmarkStart w:id="359" w:name="_Toc28098"/>
      <w:bookmarkStart w:id="360" w:name="_Toc13324"/>
      <w:bookmarkStart w:id="361" w:name="_Toc58860186"/>
      <w:bookmarkStart w:id="362" w:name="_Toc51766599"/>
      <w:bookmarkStart w:id="363" w:name="_Toc179885272"/>
      <w:bookmarkStart w:id="364" w:name="_Toc9400"/>
      <w:bookmarkStart w:id="365" w:name="_Toc84930736"/>
      <w:r>
        <w:rPr>
          <w:rFonts w:hint="eastAsia" w:ascii="宋体" w:hAnsi="宋体" w:cs="宋体"/>
          <w:color w:val="auto"/>
          <w:szCs w:val="21"/>
          <w:highlight w:val="none"/>
          <w:lang w:bidi="ar"/>
        </w:rPr>
        <w:t>3.3  工程师</w:t>
      </w:r>
      <w:bookmarkEnd w:id="359"/>
      <w:bookmarkEnd w:id="360"/>
      <w:bookmarkEnd w:id="361"/>
      <w:bookmarkEnd w:id="362"/>
      <w:bookmarkEnd w:id="363"/>
      <w:bookmarkEnd w:id="364"/>
      <w:bookmarkEnd w:id="365"/>
      <w:r>
        <w:rPr>
          <w:rFonts w:hint="eastAsia" w:ascii="宋体" w:hAnsi="宋体" w:cs="宋体"/>
          <w:color w:val="auto"/>
          <w:szCs w:val="21"/>
          <w:highlight w:val="none"/>
          <w:lang w:bidi="ar"/>
        </w:rPr>
        <w:t xml:space="preserve"> </w:t>
      </w:r>
    </w:p>
    <w:p w14:paraId="3A2F9864">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3.3.1发包人需对承包人的设计、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14:paraId="387FD8FE">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3.3.2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14:paraId="21E24548">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3.3.3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14:paraId="7EE204BF">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3.3.4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14:paraId="2B19851E">
      <w:pPr>
        <w:widowControl/>
        <w:wordWrap w:val="0"/>
        <w:topLinePunct/>
        <w:adjustRightInd w:val="0"/>
        <w:snapToGrid w:val="0"/>
        <w:spacing w:after="120" w:afterLines="50" w:line="360" w:lineRule="auto"/>
        <w:outlineLvl w:val="2"/>
        <w:rPr>
          <w:rFonts w:ascii="宋体" w:hAnsi="宋体" w:cs="宋体"/>
          <w:color w:val="auto"/>
          <w:highlight w:val="none"/>
        </w:rPr>
      </w:pPr>
      <w:bookmarkStart w:id="366" w:name="_Ref531951597"/>
      <w:bookmarkEnd w:id="366"/>
      <w:bookmarkStart w:id="367" w:name="_Ref531951594"/>
      <w:bookmarkStart w:id="368" w:name="_Toc51766600"/>
      <w:bookmarkStart w:id="369" w:name="_Toc20255"/>
      <w:bookmarkStart w:id="370" w:name="_Toc18812"/>
      <w:bookmarkStart w:id="371" w:name="_Toc58860187"/>
      <w:bookmarkStart w:id="372" w:name="_Toc22548"/>
      <w:bookmarkStart w:id="373" w:name="_Toc179885273"/>
      <w:bookmarkStart w:id="374" w:name="_Toc84930737"/>
      <w:r>
        <w:rPr>
          <w:rFonts w:hint="eastAsia" w:ascii="宋体" w:hAnsi="宋体" w:cs="宋体"/>
          <w:color w:val="auto"/>
          <w:szCs w:val="21"/>
          <w:highlight w:val="none"/>
          <w:lang w:bidi="ar"/>
        </w:rPr>
        <w:t>3</w:t>
      </w:r>
      <w:bookmarkEnd w:id="367"/>
      <w:r>
        <w:rPr>
          <w:rFonts w:hint="eastAsia" w:ascii="宋体" w:hAnsi="宋体" w:cs="宋体"/>
          <w:color w:val="auto"/>
          <w:szCs w:val="21"/>
          <w:highlight w:val="none"/>
          <w:lang w:bidi="ar"/>
        </w:rPr>
        <w:t>.4  任命和授权</w:t>
      </w:r>
      <w:bookmarkEnd w:id="368"/>
      <w:bookmarkEnd w:id="369"/>
      <w:bookmarkEnd w:id="370"/>
      <w:bookmarkEnd w:id="371"/>
      <w:bookmarkEnd w:id="372"/>
      <w:bookmarkEnd w:id="373"/>
      <w:bookmarkEnd w:id="374"/>
    </w:p>
    <w:p w14:paraId="50DD051E">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3.4.1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14:paraId="555074F7">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3.4.2工程师可以授权其他人员负责执行其指派的一项或多项工作，但第3.6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14:paraId="6EBA3D7D">
      <w:pPr>
        <w:widowControl/>
        <w:wordWrap w:val="0"/>
        <w:topLinePunct/>
        <w:adjustRightInd w:val="0"/>
        <w:snapToGrid w:val="0"/>
        <w:spacing w:after="120" w:afterLines="50" w:line="360" w:lineRule="auto"/>
        <w:outlineLvl w:val="2"/>
        <w:rPr>
          <w:rFonts w:ascii="宋体" w:hAnsi="宋体" w:cs="宋体"/>
          <w:color w:val="auto"/>
          <w:highlight w:val="none"/>
        </w:rPr>
      </w:pPr>
      <w:bookmarkStart w:id="375" w:name="_Toc20171749"/>
      <w:bookmarkEnd w:id="375"/>
      <w:bookmarkStart w:id="376" w:name="_Ref20165400"/>
      <w:bookmarkStart w:id="377" w:name="_Toc15176"/>
      <w:bookmarkStart w:id="378" w:name="_Toc58860188"/>
      <w:bookmarkStart w:id="379" w:name="_Toc179885274"/>
      <w:bookmarkStart w:id="380" w:name="_Toc84930738"/>
      <w:bookmarkStart w:id="381" w:name="_Toc3937"/>
      <w:bookmarkStart w:id="382" w:name="_Toc1246"/>
      <w:bookmarkStart w:id="383" w:name="_Toc51766601"/>
      <w:r>
        <w:rPr>
          <w:rFonts w:hint="eastAsia" w:ascii="宋体" w:hAnsi="宋体" w:cs="宋体"/>
          <w:color w:val="auto"/>
          <w:szCs w:val="21"/>
          <w:highlight w:val="none"/>
          <w:lang w:bidi="ar"/>
        </w:rPr>
        <w:t>3</w:t>
      </w:r>
      <w:bookmarkEnd w:id="376"/>
      <w:r>
        <w:rPr>
          <w:rFonts w:hint="eastAsia" w:ascii="宋体" w:hAnsi="宋体" w:cs="宋体"/>
          <w:color w:val="auto"/>
          <w:szCs w:val="21"/>
          <w:highlight w:val="none"/>
          <w:lang w:bidi="ar"/>
        </w:rPr>
        <w:t>.5  指示</w:t>
      </w:r>
      <w:bookmarkEnd w:id="377"/>
      <w:bookmarkEnd w:id="378"/>
      <w:bookmarkEnd w:id="379"/>
      <w:bookmarkEnd w:id="380"/>
      <w:bookmarkEnd w:id="381"/>
      <w:bookmarkEnd w:id="382"/>
      <w:bookmarkEnd w:id="383"/>
    </w:p>
    <w:p w14:paraId="62EC8A43">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3.5.1工程师应按照发包人的授权发出指示。工程师的指示应采用书面形式，盖有工程师授权的项目管理机构章，并由工程师的授权人员签名。在紧急情况下，工程师的授权人员可以口头形式发出指示或当场签发临时书面指示，承包人应遵照执行。工程师应在授权人员发出口头指示或临时书面指示后24小时内发出书面确认函，在24小时内未发出书面确认函的，该口头指示或临时书面指示应被视为工程师的正式指示。</w:t>
      </w:r>
    </w:p>
    <w:p w14:paraId="075C1D0B">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3.5.2承包人收到工程师作出的指示后应遵照执行。如果任何此类指示构成一项变更时，应按照第13条[变更与调整]的约定办理。</w:t>
      </w:r>
    </w:p>
    <w:p w14:paraId="530EFF5A">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3.5.3由于工程师未能按合同约定发出指示、指示延误或指示错误而导致承包人费用增加和（或）工期延误的，发包人应承担由此增加的费用和（或）工期延误，并向承包人支付合理利润。</w:t>
      </w:r>
    </w:p>
    <w:p w14:paraId="74723B01">
      <w:pPr>
        <w:widowControl/>
        <w:wordWrap w:val="0"/>
        <w:topLinePunct/>
        <w:adjustRightInd w:val="0"/>
        <w:snapToGrid w:val="0"/>
        <w:spacing w:after="120" w:afterLines="50" w:line="360" w:lineRule="auto"/>
        <w:outlineLvl w:val="2"/>
        <w:rPr>
          <w:rFonts w:ascii="宋体" w:hAnsi="宋体" w:cs="宋体"/>
          <w:color w:val="auto"/>
          <w:highlight w:val="none"/>
        </w:rPr>
      </w:pPr>
      <w:bookmarkStart w:id="384" w:name="_Ref531951611"/>
      <w:bookmarkEnd w:id="384"/>
      <w:bookmarkStart w:id="385" w:name="_Ref531951609"/>
      <w:bookmarkEnd w:id="385"/>
      <w:bookmarkStart w:id="386" w:name="_Toc20171750"/>
      <w:bookmarkStart w:id="387" w:name="_Toc84930739"/>
      <w:bookmarkStart w:id="388" w:name="_Toc9977"/>
      <w:bookmarkStart w:id="389" w:name="_Toc51766602"/>
      <w:bookmarkStart w:id="390" w:name="_Toc22818"/>
      <w:bookmarkStart w:id="391" w:name="_Toc179885275"/>
      <w:bookmarkStart w:id="392" w:name="_Toc5247"/>
      <w:bookmarkStart w:id="393" w:name="_Toc58860189"/>
      <w:r>
        <w:rPr>
          <w:rFonts w:hint="eastAsia" w:ascii="宋体" w:hAnsi="宋体" w:cs="宋体"/>
          <w:color w:val="auto"/>
          <w:szCs w:val="21"/>
          <w:highlight w:val="none"/>
          <w:lang w:bidi="ar"/>
        </w:rPr>
        <w:t>3</w:t>
      </w:r>
      <w:bookmarkEnd w:id="386"/>
      <w:r>
        <w:rPr>
          <w:rFonts w:hint="eastAsia" w:ascii="宋体" w:hAnsi="宋体" w:cs="宋体"/>
          <w:color w:val="auto"/>
          <w:szCs w:val="21"/>
          <w:highlight w:val="none"/>
          <w:lang w:bidi="ar"/>
        </w:rPr>
        <w:t>.6  商定或确定</w:t>
      </w:r>
      <w:bookmarkEnd w:id="387"/>
      <w:bookmarkEnd w:id="388"/>
      <w:bookmarkEnd w:id="389"/>
      <w:bookmarkEnd w:id="390"/>
      <w:bookmarkEnd w:id="391"/>
      <w:bookmarkEnd w:id="392"/>
      <w:bookmarkEnd w:id="393"/>
    </w:p>
    <w:p w14:paraId="02758A11">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3.6.1合同约定工程师应按照本款对任何事项进行商定或确定时，工程师应及时与合同当事人协商，尽量达成一致。工程师应将商定的结果以书面形式通知发包人和承包人，并由双方签署确认。</w:t>
      </w:r>
    </w:p>
    <w:p w14:paraId="26568F6B">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3.6.2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14:paraId="5A38A76A">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bookmarkStart w:id="394" w:name="_Ref532287856"/>
      <w:bookmarkEnd w:id="394"/>
      <w:r>
        <w:rPr>
          <w:rFonts w:hint="eastAsia" w:ascii="宋体" w:hAnsi="宋体" w:cs="宋体"/>
          <w:color w:val="auto"/>
          <w:szCs w:val="21"/>
          <w:highlight w:val="none"/>
          <w:lang w:bidi="ar"/>
        </w:rPr>
        <w:t>3.6.3任何一方对工程师的确定有异议的，应在收到确定的结果后28天内向另一方发出书面异议通知并抄送工程师。除第19.2款[承包人索赔的处理程序]另有约定外，工程师未能在确定的期限内发出确定的结果通知的，或者任何一方发出对确定的结果有异议的通知的，则构成争议并应按照第20条[争议解决]的约定处理。如未在28天内发出上述通知的，工程师的确定应被视为已被双方接受并对双方具有约束力，但专用合同条件另有约定的除外。</w:t>
      </w:r>
    </w:p>
    <w:p w14:paraId="2C4D2243">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3.6.4在该争议解决前，双方应暂按工程师的确定执行。按照第20条[争议解决]的约定对工程师的确定作出修改的，按修改后的结果执行，由此导致承包人增加的费用和延误的工期由责任方承担。</w:t>
      </w:r>
    </w:p>
    <w:p w14:paraId="5C6D755E">
      <w:pPr>
        <w:widowControl/>
        <w:wordWrap w:val="0"/>
        <w:topLinePunct/>
        <w:adjustRightInd w:val="0"/>
        <w:snapToGrid w:val="0"/>
        <w:spacing w:after="120" w:afterLines="50" w:line="360" w:lineRule="auto"/>
        <w:outlineLvl w:val="2"/>
        <w:rPr>
          <w:rFonts w:ascii="宋体" w:hAnsi="宋体" w:cs="宋体"/>
          <w:color w:val="auto"/>
          <w:highlight w:val="none"/>
        </w:rPr>
      </w:pPr>
      <w:bookmarkStart w:id="395" w:name="_Toc20171751"/>
      <w:bookmarkEnd w:id="395"/>
      <w:bookmarkStart w:id="396" w:name="_Ref531951747"/>
      <w:bookmarkEnd w:id="396"/>
      <w:bookmarkStart w:id="397" w:name="_Ref531951749"/>
      <w:bookmarkStart w:id="398" w:name="_Toc179885276"/>
      <w:bookmarkStart w:id="399" w:name="_Toc17427"/>
      <w:bookmarkStart w:id="400" w:name="_Toc58860190"/>
      <w:bookmarkStart w:id="401" w:name="_Toc1155"/>
      <w:bookmarkStart w:id="402" w:name="_Toc84930740"/>
      <w:bookmarkStart w:id="403" w:name="_Toc51766603"/>
      <w:bookmarkStart w:id="404" w:name="_Toc11076"/>
      <w:r>
        <w:rPr>
          <w:rFonts w:hint="eastAsia" w:ascii="宋体" w:hAnsi="宋体" w:cs="宋体"/>
          <w:color w:val="auto"/>
          <w:szCs w:val="21"/>
          <w:highlight w:val="none"/>
          <w:lang w:bidi="ar"/>
        </w:rPr>
        <w:t>3</w:t>
      </w:r>
      <w:bookmarkEnd w:id="397"/>
      <w:r>
        <w:rPr>
          <w:rFonts w:hint="eastAsia" w:ascii="宋体" w:hAnsi="宋体" w:cs="宋体"/>
          <w:color w:val="auto"/>
          <w:szCs w:val="21"/>
          <w:highlight w:val="none"/>
          <w:lang w:bidi="ar"/>
        </w:rPr>
        <w:t>.7  会议</w:t>
      </w:r>
      <w:bookmarkEnd w:id="398"/>
      <w:bookmarkEnd w:id="399"/>
      <w:bookmarkEnd w:id="400"/>
      <w:bookmarkEnd w:id="401"/>
      <w:bookmarkEnd w:id="402"/>
      <w:bookmarkEnd w:id="403"/>
      <w:bookmarkEnd w:id="404"/>
    </w:p>
    <w:p w14:paraId="4F58CF65">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3.7.1除专用合同条件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14:paraId="4F7981B9">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3.7.2除专用合同条件另有约定外，发包人应保存每次会议参加人签名的记录，并将会议纪要提供给出席会议的人员。任何根据此类会议以及会议纪要采取的行动应符合本合同的约定。</w:t>
      </w:r>
    </w:p>
    <w:p w14:paraId="4DA7AA5E">
      <w:pPr>
        <w:widowControl/>
        <w:wordWrap w:val="0"/>
        <w:topLinePunct/>
        <w:adjustRightInd w:val="0"/>
        <w:snapToGrid w:val="0"/>
        <w:spacing w:after="120" w:afterLines="50" w:line="360" w:lineRule="auto"/>
        <w:outlineLvl w:val="1"/>
        <w:rPr>
          <w:rFonts w:ascii="宋体" w:hAnsi="宋体" w:cs="宋体"/>
          <w:color w:val="auto"/>
          <w:kern w:val="0"/>
          <w:highlight w:val="none"/>
        </w:rPr>
      </w:pPr>
      <w:bookmarkStart w:id="405" w:name="_Ref531952805"/>
      <w:bookmarkEnd w:id="405"/>
      <w:bookmarkStart w:id="406" w:name="_Toc20171752"/>
      <w:bookmarkStart w:id="407" w:name="_Toc179885277"/>
      <w:r>
        <w:rPr>
          <w:rFonts w:hint="eastAsia" w:ascii="宋体" w:hAnsi="宋体" w:cs="宋体"/>
          <w:color w:val="auto"/>
          <w:kern w:val="0"/>
          <w:szCs w:val="21"/>
          <w:highlight w:val="none"/>
          <w:lang w:bidi="ar"/>
        </w:rPr>
        <w:t xml:space="preserve">第4条 </w:t>
      </w:r>
      <w:bookmarkEnd w:id="406"/>
      <w:r>
        <w:rPr>
          <w:rFonts w:hint="eastAsia" w:ascii="宋体" w:hAnsi="宋体" w:cs="宋体"/>
          <w:color w:val="auto"/>
          <w:kern w:val="0"/>
          <w:szCs w:val="21"/>
          <w:highlight w:val="none"/>
          <w:lang w:bidi="ar"/>
        </w:rPr>
        <w:t xml:space="preserve"> 承包人</w:t>
      </w:r>
      <w:bookmarkEnd w:id="407"/>
    </w:p>
    <w:p w14:paraId="4ACE93DE">
      <w:pPr>
        <w:widowControl/>
        <w:wordWrap w:val="0"/>
        <w:topLinePunct/>
        <w:adjustRightInd w:val="0"/>
        <w:snapToGrid w:val="0"/>
        <w:spacing w:after="120" w:afterLines="50" w:line="360" w:lineRule="auto"/>
        <w:outlineLvl w:val="2"/>
        <w:rPr>
          <w:rFonts w:ascii="宋体" w:hAnsi="宋体" w:cs="宋体"/>
          <w:color w:val="auto"/>
          <w:highlight w:val="none"/>
        </w:rPr>
      </w:pPr>
      <w:bookmarkStart w:id="408" w:name="_Ref531951945"/>
      <w:bookmarkEnd w:id="408"/>
      <w:bookmarkStart w:id="409" w:name="_Ref531951958"/>
      <w:bookmarkEnd w:id="409"/>
      <w:bookmarkStart w:id="410" w:name="_Toc20171753"/>
      <w:bookmarkEnd w:id="410"/>
      <w:bookmarkStart w:id="411" w:name="_Ref531951941"/>
      <w:bookmarkEnd w:id="411"/>
      <w:bookmarkStart w:id="412" w:name="_Ref531951961"/>
      <w:bookmarkEnd w:id="412"/>
      <w:bookmarkStart w:id="413" w:name="_Ref531951975"/>
      <w:bookmarkStart w:id="414" w:name="_Toc179885278"/>
      <w:bookmarkStart w:id="415" w:name="_Toc58860192"/>
      <w:bookmarkStart w:id="416" w:name="_Toc27227"/>
      <w:bookmarkStart w:id="417" w:name="_Toc51766605"/>
      <w:bookmarkStart w:id="418" w:name="_Toc26043"/>
      <w:bookmarkStart w:id="419" w:name="_Toc10227"/>
      <w:bookmarkStart w:id="420" w:name="_Toc84930742"/>
      <w:r>
        <w:rPr>
          <w:rFonts w:hint="eastAsia" w:ascii="宋体" w:hAnsi="宋体" w:cs="宋体"/>
          <w:color w:val="auto"/>
          <w:szCs w:val="21"/>
          <w:highlight w:val="none"/>
          <w:lang w:bidi="ar"/>
        </w:rPr>
        <w:t>4</w:t>
      </w:r>
      <w:bookmarkEnd w:id="413"/>
      <w:r>
        <w:rPr>
          <w:rFonts w:hint="eastAsia" w:ascii="宋体" w:hAnsi="宋体" w:cs="宋体"/>
          <w:color w:val="auto"/>
          <w:szCs w:val="21"/>
          <w:highlight w:val="none"/>
          <w:lang w:bidi="ar"/>
        </w:rPr>
        <w:t>.1  承包人的一般义务</w:t>
      </w:r>
      <w:bookmarkEnd w:id="414"/>
      <w:bookmarkEnd w:id="415"/>
      <w:bookmarkEnd w:id="416"/>
      <w:bookmarkEnd w:id="417"/>
      <w:bookmarkEnd w:id="418"/>
      <w:bookmarkEnd w:id="419"/>
      <w:bookmarkEnd w:id="420"/>
      <w:r>
        <w:rPr>
          <w:rFonts w:hint="eastAsia" w:ascii="宋体" w:hAnsi="宋体" w:cs="宋体"/>
          <w:color w:val="auto"/>
          <w:szCs w:val="21"/>
          <w:highlight w:val="none"/>
          <w:lang w:bidi="ar"/>
        </w:rPr>
        <w:t xml:space="preserve"> </w:t>
      </w:r>
    </w:p>
    <w:p w14:paraId="1A1A7116">
      <w:pPr>
        <w:widowControl/>
        <w:adjustRightInd w:val="0"/>
        <w:snapToGrid w:val="0"/>
        <w:spacing w:after="120" w:afterLines="50" w:line="360" w:lineRule="auto"/>
        <w:ind w:firstLine="420" w:firstLineChars="200"/>
        <w:rPr>
          <w:rFonts w:ascii="宋体" w:hAnsi="宋体" w:cs="宋体"/>
          <w:color w:val="auto"/>
          <w:kern w:val="0"/>
          <w:highlight w:val="none"/>
        </w:rPr>
      </w:pPr>
      <w:bookmarkStart w:id="421" w:name="_Ref509046929"/>
      <w:bookmarkEnd w:id="421"/>
      <w:r>
        <w:rPr>
          <w:rFonts w:hint="eastAsia" w:ascii="宋体" w:hAnsi="宋体" w:cs="宋体"/>
          <w:color w:val="auto"/>
          <w:kern w:val="0"/>
          <w:szCs w:val="21"/>
          <w:highlight w:val="none"/>
          <w:lang w:bidi="ar"/>
        </w:rPr>
        <w:t>除专用合同条件另有约定外，承包人在履行合同过程中应遵守法律和工程建设标准规范，并履行以下义务：</w:t>
      </w:r>
    </w:p>
    <w:p w14:paraId="694F9BA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（1）办理法律规定和合同约定由承包人办理的许可和批准，将办理结果书面报送发包人留存，并承担因承包人违反法律或合同约定给发包人造成的任何费用和损失；</w:t>
      </w:r>
    </w:p>
    <w:p w14:paraId="1CDDF20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（2）按合同约定完成全部工作并在缺陷责任期和保修期内承担缺陷保证责任和保修义务，对工作中的任何缺陷进行整改、完善和修补，使其满足合同约定的目的；</w:t>
      </w:r>
    </w:p>
    <w:p w14:paraId="6BAE1F6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（3）提供合同约定的工程设备和承包人文件，以及为完成合同工作所需的劳务、材料、施工设备和其他物品，并按合同约定负责临时设施的设计、施工、运行、维护、管理和拆除；</w:t>
      </w:r>
    </w:p>
    <w:p w14:paraId="6BB7015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（4）按合同约定的工作内容和进度要求，编制设计、施工的组织和实施计划，保证项目进度计划的实现，并对所有设计、施工作业和施工方法，以及全部工程的完备性和安全可靠性负责；</w:t>
      </w:r>
    </w:p>
    <w:p w14:paraId="76BF300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（5）按法律规定和合同约定采取安全文明施工、职业健康和环境保护措施，办理员工工伤保险等相关保险，确保工程及人员、材料、设备和设施的安全，防止因工程实施造成的人身伤害和财产损失；</w:t>
      </w:r>
    </w:p>
    <w:p w14:paraId="72BD83F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6</w:t>
      </w:r>
      <w:r>
        <w:rPr>
          <w:rFonts w:hint="eastAsia" w:ascii="宋体" w:hAnsi="宋体" w:cs="宋体"/>
          <w:color w:val="auto"/>
          <w:kern w:val="0"/>
          <w:szCs w:val="21"/>
          <w:highlight w:val="none"/>
          <w:lang w:bidi="ar"/>
        </w:rPr>
        <w:t>）将发包人按合同约定支付的各项价款专用于合同工程，且应及时支付其雇用人员（包括建筑工人）工资，并及时向分包人支付合同价款；</w:t>
      </w:r>
    </w:p>
    <w:p w14:paraId="3A02B4EA">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7</w:t>
      </w:r>
      <w:r>
        <w:rPr>
          <w:rFonts w:hint="eastAsia" w:ascii="宋体" w:hAnsi="宋体" w:cs="宋体"/>
          <w:color w:val="auto"/>
          <w:kern w:val="0"/>
          <w:szCs w:val="21"/>
          <w:highlight w:val="none"/>
          <w:lang w:bidi="ar"/>
        </w:rPr>
        <w:t>）在进行合同约定的各项工作时，不得侵害发包人与他人使用公用道路、水源、市政管网等公共设施的权利，避免对邻近的公共设施产生干扰。</w:t>
      </w:r>
    </w:p>
    <w:p w14:paraId="4B594D1F">
      <w:pPr>
        <w:widowControl/>
        <w:wordWrap w:val="0"/>
        <w:topLinePunct/>
        <w:adjustRightInd w:val="0"/>
        <w:snapToGrid w:val="0"/>
        <w:spacing w:after="120" w:afterLines="50" w:line="360" w:lineRule="auto"/>
        <w:outlineLvl w:val="2"/>
        <w:rPr>
          <w:rFonts w:ascii="宋体" w:hAnsi="宋体" w:cs="宋体"/>
          <w:color w:val="auto"/>
          <w:highlight w:val="none"/>
        </w:rPr>
      </w:pPr>
      <w:bookmarkStart w:id="422" w:name="_Ref4426803"/>
      <w:bookmarkEnd w:id="422"/>
      <w:bookmarkStart w:id="423" w:name="_Toc20171754"/>
      <w:bookmarkEnd w:id="423"/>
      <w:bookmarkStart w:id="424" w:name="_Ref4428418"/>
      <w:bookmarkStart w:id="425" w:name="_Toc51766606"/>
      <w:bookmarkStart w:id="426" w:name="_Toc84930743"/>
      <w:bookmarkStart w:id="427" w:name="_Toc179885279"/>
      <w:bookmarkStart w:id="428" w:name="_Toc275"/>
      <w:bookmarkStart w:id="429" w:name="_Toc9708"/>
      <w:bookmarkStart w:id="430" w:name="_Toc58860193"/>
      <w:bookmarkStart w:id="431" w:name="_Toc22503"/>
      <w:r>
        <w:rPr>
          <w:rFonts w:hint="eastAsia" w:ascii="宋体" w:hAnsi="宋体" w:cs="宋体"/>
          <w:color w:val="auto"/>
          <w:szCs w:val="21"/>
          <w:highlight w:val="none"/>
          <w:lang w:bidi="ar"/>
        </w:rPr>
        <w:t>4</w:t>
      </w:r>
      <w:bookmarkEnd w:id="424"/>
      <w:r>
        <w:rPr>
          <w:rFonts w:hint="eastAsia" w:ascii="宋体" w:hAnsi="宋体" w:cs="宋体"/>
          <w:color w:val="auto"/>
          <w:szCs w:val="21"/>
          <w:highlight w:val="none"/>
          <w:lang w:bidi="ar"/>
        </w:rPr>
        <w:t>.2  履约担保</w:t>
      </w:r>
      <w:bookmarkEnd w:id="425"/>
      <w:bookmarkEnd w:id="426"/>
      <w:bookmarkEnd w:id="427"/>
      <w:bookmarkEnd w:id="428"/>
      <w:bookmarkEnd w:id="429"/>
      <w:bookmarkEnd w:id="430"/>
      <w:bookmarkEnd w:id="431"/>
    </w:p>
    <w:p w14:paraId="2E1A055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需要承包人提供履约担保的，由合同当事人在专用合同条件中约定履约担保的方式、金额及提交的时间等，并应符合第2.5款[支付合同价款]的规定。履约担保可以采用银行保函或担保公司担保等形式，承包人为联合体的，其履约担保由联合体各方或者联合体中牵头人的名义代表联合体提交，具体由合同当事人在专用合同条件中约定。</w:t>
      </w:r>
    </w:p>
    <w:p w14:paraId="463DF2A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承包人应保证其履约担保在发包人竣工验收前一直有效，发包人应在竣工验收合格后7天内将履约担保款项退还给承包人或者解除履约担保。</w:t>
      </w:r>
    </w:p>
    <w:p w14:paraId="3C4D013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因承包人原因导致工期延长的，继续提供履约担保所增加的费用由承包人承担；非因承包人原因导致工期延长的，继续提供履约担保所增加的费用由发包人承担。</w:t>
      </w:r>
    </w:p>
    <w:p w14:paraId="731835B1">
      <w:pPr>
        <w:widowControl/>
        <w:wordWrap w:val="0"/>
        <w:topLinePunct/>
        <w:adjustRightInd w:val="0"/>
        <w:snapToGrid w:val="0"/>
        <w:spacing w:after="120" w:afterLines="50" w:line="360" w:lineRule="auto"/>
        <w:outlineLvl w:val="2"/>
        <w:rPr>
          <w:rFonts w:ascii="宋体" w:hAnsi="宋体" w:cs="宋体"/>
          <w:color w:val="auto"/>
          <w:highlight w:val="none"/>
        </w:rPr>
      </w:pPr>
      <w:bookmarkStart w:id="432" w:name="_Ref532689105"/>
      <w:bookmarkEnd w:id="432"/>
      <w:bookmarkStart w:id="433" w:name="_Ref532689108"/>
      <w:bookmarkEnd w:id="433"/>
      <w:bookmarkStart w:id="434" w:name="_Toc20171755"/>
      <w:bookmarkStart w:id="435" w:name="_Toc16863"/>
      <w:bookmarkStart w:id="436" w:name="_Toc84930744"/>
      <w:bookmarkStart w:id="437" w:name="_Toc179885280"/>
      <w:bookmarkStart w:id="438" w:name="_Toc17466"/>
      <w:bookmarkStart w:id="439" w:name="_Toc2595"/>
      <w:bookmarkStart w:id="440" w:name="_Toc58860194"/>
      <w:bookmarkStart w:id="441" w:name="_Toc51766607"/>
      <w:r>
        <w:rPr>
          <w:rFonts w:hint="eastAsia" w:ascii="宋体" w:hAnsi="宋体" w:cs="宋体"/>
          <w:color w:val="auto"/>
          <w:szCs w:val="21"/>
          <w:highlight w:val="none"/>
          <w:lang w:bidi="ar"/>
        </w:rPr>
        <w:t>4</w:t>
      </w:r>
      <w:bookmarkEnd w:id="434"/>
      <w:r>
        <w:rPr>
          <w:rFonts w:hint="eastAsia" w:ascii="宋体" w:hAnsi="宋体" w:cs="宋体"/>
          <w:color w:val="auto"/>
          <w:szCs w:val="21"/>
          <w:highlight w:val="none"/>
          <w:lang w:bidi="ar"/>
        </w:rPr>
        <w:t>.3  工程总承包项目经理</w:t>
      </w:r>
      <w:bookmarkEnd w:id="435"/>
      <w:bookmarkEnd w:id="436"/>
      <w:bookmarkEnd w:id="437"/>
      <w:bookmarkEnd w:id="438"/>
      <w:bookmarkEnd w:id="439"/>
      <w:bookmarkEnd w:id="440"/>
      <w:bookmarkEnd w:id="441"/>
    </w:p>
    <w:p w14:paraId="78F6394D">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bookmarkStart w:id="442" w:name="_Ref532351726"/>
      <w:bookmarkEnd w:id="442"/>
      <w:r>
        <w:rPr>
          <w:rFonts w:hint="eastAsia" w:ascii="宋体" w:hAnsi="宋体" w:cs="宋体"/>
          <w:color w:val="auto"/>
          <w:szCs w:val="21"/>
          <w:highlight w:val="none"/>
          <w:lang w:bidi="ar"/>
        </w:rPr>
        <w:t>4.3.1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p>
    <w:p w14:paraId="5F527BD8">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bookmarkStart w:id="443" w:name="_Ref532689263"/>
      <w:bookmarkEnd w:id="443"/>
      <w:r>
        <w:rPr>
          <w:rFonts w:hint="eastAsia" w:ascii="宋体" w:hAnsi="宋体" w:cs="宋体"/>
          <w:color w:val="auto"/>
          <w:szCs w:val="21"/>
          <w:highlight w:val="none"/>
          <w:lang w:bidi="ar"/>
        </w:rPr>
        <w:t>4.3.2承包人应按合同协议书的约定指派工程总承包项目经理，并在约定的期限内到职。工程总承包项目经理不得同时担任其他工程项目的工程总承包项目经理或施工工程总承包项目经理（含施工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p>
    <w:p w14:paraId="53295FD7">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bookmarkStart w:id="444" w:name="_Ref532689178"/>
      <w:bookmarkEnd w:id="444"/>
      <w:bookmarkStart w:id="445" w:name="_Ref531952112"/>
      <w:r>
        <w:rPr>
          <w:rFonts w:hint="eastAsia" w:ascii="宋体" w:hAnsi="宋体" w:cs="宋体"/>
          <w:color w:val="auto"/>
          <w:szCs w:val="21"/>
          <w:highlight w:val="none"/>
          <w:lang w:bidi="ar"/>
        </w:rPr>
        <w:t>4</w:t>
      </w:r>
      <w:bookmarkEnd w:id="445"/>
      <w:r>
        <w:rPr>
          <w:rFonts w:hint="eastAsia" w:ascii="宋体" w:hAnsi="宋体" w:cs="宋体"/>
          <w:color w:val="auto"/>
          <w:szCs w:val="21"/>
          <w:highlight w:val="none"/>
          <w:lang w:bidi="ar"/>
        </w:rPr>
        <w:t>.3.3承包人应根据本合同的约定授予工程总承包项目经理代表承包人履行合同所需的权利，工程总承包项目经理权限以专用合同条件中约定的权限为准。经承包人授权后，工程总承包项目经理应按合同约定以及工程师按第3.5款[指示]作出的指示，代表承包人负责组织合同的实施。在紧急情况下，且无法与发包人和工程师取得联系时，工程总承包项目经理有权采取必要的措施保证人身、工程和财产的安全，但须在事后48小时内向工程师送交书面报告。</w:t>
      </w:r>
    </w:p>
    <w:p w14:paraId="1932F4E9">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bookmarkStart w:id="446" w:name="_Ref4426412"/>
      <w:bookmarkEnd w:id="446"/>
      <w:r>
        <w:rPr>
          <w:rFonts w:hint="eastAsia" w:ascii="宋体" w:hAnsi="宋体" w:cs="宋体"/>
          <w:color w:val="auto"/>
          <w:szCs w:val="21"/>
          <w:highlight w:val="none"/>
          <w:lang w:bidi="ar"/>
        </w:rPr>
        <w:t>4.3.4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应按照专用合同条件的约定承担违约责任。</w:t>
      </w:r>
    </w:p>
    <w:p w14:paraId="1CD2CBC4">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bookmarkStart w:id="447" w:name="_Ref531952137"/>
      <w:bookmarkEnd w:id="447"/>
      <w:r>
        <w:rPr>
          <w:rFonts w:hint="eastAsia" w:ascii="宋体" w:hAnsi="宋体" w:cs="宋体"/>
          <w:color w:val="auto"/>
          <w:szCs w:val="21"/>
          <w:highlight w:val="none"/>
          <w:lang w:bidi="ar"/>
        </w:rPr>
        <w:t>4.3.5发包人有权书面通知承包人要求更换其认为不称职的工程总承包项目经理，通知中应当载明要求更换的理由。承包人应在接到更换通知后14天内向发包人提出书面的改进报告。如承包人没有提出改进报告，应在收到更换通知后</w:t>
      </w:r>
      <w:r>
        <w:rPr>
          <w:rFonts w:ascii="宋体" w:hAnsi="宋体" w:cs="宋体"/>
          <w:color w:val="auto"/>
          <w:szCs w:val="21"/>
          <w:highlight w:val="none"/>
          <w:lang w:bidi="ar"/>
        </w:rPr>
        <w:t>28天内更换</w:t>
      </w:r>
      <w:r>
        <w:rPr>
          <w:rFonts w:hint="eastAsia" w:ascii="宋体" w:hAnsi="宋体" w:cs="宋体"/>
          <w:color w:val="auto"/>
          <w:szCs w:val="21"/>
          <w:highlight w:val="none"/>
          <w:lang w:bidi="ar"/>
        </w:rPr>
        <w:t>工程总承包</w:t>
      </w:r>
      <w:r>
        <w:rPr>
          <w:rFonts w:ascii="宋体" w:hAnsi="宋体" w:cs="宋体"/>
          <w:color w:val="auto"/>
          <w:szCs w:val="21"/>
          <w:highlight w:val="none"/>
          <w:lang w:bidi="ar"/>
        </w:rPr>
        <w:t>项目经理。</w:t>
      </w:r>
      <w:r>
        <w:rPr>
          <w:rFonts w:hint="eastAsia" w:ascii="宋体" w:hAnsi="宋体" w:cs="宋体"/>
          <w:color w:val="auto"/>
          <w:szCs w:val="21"/>
          <w:highlight w:val="none"/>
          <w:lang w:bidi="ar"/>
        </w:rPr>
        <w:t>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p>
    <w:p w14:paraId="33089102">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bookmarkStart w:id="448" w:name="_Ref122620"/>
      <w:bookmarkEnd w:id="448"/>
      <w:r>
        <w:rPr>
          <w:rFonts w:hint="eastAsia" w:ascii="宋体" w:hAnsi="宋体" w:cs="宋体"/>
          <w:color w:val="auto"/>
          <w:szCs w:val="21"/>
          <w:highlight w:val="none"/>
          <w:lang w:bidi="ar"/>
        </w:rPr>
        <w:t>4.3.6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p>
    <w:p w14:paraId="7D670474">
      <w:pPr>
        <w:widowControl/>
        <w:wordWrap w:val="0"/>
        <w:topLinePunct/>
        <w:adjustRightInd w:val="0"/>
        <w:snapToGrid w:val="0"/>
        <w:spacing w:after="120" w:afterLines="50" w:line="360" w:lineRule="auto"/>
        <w:outlineLvl w:val="2"/>
        <w:rPr>
          <w:rFonts w:ascii="宋体" w:hAnsi="宋体" w:cs="宋体"/>
          <w:color w:val="auto"/>
          <w:highlight w:val="none"/>
        </w:rPr>
      </w:pPr>
      <w:bookmarkStart w:id="449" w:name="_Ref531952172"/>
      <w:bookmarkEnd w:id="449"/>
      <w:bookmarkStart w:id="450" w:name="_Ref531952175"/>
      <w:bookmarkEnd w:id="450"/>
      <w:bookmarkStart w:id="451" w:name="_Toc20171756"/>
      <w:bookmarkStart w:id="452" w:name="_Toc179885281"/>
      <w:bookmarkStart w:id="453" w:name="_Toc51766608"/>
      <w:bookmarkStart w:id="454" w:name="_Toc13144"/>
      <w:bookmarkStart w:id="455" w:name="_Toc84930745"/>
      <w:bookmarkStart w:id="456" w:name="_Toc22892"/>
      <w:bookmarkStart w:id="457" w:name="_Toc58860195"/>
      <w:bookmarkStart w:id="458" w:name="_Toc2234"/>
      <w:r>
        <w:rPr>
          <w:rFonts w:hint="eastAsia" w:ascii="宋体" w:hAnsi="宋体" w:cs="宋体"/>
          <w:color w:val="auto"/>
          <w:szCs w:val="21"/>
          <w:highlight w:val="none"/>
          <w:lang w:bidi="ar"/>
        </w:rPr>
        <w:t xml:space="preserve">4.4  </w:t>
      </w:r>
      <w:bookmarkEnd w:id="451"/>
      <w:r>
        <w:rPr>
          <w:rFonts w:hint="eastAsia" w:ascii="宋体" w:hAnsi="宋体" w:cs="宋体"/>
          <w:color w:val="auto"/>
          <w:szCs w:val="21"/>
          <w:highlight w:val="none"/>
          <w:lang w:bidi="ar"/>
        </w:rPr>
        <w:t>承包人人员</w:t>
      </w:r>
      <w:bookmarkEnd w:id="452"/>
      <w:bookmarkEnd w:id="453"/>
      <w:bookmarkEnd w:id="454"/>
      <w:bookmarkEnd w:id="455"/>
      <w:bookmarkEnd w:id="456"/>
      <w:bookmarkEnd w:id="457"/>
      <w:bookmarkEnd w:id="458"/>
    </w:p>
    <w:p w14:paraId="4D7EE136">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bookmarkStart w:id="459" w:name="_Ref531952185"/>
      <w:bookmarkEnd w:id="459"/>
      <w:r>
        <w:rPr>
          <w:rFonts w:hint="eastAsia" w:ascii="宋体" w:hAnsi="宋体" w:cs="宋体"/>
          <w:color w:val="auto"/>
          <w:szCs w:val="21"/>
          <w:highlight w:val="none"/>
          <w:lang w:bidi="ar"/>
        </w:rPr>
        <w:t>4.4.1人员安排</w:t>
      </w:r>
    </w:p>
    <w:p w14:paraId="46820DA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人员的资质、数量、配置和管理应能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14:paraId="6FF476F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关键人员</w:t>
      </w:r>
      <w:bookmarkStart w:id="460" w:name="_Hlk16210335"/>
      <w:r>
        <w:rPr>
          <w:rFonts w:hint="eastAsia" w:ascii="宋体" w:hAnsi="宋体" w:cs="宋体"/>
          <w:color w:val="auto"/>
          <w:kern w:val="0"/>
          <w:szCs w:val="21"/>
          <w:highlight w:val="none"/>
          <w:lang w:bidi="ar"/>
        </w:rPr>
        <w:t>是发包人及承包人一致认为对工程建设起重要作用的承包人主要管理人员或技术人员。关键人员的具体范围由发包人及承包人在附件</w:t>
      </w:r>
      <w:r>
        <w:rPr>
          <w:rFonts w:ascii="宋体" w:hAnsi="宋体" w:cs="宋体"/>
          <w:color w:val="auto"/>
          <w:kern w:val="0"/>
          <w:szCs w:val="21"/>
          <w:highlight w:val="none"/>
          <w:lang w:bidi="ar"/>
        </w:rPr>
        <w:t>5</w:t>
      </w:r>
      <w:r>
        <w:rPr>
          <w:rFonts w:hint="eastAsia" w:ascii="宋体" w:hAnsi="宋体" w:cs="宋体"/>
          <w:color w:val="auto"/>
          <w:kern w:val="0"/>
          <w:szCs w:val="21"/>
          <w:highlight w:val="none"/>
          <w:lang w:bidi="ar"/>
        </w:rPr>
        <w:t>《承包人主要管理人员表》中另行约定。</w:t>
      </w:r>
      <w:bookmarkEnd w:id="460"/>
    </w:p>
    <w:p w14:paraId="4FBFA11D">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bookmarkStart w:id="461" w:name="_Ref4426641"/>
      <w:bookmarkEnd w:id="461"/>
      <w:bookmarkStart w:id="462" w:name="_Ref531952211"/>
      <w:r>
        <w:rPr>
          <w:rFonts w:hint="eastAsia" w:ascii="宋体" w:hAnsi="宋体" w:cs="宋体"/>
          <w:color w:val="auto"/>
          <w:szCs w:val="21"/>
          <w:highlight w:val="none"/>
          <w:lang w:bidi="ar"/>
        </w:rPr>
        <w:t>4</w:t>
      </w:r>
      <w:bookmarkEnd w:id="462"/>
      <w:r>
        <w:rPr>
          <w:rFonts w:hint="eastAsia" w:ascii="宋体" w:hAnsi="宋体" w:cs="宋体"/>
          <w:color w:val="auto"/>
          <w:szCs w:val="21"/>
          <w:highlight w:val="none"/>
          <w:lang w:bidi="ar"/>
        </w:rPr>
        <w:t>.4.2关键人员更换</w:t>
      </w:r>
    </w:p>
    <w:p w14:paraId="075B807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14:paraId="16E3364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14:paraId="4EBCA051">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bookmarkStart w:id="463" w:name="_Ref531952227"/>
      <w:bookmarkEnd w:id="463"/>
      <w:r>
        <w:rPr>
          <w:rFonts w:hint="eastAsia" w:ascii="宋体" w:hAnsi="宋体" w:cs="宋体"/>
          <w:color w:val="auto"/>
          <w:szCs w:val="21"/>
          <w:highlight w:val="none"/>
          <w:lang w:bidi="ar"/>
        </w:rPr>
        <w:t>4.4.3现场管理关键人员在岗要求</w:t>
      </w:r>
    </w:p>
    <w:p w14:paraId="31A1DBD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14:paraId="5633CF7D">
      <w:pPr>
        <w:widowControl/>
        <w:wordWrap w:val="0"/>
        <w:topLinePunct/>
        <w:adjustRightInd w:val="0"/>
        <w:snapToGrid w:val="0"/>
        <w:spacing w:after="120" w:afterLines="50" w:line="360" w:lineRule="auto"/>
        <w:outlineLvl w:val="2"/>
        <w:rPr>
          <w:rFonts w:ascii="宋体" w:hAnsi="宋体" w:cs="宋体"/>
          <w:color w:val="auto"/>
          <w:highlight w:val="none"/>
        </w:rPr>
      </w:pPr>
      <w:bookmarkStart w:id="464" w:name="_Ref531952259"/>
      <w:bookmarkEnd w:id="464"/>
      <w:bookmarkStart w:id="465" w:name="_Toc20171757"/>
      <w:bookmarkEnd w:id="465"/>
      <w:bookmarkStart w:id="466" w:name="_Ref531952262"/>
      <w:bookmarkStart w:id="467" w:name="_Toc10624"/>
      <w:bookmarkStart w:id="468" w:name="_Toc26027"/>
      <w:bookmarkStart w:id="469" w:name="_Toc179885282"/>
      <w:bookmarkStart w:id="470" w:name="_Toc58860196"/>
      <w:bookmarkStart w:id="471" w:name="_Toc51766609"/>
      <w:bookmarkStart w:id="472" w:name="_Toc2458"/>
      <w:bookmarkStart w:id="473" w:name="_Toc84930746"/>
      <w:r>
        <w:rPr>
          <w:rFonts w:hint="eastAsia" w:ascii="宋体" w:hAnsi="宋体" w:cs="宋体"/>
          <w:color w:val="auto"/>
          <w:szCs w:val="21"/>
          <w:highlight w:val="none"/>
          <w:lang w:bidi="ar"/>
        </w:rPr>
        <w:t>4</w:t>
      </w:r>
      <w:bookmarkEnd w:id="466"/>
      <w:r>
        <w:rPr>
          <w:rFonts w:hint="eastAsia" w:ascii="宋体" w:hAnsi="宋体" w:cs="宋体"/>
          <w:color w:val="auto"/>
          <w:szCs w:val="21"/>
          <w:highlight w:val="none"/>
          <w:lang w:bidi="ar"/>
        </w:rPr>
        <w:t>.5  分包</w:t>
      </w:r>
      <w:bookmarkEnd w:id="467"/>
      <w:bookmarkEnd w:id="468"/>
      <w:bookmarkEnd w:id="469"/>
      <w:bookmarkEnd w:id="470"/>
      <w:bookmarkEnd w:id="471"/>
      <w:bookmarkEnd w:id="472"/>
      <w:bookmarkEnd w:id="473"/>
      <w:r>
        <w:rPr>
          <w:rFonts w:hint="eastAsia" w:ascii="宋体" w:hAnsi="宋体" w:cs="宋体"/>
          <w:color w:val="auto"/>
          <w:szCs w:val="21"/>
          <w:highlight w:val="none"/>
          <w:lang w:bidi="ar"/>
        </w:rPr>
        <w:t xml:space="preserve"> </w:t>
      </w:r>
    </w:p>
    <w:p w14:paraId="237F3134">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bookmarkStart w:id="474" w:name="_Ref531952273"/>
      <w:bookmarkEnd w:id="474"/>
      <w:r>
        <w:rPr>
          <w:rFonts w:hint="eastAsia" w:ascii="宋体" w:hAnsi="宋体" w:cs="宋体"/>
          <w:color w:val="auto"/>
          <w:szCs w:val="21"/>
          <w:highlight w:val="none"/>
          <w:lang w:bidi="ar"/>
        </w:rPr>
        <w:t>4.5.1一般约定</w:t>
      </w:r>
    </w:p>
    <w:p w14:paraId="5D6DA26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不得将其承包的全部工程转包给第三人，或将其承包的全部工程肢解后以分包的名义转包给第三人。承包人不得将法律或专用合同条件中禁止分包的工作事项分包给第三人，不得以劳务分包的名义转包或违法分包工程。</w:t>
      </w:r>
    </w:p>
    <w:p w14:paraId="6F007A70">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bookmarkStart w:id="475" w:name="_Ref531952286"/>
      <w:bookmarkEnd w:id="475"/>
      <w:r>
        <w:rPr>
          <w:rFonts w:hint="eastAsia" w:ascii="宋体" w:hAnsi="宋体" w:cs="宋体"/>
          <w:color w:val="auto"/>
          <w:szCs w:val="21"/>
          <w:highlight w:val="none"/>
          <w:lang w:bidi="ar"/>
        </w:rPr>
        <w:t>4.5.2分包的确定</w:t>
      </w:r>
    </w:p>
    <w:p w14:paraId="6AB08CE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承包人应按照专用合同条件约定对工作事项进行分包，确定分包人。</w:t>
      </w:r>
    </w:p>
    <w:p w14:paraId="6FEE33E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14:paraId="7ECB8D12">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4.5.3分包人资质</w:t>
      </w:r>
    </w:p>
    <w:p w14:paraId="076C387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分包人应符合国家法律规定的资质等级，否则不能作为分包人。承包人有义务对分包人的资质进行审查。</w:t>
      </w:r>
    </w:p>
    <w:p w14:paraId="5DF56420">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4.5.4分包管理</w:t>
      </w:r>
    </w:p>
    <w:p w14:paraId="5A17A35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14:paraId="5E4AB333">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bookmarkStart w:id="476" w:name="_Ref531952298"/>
      <w:bookmarkEnd w:id="476"/>
      <w:r>
        <w:rPr>
          <w:rFonts w:hint="eastAsia" w:ascii="宋体" w:hAnsi="宋体" w:cs="宋体"/>
          <w:color w:val="auto"/>
          <w:szCs w:val="21"/>
          <w:highlight w:val="none"/>
          <w:lang w:bidi="ar"/>
        </w:rPr>
        <w:t>4.5.5分包合同价款支付</w:t>
      </w:r>
    </w:p>
    <w:p w14:paraId="5258BB9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（1）除本项第（2）目约定的情况或专用合同条件另有约定外，分包合同价款由承包人与分包人结算，未经承包人同意，发包人不得向分包人支付分包合同价款；</w:t>
      </w:r>
    </w:p>
    <w:p w14:paraId="62AD3999">
      <w:pPr>
        <w:widowControl/>
        <w:adjustRightInd w:val="0"/>
        <w:snapToGrid w:val="0"/>
        <w:spacing w:after="120" w:afterLines="50" w:line="360" w:lineRule="auto"/>
        <w:ind w:firstLine="420" w:firstLineChars="200"/>
        <w:rPr>
          <w:rFonts w:ascii="宋体" w:hAnsi="宋体" w:cs="宋体"/>
          <w:color w:val="auto"/>
          <w:kern w:val="0"/>
          <w:highlight w:val="none"/>
        </w:rPr>
      </w:pPr>
      <w:bookmarkStart w:id="477" w:name="_Ref4613798"/>
      <w:bookmarkEnd w:id="477"/>
      <w:r>
        <w:rPr>
          <w:rFonts w:hint="eastAsia" w:ascii="宋体" w:hAnsi="宋体" w:cs="宋体"/>
          <w:color w:val="auto"/>
          <w:kern w:val="0"/>
          <w:szCs w:val="21"/>
          <w:highlight w:val="none"/>
          <w:lang w:bidi="ar"/>
        </w:rPr>
        <w:t>（2）生效法律文书要求发包人向分包人支付分包合同价款的，发包人有权从应付承包人工程款中扣除该部分款项，将扣款直接支付给分包人，并书面通知承包人。</w:t>
      </w:r>
    </w:p>
    <w:p w14:paraId="23673ACA">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4.5.6责任承担</w:t>
      </w:r>
    </w:p>
    <w:p w14:paraId="77339F4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承包人对分包人的行为向发包人负责，承包人和分包人就分包工作向发包人承担连带责任。</w:t>
      </w:r>
    </w:p>
    <w:p w14:paraId="33626D13">
      <w:pPr>
        <w:widowControl/>
        <w:wordWrap w:val="0"/>
        <w:topLinePunct/>
        <w:adjustRightInd w:val="0"/>
        <w:snapToGrid w:val="0"/>
        <w:spacing w:after="120" w:afterLines="50" w:line="360" w:lineRule="auto"/>
        <w:outlineLvl w:val="2"/>
        <w:rPr>
          <w:rFonts w:ascii="宋体" w:hAnsi="宋体" w:cs="宋体"/>
          <w:color w:val="auto"/>
          <w:highlight w:val="none"/>
        </w:rPr>
      </w:pPr>
      <w:bookmarkStart w:id="478" w:name="_Toc20171758"/>
      <w:bookmarkEnd w:id="478"/>
      <w:bookmarkStart w:id="479" w:name="_Ref4768805"/>
      <w:bookmarkEnd w:id="479"/>
      <w:bookmarkStart w:id="480" w:name="_Ref4426916"/>
      <w:bookmarkEnd w:id="480"/>
      <w:bookmarkStart w:id="481" w:name="_Ref531952317"/>
      <w:bookmarkEnd w:id="481"/>
      <w:bookmarkStart w:id="482" w:name="_Ref531952321"/>
      <w:bookmarkStart w:id="483" w:name="_Toc179885283"/>
      <w:bookmarkStart w:id="484" w:name="_Toc58860197"/>
      <w:bookmarkStart w:id="485" w:name="_Toc51766610"/>
      <w:bookmarkStart w:id="486" w:name="_Toc30071"/>
      <w:bookmarkStart w:id="487" w:name="_Toc84930747"/>
      <w:bookmarkStart w:id="488" w:name="_Toc29921"/>
      <w:bookmarkStart w:id="489" w:name="_Toc28420"/>
      <w:r>
        <w:rPr>
          <w:rFonts w:hint="eastAsia" w:ascii="宋体" w:hAnsi="宋体" w:cs="宋体"/>
          <w:color w:val="auto"/>
          <w:szCs w:val="21"/>
          <w:highlight w:val="none"/>
          <w:lang w:bidi="ar"/>
        </w:rPr>
        <w:t>4</w:t>
      </w:r>
      <w:bookmarkEnd w:id="482"/>
      <w:r>
        <w:rPr>
          <w:rFonts w:hint="eastAsia" w:ascii="宋体" w:hAnsi="宋体" w:cs="宋体"/>
          <w:color w:val="auto"/>
          <w:szCs w:val="21"/>
          <w:highlight w:val="none"/>
          <w:lang w:bidi="ar"/>
        </w:rPr>
        <w:t>.6  联合体</w:t>
      </w:r>
      <w:bookmarkEnd w:id="483"/>
      <w:bookmarkEnd w:id="484"/>
      <w:bookmarkEnd w:id="485"/>
      <w:bookmarkEnd w:id="486"/>
      <w:bookmarkEnd w:id="487"/>
      <w:bookmarkEnd w:id="488"/>
      <w:bookmarkEnd w:id="489"/>
    </w:p>
    <w:p w14:paraId="746CBE0B">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bookmarkStart w:id="490" w:name="_Hlk16235129"/>
      <w:bookmarkEnd w:id="490"/>
      <w:r>
        <w:rPr>
          <w:rFonts w:hint="eastAsia" w:ascii="宋体" w:hAnsi="宋体" w:cs="宋体"/>
          <w:color w:val="auto"/>
          <w:szCs w:val="21"/>
          <w:highlight w:val="none"/>
          <w:lang w:bidi="ar"/>
        </w:rPr>
        <w:t>4.6.1经发包人同意，以联合体方式承包工程的，联合体各方应共同与发包人订立合同协议书。联合体各方应为履行合同向发包人承担连带责任。</w:t>
      </w:r>
    </w:p>
    <w:p w14:paraId="4D5236F9">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4.6.2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14:paraId="4C477C73">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4.6.3联合体协议经发包人确认后作为合同附件。在履行合同过程中，未经发包人同意，不得变更联合体成员和其负责的工作范围，或者修改联合体协议中与本合同履行相关的内容。</w:t>
      </w:r>
    </w:p>
    <w:p w14:paraId="0C88F22C">
      <w:pPr>
        <w:widowControl/>
        <w:wordWrap w:val="0"/>
        <w:topLinePunct/>
        <w:adjustRightInd w:val="0"/>
        <w:snapToGrid w:val="0"/>
        <w:spacing w:after="120" w:afterLines="50" w:line="360" w:lineRule="auto"/>
        <w:outlineLvl w:val="2"/>
        <w:rPr>
          <w:rFonts w:ascii="宋体" w:hAnsi="宋体" w:cs="宋体"/>
          <w:color w:val="auto"/>
          <w:highlight w:val="none"/>
        </w:rPr>
      </w:pPr>
      <w:bookmarkStart w:id="491" w:name="_Ref11926631"/>
      <w:bookmarkEnd w:id="491"/>
      <w:bookmarkStart w:id="492" w:name="_Ref11926629"/>
      <w:bookmarkEnd w:id="492"/>
      <w:bookmarkStart w:id="493" w:name="_Toc20171759"/>
      <w:bookmarkStart w:id="494" w:name="_Toc8298"/>
      <w:bookmarkStart w:id="495" w:name="_Toc51766611"/>
      <w:bookmarkStart w:id="496" w:name="_Toc84930748"/>
      <w:bookmarkStart w:id="497" w:name="_Toc3481"/>
      <w:bookmarkStart w:id="498" w:name="_Toc179885284"/>
      <w:bookmarkStart w:id="499" w:name="_Toc16286"/>
      <w:bookmarkStart w:id="500" w:name="_Toc58860198"/>
      <w:r>
        <w:rPr>
          <w:rFonts w:hint="eastAsia" w:ascii="宋体" w:hAnsi="宋体" w:cs="宋体"/>
          <w:color w:val="auto"/>
          <w:szCs w:val="21"/>
          <w:highlight w:val="none"/>
          <w:lang w:bidi="ar"/>
        </w:rPr>
        <w:t>4</w:t>
      </w:r>
      <w:bookmarkEnd w:id="493"/>
      <w:r>
        <w:rPr>
          <w:rFonts w:hint="eastAsia" w:ascii="宋体" w:hAnsi="宋体" w:cs="宋体"/>
          <w:color w:val="auto"/>
          <w:szCs w:val="21"/>
          <w:highlight w:val="none"/>
          <w:lang w:bidi="ar"/>
        </w:rPr>
        <w:t>.7  承包人现场查勘</w:t>
      </w:r>
      <w:bookmarkEnd w:id="494"/>
      <w:bookmarkEnd w:id="495"/>
      <w:bookmarkEnd w:id="496"/>
      <w:bookmarkEnd w:id="497"/>
      <w:bookmarkEnd w:id="498"/>
      <w:bookmarkEnd w:id="499"/>
      <w:bookmarkEnd w:id="500"/>
    </w:p>
    <w:p w14:paraId="05F51F80">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4.7.1除专用合同条件另有约定外，承包人应对基于发包人提交的基础资料所做出的解释和推断负责，因基础资料存在错误、遗漏导致承包人解释或推断失实的，按照第2.3款[提供基础资料]的规定承担责任。承包人发现基础资料中存在明显错误或疏忽的，应及时书面通知发包人。</w:t>
      </w:r>
    </w:p>
    <w:p w14:paraId="2D91D261">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4.7.2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第</w:t>
      </w:r>
      <w:r>
        <w:rPr>
          <w:rFonts w:ascii="宋体" w:hAnsi="宋体" w:cs="宋体"/>
          <w:color w:val="auto"/>
          <w:szCs w:val="21"/>
          <w:highlight w:val="none"/>
          <w:lang w:bidi="ar"/>
        </w:rPr>
        <w:t>4.8</w:t>
      </w:r>
      <w:r>
        <w:rPr>
          <w:rFonts w:hint="eastAsia" w:ascii="宋体" w:hAnsi="宋体" w:cs="宋体"/>
          <w:color w:val="auto"/>
          <w:szCs w:val="21"/>
          <w:highlight w:val="none"/>
          <w:lang w:bidi="ar"/>
        </w:rPr>
        <w:t>款</w:t>
      </w:r>
      <w:r>
        <w:rPr>
          <w:rFonts w:ascii="宋体" w:hAnsi="宋体" w:cs="宋体"/>
          <w:color w:val="auto"/>
          <w:szCs w:val="21"/>
          <w:highlight w:val="none"/>
          <w:lang w:bidi="ar"/>
        </w:rPr>
        <w:t>[</w:t>
      </w:r>
      <w:r>
        <w:rPr>
          <w:rFonts w:hint="eastAsia" w:ascii="宋体" w:hAnsi="宋体" w:cs="宋体"/>
          <w:color w:val="auto"/>
          <w:szCs w:val="21"/>
          <w:highlight w:val="none"/>
          <w:lang w:bidi="ar"/>
        </w:rPr>
        <w:t>不可预见的困难</w:t>
      </w:r>
      <w:r>
        <w:rPr>
          <w:rFonts w:ascii="宋体" w:hAnsi="宋体" w:cs="宋体"/>
          <w:color w:val="auto"/>
          <w:szCs w:val="21"/>
          <w:highlight w:val="none"/>
          <w:lang w:bidi="ar"/>
        </w:rPr>
        <w:t>]约定的情形除外</w:t>
      </w:r>
      <w:r>
        <w:rPr>
          <w:rFonts w:hint="eastAsia" w:ascii="宋体" w:hAnsi="宋体" w:cs="宋体"/>
          <w:color w:val="auto"/>
          <w:szCs w:val="21"/>
          <w:highlight w:val="none"/>
          <w:lang w:bidi="ar"/>
        </w:rPr>
        <w:t>。</w:t>
      </w:r>
    </w:p>
    <w:p w14:paraId="21F604FE">
      <w:pPr>
        <w:widowControl/>
        <w:wordWrap w:val="0"/>
        <w:topLinePunct/>
        <w:adjustRightInd w:val="0"/>
        <w:snapToGrid w:val="0"/>
        <w:spacing w:after="120" w:afterLines="50" w:line="360" w:lineRule="auto"/>
        <w:outlineLvl w:val="2"/>
        <w:rPr>
          <w:rFonts w:ascii="宋体" w:hAnsi="宋体" w:cs="宋体"/>
          <w:color w:val="auto"/>
          <w:highlight w:val="none"/>
        </w:rPr>
      </w:pPr>
      <w:bookmarkStart w:id="501" w:name="_Toc20171760"/>
      <w:bookmarkEnd w:id="501"/>
      <w:bookmarkStart w:id="502" w:name="_Ref11918626"/>
      <w:bookmarkEnd w:id="502"/>
      <w:bookmarkStart w:id="503" w:name="_Ref11918789"/>
      <w:bookmarkEnd w:id="503"/>
      <w:bookmarkStart w:id="504" w:name="_Ref11918693"/>
      <w:bookmarkStart w:id="505" w:name="_Toc26110"/>
      <w:bookmarkStart w:id="506" w:name="_Toc29520"/>
      <w:bookmarkStart w:id="507" w:name="_Toc30074"/>
      <w:bookmarkStart w:id="508" w:name="_Toc51766612"/>
      <w:bookmarkStart w:id="509" w:name="_Toc84930749"/>
      <w:bookmarkStart w:id="510" w:name="_Toc179885285"/>
      <w:bookmarkStart w:id="511" w:name="_Toc58860199"/>
      <w:r>
        <w:rPr>
          <w:rFonts w:hint="eastAsia" w:ascii="宋体" w:hAnsi="宋体" w:cs="宋体"/>
          <w:color w:val="auto"/>
          <w:szCs w:val="21"/>
          <w:highlight w:val="none"/>
          <w:lang w:bidi="ar"/>
        </w:rPr>
        <w:t>4</w:t>
      </w:r>
      <w:bookmarkEnd w:id="504"/>
      <w:r>
        <w:rPr>
          <w:rFonts w:hint="eastAsia" w:ascii="宋体" w:hAnsi="宋体" w:cs="宋体"/>
          <w:color w:val="auto"/>
          <w:szCs w:val="21"/>
          <w:highlight w:val="none"/>
          <w:lang w:bidi="ar"/>
        </w:rPr>
        <w:t>.8  不可预见的困难</w:t>
      </w:r>
      <w:bookmarkEnd w:id="505"/>
      <w:bookmarkEnd w:id="506"/>
      <w:bookmarkEnd w:id="507"/>
      <w:bookmarkEnd w:id="508"/>
      <w:bookmarkEnd w:id="509"/>
      <w:bookmarkEnd w:id="510"/>
      <w:bookmarkEnd w:id="511"/>
      <w:r>
        <w:rPr>
          <w:rFonts w:hint="eastAsia" w:ascii="宋体" w:hAnsi="宋体" w:cs="宋体"/>
          <w:color w:val="auto"/>
          <w:szCs w:val="21"/>
          <w:highlight w:val="none"/>
          <w:lang w:bidi="ar"/>
        </w:rPr>
        <w:t xml:space="preserve"> </w:t>
      </w:r>
    </w:p>
    <w:p w14:paraId="1CE636E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不可预见的困难是指有经验的承包人在施工现场遇到的不可预见的自然物质条件、非自然的物质障碍和污染物，包括地表以下物质条件和水文条件以及专用合同条件约定的其他情形，但不包括气候条件。</w:t>
      </w:r>
    </w:p>
    <w:p w14:paraId="0407BF9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13条[变更与调整]约定执行。承包人因采取合理措施而增加的费用和（或）延误的工期由发包人承担。</w:t>
      </w:r>
    </w:p>
    <w:p w14:paraId="572B0482">
      <w:pPr>
        <w:widowControl/>
        <w:wordWrap w:val="0"/>
        <w:topLinePunct/>
        <w:adjustRightInd w:val="0"/>
        <w:snapToGrid w:val="0"/>
        <w:spacing w:after="120" w:afterLines="50" w:line="360" w:lineRule="auto"/>
        <w:outlineLvl w:val="2"/>
        <w:rPr>
          <w:rFonts w:ascii="宋体" w:hAnsi="宋体" w:cs="宋体"/>
          <w:color w:val="auto"/>
          <w:highlight w:val="none"/>
        </w:rPr>
      </w:pPr>
      <w:bookmarkStart w:id="512" w:name="_Toc20171761"/>
      <w:bookmarkEnd w:id="512"/>
      <w:bookmarkStart w:id="513" w:name="_Ref11926570"/>
      <w:bookmarkEnd w:id="513"/>
      <w:bookmarkStart w:id="514" w:name="_Ref11926566"/>
      <w:bookmarkStart w:id="515" w:name="_Toc31648"/>
      <w:bookmarkStart w:id="516" w:name="_Toc427"/>
      <w:bookmarkStart w:id="517" w:name="_Toc51766613"/>
      <w:bookmarkStart w:id="518" w:name="_Toc84930750"/>
      <w:bookmarkStart w:id="519" w:name="_Toc58860200"/>
      <w:bookmarkStart w:id="520" w:name="_Toc179885286"/>
      <w:bookmarkStart w:id="521" w:name="_Toc13299"/>
      <w:r>
        <w:rPr>
          <w:rFonts w:hint="eastAsia" w:ascii="宋体" w:hAnsi="宋体" w:cs="宋体"/>
          <w:color w:val="auto"/>
          <w:szCs w:val="21"/>
          <w:highlight w:val="none"/>
          <w:lang w:bidi="ar"/>
        </w:rPr>
        <w:t>4</w:t>
      </w:r>
      <w:bookmarkEnd w:id="514"/>
      <w:r>
        <w:rPr>
          <w:rFonts w:hint="eastAsia" w:ascii="宋体" w:hAnsi="宋体" w:cs="宋体"/>
          <w:color w:val="auto"/>
          <w:szCs w:val="21"/>
          <w:highlight w:val="none"/>
          <w:lang w:bidi="ar"/>
        </w:rPr>
        <w:t>.9  工程质量管理</w:t>
      </w:r>
      <w:bookmarkEnd w:id="515"/>
      <w:bookmarkEnd w:id="516"/>
      <w:bookmarkEnd w:id="517"/>
      <w:bookmarkEnd w:id="518"/>
      <w:bookmarkEnd w:id="519"/>
      <w:bookmarkEnd w:id="520"/>
      <w:bookmarkEnd w:id="521"/>
    </w:p>
    <w:p w14:paraId="109424BC">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4.9.1承包人应按合同约定的质量标准规范，建立有效的质量管理系统，确保设计、采购、加工制造、施工、竣工试验等各项工作的质量，并按照国家有关规定，通过质量保修责任书的形式约定保修范围、保修期限和保修责任。</w:t>
      </w:r>
    </w:p>
    <w:p w14:paraId="4C9BA418">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4.9.2承包人按照第8.4款[项目进度计划]约定向工程师提交工程质量保证体系及措施文件，建立完善的质量检查制度，并提交相应的工程质量文件。对于发包人和工程师违反法律规定和合同约定的错误指示，承包人有权拒绝实施。</w:t>
      </w:r>
    </w:p>
    <w:p w14:paraId="487D669A">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4.9.3承包人应对其人员进行质量教育和技术培训，定期考核人员的劳动技能，严格执行相关规范和操作规程。</w:t>
      </w:r>
    </w:p>
    <w:p w14:paraId="6BB4333D">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4.9.4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14:paraId="2A822F5D">
      <w:pPr>
        <w:widowControl/>
        <w:wordWrap w:val="0"/>
        <w:topLinePunct/>
        <w:adjustRightInd w:val="0"/>
        <w:snapToGrid w:val="0"/>
        <w:spacing w:after="120" w:afterLines="50" w:line="360" w:lineRule="auto"/>
        <w:outlineLvl w:val="1"/>
        <w:rPr>
          <w:rFonts w:ascii="宋体" w:hAnsi="宋体" w:cs="宋体"/>
          <w:color w:val="auto"/>
          <w:kern w:val="0"/>
          <w:highlight w:val="none"/>
        </w:rPr>
      </w:pPr>
      <w:bookmarkStart w:id="522" w:name="_Ref531952837"/>
      <w:bookmarkEnd w:id="522"/>
      <w:bookmarkStart w:id="523" w:name="_Toc20171762"/>
      <w:bookmarkStart w:id="524" w:name="_Toc179885287"/>
      <w:r>
        <w:rPr>
          <w:rFonts w:hint="eastAsia" w:ascii="宋体" w:hAnsi="宋体" w:cs="宋体"/>
          <w:color w:val="auto"/>
          <w:kern w:val="0"/>
          <w:szCs w:val="21"/>
          <w:highlight w:val="none"/>
          <w:lang w:bidi="ar"/>
        </w:rPr>
        <w:t xml:space="preserve">第5条 </w:t>
      </w:r>
      <w:bookmarkEnd w:id="523"/>
      <w:r>
        <w:rPr>
          <w:rFonts w:hint="eastAsia" w:ascii="宋体" w:hAnsi="宋体" w:cs="宋体"/>
          <w:color w:val="auto"/>
          <w:kern w:val="0"/>
          <w:szCs w:val="21"/>
          <w:highlight w:val="none"/>
          <w:lang w:bidi="ar"/>
        </w:rPr>
        <w:t xml:space="preserve"> 设计</w:t>
      </w:r>
      <w:bookmarkEnd w:id="524"/>
    </w:p>
    <w:p w14:paraId="2521DAC4">
      <w:pPr>
        <w:widowControl/>
        <w:wordWrap w:val="0"/>
        <w:topLinePunct/>
        <w:adjustRightInd w:val="0"/>
        <w:snapToGrid w:val="0"/>
        <w:spacing w:after="120" w:afterLines="50" w:line="360" w:lineRule="auto"/>
        <w:outlineLvl w:val="2"/>
        <w:rPr>
          <w:rFonts w:ascii="宋体" w:hAnsi="宋体" w:cs="宋体"/>
          <w:color w:val="auto"/>
          <w:highlight w:val="none"/>
        </w:rPr>
      </w:pPr>
      <w:bookmarkStart w:id="525" w:name="_Toc20171763"/>
      <w:bookmarkEnd w:id="525"/>
      <w:bookmarkStart w:id="526" w:name="_Ref531952863"/>
      <w:bookmarkEnd w:id="526"/>
      <w:bookmarkStart w:id="527" w:name="_Ref531952860"/>
      <w:bookmarkStart w:id="528" w:name="_Toc8951"/>
      <w:bookmarkStart w:id="529" w:name="_Toc58860202"/>
      <w:bookmarkStart w:id="530" w:name="_Toc14085"/>
      <w:bookmarkStart w:id="531" w:name="_Toc51766615"/>
      <w:bookmarkStart w:id="532" w:name="_Toc179885288"/>
      <w:bookmarkStart w:id="533" w:name="_Toc14982"/>
      <w:bookmarkStart w:id="534" w:name="_Toc84930752"/>
      <w:r>
        <w:rPr>
          <w:rFonts w:hint="eastAsia" w:ascii="宋体" w:hAnsi="宋体" w:cs="宋体"/>
          <w:color w:val="auto"/>
          <w:szCs w:val="21"/>
          <w:highlight w:val="none"/>
          <w:lang w:bidi="ar"/>
        </w:rPr>
        <w:t>5</w:t>
      </w:r>
      <w:bookmarkEnd w:id="527"/>
      <w:r>
        <w:rPr>
          <w:rFonts w:hint="eastAsia" w:ascii="宋体" w:hAnsi="宋体" w:cs="宋体"/>
          <w:color w:val="auto"/>
          <w:szCs w:val="21"/>
          <w:highlight w:val="none"/>
          <w:lang w:bidi="ar"/>
        </w:rPr>
        <w:t>.1  承包人的设计义务</w:t>
      </w:r>
      <w:bookmarkEnd w:id="528"/>
      <w:bookmarkEnd w:id="529"/>
      <w:bookmarkEnd w:id="530"/>
      <w:bookmarkEnd w:id="531"/>
      <w:bookmarkEnd w:id="532"/>
      <w:bookmarkEnd w:id="533"/>
      <w:bookmarkEnd w:id="534"/>
      <w:r>
        <w:rPr>
          <w:rFonts w:hint="eastAsia" w:ascii="宋体" w:hAnsi="宋体" w:cs="宋体"/>
          <w:color w:val="auto"/>
          <w:szCs w:val="21"/>
          <w:highlight w:val="none"/>
          <w:lang w:bidi="ar"/>
        </w:rPr>
        <w:t xml:space="preserve"> </w:t>
      </w:r>
    </w:p>
    <w:p w14:paraId="2CF5D69F">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bookmarkStart w:id="535" w:name="_Ref531952881"/>
      <w:bookmarkEnd w:id="535"/>
      <w:r>
        <w:rPr>
          <w:rFonts w:hint="eastAsia" w:ascii="宋体" w:hAnsi="宋体" w:cs="宋体"/>
          <w:color w:val="auto"/>
          <w:szCs w:val="21"/>
          <w:highlight w:val="none"/>
          <w:lang w:bidi="ar"/>
        </w:rPr>
        <w:t>5.1.1设计义务的一般要求</w:t>
      </w:r>
    </w:p>
    <w:p w14:paraId="4819172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14:paraId="702909F3">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bookmarkStart w:id="536" w:name="_Ref531952952"/>
      <w:bookmarkEnd w:id="536"/>
      <w:bookmarkStart w:id="537" w:name="_Ref531952899"/>
      <w:r>
        <w:rPr>
          <w:rFonts w:hint="eastAsia" w:ascii="宋体" w:hAnsi="宋体" w:cs="宋体"/>
          <w:color w:val="auto"/>
          <w:szCs w:val="21"/>
          <w:highlight w:val="none"/>
          <w:lang w:bidi="ar"/>
        </w:rPr>
        <w:t>5</w:t>
      </w:r>
      <w:bookmarkEnd w:id="537"/>
      <w:r>
        <w:rPr>
          <w:rFonts w:hint="eastAsia" w:ascii="宋体" w:hAnsi="宋体" w:cs="宋体"/>
          <w:color w:val="auto"/>
          <w:szCs w:val="21"/>
          <w:highlight w:val="none"/>
          <w:lang w:bidi="ar"/>
        </w:rPr>
        <w:t>.1.2对设计人员的要求</w:t>
      </w:r>
    </w:p>
    <w:p w14:paraId="015C7F6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p w14:paraId="7E1AE25E">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5.1.3法律和标准的变化</w:t>
      </w:r>
    </w:p>
    <w:p w14:paraId="67DCD2D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13.2款[承包人的合理化建议]的约定执行。</w:t>
      </w:r>
    </w:p>
    <w:p w14:paraId="1EA5681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在基准日期之后，因国家颁布新的强制性规范、标准导致承包人的费用变化的，发包人应合理调整合同价格；导致工期延误的，发包人应合理延长工期。</w:t>
      </w:r>
    </w:p>
    <w:p w14:paraId="3D6B7B7F">
      <w:pPr>
        <w:widowControl/>
        <w:wordWrap w:val="0"/>
        <w:topLinePunct/>
        <w:adjustRightInd w:val="0"/>
        <w:snapToGrid w:val="0"/>
        <w:spacing w:after="120" w:afterLines="50" w:line="360" w:lineRule="auto"/>
        <w:outlineLvl w:val="2"/>
        <w:rPr>
          <w:rFonts w:ascii="宋体" w:hAnsi="宋体" w:cs="宋体"/>
          <w:color w:val="auto"/>
          <w:highlight w:val="none"/>
        </w:rPr>
      </w:pPr>
      <w:bookmarkStart w:id="538" w:name="_Toc20171764"/>
      <w:bookmarkEnd w:id="538"/>
      <w:bookmarkStart w:id="539" w:name="_Ref531953051"/>
      <w:bookmarkEnd w:id="539"/>
      <w:bookmarkStart w:id="540" w:name="_Ref531953054"/>
      <w:bookmarkStart w:id="541" w:name="_Toc6911"/>
      <w:bookmarkStart w:id="542" w:name="_Toc84930753"/>
      <w:bookmarkStart w:id="543" w:name="_Toc13283"/>
      <w:bookmarkStart w:id="544" w:name="_Toc51766616"/>
      <w:bookmarkStart w:id="545" w:name="_Toc58860203"/>
      <w:bookmarkStart w:id="546" w:name="_Toc24823"/>
      <w:bookmarkStart w:id="547" w:name="_Toc179885289"/>
      <w:r>
        <w:rPr>
          <w:rFonts w:hint="eastAsia" w:ascii="宋体" w:hAnsi="宋体" w:cs="宋体"/>
          <w:color w:val="auto"/>
          <w:szCs w:val="21"/>
          <w:highlight w:val="none"/>
          <w:lang w:bidi="ar"/>
        </w:rPr>
        <w:t>5</w:t>
      </w:r>
      <w:bookmarkEnd w:id="540"/>
      <w:r>
        <w:rPr>
          <w:rFonts w:hint="eastAsia" w:ascii="宋体" w:hAnsi="宋体" w:cs="宋体"/>
          <w:color w:val="auto"/>
          <w:szCs w:val="21"/>
          <w:highlight w:val="none"/>
          <w:lang w:bidi="ar"/>
        </w:rPr>
        <w:t>.2  承包人文件审查</w:t>
      </w:r>
      <w:bookmarkEnd w:id="541"/>
      <w:bookmarkEnd w:id="542"/>
      <w:bookmarkEnd w:id="543"/>
      <w:bookmarkEnd w:id="544"/>
      <w:bookmarkEnd w:id="545"/>
      <w:bookmarkEnd w:id="546"/>
      <w:bookmarkEnd w:id="547"/>
      <w:r>
        <w:rPr>
          <w:rFonts w:hint="eastAsia" w:ascii="宋体" w:hAnsi="宋体" w:cs="宋体"/>
          <w:color w:val="auto"/>
          <w:szCs w:val="21"/>
          <w:highlight w:val="none"/>
          <w:lang w:bidi="ar"/>
        </w:rPr>
        <w:t xml:space="preserve"> </w:t>
      </w:r>
    </w:p>
    <w:p w14:paraId="496475AE">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bookmarkStart w:id="548" w:name="_Ref531953064"/>
      <w:bookmarkEnd w:id="548"/>
      <w:r>
        <w:rPr>
          <w:rFonts w:hint="eastAsia" w:ascii="宋体" w:hAnsi="宋体" w:cs="宋体"/>
          <w:color w:val="auto"/>
          <w:szCs w:val="21"/>
          <w:highlight w:val="none"/>
          <w:lang w:bidi="ar"/>
        </w:rPr>
        <w:t>5.2.1根据《发包人要求》应当通过工程师报发包人审查同意的承包人文件，承包人应当按照《发包人要求》约定的范围和内容及时报送审查。</w:t>
      </w:r>
    </w:p>
    <w:p w14:paraId="27490A5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期重新起算。</w:t>
      </w:r>
    </w:p>
    <w:p w14:paraId="2DB6700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发包人同意承包人文件的，应及时通知承包人，发包人不同意承包人文件的，应在审查期限内通过工程师以书面形式通知承包人，并说明不同意的具体内容和理由。</w:t>
      </w:r>
    </w:p>
    <w:p w14:paraId="3D92EF6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承包人对发包人的意见按以下方式处理：</w:t>
      </w:r>
    </w:p>
    <w:p w14:paraId="6AE1F39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（1）发包人的意见构成变更的，承包人应在7天内通知发包人按照第13条[变更与调整]中关于发包人指示变更的约定执行，双方对是否构成变更无法达成一致的，按照第20条[争议解决]的约定执行；</w:t>
      </w:r>
    </w:p>
    <w:p w14:paraId="6B8E5D9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（2）因承包人原因导致无法通过审查的，承包人应根据发包人的书面说明，对承包人文件进行修改后重新报送发包人审查，审查期重新起算。因此引起的工期延长和必要的工程费用增加，由承包人负责。</w:t>
      </w:r>
    </w:p>
    <w:p w14:paraId="0EF268F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合同约定的审查期满，发包人没有做出审查结论也没有提出异议的，视为承包人文件已获发包人同意。</w:t>
      </w:r>
    </w:p>
    <w:p w14:paraId="398FF73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发包人对承包人文件的审查和同意不得被理解为对合同的修改或改变，也并不减轻或免除承包人任何的责任和义务。</w:t>
      </w:r>
    </w:p>
    <w:p w14:paraId="493A3D95">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5.2.2承包人文件不需要政府有关部门或专用合同条件约定的第三方审查单位审查或批准的，承包人应当严格按照经发包人审查同意的承包人文件设计和实施工程。</w:t>
      </w:r>
    </w:p>
    <w:p w14:paraId="3976D82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14:paraId="03852E2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发包人有义务向承包人提供审查会议的批准文件和纪要。承包人有义务按照相关审查会议批准的文件和纪要，并依据合同约定及相关技术标准，对承包人文件进行修改、补充和完善。</w:t>
      </w:r>
    </w:p>
    <w:p w14:paraId="122E9B33">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bookmarkStart w:id="549" w:name="_Ref531953074"/>
      <w:bookmarkEnd w:id="549"/>
      <w:r>
        <w:rPr>
          <w:rFonts w:hint="eastAsia" w:ascii="宋体" w:hAnsi="宋体" w:cs="宋体"/>
          <w:color w:val="auto"/>
          <w:szCs w:val="21"/>
          <w:highlight w:val="none"/>
          <w:lang w:bidi="ar"/>
        </w:rPr>
        <w:t>5.2.3承包人文件需政府有关部门或专用合同条件约定的第三方审查单位审查或批准的，发包人应在发包人审查同意承包人文件后7天内，向政府有关部门或第三方报送承包人文件，承包人应予以协助。</w:t>
      </w:r>
    </w:p>
    <w:p w14:paraId="3338511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对于政府有关部门或第三方审查单位的审查意见，不需要修改《发包人要求》的，承包人需按该审查意见修改承包人的设计文件；需要修改《发包人要求》的，承包人应按第13.2款[承包人的合理化建议]的约定执行。上述情形还应适用第5.1款[承包人的设计义务]和第13条[变更与调整]的有关约定。</w:t>
      </w:r>
    </w:p>
    <w:p w14:paraId="12EEB40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14:paraId="7E2C03D3">
      <w:pPr>
        <w:widowControl/>
        <w:wordWrap w:val="0"/>
        <w:topLinePunct/>
        <w:adjustRightInd w:val="0"/>
        <w:snapToGrid w:val="0"/>
        <w:spacing w:after="120" w:afterLines="50" w:line="360" w:lineRule="auto"/>
        <w:outlineLvl w:val="2"/>
        <w:rPr>
          <w:rFonts w:ascii="宋体" w:hAnsi="宋体" w:cs="宋体"/>
          <w:color w:val="auto"/>
          <w:highlight w:val="none"/>
        </w:rPr>
      </w:pPr>
      <w:bookmarkStart w:id="550" w:name="_Ref531953095"/>
      <w:bookmarkEnd w:id="550"/>
      <w:bookmarkStart w:id="551" w:name="_Toc20171765"/>
      <w:bookmarkEnd w:id="551"/>
      <w:bookmarkStart w:id="552" w:name="_Ref531953097"/>
      <w:bookmarkStart w:id="553" w:name="_Toc51766617"/>
      <w:bookmarkStart w:id="554" w:name="_Toc1099"/>
      <w:bookmarkStart w:id="555" w:name="_Toc58860204"/>
      <w:bookmarkStart w:id="556" w:name="_Toc84930754"/>
      <w:bookmarkStart w:id="557" w:name="_Toc179885290"/>
      <w:bookmarkStart w:id="558" w:name="_Toc12432"/>
      <w:bookmarkStart w:id="559" w:name="_Toc19666"/>
      <w:r>
        <w:rPr>
          <w:rFonts w:hint="eastAsia" w:ascii="宋体" w:hAnsi="宋体" w:cs="宋体"/>
          <w:color w:val="auto"/>
          <w:szCs w:val="21"/>
          <w:highlight w:val="none"/>
          <w:lang w:bidi="ar"/>
        </w:rPr>
        <w:t>5</w:t>
      </w:r>
      <w:bookmarkEnd w:id="552"/>
      <w:r>
        <w:rPr>
          <w:rFonts w:hint="eastAsia" w:ascii="宋体" w:hAnsi="宋体" w:cs="宋体"/>
          <w:color w:val="auto"/>
          <w:szCs w:val="21"/>
          <w:highlight w:val="none"/>
          <w:lang w:bidi="ar"/>
        </w:rPr>
        <w:t>.3  培训</w:t>
      </w:r>
      <w:bookmarkEnd w:id="553"/>
      <w:bookmarkEnd w:id="554"/>
      <w:bookmarkEnd w:id="555"/>
      <w:bookmarkEnd w:id="556"/>
      <w:bookmarkEnd w:id="557"/>
      <w:bookmarkEnd w:id="558"/>
      <w:bookmarkEnd w:id="559"/>
    </w:p>
    <w:p w14:paraId="16AC265A">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按照《发包人要求》，对发包人的雇员或其它发包人指定的人员进行工程操作、维修或其它合同中约定的培训。合同约定接收之前进行培训的，应在第10.1款[竣工验收]约定的竣工验收前或试运行结束前完成培训。</w:t>
      </w:r>
    </w:p>
    <w:p w14:paraId="5016554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培训的时长应由双方在专用合同条件中约定，承包人应为培训提供有经验的人员、设施和其它必要条件。</w:t>
      </w:r>
    </w:p>
    <w:p w14:paraId="1D546D76">
      <w:pPr>
        <w:widowControl/>
        <w:wordWrap w:val="0"/>
        <w:topLinePunct/>
        <w:adjustRightInd w:val="0"/>
        <w:snapToGrid w:val="0"/>
        <w:spacing w:after="120" w:afterLines="50" w:line="360" w:lineRule="auto"/>
        <w:outlineLvl w:val="2"/>
        <w:rPr>
          <w:rFonts w:ascii="宋体" w:hAnsi="宋体" w:cs="宋体"/>
          <w:color w:val="auto"/>
          <w:highlight w:val="none"/>
        </w:rPr>
      </w:pPr>
      <w:bookmarkStart w:id="560" w:name="_Ref531953105"/>
      <w:bookmarkEnd w:id="560"/>
      <w:bookmarkStart w:id="561" w:name="_Toc20171766"/>
      <w:bookmarkEnd w:id="561"/>
      <w:bookmarkStart w:id="562" w:name="_Ref531953108"/>
      <w:bookmarkStart w:id="563" w:name="_Toc22828"/>
      <w:bookmarkStart w:id="564" w:name="_Toc51766618"/>
      <w:bookmarkStart w:id="565" w:name="_Toc19506"/>
      <w:bookmarkStart w:id="566" w:name="_Toc58860205"/>
      <w:bookmarkStart w:id="567" w:name="_Toc84930755"/>
      <w:bookmarkStart w:id="568" w:name="_Toc18656"/>
      <w:bookmarkStart w:id="569" w:name="_Toc179885291"/>
      <w:r>
        <w:rPr>
          <w:rFonts w:hint="eastAsia" w:ascii="宋体" w:hAnsi="宋体" w:cs="宋体"/>
          <w:color w:val="auto"/>
          <w:szCs w:val="21"/>
          <w:highlight w:val="none"/>
          <w:lang w:bidi="ar"/>
        </w:rPr>
        <w:t>5</w:t>
      </w:r>
      <w:bookmarkEnd w:id="562"/>
      <w:r>
        <w:rPr>
          <w:rFonts w:hint="eastAsia" w:ascii="宋体" w:hAnsi="宋体" w:cs="宋体"/>
          <w:color w:val="auto"/>
          <w:szCs w:val="21"/>
          <w:highlight w:val="none"/>
          <w:lang w:bidi="ar"/>
        </w:rPr>
        <w:t>.4  竣工文件</w:t>
      </w:r>
      <w:bookmarkEnd w:id="563"/>
      <w:bookmarkEnd w:id="564"/>
      <w:bookmarkEnd w:id="565"/>
      <w:bookmarkEnd w:id="566"/>
      <w:bookmarkEnd w:id="567"/>
      <w:bookmarkEnd w:id="568"/>
      <w:bookmarkEnd w:id="569"/>
    </w:p>
    <w:p w14:paraId="2D0253C6">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bookmarkStart w:id="570" w:name="_Ref531953134"/>
      <w:bookmarkEnd w:id="570"/>
      <w:r>
        <w:rPr>
          <w:rFonts w:hint="eastAsia" w:ascii="宋体" w:hAnsi="宋体" w:cs="宋体"/>
          <w:color w:val="auto"/>
          <w:szCs w:val="21"/>
          <w:highlight w:val="none"/>
          <w:lang w:bidi="ar"/>
        </w:rPr>
        <w:t>5.4.1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p>
    <w:p w14:paraId="24A5A3D8">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5.4.2在颁发工程接收证书之前，承包人应按照《发包人要求》的份数和形式向工程师提交相应竣工图纸，并取得工程师对尺寸、参照系统及其他有关细节的认可。工程师应按照第5.2款[承包人文件审查]的约定进行审查。</w:t>
      </w:r>
    </w:p>
    <w:p w14:paraId="19651F22">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5.4.3除专用合同条件另有约定外，在工程师收到本款下的文件前，不应认为工程已根据第10.1款[竣工验收]和第10.2款[单位/区段工程的验收]的约定完成验收。</w:t>
      </w:r>
    </w:p>
    <w:p w14:paraId="265A0B3B">
      <w:pPr>
        <w:widowControl/>
        <w:wordWrap w:val="0"/>
        <w:topLinePunct/>
        <w:adjustRightInd w:val="0"/>
        <w:snapToGrid w:val="0"/>
        <w:spacing w:after="120" w:afterLines="50" w:line="360" w:lineRule="auto"/>
        <w:outlineLvl w:val="2"/>
        <w:rPr>
          <w:rFonts w:ascii="宋体" w:hAnsi="宋体" w:cs="宋体"/>
          <w:color w:val="auto"/>
          <w:highlight w:val="none"/>
        </w:rPr>
      </w:pPr>
      <w:bookmarkStart w:id="571" w:name="_Toc20171767"/>
      <w:bookmarkEnd w:id="571"/>
      <w:bookmarkStart w:id="572" w:name="_Ref531953117"/>
      <w:bookmarkEnd w:id="572"/>
      <w:bookmarkStart w:id="573" w:name="_Ref531953119"/>
      <w:bookmarkStart w:id="574" w:name="_Toc30445"/>
      <w:bookmarkStart w:id="575" w:name="_Toc58860206"/>
      <w:bookmarkStart w:id="576" w:name="_Toc51766619"/>
      <w:bookmarkStart w:id="577" w:name="_Toc16964"/>
      <w:bookmarkStart w:id="578" w:name="_Toc8318"/>
      <w:bookmarkStart w:id="579" w:name="_Toc179885292"/>
      <w:bookmarkStart w:id="580" w:name="_Toc84930756"/>
      <w:r>
        <w:rPr>
          <w:rFonts w:hint="eastAsia" w:ascii="宋体" w:hAnsi="宋体" w:cs="宋体"/>
          <w:color w:val="auto"/>
          <w:szCs w:val="21"/>
          <w:highlight w:val="none"/>
          <w:lang w:bidi="ar"/>
        </w:rPr>
        <w:t>5</w:t>
      </w:r>
      <w:bookmarkEnd w:id="573"/>
      <w:r>
        <w:rPr>
          <w:rFonts w:hint="eastAsia" w:ascii="宋体" w:hAnsi="宋体" w:cs="宋体"/>
          <w:color w:val="auto"/>
          <w:szCs w:val="21"/>
          <w:highlight w:val="none"/>
          <w:lang w:bidi="ar"/>
        </w:rPr>
        <w:t>.5  操作和维修手册</w:t>
      </w:r>
      <w:bookmarkEnd w:id="574"/>
      <w:bookmarkEnd w:id="575"/>
      <w:bookmarkEnd w:id="576"/>
      <w:bookmarkEnd w:id="577"/>
      <w:bookmarkEnd w:id="578"/>
      <w:bookmarkEnd w:id="579"/>
      <w:bookmarkEnd w:id="580"/>
      <w:r>
        <w:rPr>
          <w:rFonts w:hint="eastAsia" w:ascii="宋体" w:hAnsi="宋体" w:cs="宋体"/>
          <w:color w:val="auto"/>
          <w:szCs w:val="21"/>
          <w:highlight w:val="none"/>
          <w:lang w:bidi="ar"/>
        </w:rPr>
        <w:t xml:space="preserve"> </w:t>
      </w:r>
    </w:p>
    <w:p w14:paraId="14F6B640">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bookmarkStart w:id="581" w:name="_Ref531953145"/>
      <w:bookmarkEnd w:id="581"/>
      <w:r>
        <w:rPr>
          <w:rFonts w:hint="eastAsia" w:ascii="宋体" w:hAnsi="宋体" w:cs="宋体"/>
          <w:color w:val="auto"/>
          <w:szCs w:val="21"/>
          <w:highlight w:val="none"/>
          <w:lang w:bidi="ar"/>
        </w:rPr>
        <w:t>5</w:t>
      </w:r>
      <w:r>
        <w:rPr>
          <w:rFonts w:ascii="宋体" w:hAnsi="宋体" w:cs="宋体"/>
          <w:color w:val="auto"/>
          <w:szCs w:val="21"/>
          <w:highlight w:val="none"/>
          <w:lang w:bidi="ar"/>
        </w:rPr>
        <w:t>.5.1</w:t>
      </w:r>
      <w:r>
        <w:rPr>
          <w:rFonts w:hint="eastAsia" w:ascii="宋体" w:hAnsi="宋体" w:cs="宋体"/>
          <w:color w:val="auto"/>
          <w:szCs w:val="21"/>
          <w:highlight w:val="none"/>
          <w:lang w:bidi="ar"/>
        </w:rPr>
        <w:t>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p>
    <w:p w14:paraId="1C745697">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5</w:t>
      </w:r>
      <w:r>
        <w:rPr>
          <w:rFonts w:ascii="宋体" w:hAnsi="宋体" w:cs="宋体"/>
          <w:color w:val="auto"/>
          <w:szCs w:val="21"/>
          <w:highlight w:val="none"/>
          <w:lang w:bidi="ar"/>
        </w:rPr>
        <w:t>.5.2</w:t>
      </w:r>
      <w:r>
        <w:rPr>
          <w:rFonts w:hint="eastAsia" w:ascii="宋体" w:hAnsi="宋体" w:cs="宋体"/>
          <w:color w:val="auto"/>
          <w:szCs w:val="21"/>
          <w:highlight w:val="none"/>
          <w:lang w:bidi="ar"/>
        </w:rPr>
        <w:t>工程师收到承包人提交的文件后，应依据第5.2款[承包人文件审查]的约定对操作和维修手册进行审查，竣工试验工程中，承包人应为任何因操作和维修手册错误或遗漏引起的风险或损失承担责任。</w:t>
      </w:r>
    </w:p>
    <w:p w14:paraId="0319E4CB">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r>
        <w:rPr>
          <w:rFonts w:hint="eastAsia" w:ascii="宋体" w:hAnsi="宋体" w:cs="宋体"/>
          <w:color w:val="auto"/>
          <w:szCs w:val="21"/>
          <w:highlight w:val="none"/>
          <w:lang w:bidi="ar"/>
        </w:rPr>
        <w:t>5</w:t>
      </w:r>
      <w:r>
        <w:rPr>
          <w:rFonts w:ascii="宋体" w:hAnsi="宋体" w:cs="宋体"/>
          <w:color w:val="auto"/>
          <w:szCs w:val="21"/>
          <w:highlight w:val="none"/>
          <w:lang w:bidi="ar"/>
        </w:rPr>
        <w:t>.5.3</w:t>
      </w:r>
      <w:r>
        <w:rPr>
          <w:rFonts w:hint="eastAsia" w:ascii="宋体" w:hAnsi="宋体" w:cs="宋体"/>
          <w:color w:val="auto"/>
          <w:szCs w:val="21"/>
          <w:highlight w:val="none"/>
          <w:lang w:bidi="ar"/>
        </w:rPr>
        <w:t>除专用合同条件另有约定外，承包人应提交足够详细的最终操作和维修手册，以及在《发包人要求》中明确的相关操作和维修手册。除专用合同条件另有约定外，在工程师收到上述文件前，不应认为工程已根据第10.1款[竣工验收]和第10.2款[单位/区段工程的验收]的约定完成验收。</w:t>
      </w:r>
    </w:p>
    <w:p w14:paraId="07FBD3CB">
      <w:pPr>
        <w:widowControl/>
        <w:wordWrap w:val="0"/>
        <w:topLinePunct/>
        <w:adjustRightInd w:val="0"/>
        <w:snapToGrid w:val="0"/>
        <w:spacing w:after="120" w:afterLines="50" w:line="360" w:lineRule="auto"/>
        <w:outlineLvl w:val="2"/>
        <w:rPr>
          <w:rFonts w:ascii="宋体" w:hAnsi="宋体" w:cs="宋体"/>
          <w:color w:val="auto"/>
          <w:highlight w:val="none"/>
        </w:rPr>
      </w:pPr>
      <w:bookmarkStart w:id="582" w:name="_Toc20171768"/>
      <w:bookmarkEnd w:id="582"/>
      <w:bookmarkStart w:id="583" w:name="_Toc22894"/>
      <w:bookmarkStart w:id="584" w:name="_Toc18460"/>
      <w:bookmarkStart w:id="585" w:name="_Toc179885293"/>
      <w:bookmarkStart w:id="586" w:name="_Toc51766620"/>
      <w:bookmarkStart w:id="587" w:name="_Toc7276"/>
      <w:bookmarkStart w:id="588" w:name="_Toc58860207"/>
      <w:bookmarkStart w:id="589" w:name="_Toc84930757"/>
      <w:r>
        <w:rPr>
          <w:rFonts w:hint="eastAsia" w:ascii="宋体" w:hAnsi="宋体" w:cs="宋体"/>
          <w:color w:val="auto"/>
          <w:szCs w:val="21"/>
          <w:highlight w:val="none"/>
          <w:lang w:bidi="ar"/>
        </w:rPr>
        <w:t>5.6  承包人文件错误</w:t>
      </w:r>
      <w:bookmarkEnd w:id="583"/>
      <w:bookmarkEnd w:id="584"/>
      <w:bookmarkEnd w:id="585"/>
      <w:bookmarkEnd w:id="586"/>
      <w:bookmarkEnd w:id="587"/>
      <w:bookmarkEnd w:id="588"/>
      <w:bookmarkEnd w:id="589"/>
      <w:r>
        <w:rPr>
          <w:rFonts w:hint="eastAsia" w:ascii="宋体" w:hAnsi="宋体" w:cs="宋体"/>
          <w:color w:val="auto"/>
          <w:szCs w:val="21"/>
          <w:highlight w:val="none"/>
          <w:lang w:bidi="ar"/>
        </w:rPr>
        <w:t xml:space="preserve"> </w:t>
      </w:r>
    </w:p>
    <w:p w14:paraId="69A8BC2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文件存在错误、遗漏、含混、矛盾、不充分之处或其他缺陷，无论承包人是否根据本款获得了同意，承包人均应自费对前述问题带来的缺陷和工程问题进行改正，并按照第5.2款[承包人文件审查]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14:paraId="6F91DF95">
      <w:pPr>
        <w:widowControl/>
        <w:wordWrap w:val="0"/>
        <w:topLinePunct/>
        <w:adjustRightInd w:val="0"/>
        <w:snapToGrid w:val="0"/>
        <w:spacing w:after="120" w:afterLines="50" w:line="360" w:lineRule="auto"/>
        <w:outlineLvl w:val="1"/>
        <w:rPr>
          <w:rFonts w:ascii="宋体" w:hAnsi="宋体" w:cs="宋体"/>
          <w:color w:val="auto"/>
          <w:kern w:val="0"/>
          <w:highlight w:val="none"/>
        </w:rPr>
      </w:pPr>
      <w:bookmarkStart w:id="590" w:name="_Toc20171769"/>
      <w:bookmarkEnd w:id="590"/>
      <w:bookmarkStart w:id="591" w:name="_Ref531953765"/>
      <w:bookmarkEnd w:id="591"/>
      <w:bookmarkStart w:id="592" w:name="_Ref531953761"/>
      <w:bookmarkStart w:id="593" w:name="_Toc179885294"/>
      <w:r>
        <w:rPr>
          <w:rFonts w:hint="eastAsia" w:ascii="宋体" w:hAnsi="宋体" w:cs="宋体"/>
          <w:color w:val="auto"/>
          <w:kern w:val="0"/>
          <w:szCs w:val="21"/>
          <w:highlight w:val="none"/>
          <w:lang w:bidi="ar"/>
        </w:rPr>
        <w:t xml:space="preserve">第6条 </w:t>
      </w:r>
      <w:bookmarkEnd w:id="592"/>
      <w:r>
        <w:rPr>
          <w:rFonts w:hint="eastAsia" w:ascii="宋体" w:hAnsi="宋体" w:cs="宋体"/>
          <w:color w:val="auto"/>
          <w:kern w:val="0"/>
          <w:szCs w:val="21"/>
          <w:highlight w:val="none"/>
          <w:lang w:bidi="ar"/>
        </w:rPr>
        <w:t xml:space="preserve"> 材料、工程设备</w:t>
      </w:r>
      <w:bookmarkEnd w:id="593"/>
    </w:p>
    <w:p w14:paraId="53609549">
      <w:pPr>
        <w:widowControl/>
        <w:wordWrap w:val="0"/>
        <w:topLinePunct/>
        <w:adjustRightInd w:val="0"/>
        <w:snapToGrid w:val="0"/>
        <w:spacing w:after="120" w:afterLines="50" w:line="360" w:lineRule="auto"/>
        <w:outlineLvl w:val="2"/>
        <w:rPr>
          <w:rFonts w:ascii="宋体" w:hAnsi="宋体" w:cs="宋体"/>
          <w:color w:val="auto"/>
          <w:highlight w:val="none"/>
        </w:rPr>
      </w:pPr>
      <w:bookmarkStart w:id="594" w:name="_Ref531953832"/>
      <w:bookmarkEnd w:id="594"/>
      <w:bookmarkStart w:id="595" w:name="_Toc20171770"/>
      <w:bookmarkEnd w:id="595"/>
      <w:bookmarkStart w:id="596" w:name="_Ref531953828"/>
      <w:bookmarkStart w:id="597" w:name="_Toc23003"/>
      <w:bookmarkStart w:id="598" w:name="_Toc58860209"/>
      <w:bookmarkStart w:id="599" w:name="_Toc84930759"/>
      <w:bookmarkStart w:id="600" w:name="_Toc179885295"/>
      <w:bookmarkStart w:id="601" w:name="_Toc10480"/>
      <w:bookmarkStart w:id="602" w:name="_Toc2393"/>
      <w:bookmarkStart w:id="603" w:name="_Toc51766622"/>
      <w:r>
        <w:rPr>
          <w:rFonts w:hint="eastAsia" w:ascii="宋体" w:hAnsi="宋体" w:cs="宋体"/>
          <w:color w:val="auto"/>
          <w:szCs w:val="21"/>
          <w:highlight w:val="none"/>
          <w:lang w:bidi="ar"/>
        </w:rPr>
        <w:t>6</w:t>
      </w:r>
      <w:bookmarkEnd w:id="596"/>
      <w:r>
        <w:rPr>
          <w:rFonts w:hint="eastAsia" w:ascii="宋体" w:hAnsi="宋体" w:cs="宋体"/>
          <w:color w:val="auto"/>
          <w:szCs w:val="21"/>
          <w:highlight w:val="none"/>
          <w:lang w:bidi="ar"/>
        </w:rPr>
        <w:t>.1  实施方法</w:t>
      </w:r>
      <w:bookmarkEnd w:id="597"/>
      <w:bookmarkEnd w:id="598"/>
      <w:bookmarkEnd w:id="599"/>
      <w:bookmarkEnd w:id="600"/>
      <w:bookmarkEnd w:id="601"/>
      <w:bookmarkEnd w:id="602"/>
      <w:bookmarkEnd w:id="603"/>
      <w:r>
        <w:rPr>
          <w:rFonts w:hint="eastAsia" w:ascii="宋体" w:hAnsi="宋体" w:cs="宋体"/>
          <w:color w:val="auto"/>
          <w:szCs w:val="21"/>
          <w:highlight w:val="none"/>
          <w:lang w:bidi="ar"/>
        </w:rPr>
        <w:t xml:space="preserve"> </w:t>
      </w:r>
    </w:p>
    <w:p w14:paraId="6164A9A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承包人应按以下方法进行材料的加工、工程设备的采购、制造和安装、以及工程的所有其他实施作业：</w:t>
      </w:r>
    </w:p>
    <w:p w14:paraId="51B9845E">
      <w:pPr>
        <w:widowControl/>
        <w:adjustRightInd w:val="0"/>
        <w:snapToGrid w:val="0"/>
        <w:spacing w:after="120" w:afterLines="50" w:line="360" w:lineRule="auto"/>
        <w:ind w:firstLine="420" w:firstLineChars="200"/>
        <w:rPr>
          <w:rFonts w:ascii="宋体" w:hAnsi="宋体" w:cs="宋体"/>
          <w:color w:val="auto"/>
          <w:kern w:val="0"/>
          <w:highlight w:val="none"/>
        </w:rPr>
      </w:pPr>
      <w:bookmarkStart w:id="604" w:name="_Ref531953847"/>
      <w:bookmarkEnd w:id="604"/>
      <w:r>
        <w:rPr>
          <w:rFonts w:hint="eastAsia" w:ascii="宋体" w:hAnsi="宋体" w:cs="宋体"/>
          <w:color w:val="auto"/>
          <w:kern w:val="0"/>
          <w:szCs w:val="21"/>
          <w:highlight w:val="none"/>
          <w:lang w:bidi="ar"/>
        </w:rPr>
        <w:t>（1）按照法律规定和合同约定的方法；</w:t>
      </w:r>
    </w:p>
    <w:p w14:paraId="0F38D11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（2）按照公认的良好行业习惯，使用恰当、审慎、先进的方法；</w:t>
      </w:r>
    </w:p>
    <w:p w14:paraId="113EF92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（3）除专用合同条件另有规定外，应使用适当配备的实施方法、设备、设施和无危险的材料。</w:t>
      </w:r>
    </w:p>
    <w:p w14:paraId="0961BEBD">
      <w:pPr>
        <w:widowControl/>
        <w:wordWrap w:val="0"/>
        <w:topLinePunct/>
        <w:adjustRightInd w:val="0"/>
        <w:snapToGrid w:val="0"/>
        <w:spacing w:after="120" w:afterLines="50" w:line="360" w:lineRule="auto"/>
        <w:outlineLvl w:val="2"/>
        <w:rPr>
          <w:rFonts w:ascii="宋体" w:hAnsi="宋体" w:cs="宋体"/>
          <w:color w:val="auto"/>
          <w:highlight w:val="none"/>
        </w:rPr>
      </w:pPr>
      <w:bookmarkStart w:id="605" w:name="_Toc20171771"/>
      <w:bookmarkEnd w:id="605"/>
      <w:bookmarkStart w:id="606" w:name="_Ref11926422"/>
      <w:bookmarkEnd w:id="606"/>
      <w:bookmarkStart w:id="607" w:name="_Ref4427594"/>
      <w:bookmarkStart w:id="608" w:name="_Toc1459"/>
      <w:bookmarkStart w:id="609" w:name="_Toc51766623"/>
      <w:bookmarkStart w:id="610" w:name="_Toc84930760"/>
      <w:bookmarkStart w:id="611" w:name="_Toc23364"/>
      <w:bookmarkStart w:id="612" w:name="_Toc8924"/>
      <w:bookmarkStart w:id="613" w:name="_Toc179885296"/>
      <w:bookmarkStart w:id="614" w:name="_Toc58860210"/>
      <w:r>
        <w:rPr>
          <w:rFonts w:hint="eastAsia" w:ascii="宋体" w:hAnsi="宋体" w:cs="宋体"/>
          <w:color w:val="auto"/>
          <w:szCs w:val="21"/>
          <w:highlight w:val="none"/>
          <w:lang w:bidi="ar"/>
        </w:rPr>
        <w:t xml:space="preserve">6.2  </w:t>
      </w:r>
      <w:bookmarkEnd w:id="607"/>
      <w:r>
        <w:rPr>
          <w:rFonts w:hint="eastAsia" w:ascii="宋体" w:hAnsi="宋体" w:cs="宋体"/>
          <w:color w:val="auto"/>
          <w:szCs w:val="21"/>
          <w:highlight w:val="none"/>
          <w:lang w:bidi="ar"/>
        </w:rPr>
        <w:t>材料和工程设备</w:t>
      </w:r>
      <w:bookmarkEnd w:id="608"/>
      <w:bookmarkEnd w:id="609"/>
      <w:bookmarkEnd w:id="610"/>
      <w:bookmarkEnd w:id="611"/>
      <w:bookmarkEnd w:id="612"/>
      <w:bookmarkEnd w:id="613"/>
      <w:bookmarkEnd w:id="614"/>
    </w:p>
    <w:p w14:paraId="595C26FA">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bookmarkStart w:id="615" w:name="_Ref11960295"/>
      <w:bookmarkEnd w:id="615"/>
      <w:r>
        <w:rPr>
          <w:rFonts w:hint="eastAsia" w:ascii="宋体" w:hAnsi="宋体" w:cs="宋体"/>
          <w:color w:val="auto"/>
          <w:szCs w:val="21"/>
          <w:highlight w:val="none"/>
          <w:lang w:bidi="ar"/>
        </w:rPr>
        <w:t>6.2.1发包人提供的材料和工程设备</w:t>
      </w:r>
    </w:p>
    <w:p w14:paraId="61B3D90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发包人自行供应材料、工程设备的，应在订立合同时在专用合同条件的附件2《发包人供应材料设备一览表》中明确材料、工程设备的品种、规格、型号、主要参数、数量、单价、质量等级和交接地点等。</w:t>
      </w:r>
    </w:p>
    <w:p w14:paraId="5823CA9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根据项目进度计划的安排，提前28天以书面形式通知工程师供应材料与工程设备的进场计划。承包人按照第8.4款[项目进度计划]约定修订项目进度计划时，需同时提交经修订后的发包人供应材料与工程设备的进场计划。发包人应按照上述进场计划，向承包人提交材料和工程设备。</w:t>
      </w:r>
    </w:p>
    <w:p w14:paraId="27833A8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14:paraId="577CF86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需要对进场计划进行变更的，承包人不得拒绝，应根据第13条[变更与调整]的规定执行，并由发包人承担承包人由此增加的费用，以及引起的工期延误。承包人需要对进场计划进行变更的，应事先报请工程师批准，由此增加的费用和（或）工期延误由承包人承担。</w:t>
      </w:r>
    </w:p>
    <w:p w14:paraId="03CD827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48454D93">
      <w:pPr>
        <w:widowControl/>
        <w:adjustRightInd w:val="0"/>
        <w:snapToGrid w:val="0"/>
        <w:spacing w:after="120" w:afterLines="50" w:line="360" w:lineRule="auto"/>
        <w:ind w:firstLine="420" w:firstLineChars="200"/>
        <w:rPr>
          <w:rFonts w:ascii="宋体" w:hAnsi="宋体" w:cs="宋体"/>
          <w:color w:val="auto"/>
          <w:highlight w:val="none"/>
        </w:rPr>
      </w:pPr>
      <w:bookmarkStart w:id="616" w:name="_Ref531953918"/>
      <w:bookmarkEnd w:id="616"/>
      <w:r>
        <w:rPr>
          <w:rFonts w:hint="eastAsia" w:ascii="宋体" w:hAnsi="宋体" w:cs="宋体"/>
          <w:color w:val="auto"/>
          <w:szCs w:val="21"/>
          <w:highlight w:val="none"/>
          <w:lang w:bidi="ar"/>
        </w:rPr>
        <w:t>6.2.2承包人提供的材料和工程设备</w:t>
      </w:r>
    </w:p>
    <w:p w14:paraId="2E4C0F9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14:paraId="05D9E7A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按照已被批准的第8.4款[项目进度计划]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14:paraId="2DBE9B2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14:paraId="28110B6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14:paraId="206C6543">
      <w:pPr>
        <w:widowControl/>
        <w:wordWrap w:val="0"/>
        <w:topLinePunct/>
        <w:adjustRightInd w:val="0"/>
        <w:snapToGrid w:val="0"/>
        <w:spacing w:after="120" w:afterLines="50" w:line="360" w:lineRule="auto"/>
        <w:ind w:firstLine="420" w:firstLineChars="200"/>
        <w:outlineLvl w:val="3"/>
        <w:rPr>
          <w:rFonts w:ascii="宋体" w:hAnsi="宋体" w:cs="宋体"/>
          <w:color w:val="auto"/>
          <w:highlight w:val="none"/>
        </w:rPr>
      </w:pPr>
      <w:bookmarkStart w:id="617" w:name="_Ref531953991"/>
      <w:bookmarkEnd w:id="617"/>
      <w:bookmarkStart w:id="618" w:name="_Ref531953999"/>
      <w:r>
        <w:rPr>
          <w:rFonts w:hint="eastAsia" w:ascii="宋体" w:hAnsi="宋体" w:cs="宋体"/>
          <w:color w:val="auto"/>
          <w:szCs w:val="21"/>
          <w:highlight w:val="none"/>
          <w:lang w:bidi="ar"/>
        </w:rPr>
        <w:t>6</w:t>
      </w:r>
      <w:bookmarkEnd w:id="618"/>
      <w:r>
        <w:rPr>
          <w:rFonts w:hint="eastAsia" w:ascii="宋体" w:hAnsi="宋体" w:cs="宋体"/>
          <w:color w:val="auto"/>
          <w:szCs w:val="21"/>
          <w:highlight w:val="none"/>
          <w:lang w:bidi="ar"/>
        </w:rPr>
        <w:t xml:space="preserve">.2.3材料和工程设备的保管 </w:t>
      </w:r>
    </w:p>
    <w:p w14:paraId="61A72AE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（1）发包人供应材料与工程设备的保管与使用</w:t>
      </w:r>
    </w:p>
    <w:p w14:paraId="02755FB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发包人供应的材料和工程设备，承包人清点并接收后由承包人妥善保管，保管费用由承包人承担，但专用合同条件另有约定除外。因承包人原因发生丢失毁损的，由承包人负责赔偿。</w:t>
      </w:r>
    </w:p>
    <w:p w14:paraId="4E06AA1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发包人供应的材料和工程设备使用前，由承包人负责必要的检验，检验费用由发包人承担，不合格的不得使用。</w:t>
      </w:r>
    </w:p>
    <w:p w14:paraId="7C32060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（2）承包人采购材料与工程设备的保管与使用</w:t>
      </w:r>
    </w:p>
    <w:p w14:paraId="3080F8D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14:paraId="7F28BAD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工程师发现承包人使用不符合设计或有关标准要求的材料和工程设备时，有权要求承包人进行修复、拆除或重新采购，由此增加的费用和（或）延误的工期，由承包人承担。</w:t>
      </w:r>
    </w:p>
    <w:p w14:paraId="7313655C">
      <w:pPr>
        <w:widowControl/>
        <w:wordWrap w:val="0"/>
        <w:topLinePunct/>
        <w:adjustRightInd w:val="0"/>
        <w:snapToGrid w:val="0"/>
        <w:spacing w:after="120" w:afterLines="50" w:line="360" w:lineRule="auto"/>
        <w:ind w:left="480"/>
        <w:outlineLvl w:val="3"/>
        <w:rPr>
          <w:rFonts w:ascii="宋体" w:hAnsi="宋体" w:cs="宋体"/>
          <w:color w:val="auto"/>
          <w:highlight w:val="none"/>
        </w:rPr>
      </w:pPr>
      <w:r>
        <w:rPr>
          <w:rFonts w:hint="eastAsia" w:ascii="宋体" w:hAnsi="宋体" w:cs="宋体"/>
          <w:color w:val="auto"/>
          <w:szCs w:val="21"/>
          <w:highlight w:val="none"/>
          <w:lang w:bidi="ar"/>
        </w:rPr>
        <w:t>6.2.4材料和工程设备的所有权</w:t>
      </w:r>
    </w:p>
    <w:p w14:paraId="35C2AAA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本合同另有约定外，承包人根据第6.2.2项[承包人提供的材料和工程设备]约定提供的材料和工程设备后，材料及工程设备的价款应列入第14.3.1项第（2）目的进度款金额中，发包人支付当期进度款之后，其所有权转为发包人所有（周转性材料除外）；在发包人接收工程前，承包人有义务对材料和工程设备进行保管、维护和保养，未经发包人批准不得运出现场。</w:t>
      </w:r>
    </w:p>
    <w:p w14:paraId="5B5B9F6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按第</w:t>
      </w:r>
      <w:r>
        <w:rPr>
          <w:rFonts w:ascii="宋体" w:hAnsi="宋体" w:cs="宋体"/>
          <w:color w:val="auto"/>
          <w:kern w:val="0"/>
          <w:szCs w:val="21"/>
          <w:highlight w:val="none"/>
          <w:lang w:bidi="ar"/>
        </w:rPr>
        <w:t>6.2.2项提供的材料和工程设备</w:t>
      </w:r>
      <w:r>
        <w:rPr>
          <w:rFonts w:hint="eastAsia" w:ascii="宋体" w:hAnsi="宋体" w:cs="宋体"/>
          <w:color w:val="auto"/>
          <w:kern w:val="0"/>
          <w:szCs w:val="21"/>
          <w:highlight w:val="none"/>
          <w:lang w:bidi="ar"/>
        </w:rPr>
        <w:t>，承包人应确保发包人取得无权利负担的材料及工程设备所有权，因承包人与第三人的物权争议导致的增加的费用和（或）延误的工期，由承包人承担。</w:t>
      </w:r>
    </w:p>
    <w:p w14:paraId="5FDF2CB3">
      <w:pPr>
        <w:widowControl/>
        <w:wordWrap w:val="0"/>
        <w:topLinePunct/>
        <w:adjustRightInd w:val="0"/>
        <w:snapToGrid w:val="0"/>
        <w:spacing w:after="120" w:afterLines="50" w:line="360" w:lineRule="auto"/>
        <w:outlineLvl w:val="2"/>
        <w:rPr>
          <w:rFonts w:ascii="宋体" w:hAnsi="宋体" w:cs="宋体"/>
          <w:color w:val="auto"/>
          <w:highlight w:val="none"/>
        </w:rPr>
      </w:pPr>
      <w:bookmarkStart w:id="619" w:name="_Toc20171772"/>
      <w:bookmarkEnd w:id="619"/>
      <w:bookmarkStart w:id="620" w:name="_Ref4428239"/>
      <w:bookmarkEnd w:id="620"/>
      <w:bookmarkStart w:id="621" w:name="_Toc351203565"/>
      <w:bookmarkEnd w:id="621"/>
      <w:bookmarkStart w:id="622" w:name="_Toc337558785"/>
      <w:bookmarkStart w:id="623" w:name="_Toc51766624"/>
      <w:bookmarkStart w:id="624" w:name="_Toc14032"/>
      <w:bookmarkStart w:id="625" w:name="_Toc84930761"/>
      <w:bookmarkStart w:id="626" w:name="_Toc15629"/>
      <w:bookmarkStart w:id="627" w:name="_Toc23538"/>
      <w:bookmarkStart w:id="628" w:name="_Toc179885297"/>
      <w:bookmarkStart w:id="629" w:name="_Toc58860211"/>
      <w:r>
        <w:rPr>
          <w:rFonts w:hint="eastAsia" w:ascii="宋体" w:hAnsi="宋体" w:cs="宋体"/>
          <w:color w:val="auto"/>
          <w:szCs w:val="21"/>
          <w:highlight w:val="none"/>
          <w:lang w:bidi="ar"/>
        </w:rPr>
        <w:t>6</w:t>
      </w:r>
      <w:bookmarkEnd w:id="622"/>
      <w:r>
        <w:rPr>
          <w:rFonts w:hint="eastAsia" w:ascii="宋体" w:hAnsi="宋体" w:cs="宋体"/>
          <w:color w:val="auto"/>
          <w:szCs w:val="21"/>
          <w:highlight w:val="none"/>
          <w:lang w:bidi="ar"/>
        </w:rPr>
        <w:t>.3  样品</w:t>
      </w:r>
      <w:bookmarkEnd w:id="623"/>
      <w:bookmarkEnd w:id="624"/>
      <w:bookmarkEnd w:id="625"/>
      <w:bookmarkEnd w:id="626"/>
      <w:bookmarkEnd w:id="627"/>
      <w:bookmarkEnd w:id="628"/>
      <w:bookmarkEnd w:id="629"/>
    </w:p>
    <w:p w14:paraId="5EF45D43">
      <w:pPr>
        <w:widowControl/>
        <w:wordWrap w:val="0"/>
        <w:topLinePunct/>
        <w:adjustRightInd w:val="0"/>
        <w:snapToGrid w:val="0"/>
        <w:spacing w:after="120" w:afterLines="50" w:line="360" w:lineRule="auto"/>
        <w:ind w:left="480"/>
        <w:outlineLvl w:val="3"/>
        <w:rPr>
          <w:rFonts w:ascii="宋体" w:hAnsi="宋体" w:cs="宋体"/>
          <w:color w:val="auto"/>
          <w:highlight w:val="none"/>
        </w:rPr>
      </w:pPr>
      <w:r>
        <w:rPr>
          <w:rFonts w:hint="eastAsia" w:ascii="宋体" w:hAnsi="宋体" w:cs="宋体"/>
          <w:color w:val="auto"/>
          <w:szCs w:val="21"/>
          <w:highlight w:val="none"/>
          <w:lang w:bidi="ar"/>
        </w:rPr>
        <w:t>6.3.1样品的报送与封存</w:t>
      </w:r>
    </w:p>
    <w:p w14:paraId="48E4ADC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需要承包人报送样品的材料或工程设备，样品的种类、名称、规格、数量等要求均应在专用合同条件中约定。样品的报送程序如下：</w:t>
      </w:r>
    </w:p>
    <w:p w14:paraId="1908A18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承包人应在计划采购前28天向工程师报送样品。承包人报送的样品均应来自供应材料的实际生产地，且提供的样品的规格、数量足以表明材料或工程设备的质量、型号、颜色、表面处理、质地、误差和其他要求的特征。</w:t>
      </w:r>
    </w:p>
    <w:p w14:paraId="51D0C63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承包人每次报送样品时应随附申报单，申报单应载明报送样品的相关数据和资料，并标明每件样品对应的图纸号，预留工程师审批意见栏。工程师应在收到承包人报送的样品后7天向承包人回复经发包人签认的样品审批意见。</w:t>
      </w:r>
    </w:p>
    <w:p w14:paraId="1F186D9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（3）经工程师审批确认的样品应按约定的方法封样，封存的样品作为检验工程相关部分的标准之一。承包人在施工过程中不得使用与样品不符的材料或工程设备。</w:t>
      </w:r>
    </w:p>
    <w:p w14:paraId="79C09EA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3780C62A">
      <w:pPr>
        <w:widowControl/>
        <w:wordWrap w:val="0"/>
        <w:topLinePunct/>
        <w:adjustRightInd w:val="0"/>
        <w:snapToGrid w:val="0"/>
        <w:spacing w:after="120" w:afterLines="50" w:line="360" w:lineRule="auto"/>
        <w:ind w:left="480"/>
        <w:outlineLvl w:val="3"/>
        <w:rPr>
          <w:rFonts w:ascii="宋体" w:hAnsi="宋体" w:cs="宋体"/>
          <w:color w:val="auto"/>
          <w:highlight w:val="none"/>
        </w:rPr>
      </w:pPr>
      <w:r>
        <w:rPr>
          <w:rFonts w:hint="eastAsia" w:ascii="宋体" w:hAnsi="宋体" w:cs="宋体"/>
          <w:color w:val="auto"/>
          <w:szCs w:val="21"/>
          <w:highlight w:val="none"/>
          <w:lang w:bidi="ar"/>
        </w:rPr>
        <w:t>6.3.2样品的保管</w:t>
      </w:r>
    </w:p>
    <w:p w14:paraId="03E642F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经批准的样品应由工程师负责封存于现场，承包人应在现场为保存样品提供适当和固定的场所并保持适当和良好的存储环境条件。</w:t>
      </w:r>
    </w:p>
    <w:p w14:paraId="69DFA28E">
      <w:pPr>
        <w:widowControl/>
        <w:wordWrap w:val="0"/>
        <w:topLinePunct/>
        <w:adjustRightInd w:val="0"/>
        <w:snapToGrid w:val="0"/>
        <w:spacing w:after="120" w:afterLines="50" w:line="360" w:lineRule="auto"/>
        <w:outlineLvl w:val="2"/>
        <w:rPr>
          <w:rFonts w:ascii="宋体" w:hAnsi="宋体" w:cs="宋体"/>
          <w:color w:val="auto"/>
          <w:highlight w:val="none"/>
        </w:rPr>
      </w:pPr>
      <w:bookmarkStart w:id="630" w:name="_Ref11959204"/>
      <w:bookmarkEnd w:id="630"/>
      <w:bookmarkStart w:id="631" w:name="_Ref11959210"/>
      <w:bookmarkEnd w:id="631"/>
      <w:bookmarkStart w:id="632" w:name="_Toc20171773"/>
      <w:bookmarkStart w:id="633" w:name="_Toc22225"/>
      <w:bookmarkStart w:id="634" w:name="_Toc84930762"/>
      <w:bookmarkStart w:id="635" w:name="_Toc51766625"/>
      <w:bookmarkStart w:id="636" w:name="_Toc58860212"/>
      <w:bookmarkStart w:id="637" w:name="_Toc179885298"/>
      <w:bookmarkStart w:id="638" w:name="_Toc31351"/>
      <w:bookmarkStart w:id="639" w:name="_Toc9282"/>
      <w:r>
        <w:rPr>
          <w:rFonts w:hint="eastAsia" w:ascii="宋体" w:hAnsi="宋体" w:cs="宋体"/>
          <w:color w:val="auto"/>
          <w:szCs w:val="21"/>
          <w:highlight w:val="none"/>
          <w:lang w:bidi="ar"/>
        </w:rPr>
        <w:t>6</w:t>
      </w:r>
      <w:bookmarkEnd w:id="632"/>
      <w:r>
        <w:rPr>
          <w:rFonts w:hint="eastAsia" w:ascii="宋体" w:hAnsi="宋体" w:cs="宋体"/>
          <w:color w:val="auto"/>
          <w:szCs w:val="21"/>
          <w:highlight w:val="none"/>
          <w:lang w:bidi="ar"/>
        </w:rPr>
        <w:t>.4  质量检查</w:t>
      </w:r>
      <w:bookmarkEnd w:id="633"/>
      <w:bookmarkEnd w:id="634"/>
      <w:bookmarkEnd w:id="635"/>
      <w:bookmarkEnd w:id="636"/>
      <w:bookmarkEnd w:id="637"/>
      <w:bookmarkEnd w:id="638"/>
      <w:bookmarkEnd w:id="639"/>
    </w:p>
    <w:p w14:paraId="734F3AF2">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640" w:name="_Ref18990699"/>
      <w:bookmarkEnd w:id="640"/>
      <w:r>
        <w:rPr>
          <w:rFonts w:hint="eastAsia" w:ascii="宋体" w:hAnsi="宋体" w:cs="宋体"/>
          <w:color w:val="auto"/>
          <w:szCs w:val="21"/>
          <w:highlight w:val="none"/>
          <w:lang w:bidi="ar"/>
        </w:rPr>
        <w:t>6.4.1工程质量要求</w:t>
      </w:r>
    </w:p>
    <w:p w14:paraId="7987A2D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工程质量标准必须符合现行国家有关工程施工质量验收规范和标准的要求。有关工程质量的特殊标准或要求由合同当事人在专用合同条件中约定。</w:t>
      </w:r>
    </w:p>
    <w:p w14:paraId="3E56245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14:paraId="78876D3C">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641" w:name="_Ref18990717"/>
      <w:bookmarkEnd w:id="641"/>
      <w:r>
        <w:rPr>
          <w:rFonts w:hint="eastAsia" w:ascii="宋体" w:hAnsi="宋体" w:cs="宋体"/>
          <w:color w:val="auto"/>
          <w:szCs w:val="21"/>
          <w:highlight w:val="none"/>
          <w:lang w:bidi="ar"/>
        </w:rPr>
        <w:t>6.4.2质量检查</w:t>
      </w:r>
    </w:p>
    <w:p w14:paraId="4597356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14:paraId="59F28D66">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642" w:name="_Ref11959222"/>
      <w:bookmarkEnd w:id="642"/>
      <w:r>
        <w:rPr>
          <w:rFonts w:hint="eastAsia" w:ascii="宋体" w:hAnsi="宋体" w:cs="宋体"/>
          <w:color w:val="auto"/>
          <w:szCs w:val="21"/>
          <w:highlight w:val="none"/>
          <w:lang w:bidi="ar"/>
        </w:rPr>
        <w:t>6.4.3隐蔽工程检查</w:t>
      </w:r>
    </w:p>
    <w:p w14:paraId="67EE926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14:paraId="4691893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工程师应按时到场并对隐蔽工程及其施工工艺、材料和工程设备进行检查。经工程师检查确认质量符合隐蔽要求，并在验收记录上签名后，承包人才能进行覆盖。经工程师检查质量不合格的，承包人应在工程师指示的时间内完成修复，并由工程师重新检查，由此增加的费用和（或）延误的工期由承包人承担。</w:t>
      </w:r>
    </w:p>
    <w:p w14:paraId="30BB6A6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除专用合同条件另有约定外，工程师不能按时进行检查的，应提前向承包人提交书面延期要求，顺延时间不得超过</w:t>
      </w:r>
      <w:r>
        <w:rPr>
          <w:rFonts w:ascii="宋体" w:hAnsi="宋体" w:cs="宋体"/>
          <w:color w:val="auto"/>
          <w:kern w:val="0"/>
          <w:szCs w:val="21"/>
          <w:highlight w:val="none"/>
          <w:lang w:bidi="ar"/>
        </w:rPr>
        <w:t>48小时，</w:t>
      </w:r>
      <w:r>
        <w:rPr>
          <w:rFonts w:hint="eastAsia" w:ascii="宋体" w:hAnsi="宋体" w:cs="宋体"/>
          <w:color w:val="auto"/>
          <w:kern w:val="0"/>
          <w:szCs w:val="21"/>
          <w:highlight w:val="none"/>
          <w:lang w:bidi="ar"/>
        </w:rPr>
        <w:t>由此导致工期延误的，工期应予以顺延；顺延超过</w:t>
      </w:r>
      <w:r>
        <w:rPr>
          <w:rFonts w:ascii="宋体" w:hAnsi="宋体" w:cs="宋体"/>
          <w:color w:val="auto"/>
          <w:kern w:val="0"/>
          <w:szCs w:val="21"/>
          <w:highlight w:val="none"/>
          <w:lang w:bidi="ar"/>
        </w:rPr>
        <w:t>48小时的，由此导致的工期延误及费用增加由发包人承担</w:t>
      </w:r>
      <w:r>
        <w:rPr>
          <w:rFonts w:hint="eastAsia" w:ascii="宋体" w:hAnsi="宋体" w:cs="宋体"/>
          <w:color w:val="auto"/>
          <w:kern w:val="0"/>
          <w:szCs w:val="21"/>
          <w:highlight w:val="none"/>
          <w:lang w:bidi="ar"/>
        </w:rPr>
        <w:t>。工程师未按时进行检查，也未提出延期要求的，视为隐蔽工程检查合格，承包人可自行完成覆盖工作，并作相应记录报送工程师，工程师应签名确认。工程师事后对检查记录有疑问的，可按下列约定重新检查。</w:t>
      </w:r>
    </w:p>
    <w:p w14:paraId="3A552F5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3E958E9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承包人未通知工程师到场检查，私自将工程隐蔽部位覆盖的，工程师有权指示承包人钻孔探测或揭开检查，无论工程隐蔽部位质量是否合格，由此增加的费用和（或）延误的工期均由承包人承担。</w:t>
      </w:r>
    </w:p>
    <w:p w14:paraId="38AC2CC8">
      <w:pPr>
        <w:widowControl/>
        <w:wordWrap w:val="0"/>
        <w:topLinePunct/>
        <w:adjustRightInd w:val="0"/>
        <w:snapToGrid w:val="0"/>
        <w:spacing w:after="120" w:afterLines="50" w:line="360" w:lineRule="auto"/>
        <w:outlineLvl w:val="2"/>
        <w:rPr>
          <w:rFonts w:ascii="宋体" w:hAnsi="宋体" w:cs="宋体"/>
          <w:color w:val="auto"/>
          <w:highlight w:val="none"/>
        </w:rPr>
      </w:pPr>
      <w:bookmarkStart w:id="643" w:name="_Ref11927398"/>
      <w:bookmarkEnd w:id="643"/>
      <w:bookmarkStart w:id="644" w:name="_Ref11927389"/>
      <w:bookmarkEnd w:id="644"/>
      <w:bookmarkStart w:id="645" w:name="_Toc20171774"/>
      <w:bookmarkEnd w:id="645"/>
      <w:bookmarkStart w:id="646" w:name="_Ref11927403"/>
      <w:bookmarkEnd w:id="646"/>
      <w:bookmarkStart w:id="647" w:name="_Ref11959175"/>
      <w:bookmarkEnd w:id="647"/>
      <w:bookmarkStart w:id="648" w:name="_Ref11959158"/>
      <w:bookmarkStart w:id="649" w:name="_Toc58860213"/>
      <w:bookmarkStart w:id="650" w:name="_Toc51766626"/>
      <w:bookmarkStart w:id="651" w:name="_Toc84930763"/>
      <w:bookmarkStart w:id="652" w:name="_Toc25319"/>
      <w:bookmarkStart w:id="653" w:name="_Toc20327"/>
      <w:bookmarkStart w:id="654" w:name="_Toc179885299"/>
      <w:bookmarkStart w:id="655" w:name="_Toc3211"/>
      <w:r>
        <w:rPr>
          <w:rFonts w:hint="eastAsia" w:ascii="宋体" w:hAnsi="宋体" w:cs="宋体"/>
          <w:color w:val="auto"/>
          <w:szCs w:val="21"/>
          <w:highlight w:val="none"/>
          <w:lang w:bidi="ar"/>
        </w:rPr>
        <w:t xml:space="preserve">6.5  </w:t>
      </w:r>
      <w:bookmarkEnd w:id="648"/>
      <w:r>
        <w:rPr>
          <w:rFonts w:hint="eastAsia" w:ascii="宋体" w:hAnsi="宋体" w:cs="宋体"/>
          <w:color w:val="auto"/>
          <w:szCs w:val="21"/>
          <w:highlight w:val="none"/>
          <w:lang w:bidi="ar"/>
        </w:rPr>
        <w:t>由承包人试验和检验</w:t>
      </w:r>
      <w:bookmarkEnd w:id="649"/>
      <w:bookmarkEnd w:id="650"/>
      <w:bookmarkEnd w:id="651"/>
      <w:bookmarkEnd w:id="652"/>
      <w:bookmarkEnd w:id="653"/>
      <w:bookmarkEnd w:id="654"/>
      <w:bookmarkEnd w:id="655"/>
    </w:p>
    <w:p w14:paraId="1451A63C">
      <w:pPr>
        <w:widowControl/>
        <w:wordWrap w:val="0"/>
        <w:topLinePunct/>
        <w:adjustRightInd w:val="0"/>
        <w:snapToGrid w:val="0"/>
        <w:spacing w:after="120" w:afterLines="50" w:line="360" w:lineRule="auto"/>
        <w:ind w:left="480"/>
        <w:outlineLvl w:val="3"/>
        <w:rPr>
          <w:rFonts w:ascii="宋体" w:hAnsi="宋体" w:cs="宋体"/>
          <w:color w:val="auto"/>
          <w:highlight w:val="none"/>
        </w:rPr>
      </w:pPr>
      <w:r>
        <w:rPr>
          <w:rFonts w:hint="eastAsia" w:ascii="宋体" w:hAnsi="宋体" w:cs="宋体"/>
          <w:color w:val="auto"/>
          <w:szCs w:val="21"/>
          <w:highlight w:val="none"/>
          <w:lang w:bidi="ar"/>
        </w:rPr>
        <w:t>6.5.1试验设备与试验人员</w:t>
      </w:r>
    </w:p>
    <w:p w14:paraId="4BA3920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14:paraId="40EBE8C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（2）承包人应按专用合同条件约定的试验内容、时间和地点提供试验设备、取样装置、试验场所和试验条件，并向工程师提交相应进场计划表。</w:t>
      </w:r>
    </w:p>
    <w:p w14:paraId="70B730F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承包人配置的试验设备要符合相应试验规程的要求并经过具有资质的检测单位检测，且在正式使用该试验设备前，需要经过工程师与承包人共同校定。</w:t>
      </w:r>
    </w:p>
    <w:p w14:paraId="2F11BC2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（3）承包人应向工程师提交试验人员的名单及其岗位、资格等证明资料，试验人员必须能够熟练进行相应的检测试验，承包人对试验人员的试验程序和试验结果的正确性负责。</w:t>
      </w:r>
    </w:p>
    <w:p w14:paraId="339F7146">
      <w:pPr>
        <w:widowControl/>
        <w:wordWrap w:val="0"/>
        <w:topLinePunct/>
        <w:adjustRightInd w:val="0"/>
        <w:snapToGrid w:val="0"/>
        <w:spacing w:after="120" w:afterLines="50" w:line="360" w:lineRule="auto"/>
        <w:ind w:left="480"/>
        <w:outlineLvl w:val="3"/>
        <w:rPr>
          <w:rFonts w:ascii="宋体" w:hAnsi="宋体" w:cs="宋体"/>
          <w:color w:val="auto"/>
          <w:highlight w:val="none"/>
        </w:rPr>
      </w:pPr>
      <w:r>
        <w:rPr>
          <w:rFonts w:hint="eastAsia" w:ascii="宋体" w:hAnsi="宋体" w:cs="宋体"/>
          <w:color w:val="auto"/>
          <w:szCs w:val="21"/>
          <w:highlight w:val="none"/>
          <w:lang w:bidi="ar"/>
        </w:rPr>
        <w:t>6.5.2取样</w:t>
      </w:r>
    </w:p>
    <w:p w14:paraId="766B696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试验属于自检性质的，承包人可以单独取样。试验属于工程师抽检性质的，可由工程师取样，也可由承包人的试验人员在工程师的监督下取样。</w:t>
      </w:r>
    </w:p>
    <w:p w14:paraId="7B469DD2">
      <w:pPr>
        <w:widowControl/>
        <w:wordWrap w:val="0"/>
        <w:topLinePunct/>
        <w:adjustRightInd w:val="0"/>
        <w:snapToGrid w:val="0"/>
        <w:spacing w:after="120" w:afterLines="50" w:line="360" w:lineRule="auto"/>
        <w:ind w:left="480"/>
        <w:outlineLvl w:val="3"/>
        <w:rPr>
          <w:rFonts w:ascii="宋体" w:hAnsi="宋体" w:cs="宋体"/>
          <w:color w:val="auto"/>
          <w:highlight w:val="none"/>
        </w:rPr>
      </w:pPr>
      <w:r>
        <w:rPr>
          <w:rFonts w:hint="eastAsia" w:ascii="宋体" w:hAnsi="宋体" w:cs="宋体"/>
          <w:color w:val="auto"/>
          <w:szCs w:val="21"/>
          <w:highlight w:val="none"/>
          <w:lang w:bidi="ar"/>
        </w:rPr>
        <w:t>6.5.3材料、工程设备和工程的试验和检验</w:t>
      </w:r>
    </w:p>
    <w:p w14:paraId="56C44AF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14:paraId="657F0A0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14:paraId="603985F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119634C8">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656" w:name="_Toc351203566"/>
      <w:bookmarkEnd w:id="656"/>
      <w:bookmarkStart w:id="657" w:name="_Toc337558786"/>
      <w:r>
        <w:rPr>
          <w:rFonts w:hint="eastAsia" w:ascii="宋体" w:hAnsi="宋体" w:cs="宋体"/>
          <w:color w:val="auto"/>
          <w:szCs w:val="21"/>
          <w:highlight w:val="none"/>
          <w:lang w:bidi="ar"/>
        </w:rPr>
        <w:t>6</w:t>
      </w:r>
      <w:bookmarkEnd w:id="657"/>
      <w:r>
        <w:rPr>
          <w:rFonts w:hint="eastAsia" w:ascii="宋体" w:hAnsi="宋体" w:cs="宋体"/>
          <w:color w:val="auto"/>
          <w:szCs w:val="21"/>
          <w:highlight w:val="none"/>
          <w:lang w:bidi="ar"/>
        </w:rPr>
        <w:t>.5.4现场工艺试验</w:t>
      </w:r>
    </w:p>
    <w:p w14:paraId="0B8F1CB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承包人应按合同约定进行现场工艺试验。对大型的现场工艺试验，发包人认为必要时，承包人应根据发包人提出的工艺试验要求，编制工艺试验措施计划，报送发包人审查。</w:t>
      </w:r>
    </w:p>
    <w:p w14:paraId="3F585278">
      <w:pPr>
        <w:widowControl/>
        <w:wordWrap w:val="0"/>
        <w:topLinePunct/>
        <w:adjustRightInd w:val="0"/>
        <w:snapToGrid w:val="0"/>
        <w:spacing w:after="120" w:afterLines="50" w:line="360" w:lineRule="auto"/>
        <w:outlineLvl w:val="2"/>
        <w:rPr>
          <w:rFonts w:ascii="宋体" w:hAnsi="宋体" w:cs="宋体"/>
          <w:color w:val="auto"/>
          <w:highlight w:val="none"/>
        </w:rPr>
      </w:pPr>
      <w:bookmarkStart w:id="658" w:name="_Ref532592787"/>
      <w:bookmarkEnd w:id="658"/>
      <w:bookmarkStart w:id="659" w:name="_Ref532592784"/>
      <w:bookmarkEnd w:id="659"/>
      <w:bookmarkStart w:id="660" w:name="_Toc20171775"/>
      <w:bookmarkStart w:id="661" w:name="_Toc179885300"/>
      <w:bookmarkStart w:id="662" w:name="_Toc14746"/>
      <w:bookmarkStart w:id="663" w:name="_Toc22620"/>
      <w:bookmarkStart w:id="664" w:name="_Toc51766627"/>
      <w:bookmarkStart w:id="665" w:name="_Toc84930764"/>
      <w:bookmarkStart w:id="666" w:name="_Toc58860214"/>
      <w:bookmarkStart w:id="667" w:name="_Toc23243"/>
      <w:r>
        <w:rPr>
          <w:rFonts w:hint="eastAsia" w:ascii="宋体" w:hAnsi="宋体" w:cs="宋体"/>
          <w:color w:val="auto"/>
          <w:szCs w:val="21"/>
          <w:highlight w:val="none"/>
          <w:lang w:bidi="ar"/>
        </w:rPr>
        <w:t>6</w:t>
      </w:r>
      <w:bookmarkEnd w:id="660"/>
      <w:r>
        <w:rPr>
          <w:rFonts w:hint="eastAsia" w:ascii="宋体" w:hAnsi="宋体" w:cs="宋体"/>
          <w:color w:val="auto"/>
          <w:szCs w:val="21"/>
          <w:highlight w:val="none"/>
          <w:lang w:bidi="ar"/>
        </w:rPr>
        <w:t>.6  缺陷和修补</w:t>
      </w:r>
      <w:bookmarkEnd w:id="661"/>
      <w:bookmarkEnd w:id="662"/>
      <w:bookmarkEnd w:id="663"/>
      <w:bookmarkEnd w:id="664"/>
      <w:bookmarkEnd w:id="665"/>
      <w:bookmarkEnd w:id="666"/>
      <w:bookmarkEnd w:id="667"/>
    </w:p>
    <w:p w14:paraId="310C389E">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668" w:name="_Ref16875551"/>
      <w:bookmarkEnd w:id="668"/>
      <w:r>
        <w:rPr>
          <w:rFonts w:hint="eastAsia" w:ascii="宋体" w:hAnsi="宋体" w:cs="宋体"/>
          <w:color w:val="auto"/>
          <w:szCs w:val="21"/>
          <w:highlight w:val="none"/>
          <w:lang w:bidi="ar"/>
        </w:rPr>
        <w:t>6.6.1发包人可在颁发接收证书前随时指示承包人：</w:t>
      </w:r>
    </w:p>
    <w:p w14:paraId="0BA559C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（1）对不符合合同要求的任何工程设备或材料进行修补，或者将其移出现场并进行更换；</w:t>
      </w:r>
    </w:p>
    <w:p w14:paraId="3CDC690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 xml:space="preserve">（2）对不符合合同的其他工作进行修补，或者将其去除并重新实施； </w:t>
      </w:r>
    </w:p>
    <w:p w14:paraId="4709AB20">
      <w:pPr>
        <w:widowControl/>
        <w:adjustRightInd w:val="0"/>
        <w:snapToGrid w:val="0"/>
        <w:spacing w:after="120" w:afterLines="50" w:line="360" w:lineRule="auto"/>
        <w:ind w:firstLine="420" w:firstLineChars="200"/>
        <w:rPr>
          <w:rFonts w:ascii="宋体" w:hAnsi="宋体" w:cs="宋体"/>
          <w:color w:val="auto"/>
          <w:kern w:val="0"/>
          <w:highlight w:val="none"/>
        </w:rPr>
      </w:pPr>
      <w:bookmarkStart w:id="669" w:name="_Ref4708991"/>
      <w:bookmarkEnd w:id="669"/>
      <w:r>
        <w:rPr>
          <w:rFonts w:hint="eastAsia" w:ascii="宋体" w:hAnsi="宋体" w:cs="宋体"/>
          <w:color w:val="auto"/>
          <w:kern w:val="0"/>
          <w:szCs w:val="21"/>
          <w:highlight w:val="none"/>
          <w:lang w:bidi="ar"/>
        </w:rPr>
        <w:t>（3）实施因意外、不可预见的事件或其他原因引起的、为工程的安全迫切需要的任何修补工作。</w:t>
      </w:r>
    </w:p>
    <w:p w14:paraId="4D597BA0">
      <w:pPr>
        <w:widowControl/>
        <w:adjustRightInd w:val="0"/>
        <w:snapToGrid w:val="0"/>
        <w:spacing w:after="120" w:afterLines="50" w:line="360" w:lineRule="auto"/>
        <w:ind w:firstLine="420" w:firstLineChars="200"/>
        <w:rPr>
          <w:rFonts w:ascii="宋体" w:hAnsi="宋体" w:cs="宋体"/>
          <w:color w:val="auto"/>
          <w:highlight w:val="none"/>
        </w:rPr>
      </w:pPr>
      <w:bookmarkStart w:id="670" w:name="_Ref11956964"/>
      <w:bookmarkEnd w:id="670"/>
      <w:r>
        <w:rPr>
          <w:rFonts w:hint="eastAsia" w:ascii="宋体" w:hAnsi="宋体" w:cs="宋体"/>
          <w:color w:val="auto"/>
          <w:szCs w:val="21"/>
          <w:highlight w:val="none"/>
          <w:lang w:bidi="ar"/>
        </w:rPr>
        <w:t>6.6.2承包人应遵守第6.6.1项下指示，并在合理可行的情况下，根据上述指示中规定的时间完成修补工作。除因下列原因引起的第6.6.1项第（3）目下的情形外，承包人应承担所有修补工作的费用：</w:t>
      </w:r>
    </w:p>
    <w:p w14:paraId="1557C9D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（1）因发包人或其人员的任何行为导致的情形，且在此情况下发包人应承担因此引起的工期延误和承包人费用损失，并向承包人支付合理的利润。</w:t>
      </w:r>
    </w:p>
    <w:p w14:paraId="104999D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（2）第17.4款[不可抗力后果的承担]中适用的不可抗力事件的情形。</w:t>
      </w:r>
    </w:p>
    <w:p w14:paraId="5E719477">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6.6.3如果承包人未能遵守发包人的指示，发包人可以自行决定请第三方完成上述修补工作，并有权要求承包人支付因未履行指示而产生的所有费用，但承包人根据第6.6.2项有权就修补工作获得支付的情况除外。</w:t>
      </w:r>
    </w:p>
    <w:p w14:paraId="1ED11662">
      <w:pPr>
        <w:widowControl/>
        <w:wordWrap w:val="0"/>
        <w:topLinePunct/>
        <w:adjustRightInd w:val="0"/>
        <w:snapToGrid w:val="0"/>
        <w:spacing w:after="120" w:afterLines="50" w:line="360" w:lineRule="auto"/>
        <w:outlineLvl w:val="1"/>
        <w:rPr>
          <w:rFonts w:ascii="宋体" w:hAnsi="宋体" w:cs="宋体"/>
          <w:color w:val="auto"/>
          <w:kern w:val="0"/>
          <w:highlight w:val="none"/>
        </w:rPr>
      </w:pPr>
      <w:bookmarkStart w:id="671" w:name="_Ref531954214"/>
      <w:bookmarkEnd w:id="671"/>
      <w:bookmarkStart w:id="672" w:name="_Toc20171776"/>
      <w:bookmarkStart w:id="673" w:name="_Toc179885301"/>
      <w:r>
        <w:rPr>
          <w:rFonts w:hint="eastAsia" w:ascii="宋体" w:hAnsi="宋体" w:cs="宋体"/>
          <w:color w:val="auto"/>
          <w:kern w:val="0"/>
          <w:szCs w:val="21"/>
          <w:highlight w:val="none"/>
          <w:lang w:bidi="ar"/>
        </w:rPr>
        <w:t xml:space="preserve">第7条 </w:t>
      </w:r>
      <w:bookmarkEnd w:id="672"/>
      <w:r>
        <w:rPr>
          <w:rFonts w:hint="eastAsia" w:ascii="宋体" w:hAnsi="宋体" w:cs="宋体"/>
          <w:color w:val="auto"/>
          <w:kern w:val="0"/>
          <w:szCs w:val="21"/>
          <w:highlight w:val="none"/>
          <w:lang w:bidi="ar"/>
        </w:rPr>
        <w:t xml:space="preserve"> 施工</w:t>
      </w:r>
      <w:bookmarkEnd w:id="673"/>
    </w:p>
    <w:p w14:paraId="58C9AF83">
      <w:pPr>
        <w:widowControl/>
        <w:wordWrap w:val="0"/>
        <w:topLinePunct/>
        <w:adjustRightInd w:val="0"/>
        <w:snapToGrid w:val="0"/>
        <w:spacing w:after="120" w:afterLines="50" w:line="360" w:lineRule="auto"/>
        <w:outlineLvl w:val="2"/>
        <w:rPr>
          <w:rFonts w:ascii="宋体" w:hAnsi="宋体" w:cs="宋体"/>
          <w:color w:val="auto"/>
          <w:highlight w:val="none"/>
        </w:rPr>
      </w:pPr>
      <w:bookmarkStart w:id="674" w:name="_Toc20171777"/>
      <w:bookmarkEnd w:id="674"/>
      <w:bookmarkStart w:id="675" w:name="_Ref531954246"/>
      <w:bookmarkEnd w:id="675"/>
      <w:bookmarkStart w:id="676" w:name="_Ref531954276"/>
      <w:bookmarkEnd w:id="676"/>
      <w:bookmarkStart w:id="677" w:name="_Ref531954272"/>
      <w:bookmarkEnd w:id="677"/>
      <w:bookmarkStart w:id="678" w:name="_Ref531954260"/>
      <w:bookmarkStart w:id="679" w:name="_Toc51766629"/>
      <w:bookmarkStart w:id="680" w:name="_Toc26213"/>
      <w:bookmarkStart w:id="681" w:name="_Toc84930766"/>
      <w:bookmarkStart w:id="682" w:name="_Toc58860216"/>
      <w:bookmarkStart w:id="683" w:name="_Toc12864"/>
      <w:bookmarkStart w:id="684" w:name="_Toc6801"/>
      <w:bookmarkStart w:id="685" w:name="_Toc179885302"/>
      <w:r>
        <w:rPr>
          <w:rFonts w:hint="eastAsia" w:ascii="宋体" w:hAnsi="宋体" w:cs="宋体"/>
          <w:color w:val="auto"/>
          <w:szCs w:val="21"/>
          <w:highlight w:val="none"/>
          <w:lang w:bidi="ar"/>
        </w:rPr>
        <w:t>7</w:t>
      </w:r>
      <w:bookmarkEnd w:id="678"/>
      <w:r>
        <w:rPr>
          <w:rFonts w:hint="eastAsia" w:ascii="宋体" w:hAnsi="宋体" w:cs="宋体"/>
          <w:color w:val="auto"/>
          <w:szCs w:val="21"/>
          <w:highlight w:val="none"/>
          <w:lang w:bidi="ar"/>
        </w:rPr>
        <w:t>.1  交通运输</w:t>
      </w:r>
      <w:bookmarkEnd w:id="679"/>
      <w:bookmarkEnd w:id="680"/>
      <w:bookmarkEnd w:id="681"/>
      <w:bookmarkEnd w:id="682"/>
      <w:bookmarkEnd w:id="683"/>
      <w:bookmarkEnd w:id="684"/>
      <w:bookmarkEnd w:id="685"/>
      <w:r>
        <w:rPr>
          <w:rFonts w:hint="eastAsia" w:ascii="宋体" w:hAnsi="宋体" w:cs="宋体"/>
          <w:color w:val="auto"/>
          <w:szCs w:val="21"/>
          <w:highlight w:val="none"/>
          <w:lang w:bidi="ar"/>
        </w:rPr>
        <w:t xml:space="preserve"> </w:t>
      </w:r>
    </w:p>
    <w:p w14:paraId="0B8156B9">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686" w:name="_Ref4422645"/>
      <w:bookmarkEnd w:id="686"/>
      <w:r>
        <w:rPr>
          <w:rFonts w:hint="eastAsia" w:ascii="宋体" w:hAnsi="宋体" w:cs="宋体"/>
          <w:color w:val="auto"/>
          <w:szCs w:val="21"/>
          <w:highlight w:val="none"/>
          <w:lang w:bidi="ar"/>
        </w:rPr>
        <w:t>7.1.1出入现场的权利</w:t>
      </w:r>
    </w:p>
    <w:p w14:paraId="12190FEF">
      <w:pPr>
        <w:widowControl/>
        <w:wordWrap w:val="0"/>
        <w:topLinePunct/>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14:paraId="2843CA93">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687" w:name="_Ref18957045"/>
      <w:bookmarkEnd w:id="687"/>
      <w:r>
        <w:rPr>
          <w:rFonts w:hint="eastAsia" w:ascii="宋体" w:hAnsi="宋体" w:cs="宋体"/>
          <w:color w:val="auto"/>
          <w:szCs w:val="21"/>
          <w:highlight w:val="none"/>
          <w:lang w:bidi="ar"/>
        </w:rPr>
        <w:t>7.1.2场外交通</w:t>
      </w:r>
    </w:p>
    <w:p w14:paraId="15A29FB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14:paraId="5E6ED015">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688" w:name="_Ref4622358"/>
      <w:bookmarkEnd w:id="688"/>
      <w:r>
        <w:rPr>
          <w:rFonts w:hint="eastAsia" w:ascii="宋体" w:hAnsi="宋体" w:cs="宋体"/>
          <w:color w:val="auto"/>
          <w:szCs w:val="21"/>
          <w:highlight w:val="none"/>
          <w:lang w:bidi="ar"/>
        </w:rPr>
        <w:t>7.1.3场内交通</w:t>
      </w:r>
    </w:p>
    <w:p w14:paraId="403F084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14:paraId="4AB4C3D5">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689" w:name="_Ref4622376"/>
      <w:bookmarkEnd w:id="689"/>
      <w:r>
        <w:rPr>
          <w:rFonts w:hint="eastAsia" w:ascii="宋体" w:hAnsi="宋体" w:cs="宋体"/>
          <w:color w:val="auto"/>
          <w:szCs w:val="21"/>
          <w:highlight w:val="none"/>
          <w:lang w:bidi="ar"/>
        </w:rPr>
        <w:t>7.1.4超大件和超重件的运输</w:t>
      </w:r>
    </w:p>
    <w:p w14:paraId="0875404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14:paraId="6263107E">
      <w:pPr>
        <w:widowControl/>
        <w:wordWrap w:val="0"/>
        <w:topLinePunct/>
        <w:adjustRightInd w:val="0"/>
        <w:snapToGrid w:val="0"/>
        <w:spacing w:after="120" w:afterLines="50" w:line="360" w:lineRule="auto"/>
        <w:ind w:left="480"/>
        <w:outlineLvl w:val="3"/>
        <w:rPr>
          <w:rFonts w:ascii="宋体" w:hAnsi="宋体" w:cs="宋体"/>
          <w:color w:val="auto"/>
          <w:highlight w:val="none"/>
        </w:rPr>
      </w:pPr>
      <w:r>
        <w:rPr>
          <w:rFonts w:hint="eastAsia" w:ascii="宋体" w:hAnsi="宋体" w:cs="宋体"/>
          <w:color w:val="auto"/>
          <w:szCs w:val="21"/>
          <w:highlight w:val="none"/>
          <w:lang w:bidi="ar"/>
        </w:rPr>
        <w:t>7.1.5道路和桥梁的损坏责任</w:t>
      </w:r>
    </w:p>
    <w:p w14:paraId="06A972B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因承包人运输造成施工现场内外公共道路和桥梁损坏的，由承包人承担修复损坏的全部费用和可能引起的赔偿。</w:t>
      </w:r>
    </w:p>
    <w:p w14:paraId="16683CF3">
      <w:pPr>
        <w:widowControl/>
        <w:wordWrap w:val="0"/>
        <w:topLinePunct/>
        <w:adjustRightInd w:val="0"/>
        <w:snapToGrid w:val="0"/>
        <w:spacing w:after="120" w:afterLines="50" w:line="360" w:lineRule="auto"/>
        <w:ind w:left="480"/>
        <w:outlineLvl w:val="3"/>
        <w:rPr>
          <w:rFonts w:ascii="宋体" w:hAnsi="宋体" w:cs="宋体"/>
          <w:color w:val="auto"/>
          <w:highlight w:val="none"/>
        </w:rPr>
      </w:pPr>
      <w:r>
        <w:rPr>
          <w:rFonts w:hint="eastAsia" w:ascii="宋体" w:hAnsi="宋体" w:cs="宋体"/>
          <w:color w:val="auto"/>
          <w:szCs w:val="21"/>
          <w:highlight w:val="none"/>
          <w:lang w:bidi="ar"/>
        </w:rPr>
        <w:t>7.1.6水路和航空运输</w:t>
      </w:r>
    </w:p>
    <w:p w14:paraId="5D72D60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本条上述各款的内容适用于水路运输和航空运输，其中“道路”一词的涵义包括河道、航线、船闸、机场、码头、堤防以及水路或航空运输中其他相似结构物；“车辆”一词的涵义包括船舶和飞机等。</w:t>
      </w:r>
    </w:p>
    <w:p w14:paraId="6347BE54">
      <w:pPr>
        <w:widowControl/>
        <w:wordWrap w:val="0"/>
        <w:topLinePunct/>
        <w:adjustRightInd w:val="0"/>
        <w:snapToGrid w:val="0"/>
        <w:spacing w:after="120" w:afterLines="50" w:line="360" w:lineRule="auto"/>
        <w:outlineLvl w:val="2"/>
        <w:rPr>
          <w:rFonts w:ascii="宋体" w:hAnsi="宋体" w:cs="宋体"/>
          <w:color w:val="auto"/>
          <w:highlight w:val="none"/>
        </w:rPr>
      </w:pPr>
      <w:bookmarkStart w:id="690" w:name="_Ref11919294"/>
      <w:bookmarkEnd w:id="690"/>
      <w:bookmarkStart w:id="691" w:name="_Ref11919459"/>
      <w:bookmarkEnd w:id="691"/>
      <w:bookmarkStart w:id="692" w:name="_Toc20171778"/>
      <w:bookmarkStart w:id="693" w:name="_Toc25790"/>
      <w:bookmarkStart w:id="694" w:name="_Toc51766630"/>
      <w:bookmarkStart w:id="695" w:name="_Toc5926"/>
      <w:bookmarkStart w:id="696" w:name="_Toc179885303"/>
      <w:bookmarkStart w:id="697" w:name="_Toc58860217"/>
      <w:bookmarkStart w:id="698" w:name="_Toc84930767"/>
      <w:bookmarkStart w:id="699" w:name="_Toc32414"/>
      <w:r>
        <w:rPr>
          <w:rFonts w:hint="eastAsia" w:ascii="宋体" w:hAnsi="宋体" w:cs="宋体"/>
          <w:color w:val="auto"/>
          <w:szCs w:val="21"/>
          <w:highlight w:val="none"/>
          <w:lang w:bidi="ar"/>
        </w:rPr>
        <w:t>7</w:t>
      </w:r>
      <w:bookmarkEnd w:id="692"/>
      <w:r>
        <w:rPr>
          <w:rFonts w:hint="eastAsia" w:ascii="宋体" w:hAnsi="宋体" w:cs="宋体"/>
          <w:color w:val="auto"/>
          <w:szCs w:val="21"/>
          <w:highlight w:val="none"/>
          <w:lang w:bidi="ar"/>
        </w:rPr>
        <w:t>.2  施工设备和临时设施</w:t>
      </w:r>
      <w:bookmarkEnd w:id="693"/>
      <w:bookmarkEnd w:id="694"/>
      <w:bookmarkEnd w:id="695"/>
      <w:bookmarkEnd w:id="696"/>
      <w:bookmarkEnd w:id="697"/>
      <w:bookmarkEnd w:id="698"/>
      <w:bookmarkEnd w:id="699"/>
      <w:r>
        <w:rPr>
          <w:rFonts w:hint="eastAsia" w:ascii="宋体" w:hAnsi="宋体" w:cs="宋体"/>
          <w:color w:val="auto"/>
          <w:szCs w:val="21"/>
          <w:highlight w:val="none"/>
          <w:lang w:bidi="ar"/>
        </w:rPr>
        <w:t xml:space="preserve"> </w:t>
      </w:r>
    </w:p>
    <w:p w14:paraId="297EA0E0">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700" w:name="_Ref18990767"/>
      <w:bookmarkEnd w:id="700"/>
      <w:bookmarkStart w:id="701" w:name="_Ref509043186"/>
      <w:r>
        <w:rPr>
          <w:rFonts w:hint="eastAsia" w:ascii="宋体" w:hAnsi="宋体" w:cs="宋体"/>
          <w:color w:val="auto"/>
          <w:szCs w:val="21"/>
          <w:highlight w:val="none"/>
          <w:lang w:bidi="ar"/>
        </w:rPr>
        <w:t>7</w:t>
      </w:r>
      <w:bookmarkEnd w:id="701"/>
      <w:r>
        <w:rPr>
          <w:rFonts w:hint="eastAsia" w:ascii="宋体" w:hAnsi="宋体" w:cs="宋体"/>
          <w:color w:val="auto"/>
          <w:szCs w:val="21"/>
          <w:highlight w:val="none"/>
          <w:lang w:bidi="ar"/>
        </w:rPr>
        <w:t>.2.1承包人提供的施工设备和临时设施</w:t>
      </w:r>
    </w:p>
    <w:p w14:paraId="0DAA9A3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14:paraId="4ADF096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承包人应自行承担修建临时设施的费用，需要临时占地的，应由发包人办理申请手续并承担相应费用。承包人应在专用合同条件第7.2款约定的时间内向发包人提交临时占地资料，因承包人未能按时提交资料，导致工期延误的，由此增加的费用和（或）竣工日期延误，由承包人负责。</w:t>
      </w:r>
    </w:p>
    <w:p w14:paraId="122C21ED">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702" w:name="_Ref18990784"/>
      <w:bookmarkEnd w:id="702"/>
      <w:r>
        <w:rPr>
          <w:rFonts w:hint="eastAsia" w:ascii="宋体" w:hAnsi="宋体" w:cs="宋体"/>
          <w:color w:val="auto"/>
          <w:szCs w:val="21"/>
          <w:highlight w:val="none"/>
          <w:lang w:bidi="ar"/>
        </w:rPr>
        <w:t>7.2.2发包人提供的施工设备和临时设施</w:t>
      </w:r>
    </w:p>
    <w:p w14:paraId="6601970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发包人提供的施工设备或临时设施在专用合同条件中约定。</w:t>
      </w:r>
    </w:p>
    <w:p w14:paraId="0313C564">
      <w:pPr>
        <w:widowControl/>
        <w:wordWrap w:val="0"/>
        <w:topLinePunct/>
        <w:adjustRightInd w:val="0"/>
        <w:snapToGrid w:val="0"/>
        <w:spacing w:after="120" w:afterLines="50" w:line="360" w:lineRule="auto"/>
        <w:ind w:left="480"/>
        <w:outlineLvl w:val="3"/>
        <w:rPr>
          <w:rFonts w:ascii="宋体" w:hAnsi="宋体" w:cs="宋体"/>
          <w:color w:val="auto"/>
          <w:highlight w:val="none"/>
        </w:rPr>
      </w:pPr>
      <w:r>
        <w:rPr>
          <w:rFonts w:hint="eastAsia" w:ascii="宋体" w:hAnsi="宋体" w:cs="宋体"/>
          <w:color w:val="auto"/>
          <w:szCs w:val="21"/>
          <w:highlight w:val="none"/>
          <w:lang w:bidi="ar"/>
        </w:rPr>
        <w:t>7.2.3要求承包人增加或更换施工设备</w:t>
      </w:r>
    </w:p>
    <w:p w14:paraId="29A9CB8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承包人使用的施工设备不能满足项目进度计划和（或）质量要求时，工程师有权要求承包人增加或更换施工设备，承包人应及时增加或更换，由此增加的费用和（或）延误的工期由承包人承担。</w:t>
      </w:r>
    </w:p>
    <w:p w14:paraId="650903E5">
      <w:pPr>
        <w:widowControl/>
        <w:wordWrap w:val="0"/>
        <w:topLinePunct/>
        <w:adjustRightInd w:val="0"/>
        <w:snapToGrid w:val="0"/>
        <w:spacing w:after="120" w:afterLines="50" w:line="360" w:lineRule="auto"/>
        <w:ind w:left="480"/>
        <w:outlineLvl w:val="3"/>
        <w:rPr>
          <w:rFonts w:ascii="宋体" w:hAnsi="宋体" w:cs="宋体"/>
          <w:color w:val="auto"/>
          <w:highlight w:val="none"/>
        </w:rPr>
      </w:pPr>
      <w:r>
        <w:rPr>
          <w:rFonts w:hint="eastAsia" w:ascii="宋体" w:hAnsi="宋体" w:cs="宋体"/>
          <w:color w:val="auto"/>
          <w:szCs w:val="21"/>
          <w:highlight w:val="none"/>
          <w:lang w:bidi="ar"/>
        </w:rPr>
        <w:t>7.2.4施工设备和临时设施专用于合同工程</w:t>
      </w:r>
    </w:p>
    <w:p w14:paraId="3D67C73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14:paraId="5CB20998">
      <w:pPr>
        <w:widowControl/>
        <w:wordWrap w:val="0"/>
        <w:topLinePunct/>
        <w:adjustRightInd w:val="0"/>
        <w:snapToGrid w:val="0"/>
        <w:spacing w:after="120" w:afterLines="50" w:line="360" w:lineRule="auto"/>
        <w:outlineLvl w:val="2"/>
        <w:rPr>
          <w:rFonts w:ascii="宋体" w:hAnsi="宋体" w:cs="宋体"/>
          <w:color w:val="auto"/>
          <w:highlight w:val="none"/>
        </w:rPr>
      </w:pPr>
      <w:bookmarkStart w:id="703" w:name="_Toc20171779"/>
      <w:bookmarkEnd w:id="703"/>
      <w:bookmarkStart w:id="704" w:name="_Ref11874352"/>
      <w:bookmarkStart w:id="705" w:name="_Toc31322"/>
      <w:bookmarkStart w:id="706" w:name="_Toc11063"/>
      <w:bookmarkStart w:id="707" w:name="_Toc9460"/>
      <w:bookmarkStart w:id="708" w:name="_Toc58860218"/>
      <w:bookmarkStart w:id="709" w:name="_Toc84930768"/>
      <w:bookmarkStart w:id="710" w:name="_Toc51766631"/>
      <w:bookmarkStart w:id="711" w:name="_Toc179885304"/>
      <w:r>
        <w:rPr>
          <w:rFonts w:hint="eastAsia" w:ascii="宋体" w:hAnsi="宋体" w:cs="宋体"/>
          <w:color w:val="auto"/>
          <w:szCs w:val="21"/>
          <w:highlight w:val="none"/>
          <w:lang w:bidi="ar"/>
        </w:rPr>
        <w:t>7</w:t>
      </w:r>
      <w:bookmarkEnd w:id="704"/>
      <w:r>
        <w:rPr>
          <w:rFonts w:hint="eastAsia" w:ascii="宋体" w:hAnsi="宋体" w:cs="宋体"/>
          <w:color w:val="auto"/>
          <w:szCs w:val="21"/>
          <w:highlight w:val="none"/>
          <w:lang w:bidi="ar"/>
        </w:rPr>
        <w:t>.3  现场合作</w:t>
      </w:r>
      <w:bookmarkEnd w:id="705"/>
      <w:bookmarkEnd w:id="706"/>
      <w:bookmarkEnd w:id="707"/>
      <w:bookmarkEnd w:id="708"/>
      <w:bookmarkEnd w:id="709"/>
      <w:bookmarkEnd w:id="710"/>
      <w:bookmarkEnd w:id="711"/>
    </w:p>
    <w:p w14:paraId="0C6A605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承包人应按合同约定或发包人的指示，与发包人人员、发包人的其他承包人等人员就在现场或附近实施与工程有关的各项工作进行合作并提供适当条件，包括使用承包人设备、临时工程或进入现场等。</w:t>
      </w:r>
    </w:p>
    <w:p w14:paraId="274F426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承包人应对其在现场的施工活动负责，并应尽合理努力按合同约定或发包人的指示，协调自身与发包人人员、发包人的其他承包人等人员的活动。</w:t>
      </w:r>
    </w:p>
    <w:p w14:paraId="3284C1B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14:paraId="530A4F82">
      <w:pPr>
        <w:widowControl/>
        <w:wordWrap w:val="0"/>
        <w:topLinePunct/>
        <w:adjustRightInd w:val="0"/>
        <w:snapToGrid w:val="0"/>
        <w:spacing w:after="120" w:afterLines="50" w:line="360" w:lineRule="auto"/>
        <w:outlineLvl w:val="2"/>
        <w:rPr>
          <w:rFonts w:ascii="宋体" w:hAnsi="宋体" w:cs="宋体"/>
          <w:color w:val="auto"/>
          <w:highlight w:val="none"/>
        </w:rPr>
      </w:pPr>
      <w:bookmarkStart w:id="712" w:name="_Toc20171780"/>
      <w:bookmarkEnd w:id="712"/>
      <w:bookmarkStart w:id="713" w:name="_Ref531954285"/>
      <w:bookmarkEnd w:id="713"/>
      <w:bookmarkStart w:id="714" w:name="_Ref531954287"/>
      <w:bookmarkStart w:id="715" w:name="_Toc84930769"/>
      <w:bookmarkStart w:id="716" w:name="_Toc11505"/>
      <w:bookmarkStart w:id="717" w:name="_Toc179885305"/>
      <w:bookmarkStart w:id="718" w:name="_Toc6876"/>
      <w:bookmarkStart w:id="719" w:name="_Toc31252"/>
      <w:bookmarkStart w:id="720" w:name="_Toc58860219"/>
      <w:bookmarkStart w:id="721" w:name="_Toc51766632"/>
      <w:r>
        <w:rPr>
          <w:rFonts w:hint="eastAsia" w:ascii="宋体" w:hAnsi="宋体" w:cs="宋体"/>
          <w:color w:val="auto"/>
          <w:szCs w:val="21"/>
          <w:highlight w:val="none"/>
          <w:lang w:bidi="ar"/>
        </w:rPr>
        <w:t>7</w:t>
      </w:r>
      <w:bookmarkEnd w:id="714"/>
      <w:r>
        <w:rPr>
          <w:rFonts w:hint="eastAsia" w:ascii="宋体" w:hAnsi="宋体" w:cs="宋体"/>
          <w:color w:val="auto"/>
          <w:szCs w:val="21"/>
          <w:highlight w:val="none"/>
          <w:lang w:bidi="ar"/>
        </w:rPr>
        <w:t>.4  测量放线</w:t>
      </w:r>
      <w:bookmarkEnd w:id="715"/>
      <w:bookmarkEnd w:id="716"/>
      <w:bookmarkEnd w:id="717"/>
      <w:bookmarkEnd w:id="718"/>
      <w:bookmarkEnd w:id="719"/>
      <w:bookmarkEnd w:id="720"/>
      <w:bookmarkEnd w:id="721"/>
    </w:p>
    <w:p w14:paraId="424AA080">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7.4.1除专用合同条件另有约定外，承包人应根据国家测绘基准、测绘系统和工程测量技术规范，按基准点（线）以及合同工程精度要求，测设施工控制网，并在专用合同条件约定的期限内，将施工控制网资料报送工程师。</w:t>
      </w:r>
    </w:p>
    <w:p w14:paraId="28E157A8">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7.4.2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14:paraId="51E8420C">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7.4.3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14:paraId="4416C8E6">
      <w:pPr>
        <w:widowControl/>
        <w:wordWrap w:val="0"/>
        <w:topLinePunct/>
        <w:adjustRightInd w:val="0"/>
        <w:snapToGrid w:val="0"/>
        <w:spacing w:after="120" w:afterLines="50" w:line="360" w:lineRule="auto"/>
        <w:outlineLvl w:val="2"/>
        <w:rPr>
          <w:rFonts w:ascii="宋体" w:hAnsi="宋体" w:cs="宋体"/>
          <w:color w:val="auto"/>
          <w:highlight w:val="none"/>
        </w:rPr>
      </w:pPr>
      <w:bookmarkStart w:id="722" w:name="_Ref531954329"/>
      <w:bookmarkEnd w:id="722"/>
      <w:bookmarkStart w:id="723" w:name="_Ref531954323"/>
      <w:bookmarkEnd w:id="723"/>
      <w:bookmarkStart w:id="724" w:name="_Toc20171781"/>
      <w:bookmarkEnd w:id="724"/>
      <w:bookmarkStart w:id="725" w:name="_Ref4770992"/>
      <w:bookmarkStart w:id="726" w:name="_Toc84930770"/>
      <w:bookmarkStart w:id="727" w:name="_Toc12850"/>
      <w:bookmarkStart w:id="728" w:name="_Toc7209"/>
      <w:bookmarkStart w:id="729" w:name="_Toc3085"/>
      <w:bookmarkStart w:id="730" w:name="_Toc51766633"/>
      <w:bookmarkStart w:id="731" w:name="_Toc179885306"/>
      <w:bookmarkStart w:id="732" w:name="_Toc58860220"/>
      <w:r>
        <w:rPr>
          <w:rFonts w:hint="eastAsia" w:ascii="宋体" w:hAnsi="宋体" w:cs="宋体"/>
          <w:color w:val="auto"/>
          <w:szCs w:val="21"/>
          <w:highlight w:val="none"/>
          <w:lang w:bidi="ar"/>
        </w:rPr>
        <w:t>7</w:t>
      </w:r>
      <w:bookmarkEnd w:id="725"/>
      <w:r>
        <w:rPr>
          <w:rFonts w:hint="eastAsia" w:ascii="宋体" w:hAnsi="宋体" w:cs="宋体"/>
          <w:color w:val="auto"/>
          <w:szCs w:val="21"/>
          <w:highlight w:val="none"/>
          <w:lang w:bidi="ar"/>
        </w:rPr>
        <w:t>.5  现场劳动用工</w:t>
      </w:r>
      <w:bookmarkEnd w:id="726"/>
      <w:bookmarkEnd w:id="727"/>
      <w:bookmarkEnd w:id="728"/>
      <w:bookmarkEnd w:id="729"/>
      <w:bookmarkEnd w:id="730"/>
      <w:bookmarkEnd w:id="731"/>
      <w:bookmarkEnd w:id="732"/>
    </w:p>
    <w:p w14:paraId="6199041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7.5.1承包人及其分包人招用建筑工人的，应当依法与所招用的建筑工人订立劳动合同，实行建筑工人劳动用工实名制管理，承包人应当按照有关规定开设建筑工人工资专用账户、存储工资保证金，专项用于支付和保障该工程建设项目建筑工人工资。</w:t>
      </w:r>
    </w:p>
    <w:p w14:paraId="3F699DD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7.5.2承包人应当在工程项目部配备劳资专管员，对分包单位劳动用工及工资发放实施监督管理。承包人拖欠建筑工人工资的,应当依法予以清偿。分包人拖欠建筑工人工资的,由承包人先行清偿,再依法进行追偿。因发包人未按照合同约定及时拨付工程款导致建筑工人工资拖欠的，发包人应当以未结清的工程款为限先行垫付被拖欠的建筑工人工资。合同当事人可在专用合同条件中约定具体的清偿事宜和违约责任。</w:t>
      </w:r>
    </w:p>
    <w:p w14:paraId="4D31CCE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7.5.3承包人应当按照相关法律法规的要求，进行劳动用工管理和建筑工人工资支付。</w:t>
      </w:r>
    </w:p>
    <w:p w14:paraId="6E9FEB8D">
      <w:pPr>
        <w:widowControl/>
        <w:wordWrap w:val="0"/>
        <w:topLinePunct/>
        <w:adjustRightInd w:val="0"/>
        <w:snapToGrid w:val="0"/>
        <w:spacing w:after="120" w:afterLines="50" w:line="360" w:lineRule="auto"/>
        <w:outlineLvl w:val="2"/>
        <w:rPr>
          <w:rFonts w:ascii="宋体" w:hAnsi="宋体" w:cs="宋体"/>
          <w:color w:val="auto"/>
          <w:highlight w:val="none"/>
        </w:rPr>
      </w:pPr>
      <w:bookmarkStart w:id="733" w:name="_Ref41554059"/>
      <w:bookmarkEnd w:id="733"/>
      <w:bookmarkStart w:id="734" w:name="_Toc51766634"/>
      <w:bookmarkStart w:id="735" w:name="_Toc22197"/>
      <w:bookmarkStart w:id="736" w:name="_Toc179885307"/>
      <w:bookmarkStart w:id="737" w:name="_Toc29607"/>
      <w:bookmarkStart w:id="738" w:name="_Toc58860221"/>
      <w:bookmarkStart w:id="739" w:name="_Toc27702"/>
      <w:bookmarkStart w:id="740" w:name="_Toc84930771"/>
      <w:r>
        <w:rPr>
          <w:rFonts w:hint="eastAsia" w:ascii="宋体" w:hAnsi="宋体" w:cs="宋体"/>
          <w:color w:val="auto"/>
          <w:szCs w:val="21"/>
          <w:highlight w:val="none"/>
          <w:lang w:bidi="ar"/>
        </w:rPr>
        <w:t>7.6  安全文明施工</w:t>
      </w:r>
      <w:bookmarkEnd w:id="734"/>
      <w:bookmarkEnd w:id="735"/>
      <w:bookmarkEnd w:id="736"/>
      <w:bookmarkEnd w:id="737"/>
      <w:bookmarkEnd w:id="738"/>
      <w:bookmarkEnd w:id="739"/>
      <w:bookmarkEnd w:id="740"/>
    </w:p>
    <w:p w14:paraId="5452208C">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741" w:name="_Ref18990822"/>
      <w:bookmarkEnd w:id="741"/>
      <w:r>
        <w:rPr>
          <w:rFonts w:hint="eastAsia" w:ascii="宋体" w:hAnsi="宋体" w:cs="宋体"/>
          <w:color w:val="auto"/>
          <w:szCs w:val="21"/>
          <w:highlight w:val="none"/>
          <w:lang w:bidi="ar"/>
        </w:rPr>
        <w:t>7.6.1安全生产要求</w:t>
      </w:r>
    </w:p>
    <w:p w14:paraId="6E26423A">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14:paraId="335F58C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14:paraId="5AB3206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因安全生产需要暂停施工的，按照第8.9款[暂停工作]的约定执行。</w:t>
      </w:r>
    </w:p>
    <w:p w14:paraId="2154AC45">
      <w:pPr>
        <w:widowControl/>
        <w:wordWrap w:val="0"/>
        <w:topLinePunct/>
        <w:adjustRightInd w:val="0"/>
        <w:snapToGrid w:val="0"/>
        <w:spacing w:after="120" w:afterLines="50" w:line="360" w:lineRule="auto"/>
        <w:ind w:left="480"/>
        <w:outlineLvl w:val="3"/>
        <w:rPr>
          <w:rFonts w:ascii="宋体" w:hAnsi="宋体" w:cs="宋体"/>
          <w:color w:val="auto"/>
          <w:highlight w:val="none"/>
        </w:rPr>
      </w:pPr>
      <w:r>
        <w:rPr>
          <w:rFonts w:hint="eastAsia" w:ascii="宋体" w:hAnsi="宋体" w:cs="宋体"/>
          <w:color w:val="auto"/>
          <w:szCs w:val="21"/>
          <w:highlight w:val="none"/>
          <w:lang w:bidi="ar"/>
        </w:rPr>
        <w:t>7.6.2安全生产保证措施</w:t>
      </w:r>
    </w:p>
    <w:p w14:paraId="00B10B2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021F04F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14:paraId="2DB408E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14:paraId="2BB27862">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742" w:name="_Ref18990840"/>
      <w:bookmarkEnd w:id="742"/>
      <w:r>
        <w:rPr>
          <w:rFonts w:hint="eastAsia" w:ascii="宋体" w:hAnsi="宋体" w:cs="宋体"/>
          <w:color w:val="auto"/>
          <w:szCs w:val="21"/>
          <w:highlight w:val="none"/>
          <w:lang w:bidi="ar"/>
        </w:rPr>
        <w:t>7.6.3文明施工</w:t>
      </w:r>
    </w:p>
    <w:p w14:paraId="0B8E092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承包人在工程施工期间，应当采取措施保持施工现场平整，物料堆放整齐。工程所在地有关政府行政管理部门有特殊要求的，按照其要求执行。合同当事人对文明施工有其他要求的，可以在专用合同条件中明确。</w:t>
      </w:r>
    </w:p>
    <w:p w14:paraId="5AEE4D5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3ABF5BB8">
      <w:pPr>
        <w:widowControl/>
        <w:wordWrap w:val="0"/>
        <w:topLinePunct/>
        <w:adjustRightInd w:val="0"/>
        <w:snapToGrid w:val="0"/>
        <w:spacing w:after="120" w:afterLines="50" w:line="360" w:lineRule="auto"/>
        <w:ind w:left="480"/>
        <w:outlineLvl w:val="3"/>
        <w:rPr>
          <w:rFonts w:ascii="宋体" w:hAnsi="宋体" w:cs="宋体"/>
          <w:color w:val="auto"/>
          <w:highlight w:val="none"/>
        </w:rPr>
      </w:pPr>
      <w:r>
        <w:rPr>
          <w:rFonts w:hint="eastAsia" w:ascii="宋体" w:hAnsi="宋体" w:cs="宋体"/>
          <w:color w:val="auto"/>
          <w:szCs w:val="21"/>
          <w:highlight w:val="none"/>
          <w:lang w:bidi="ar"/>
        </w:rPr>
        <w:t>7.6.4事故处理</w:t>
      </w:r>
    </w:p>
    <w:p w14:paraId="71503900">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6F45CE8">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14:paraId="1CCDF352">
      <w:pPr>
        <w:widowControl/>
        <w:wordWrap w:val="0"/>
        <w:topLinePunct/>
        <w:adjustRightInd w:val="0"/>
        <w:snapToGrid w:val="0"/>
        <w:spacing w:after="120" w:afterLines="50" w:line="360" w:lineRule="auto"/>
        <w:ind w:left="480"/>
        <w:outlineLvl w:val="3"/>
        <w:rPr>
          <w:rFonts w:ascii="宋体" w:hAnsi="宋体" w:cs="宋体"/>
          <w:color w:val="auto"/>
          <w:highlight w:val="none"/>
        </w:rPr>
      </w:pPr>
      <w:r>
        <w:rPr>
          <w:rFonts w:hint="eastAsia" w:ascii="宋体" w:hAnsi="宋体" w:cs="宋体"/>
          <w:color w:val="auto"/>
          <w:szCs w:val="21"/>
          <w:highlight w:val="none"/>
          <w:lang w:bidi="ar"/>
        </w:rPr>
        <w:t>7.6.5安全生产责任</w:t>
      </w:r>
    </w:p>
    <w:p w14:paraId="0ABA89C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发包人应负责赔偿以下各种情况造成的损失：</w:t>
      </w:r>
    </w:p>
    <w:p w14:paraId="67A1DA3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（1）工程或工程的任何部分对土地的占用所造成的第三者财产损失；</w:t>
      </w:r>
    </w:p>
    <w:p w14:paraId="240321F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（2）由于发包人原因在施工现场及其毗邻地带、履行合同工作中造成的第三者人身伤亡和财产损失；</w:t>
      </w:r>
    </w:p>
    <w:p w14:paraId="0A2592B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（3）由于发包人原因对发包人自身、承包人、工程师造成的人身伤害和财产损失。</w:t>
      </w:r>
    </w:p>
    <w:p w14:paraId="5859271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承包人应负责赔偿由于承包人原因在施工现场及其毗邻地带、履行合同工作中造成的第三者人身伤亡和财产损失。</w:t>
      </w:r>
    </w:p>
    <w:p w14:paraId="49D62E0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如果上述损失是由于发包人和承包人共同原因导致的，则双方应根据过错情况按比例承担。</w:t>
      </w:r>
    </w:p>
    <w:p w14:paraId="4D2C158C">
      <w:pPr>
        <w:widowControl/>
        <w:wordWrap w:val="0"/>
        <w:topLinePunct/>
        <w:adjustRightInd w:val="0"/>
        <w:snapToGrid w:val="0"/>
        <w:spacing w:after="120" w:afterLines="50" w:line="360" w:lineRule="auto"/>
        <w:outlineLvl w:val="2"/>
        <w:rPr>
          <w:rFonts w:ascii="宋体" w:hAnsi="宋体" w:cs="宋体"/>
          <w:color w:val="auto"/>
          <w:highlight w:val="none"/>
        </w:rPr>
      </w:pPr>
      <w:bookmarkStart w:id="743" w:name="_Ref11874562"/>
      <w:bookmarkEnd w:id="743"/>
      <w:bookmarkStart w:id="744" w:name="_Toc20171782"/>
      <w:bookmarkEnd w:id="744"/>
      <w:bookmarkStart w:id="745" w:name="_Ref41554069"/>
      <w:bookmarkStart w:id="746" w:name="_Toc10762"/>
      <w:bookmarkStart w:id="747" w:name="_Toc84930772"/>
      <w:bookmarkStart w:id="748" w:name="_Toc179885308"/>
      <w:bookmarkStart w:id="749" w:name="_Toc58860222"/>
      <w:bookmarkStart w:id="750" w:name="_Toc19174"/>
      <w:bookmarkStart w:id="751" w:name="_Toc5946"/>
      <w:bookmarkStart w:id="752" w:name="_Toc51766635"/>
      <w:r>
        <w:rPr>
          <w:rFonts w:hint="eastAsia" w:ascii="宋体" w:hAnsi="宋体" w:cs="宋体"/>
          <w:color w:val="auto"/>
          <w:szCs w:val="21"/>
          <w:highlight w:val="none"/>
          <w:lang w:bidi="ar"/>
        </w:rPr>
        <w:t xml:space="preserve">7.7  </w:t>
      </w:r>
      <w:bookmarkEnd w:id="745"/>
      <w:r>
        <w:rPr>
          <w:rFonts w:hint="eastAsia" w:ascii="宋体" w:hAnsi="宋体" w:cs="宋体"/>
          <w:color w:val="auto"/>
          <w:szCs w:val="21"/>
          <w:highlight w:val="none"/>
          <w:lang w:bidi="ar"/>
        </w:rPr>
        <w:t>职业健康</w:t>
      </w:r>
      <w:bookmarkEnd w:id="746"/>
      <w:bookmarkEnd w:id="747"/>
      <w:bookmarkEnd w:id="748"/>
      <w:bookmarkEnd w:id="749"/>
      <w:bookmarkEnd w:id="750"/>
      <w:bookmarkEnd w:id="751"/>
      <w:bookmarkEnd w:id="752"/>
    </w:p>
    <w:p w14:paraId="4476167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承包人应遵守适用的职业健康的法律和合同约定（包括对雇用、职业健康、安全、福利等方面的规定），负责现场实施过程中其人员的职业健康和保护，包括：</w:t>
      </w:r>
    </w:p>
    <w:p w14:paraId="06EE6DB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14:paraId="70FF769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承包人应依法为承包人员工及承包人聘用的第三方人员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14:paraId="2FF1E93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14:paraId="389B7D8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14:paraId="0B9E7B6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（5）承包人应采取有效措施预防传染病，保持食堂的饮食卫生，保证施工人员的健康，并定期对施工现场、施工人员生活基地和工程进行防疫和卫生的专业检查和处理, 在远离城镇的施工现场，还应配备必要的伤病防治和急救的医务人员与医疗设施。承包人雇佣人员在施工中受到伤害的，承包人应立即采取有效措施进行抢救和治疗。</w:t>
      </w:r>
    </w:p>
    <w:p w14:paraId="7B23C00E">
      <w:pPr>
        <w:widowControl/>
        <w:wordWrap w:val="0"/>
        <w:topLinePunct/>
        <w:adjustRightInd w:val="0"/>
        <w:snapToGrid w:val="0"/>
        <w:spacing w:after="120" w:afterLines="50" w:line="360" w:lineRule="auto"/>
        <w:outlineLvl w:val="2"/>
        <w:rPr>
          <w:rFonts w:ascii="宋体" w:hAnsi="宋体" w:cs="宋体"/>
          <w:color w:val="auto"/>
          <w:highlight w:val="none"/>
        </w:rPr>
      </w:pPr>
      <w:bookmarkStart w:id="753" w:name="_Toc20171783"/>
      <w:bookmarkEnd w:id="753"/>
      <w:bookmarkStart w:id="754" w:name="_Ref11874570"/>
      <w:bookmarkStart w:id="755" w:name="_Toc84930773"/>
      <w:bookmarkStart w:id="756" w:name="_Toc58860223"/>
      <w:bookmarkStart w:id="757" w:name="_Toc179885309"/>
      <w:bookmarkStart w:id="758" w:name="_Toc8767"/>
      <w:bookmarkStart w:id="759" w:name="_Toc51766636"/>
      <w:bookmarkStart w:id="760" w:name="_Toc11795"/>
      <w:bookmarkStart w:id="761" w:name="_Toc10977"/>
      <w:r>
        <w:rPr>
          <w:rFonts w:hint="eastAsia" w:ascii="宋体" w:hAnsi="宋体" w:cs="宋体"/>
          <w:color w:val="auto"/>
          <w:szCs w:val="21"/>
          <w:highlight w:val="none"/>
          <w:lang w:bidi="ar"/>
        </w:rPr>
        <w:t>7</w:t>
      </w:r>
      <w:bookmarkEnd w:id="754"/>
      <w:r>
        <w:rPr>
          <w:rFonts w:hint="eastAsia" w:ascii="宋体" w:hAnsi="宋体" w:cs="宋体"/>
          <w:color w:val="auto"/>
          <w:szCs w:val="21"/>
          <w:highlight w:val="none"/>
          <w:lang w:bidi="ar"/>
        </w:rPr>
        <w:t>.8  环境保护</w:t>
      </w:r>
      <w:bookmarkEnd w:id="755"/>
      <w:bookmarkEnd w:id="756"/>
      <w:bookmarkEnd w:id="757"/>
      <w:bookmarkEnd w:id="758"/>
      <w:bookmarkEnd w:id="759"/>
      <w:bookmarkEnd w:id="760"/>
      <w:bookmarkEnd w:id="761"/>
    </w:p>
    <w:p w14:paraId="672FD114">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7.8.1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p>
    <w:p w14:paraId="4570E386">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7.8.2承包人应采取措施，并负责控制和（或）处理现场的粉尘、废气、废水、固体废物和噪声对环境的污染和危害。因此发生的伤害、赔偿、罚款等费用增加，和（或）竣工日期延误，由承包人负责。</w:t>
      </w:r>
    </w:p>
    <w:p w14:paraId="0798924C">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7.8.3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14:paraId="6C6468C7">
      <w:pPr>
        <w:widowControl/>
        <w:wordWrap w:val="0"/>
        <w:topLinePunct/>
        <w:adjustRightInd w:val="0"/>
        <w:snapToGrid w:val="0"/>
        <w:spacing w:after="120" w:afterLines="50" w:line="360" w:lineRule="auto"/>
        <w:outlineLvl w:val="2"/>
        <w:rPr>
          <w:rFonts w:ascii="宋体" w:hAnsi="宋体" w:cs="宋体"/>
          <w:color w:val="auto"/>
          <w:highlight w:val="none"/>
        </w:rPr>
      </w:pPr>
      <w:bookmarkStart w:id="762" w:name="_Toc20171784"/>
      <w:bookmarkEnd w:id="762"/>
      <w:bookmarkStart w:id="763" w:name="_Ref531954340"/>
      <w:bookmarkEnd w:id="763"/>
      <w:bookmarkStart w:id="764" w:name="_Ref531954344"/>
      <w:bookmarkEnd w:id="764"/>
      <w:bookmarkStart w:id="765" w:name="_Ref4771116"/>
      <w:bookmarkStart w:id="766" w:name="_Toc58860224"/>
      <w:bookmarkStart w:id="767" w:name="_Toc179885310"/>
      <w:bookmarkStart w:id="768" w:name="_Toc25125"/>
      <w:bookmarkStart w:id="769" w:name="_Toc84930774"/>
      <w:bookmarkStart w:id="770" w:name="_Toc51766637"/>
      <w:bookmarkStart w:id="771" w:name="_Toc3129"/>
      <w:bookmarkStart w:id="772" w:name="_Toc9742"/>
      <w:r>
        <w:rPr>
          <w:rFonts w:hint="eastAsia" w:ascii="宋体" w:hAnsi="宋体" w:cs="宋体"/>
          <w:color w:val="auto"/>
          <w:szCs w:val="21"/>
          <w:highlight w:val="none"/>
          <w:lang w:bidi="ar"/>
        </w:rPr>
        <w:t>7</w:t>
      </w:r>
      <w:bookmarkEnd w:id="765"/>
      <w:r>
        <w:rPr>
          <w:rFonts w:hint="eastAsia" w:ascii="宋体" w:hAnsi="宋体" w:cs="宋体"/>
          <w:color w:val="auto"/>
          <w:szCs w:val="21"/>
          <w:highlight w:val="none"/>
          <w:lang w:bidi="ar"/>
        </w:rPr>
        <w:t>.9  临时性公用设施</w:t>
      </w:r>
      <w:bookmarkEnd w:id="766"/>
      <w:bookmarkEnd w:id="767"/>
      <w:bookmarkEnd w:id="768"/>
      <w:bookmarkEnd w:id="769"/>
      <w:bookmarkEnd w:id="770"/>
      <w:bookmarkEnd w:id="771"/>
      <w:bookmarkEnd w:id="772"/>
      <w:r>
        <w:rPr>
          <w:rFonts w:hint="eastAsia" w:ascii="宋体" w:hAnsi="宋体" w:cs="宋体"/>
          <w:color w:val="auto"/>
          <w:szCs w:val="21"/>
          <w:highlight w:val="none"/>
          <w:lang w:bidi="ar"/>
        </w:rPr>
        <w:t xml:space="preserve"> </w:t>
      </w:r>
    </w:p>
    <w:p w14:paraId="561CB10E">
      <w:pPr>
        <w:widowControl/>
        <w:wordWrap w:val="0"/>
        <w:topLinePunct/>
        <w:adjustRightInd w:val="0"/>
        <w:snapToGrid w:val="0"/>
        <w:spacing w:after="120" w:afterLines="50" w:line="360" w:lineRule="auto"/>
        <w:ind w:left="480"/>
        <w:outlineLvl w:val="3"/>
        <w:rPr>
          <w:rFonts w:ascii="宋体" w:hAnsi="宋体" w:cs="宋体"/>
          <w:color w:val="auto"/>
          <w:highlight w:val="none"/>
        </w:rPr>
      </w:pPr>
      <w:r>
        <w:rPr>
          <w:rFonts w:hint="eastAsia" w:ascii="宋体" w:hAnsi="宋体" w:cs="宋体"/>
          <w:color w:val="auto"/>
          <w:szCs w:val="21"/>
          <w:highlight w:val="none"/>
          <w:lang w:bidi="ar"/>
        </w:rPr>
        <w:t>7.9.1提供临时用水、用电等和节点铺设</w:t>
      </w:r>
    </w:p>
    <w:p w14:paraId="7477F0E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14:paraId="095A76A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14:paraId="0BA2C31A">
      <w:pPr>
        <w:widowControl/>
        <w:wordWrap w:val="0"/>
        <w:topLinePunct/>
        <w:adjustRightInd w:val="0"/>
        <w:snapToGrid w:val="0"/>
        <w:spacing w:after="120" w:afterLines="50" w:line="360" w:lineRule="auto"/>
        <w:ind w:left="480"/>
        <w:outlineLvl w:val="3"/>
        <w:rPr>
          <w:rFonts w:ascii="宋体" w:hAnsi="宋体" w:cs="宋体"/>
          <w:color w:val="auto"/>
          <w:highlight w:val="none"/>
        </w:rPr>
      </w:pPr>
      <w:r>
        <w:rPr>
          <w:rFonts w:hint="eastAsia" w:ascii="宋体" w:hAnsi="宋体" w:cs="宋体"/>
          <w:color w:val="auto"/>
          <w:szCs w:val="21"/>
          <w:highlight w:val="none"/>
          <w:lang w:bidi="ar"/>
        </w:rPr>
        <w:t>7.9.2临时用水、用电等</w:t>
      </w:r>
    </w:p>
    <w:p w14:paraId="3DB54F5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在计划开始现场施工日期28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14:paraId="6C4C65D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因承包人未能按合同约定提交上述资料，造成发包人费用增加和竣工日期延误时，由承包人负责。</w:t>
      </w:r>
      <w:bookmarkStart w:id="773" w:name="_Ref508893743"/>
      <w:bookmarkEnd w:id="773"/>
    </w:p>
    <w:p w14:paraId="2FAECC22">
      <w:pPr>
        <w:widowControl/>
        <w:wordWrap w:val="0"/>
        <w:topLinePunct/>
        <w:adjustRightInd w:val="0"/>
        <w:snapToGrid w:val="0"/>
        <w:spacing w:after="120" w:afterLines="50" w:line="360" w:lineRule="auto"/>
        <w:outlineLvl w:val="2"/>
        <w:rPr>
          <w:rFonts w:ascii="宋体" w:hAnsi="宋体" w:cs="宋体"/>
          <w:color w:val="auto"/>
          <w:highlight w:val="none"/>
        </w:rPr>
      </w:pPr>
      <w:bookmarkStart w:id="774" w:name="_Ref531952239"/>
      <w:bookmarkEnd w:id="774"/>
      <w:bookmarkStart w:id="775" w:name="_Ref531952248"/>
      <w:bookmarkEnd w:id="775"/>
      <w:bookmarkStart w:id="776" w:name="_Toc20171785"/>
      <w:bookmarkStart w:id="777" w:name="_Toc1222"/>
      <w:bookmarkStart w:id="778" w:name="_Toc51766638"/>
      <w:bookmarkStart w:id="779" w:name="_Toc84930775"/>
      <w:bookmarkStart w:id="780" w:name="_Toc58860225"/>
      <w:bookmarkStart w:id="781" w:name="_Toc12305"/>
      <w:bookmarkStart w:id="782" w:name="_Toc179885311"/>
      <w:bookmarkStart w:id="783" w:name="_Toc32634"/>
      <w:r>
        <w:rPr>
          <w:rFonts w:hint="eastAsia" w:ascii="宋体" w:hAnsi="宋体" w:cs="宋体"/>
          <w:color w:val="auto"/>
          <w:szCs w:val="21"/>
          <w:highlight w:val="none"/>
          <w:lang w:bidi="ar"/>
        </w:rPr>
        <w:t>7</w:t>
      </w:r>
      <w:bookmarkEnd w:id="776"/>
      <w:r>
        <w:rPr>
          <w:rFonts w:hint="eastAsia" w:ascii="宋体" w:hAnsi="宋体" w:cs="宋体"/>
          <w:color w:val="auto"/>
          <w:szCs w:val="21"/>
          <w:highlight w:val="none"/>
          <w:lang w:bidi="ar"/>
        </w:rPr>
        <w:t>.10  现场安保</w:t>
      </w:r>
      <w:bookmarkEnd w:id="777"/>
      <w:bookmarkEnd w:id="778"/>
      <w:bookmarkEnd w:id="779"/>
      <w:bookmarkEnd w:id="780"/>
      <w:bookmarkEnd w:id="781"/>
      <w:bookmarkEnd w:id="782"/>
      <w:bookmarkEnd w:id="783"/>
    </w:p>
    <w:p w14:paraId="47B98BE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承担自发包人向其移交施工现场、进入占有施工现场至发包人接收单位/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14:paraId="496283A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承包人应将其作业限制在现场区域、合同约定的区域或为履行合同所需的区域内。承包人应采取一切必要的预防措施，以保持承包人的设备和人员处于现场区域内，避免其进入邻近地区。</w:t>
      </w:r>
    </w:p>
    <w:p w14:paraId="0C63802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承包人为履行合同义务而占用的其他场所（如预制加工场所、办公及生活营区） 的安保适用本款前述关于现场安保的规定。</w:t>
      </w:r>
    </w:p>
    <w:p w14:paraId="0E346F3F">
      <w:pPr>
        <w:widowControl/>
        <w:wordWrap w:val="0"/>
        <w:topLinePunct/>
        <w:adjustRightInd w:val="0"/>
        <w:snapToGrid w:val="0"/>
        <w:spacing w:after="120" w:afterLines="50" w:line="360" w:lineRule="auto"/>
        <w:outlineLvl w:val="2"/>
        <w:rPr>
          <w:rFonts w:ascii="宋体" w:hAnsi="宋体" w:cs="宋体"/>
          <w:color w:val="auto"/>
          <w:highlight w:val="none"/>
        </w:rPr>
      </w:pPr>
      <w:bookmarkStart w:id="784" w:name="_Toc20171786"/>
      <w:bookmarkEnd w:id="784"/>
      <w:bookmarkStart w:id="785" w:name="_Toc84930776"/>
      <w:bookmarkStart w:id="786" w:name="_Toc58860226"/>
      <w:bookmarkStart w:id="787" w:name="_Toc179885312"/>
      <w:bookmarkStart w:id="788" w:name="_Toc23374"/>
      <w:bookmarkStart w:id="789" w:name="_Toc583"/>
      <w:bookmarkStart w:id="790" w:name="_Toc51766639"/>
      <w:bookmarkStart w:id="791" w:name="_Toc23509"/>
      <w:r>
        <w:rPr>
          <w:rFonts w:hint="eastAsia" w:ascii="宋体" w:hAnsi="宋体" w:cs="宋体"/>
          <w:color w:val="auto"/>
          <w:szCs w:val="21"/>
          <w:highlight w:val="none"/>
          <w:lang w:bidi="ar"/>
        </w:rPr>
        <w:t>7.11  工程照管</w:t>
      </w:r>
      <w:bookmarkEnd w:id="785"/>
      <w:bookmarkEnd w:id="786"/>
      <w:bookmarkEnd w:id="787"/>
      <w:bookmarkEnd w:id="788"/>
      <w:bookmarkEnd w:id="789"/>
      <w:bookmarkEnd w:id="790"/>
      <w:bookmarkEnd w:id="791"/>
    </w:p>
    <w:p w14:paraId="4B66EBA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自开始现场施工日期起至发包人应当接收工程之日止，承包人应承担工程现场、材料、设备及承包人文件的照管和维护工作。</w:t>
      </w:r>
    </w:p>
    <w:p w14:paraId="2E8FED6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如部分工程于竣工验收前提前交付发包人的，则自交付之日起，该部分工程照管及维护职责由发包人承担。</w:t>
      </w:r>
    </w:p>
    <w:p w14:paraId="2A7DB9E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如发包人及承包人进行竣工验收时尚有部分未竣工工程的，承包人应负责该未竣工工程的照管和维护工作，直至竣工后移交给发包人。</w:t>
      </w:r>
    </w:p>
    <w:p w14:paraId="1B36A7E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如合同解除或终止的，承包人自合同解除或终止之日起不再对工程承担照管和维护义务。</w:t>
      </w:r>
    </w:p>
    <w:p w14:paraId="5CF5BE7F">
      <w:pPr>
        <w:widowControl/>
        <w:wordWrap w:val="0"/>
        <w:topLinePunct/>
        <w:adjustRightInd w:val="0"/>
        <w:snapToGrid w:val="0"/>
        <w:spacing w:after="120" w:afterLines="50" w:line="360" w:lineRule="auto"/>
        <w:outlineLvl w:val="1"/>
        <w:rPr>
          <w:rFonts w:ascii="宋体" w:hAnsi="宋体" w:cs="宋体"/>
          <w:color w:val="auto"/>
          <w:kern w:val="0"/>
          <w:highlight w:val="none"/>
        </w:rPr>
      </w:pPr>
      <w:bookmarkStart w:id="792" w:name="_Toc20171787"/>
      <w:bookmarkEnd w:id="792"/>
      <w:bookmarkStart w:id="793" w:name="_Ref508998009"/>
      <w:bookmarkEnd w:id="793"/>
      <w:bookmarkStart w:id="794" w:name="_Ref531954518"/>
      <w:bookmarkEnd w:id="794"/>
      <w:bookmarkStart w:id="795" w:name="_Ref531954505"/>
      <w:bookmarkStart w:id="796" w:name="_Toc179885313"/>
      <w:r>
        <w:rPr>
          <w:rFonts w:hint="eastAsia" w:ascii="宋体" w:hAnsi="宋体" w:cs="宋体"/>
          <w:color w:val="auto"/>
          <w:kern w:val="0"/>
          <w:szCs w:val="21"/>
          <w:highlight w:val="none"/>
          <w:lang w:bidi="ar"/>
        </w:rPr>
        <w:t>第</w:t>
      </w:r>
      <w:bookmarkEnd w:id="795"/>
      <w:r>
        <w:rPr>
          <w:rFonts w:hint="eastAsia" w:ascii="宋体" w:hAnsi="宋体" w:cs="宋体"/>
          <w:color w:val="auto"/>
          <w:kern w:val="0"/>
          <w:szCs w:val="21"/>
          <w:highlight w:val="none"/>
          <w:lang w:bidi="ar"/>
        </w:rPr>
        <w:t>8条  工期和进度</w:t>
      </w:r>
      <w:bookmarkEnd w:id="796"/>
    </w:p>
    <w:p w14:paraId="24297253">
      <w:pPr>
        <w:widowControl/>
        <w:wordWrap w:val="0"/>
        <w:topLinePunct/>
        <w:adjustRightInd w:val="0"/>
        <w:snapToGrid w:val="0"/>
        <w:spacing w:after="120" w:afterLines="50" w:line="360" w:lineRule="auto"/>
        <w:outlineLvl w:val="2"/>
        <w:rPr>
          <w:rFonts w:ascii="宋体" w:hAnsi="宋体" w:cs="宋体"/>
          <w:color w:val="auto"/>
          <w:highlight w:val="none"/>
        </w:rPr>
      </w:pPr>
      <w:bookmarkStart w:id="797" w:name="_Ref532362777"/>
      <w:bookmarkEnd w:id="797"/>
      <w:bookmarkStart w:id="798" w:name="_Ref532362072"/>
      <w:bookmarkEnd w:id="798"/>
      <w:bookmarkStart w:id="799" w:name="_Ref532362774"/>
      <w:bookmarkEnd w:id="799"/>
      <w:bookmarkStart w:id="800" w:name="_Ref532362075"/>
      <w:bookmarkEnd w:id="800"/>
      <w:bookmarkStart w:id="801" w:name="_Toc20171788"/>
      <w:bookmarkStart w:id="802" w:name="_Toc29003"/>
      <w:bookmarkStart w:id="803" w:name="_Toc51766641"/>
      <w:bookmarkStart w:id="804" w:name="_Toc84930778"/>
      <w:bookmarkStart w:id="805" w:name="_Toc58860228"/>
      <w:bookmarkStart w:id="806" w:name="_Toc4852"/>
      <w:bookmarkStart w:id="807" w:name="_Toc30888"/>
      <w:bookmarkStart w:id="808" w:name="_Toc179885314"/>
      <w:r>
        <w:rPr>
          <w:rFonts w:hint="eastAsia" w:ascii="宋体" w:hAnsi="宋体" w:cs="宋体"/>
          <w:color w:val="auto"/>
          <w:szCs w:val="21"/>
          <w:highlight w:val="none"/>
          <w:lang w:bidi="ar"/>
        </w:rPr>
        <w:t>8</w:t>
      </w:r>
      <w:bookmarkEnd w:id="801"/>
      <w:r>
        <w:rPr>
          <w:rFonts w:hint="eastAsia" w:ascii="宋体" w:hAnsi="宋体" w:cs="宋体"/>
          <w:color w:val="auto"/>
          <w:szCs w:val="21"/>
          <w:highlight w:val="none"/>
          <w:lang w:bidi="ar"/>
        </w:rPr>
        <w:t>.1  开始工作</w:t>
      </w:r>
      <w:bookmarkEnd w:id="802"/>
      <w:bookmarkEnd w:id="803"/>
      <w:bookmarkEnd w:id="804"/>
      <w:bookmarkEnd w:id="805"/>
      <w:bookmarkEnd w:id="806"/>
      <w:bookmarkEnd w:id="807"/>
      <w:bookmarkEnd w:id="808"/>
    </w:p>
    <w:p w14:paraId="34BC3F57">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809" w:name="_Ref4428890"/>
      <w:bookmarkEnd w:id="809"/>
      <w:r>
        <w:rPr>
          <w:rFonts w:hint="eastAsia" w:ascii="宋体" w:hAnsi="宋体" w:cs="宋体"/>
          <w:color w:val="auto"/>
          <w:szCs w:val="21"/>
          <w:highlight w:val="none"/>
          <w:lang w:bidi="ar"/>
        </w:rPr>
        <w:t>8.1.1开始工作准备</w:t>
      </w:r>
    </w:p>
    <w:p w14:paraId="7D26718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合同当事人应按专用合同条件约定完成开始工作准备工作。</w:t>
      </w:r>
    </w:p>
    <w:p w14:paraId="12A8CF2F">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810" w:name="_Ref536790534"/>
      <w:bookmarkEnd w:id="810"/>
      <w:r>
        <w:rPr>
          <w:rFonts w:hint="eastAsia" w:ascii="宋体" w:hAnsi="宋体" w:cs="宋体"/>
          <w:color w:val="auto"/>
          <w:szCs w:val="21"/>
          <w:highlight w:val="none"/>
          <w:lang w:bidi="ar"/>
        </w:rPr>
        <w:t>8.1.2开始工作通知</w:t>
      </w:r>
    </w:p>
    <w:p w14:paraId="32D9DF1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经发包人同意后，工程师应提前7天向承包人发出经发包人签认的开始工作通知，工期自开始工作通知中载明的开始工作日期起算。</w:t>
      </w:r>
    </w:p>
    <w:p w14:paraId="41CF07D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因发包人原因造成实际开始现场施工日期迟于计划开始现场施工日期后第84天的，承包人有权提出价格调整要求，或者解除合同。发包人应当承担由此增加的费用和（或）延误的工期，并向承包人支付合理利润。</w:t>
      </w:r>
    </w:p>
    <w:p w14:paraId="3148650E">
      <w:pPr>
        <w:widowControl/>
        <w:wordWrap w:val="0"/>
        <w:topLinePunct/>
        <w:adjustRightInd w:val="0"/>
        <w:snapToGrid w:val="0"/>
        <w:spacing w:after="120" w:afterLines="50" w:line="360" w:lineRule="auto"/>
        <w:outlineLvl w:val="2"/>
        <w:rPr>
          <w:rFonts w:ascii="宋体" w:hAnsi="宋体" w:cs="宋体"/>
          <w:color w:val="auto"/>
          <w:highlight w:val="none"/>
        </w:rPr>
      </w:pPr>
      <w:bookmarkStart w:id="811" w:name="_Toc20171789"/>
      <w:bookmarkEnd w:id="811"/>
      <w:bookmarkStart w:id="812" w:name="_Ref532362124"/>
      <w:bookmarkStart w:id="813" w:name="_Toc25430"/>
      <w:bookmarkStart w:id="814" w:name="_Toc51766642"/>
      <w:bookmarkStart w:id="815" w:name="_Toc58860229"/>
      <w:bookmarkStart w:id="816" w:name="_Toc16878"/>
      <w:bookmarkStart w:id="817" w:name="_Toc179885315"/>
      <w:bookmarkStart w:id="818" w:name="_Toc14196"/>
      <w:bookmarkStart w:id="819" w:name="_Toc84930779"/>
      <w:r>
        <w:rPr>
          <w:rFonts w:hint="eastAsia" w:ascii="宋体" w:hAnsi="宋体" w:cs="宋体"/>
          <w:color w:val="auto"/>
          <w:szCs w:val="21"/>
          <w:highlight w:val="none"/>
          <w:lang w:bidi="ar"/>
        </w:rPr>
        <w:t>8</w:t>
      </w:r>
      <w:bookmarkEnd w:id="812"/>
      <w:r>
        <w:rPr>
          <w:rFonts w:hint="eastAsia" w:ascii="宋体" w:hAnsi="宋体" w:cs="宋体"/>
          <w:color w:val="auto"/>
          <w:szCs w:val="21"/>
          <w:highlight w:val="none"/>
          <w:lang w:bidi="ar"/>
        </w:rPr>
        <w:t>.2  竣工日期</w:t>
      </w:r>
      <w:bookmarkEnd w:id="813"/>
      <w:bookmarkEnd w:id="814"/>
      <w:bookmarkEnd w:id="815"/>
      <w:bookmarkEnd w:id="816"/>
      <w:bookmarkEnd w:id="817"/>
      <w:bookmarkEnd w:id="818"/>
      <w:bookmarkEnd w:id="819"/>
      <w:r>
        <w:rPr>
          <w:rFonts w:hint="eastAsia" w:ascii="宋体" w:hAnsi="宋体" w:cs="宋体"/>
          <w:color w:val="auto"/>
          <w:szCs w:val="21"/>
          <w:highlight w:val="none"/>
          <w:lang w:bidi="ar"/>
        </w:rPr>
        <w:t xml:space="preserve"> </w:t>
      </w:r>
    </w:p>
    <w:p w14:paraId="5908D13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承包人应在合同协议书约定的工期内完成合同工作。除专用合同条件另有约定外，工程的竣工日期以第10.1条[竣工验收]的约定为准，并在工程接收证书中写明。</w:t>
      </w:r>
    </w:p>
    <w:p w14:paraId="71F626A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因发包人原因，在工程师收到承包人竣工验收申请报告42天后未进行验收的，视为验收合格，实际竣工日期以提交竣工验收申请报告的日期为准，但发包人由于不可抗力不能进行验收的除外。</w:t>
      </w:r>
    </w:p>
    <w:p w14:paraId="6D2A0A4B">
      <w:pPr>
        <w:widowControl/>
        <w:wordWrap w:val="0"/>
        <w:topLinePunct/>
        <w:adjustRightInd w:val="0"/>
        <w:snapToGrid w:val="0"/>
        <w:spacing w:after="120" w:afterLines="50" w:line="360" w:lineRule="auto"/>
        <w:outlineLvl w:val="2"/>
        <w:rPr>
          <w:rFonts w:ascii="宋体" w:hAnsi="宋体" w:cs="宋体"/>
          <w:color w:val="auto"/>
          <w:highlight w:val="none"/>
        </w:rPr>
      </w:pPr>
      <w:bookmarkStart w:id="820" w:name="_Ref11863334"/>
      <w:bookmarkEnd w:id="820"/>
      <w:bookmarkStart w:id="821" w:name="_Toc20171790"/>
      <w:bookmarkEnd w:id="821"/>
      <w:bookmarkStart w:id="822" w:name="_Ref532352853"/>
      <w:bookmarkEnd w:id="822"/>
      <w:bookmarkStart w:id="823" w:name="_Ref532352856"/>
      <w:bookmarkEnd w:id="823"/>
      <w:bookmarkStart w:id="824" w:name="_Ref532362204"/>
      <w:bookmarkEnd w:id="824"/>
      <w:bookmarkStart w:id="825" w:name="_Ref532362207"/>
      <w:bookmarkStart w:id="826" w:name="_Toc10701"/>
      <w:bookmarkStart w:id="827" w:name="_Toc179885316"/>
      <w:bookmarkStart w:id="828" w:name="_Toc32669"/>
      <w:bookmarkStart w:id="829" w:name="_Toc84930780"/>
      <w:bookmarkStart w:id="830" w:name="_Toc30412"/>
      <w:bookmarkStart w:id="831" w:name="_Toc51766643"/>
      <w:bookmarkStart w:id="832" w:name="_Toc58860230"/>
      <w:r>
        <w:rPr>
          <w:rFonts w:hint="eastAsia" w:ascii="宋体" w:hAnsi="宋体" w:cs="宋体"/>
          <w:color w:val="auto"/>
          <w:szCs w:val="21"/>
          <w:highlight w:val="none"/>
          <w:lang w:bidi="ar"/>
        </w:rPr>
        <w:t>8</w:t>
      </w:r>
      <w:bookmarkEnd w:id="825"/>
      <w:r>
        <w:rPr>
          <w:rFonts w:hint="eastAsia" w:ascii="宋体" w:hAnsi="宋体" w:cs="宋体"/>
          <w:color w:val="auto"/>
          <w:szCs w:val="21"/>
          <w:highlight w:val="none"/>
          <w:lang w:bidi="ar"/>
        </w:rPr>
        <w:t>.3  项目实施计划</w:t>
      </w:r>
      <w:bookmarkEnd w:id="826"/>
      <w:bookmarkEnd w:id="827"/>
      <w:bookmarkEnd w:id="828"/>
      <w:bookmarkEnd w:id="829"/>
      <w:bookmarkEnd w:id="830"/>
      <w:bookmarkEnd w:id="831"/>
      <w:bookmarkEnd w:id="832"/>
    </w:p>
    <w:p w14:paraId="2C74EA9A">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833" w:name="_Ref18990904"/>
      <w:bookmarkEnd w:id="833"/>
      <w:r>
        <w:rPr>
          <w:rFonts w:hint="eastAsia" w:ascii="宋体" w:hAnsi="宋体" w:cs="宋体"/>
          <w:color w:val="auto"/>
          <w:szCs w:val="21"/>
          <w:highlight w:val="none"/>
          <w:lang w:bidi="ar"/>
        </w:rPr>
        <w:t>8.3.1项目实施计划的内容</w:t>
      </w:r>
    </w:p>
    <w:p w14:paraId="651B045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14:paraId="4E313703">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834" w:name="_Ref18990921"/>
      <w:bookmarkEnd w:id="834"/>
      <w:r>
        <w:rPr>
          <w:rFonts w:hint="eastAsia" w:ascii="宋体" w:hAnsi="宋体" w:cs="宋体"/>
          <w:color w:val="auto"/>
          <w:szCs w:val="21"/>
          <w:highlight w:val="none"/>
          <w:lang w:bidi="ar"/>
        </w:rPr>
        <w:t>8.3.2项目实施计划的提交和修改</w:t>
      </w:r>
    </w:p>
    <w:p w14:paraId="7BEDC51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承包人应在合同订立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14:paraId="45A0C47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项目进度计划的编制和修改按照第8.4款[项目进度计划]执行。</w:t>
      </w:r>
    </w:p>
    <w:p w14:paraId="5C620DD4">
      <w:pPr>
        <w:widowControl/>
        <w:wordWrap w:val="0"/>
        <w:topLinePunct/>
        <w:adjustRightInd w:val="0"/>
        <w:snapToGrid w:val="0"/>
        <w:spacing w:after="120" w:afterLines="50" w:line="360" w:lineRule="auto"/>
        <w:outlineLvl w:val="2"/>
        <w:rPr>
          <w:rFonts w:ascii="宋体" w:hAnsi="宋体" w:cs="宋体"/>
          <w:color w:val="auto"/>
          <w:highlight w:val="none"/>
        </w:rPr>
      </w:pPr>
      <w:bookmarkStart w:id="835" w:name="_Toc20171791"/>
      <w:bookmarkEnd w:id="835"/>
      <w:bookmarkStart w:id="836" w:name="_Ref11865507"/>
      <w:bookmarkStart w:id="837" w:name="_Toc58860231"/>
      <w:bookmarkStart w:id="838" w:name="_Toc84930781"/>
      <w:bookmarkStart w:id="839" w:name="_Toc179885317"/>
      <w:bookmarkStart w:id="840" w:name="_Toc51766644"/>
      <w:bookmarkStart w:id="841" w:name="_Toc21008"/>
      <w:bookmarkStart w:id="842" w:name="_Toc23351"/>
      <w:bookmarkStart w:id="843" w:name="_Toc12274"/>
      <w:r>
        <w:rPr>
          <w:rFonts w:hint="eastAsia" w:ascii="宋体" w:hAnsi="宋体" w:cs="宋体"/>
          <w:color w:val="auto"/>
          <w:szCs w:val="21"/>
          <w:highlight w:val="none"/>
          <w:lang w:bidi="ar"/>
        </w:rPr>
        <w:t>8</w:t>
      </w:r>
      <w:bookmarkEnd w:id="836"/>
      <w:r>
        <w:rPr>
          <w:rFonts w:hint="eastAsia" w:ascii="宋体" w:hAnsi="宋体" w:cs="宋体"/>
          <w:color w:val="auto"/>
          <w:szCs w:val="21"/>
          <w:highlight w:val="none"/>
          <w:lang w:bidi="ar"/>
        </w:rPr>
        <w:t>.4  项目进度计划</w:t>
      </w:r>
      <w:bookmarkEnd w:id="837"/>
      <w:bookmarkEnd w:id="838"/>
      <w:bookmarkEnd w:id="839"/>
      <w:bookmarkEnd w:id="840"/>
      <w:bookmarkEnd w:id="841"/>
      <w:bookmarkEnd w:id="842"/>
      <w:bookmarkEnd w:id="843"/>
    </w:p>
    <w:p w14:paraId="2C800A11">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844" w:name="_Ref4681217"/>
      <w:bookmarkEnd w:id="844"/>
      <w:r>
        <w:rPr>
          <w:rFonts w:hint="eastAsia" w:ascii="宋体" w:hAnsi="宋体" w:cs="宋体"/>
          <w:color w:val="auto"/>
          <w:szCs w:val="21"/>
          <w:highlight w:val="none"/>
          <w:lang w:bidi="ar"/>
        </w:rPr>
        <w:t>8.4.1项目进度计划的提交和修改</w:t>
      </w:r>
    </w:p>
    <w:p w14:paraId="3CD7814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按照第8.3款[项目实施计划]约定编制并向工程师提交项目初步进度计划，经工程师批准后实施。除专用合同条件另有约定外，工程师应在21天内批复或提出修改意见，否则该项目初步进度计划视为已得到批准。对工程师提出的合理意见和要求，承包人应自费修改完善。</w:t>
      </w:r>
    </w:p>
    <w:p w14:paraId="25587FA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14:paraId="79E64646">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845" w:name="_Ref4429079"/>
      <w:bookmarkEnd w:id="845"/>
      <w:r>
        <w:rPr>
          <w:rFonts w:hint="eastAsia" w:ascii="宋体" w:hAnsi="宋体" w:cs="宋体"/>
          <w:color w:val="auto"/>
          <w:szCs w:val="21"/>
          <w:highlight w:val="none"/>
          <w:lang w:bidi="ar"/>
        </w:rPr>
        <w:t>8.4.2项目进度计划的内容</w:t>
      </w:r>
    </w:p>
    <w:p w14:paraId="5911F6C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14:paraId="3A93E95B">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846" w:name="_Ref3848203"/>
      <w:bookmarkEnd w:id="846"/>
      <w:r>
        <w:rPr>
          <w:rFonts w:hint="eastAsia" w:ascii="宋体" w:hAnsi="宋体" w:cs="宋体"/>
          <w:color w:val="auto"/>
          <w:szCs w:val="21"/>
          <w:highlight w:val="none"/>
          <w:lang w:bidi="ar"/>
        </w:rPr>
        <w:t>8.4.3项目进度计划的修订</w:t>
      </w:r>
    </w:p>
    <w:p w14:paraId="06B17BF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14:paraId="428A60F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14:paraId="4F0B8F9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除合同当事人另有约定外，项目进度计划的修订并不能减轻或者免除双方按第8.7款[工期延误]、第8.8款[工期提前]、第8.9款[暂停工作]应承担的合同责任。</w:t>
      </w:r>
    </w:p>
    <w:p w14:paraId="69F09E8E">
      <w:pPr>
        <w:widowControl/>
        <w:wordWrap w:val="0"/>
        <w:topLinePunct/>
        <w:adjustRightInd w:val="0"/>
        <w:snapToGrid w:val="0"/>
        <w:spacing w:after="120" w:afterLines="50" w:line="360" w:lineRule="auto"/>
        <w:outlineLvl w:val="2"/>
        <w:rPr>
          <w:rFonts w:ascii="宋体" w:hAnsi="宋体" w:cs="宋体"/>
          <w:color w:val="auto"/>
          <w:highlight w:val="none"/>
        </w:rPr>
      </w:pPr>
      <w:bookmarkStart w:id="847" w:name="_Ref532362276"/>
      <w:bookmarkEnd w:id="847"/>
      <w:bookmarkStart w:id="848" w:name="_Ref532362278"/>
      <w:bookmarkEnd w:id="848"/>
      <w:bookmarkStart w:id="849" w:name="_Toc20171792"/>
      <w:bookmarkStart w:id="850" w:name="_Toc18213"/>
      <w:bookmarkStart w:id="851" w:name="_Toc58860232"/>
      <w:bookmarkStart w:id="852" w:name="_Toc18457"/>
      <w:bookmarkStart w:id="853" w:name="_Toc12162"/>
      <w:bookmarkStart w:id="854" w:name="_Toc51766645"/>
      <w:bookmarkStart w:id="855" w:name="_Toc84930782"/>
      <w:bookmarkStart w:id="856" w:name="_Toc179885318"/>
      <w:r>
        <w:rPr>
          <w:rFonts w:hint="eastAsia" w:ascii="宋体" w:hAnsi="宋体" w:cs="宋体"/>
          <w:color w:val="auto"/>
          <w:szCs w:val="21"/>
          <w:highlight w:val="none"/>
          <w:lang w:bidi="ar"/>
        </w:rPr>
        <w:t>8</w:t>
      </w:r>
      <w:bookmarkEnd w:id="849"/>
      <w:r>
        <w:rPr>
          <w:rFonts w:hint="eastAsia" w:ascii="宋体" w:hAnsi="宋体" w:cs="宋体"/>
          <w:color w:val="auto"/>
          <w:szCs w:val="21"/>
          <w:highlight w:val="none"/>
          <w:lang w:bidi="ar"/>
        </w:rPr>
        <w:t>.5  进度报告</w:t>
      </w:r>
      <w:bookmarkEnd w:id="850"/>
      <w:bookmarkEnd w:id="851"/>
      <w:bookmarkEnd w:id="852"/>
      <w:bookmarkEnd w:id="853"/>
      <w:bookmarkEnd w:id="854"/>
      <w:bookmarkEnd w:id="855"/>
      <w:bookmarkEnd w:id="856"/>
    </w:p>
    <w:p w14:paraId="79AB831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项目实施过程中，承包人应进行实际进度记录，并根据工程师的要求编制月进度报告，并提交给工程师。进度报告应包含以下主要内容：</w:t>
      </w:r>
    </w:p>
    <w:p w14:paraId="452C066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（1）工程设计、采购、施工等各个工作内容的进展报告；</w:t>
      </w:r>
    </w:p>
    <w:p w14:paraId="0F1C9C8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（2）工程施工方法的一般说明；</w:t>
      </w:r>
    </w:p>
    <w:p w14:paraId="27C31C7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（3）当月工程实施介入的项目人员、设备和材料的预估明细报告；</w:t>
      </w:r>
    </w:p>
    <w:p w14:paraId="1615408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 xml:space="preserve">（4）当月实际进度与进度计划对比分析，以及提出未来可能引起工期延误的情形，同时提出应对措施；需要修订项目进度计划的，应对项目进度计划的修订部分进行说明； </w:t>
      </w:r>
    </w:p>
    <w:p w14:paraId="63D8ECE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（5）承包人对于解决工期延误所提出的建议；</w:t>
      </w:r>
    </w:p>
    <w:p w14:paraId="493B02F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（6）其他与工程有关的重大事项。</w:t>
      </w:r>
    </w:p>
    <w:p w14:paraId="743555D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进度报告的具体要求等，在专用合同条件约定。</w:t>
      </w:r>
    </w:p>
    <w:p w14:paraId="17CFD7AD">
      <w:pPr>
        <w:widowControl/>
        <w:wordWrap w:val="0"/>
        <w:topLinePunct/>
        <w:adjustRightInd w:val="0"/>
        <w:snapToGrid w:val="0"/>
        <w:spacing w:after="120" w:afterLines="50" w:line="360" w:lineRule="auto"/>
        <w:outlineLvl w:val="2"/>
        <w:rPr>
          <w:rFonts w:ascii="宋体" w:hAnsi="宋体" w:cs="宋体"/>
          <w:color w:val="auto"/>
          <w:highlight w:val="none"/>
        </w:rPr>
      </w:pPr>
      <w:bookmarkStart w:id="857" w:name="_Toc20171793"/>
      <w:bookmarkEnd w:id="857"/>
      <w:bookmarkStart w:id="858" w:name="_Toc84930783"/>
      <w:bookmarkStart w:id="859" w:name="_Toc11825"/>
      <w:bookmarkStart w:id="860" w:name="_Toc179885319"/>
      <w:bookmarkStart w:id="861" w:name="_Toc8681"/>
      <w:bookmarkStart w:id="862" w:name="_Toc51766646"/>
      <w:bookmarkStart w:id="863" w:name="_Toc13112"/>
      <w:bookmarkStart w:id="864" w:name="_Toc58860233"/>
      <w:r>
        <w:rPr>
          <w:rFonts w:hint="eastAsia" w:ascii="宋体" w:hAnsi="宋体" w:cs="宋体"/>
          <w:color w:val="auto"/>
          <w:szCs w:val="21"/>
          <w:highlight w:val="none"/>
          <w:lang w:bidi="ar"/>
        </w:rPr>
        <w:t>8.6  提前预警</w:t>
      </w:r>
      <w:bookmarkEnd w:id="858"/>
      <w:bookmarkEnd w:id="859"/>
      <w:bookmarkEnd w:id="860"/>
      <w:bookmarkEnd w:id="861"/>
      <w:bookmarkEnd w:id="862"/>
      <w:bookmarkEnd w:id="863"/>
      <w:bookmarkEnd w:id="864"/>
    </w:p>
    <w:p w14:paraId="6029642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任何一方应当在下列情形发生时尽快书面通知另一方：</w:t>
      </w:r>
    </w:p>
    <w:p w14:paraId="53499D9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（1）该情形可能对合同的履行或实现合同目的产生不利影响；</w:t>
      </w:r>
    </w:p>
    <w:p w14:paraId="4467F2A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（2）该情形可能对工程完成后的使用产生不利影响；</w:t>
      </w:r>
    </w:p>
    <w:p w14:paraId="5971113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（3）该情形可能导致合同价款增加；</w:t>
      </w:r>
    </w:p>
    <w:p w14:paraId="21218EE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（4）该情形可能导致整个工程或单位/区段工程的工期延长。</w:t>
      </w:r>
    </w:p>
    <w:p w14:paraId="4C64CCD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发包人有权要求承包人根据第13.2款[承包人的合理化建议]的约定提交变更建议，采取措施尽量避免或最小化上述情形的发生或影响。</w:t>
      </w:r>
    </w:p>
    <w:p w14:paraId="1E676495">
      <w:pPr>
        <w:widowControl/>
        <w:wordWrap w:val="0"/>
        <w:topLinePunct/>
        <w:adjustRightInd w:val="0"/>
        <w:snapToGrid w:val="0"/>
        <w:spacing w:after="120" w:afterLines="50" w:line="360" w:lineRule="auto"/>
        <w:outlineLvl w:val="2"/>
        <w:rPr>
          <w:rFonts w:ascii="宋体" w:hAnsi="宋体" w:cs="宋体"/>
          <w:color w:val="auto"/>
          <w:highlight w:val="none"/>
        </w:rPr>
      </w:pPr>
      <w:bookmarkStart w:id="865" w:name="_Toc4784171"/>
      <w:bookmarkEnd w:id="865"/>
      <w:bookmarkStart w:id="866" w:name="_Toc4784161"/>
      <w:bookmarkEnd w:id="866"/>
      <w:bookmarkStart w:id="867" w:name="_Toc4784155"/>
      <w:bookmarkEnd w:id="867"/>
      <w:bookmarkStart w:id="868" w:name="_Toc4784156"/>
      <w:bookmarkEnd w:id="868"/>
      <w:bookmarkStart w:id="869" w:name="_Toc4784162"/>
      <w:bookmarkEnd w:id="869"/>
      <w:bookmarkStart w:id="870" w:name="_Toc4784165"/>
      <w:bookmarkEnd w:id="870"/>
      <w:bookmarkStart w:id="871" w:name="_Toc4784160"/>
      <w:bookmarkEnd w:id="871"/>
      <w:bookmarkStart w:id="872" w:name="_Toc4784175"/>
      <w:bookmarkEnd w:id="872"/>
      <w:bookmarkStart w:id="873" w:name="_Toc4784174"/>
      <w:bookmarkEnd w:id="873"/>
      <w:bookmarkStart w:id="874" w:name="_Toc4784168"/>
      <w:bookmarkEnd w:id="874"/>
      <w:bookmarkStart w:id="875" w:name="_Toc4784164"/>
      <w:bookmarkEnd w:id="875"/>
      <w:bookmarkStart w:id="876" w:name="_Toc4784163"/>
      <w:bookmarkEnd w:id="876"/>
      <w:bookmarkStart w:id="877" w:name="_Toc4784167"/>
      <w:bookmarkEnd w:id="877"/>
      <w:bookmarkStart w:id="878" w:name="_Toc4784158"/>
      <w:bookmarkEnd w:id="878"/>
      <w:bookmarkStart w:id="879" w:name="_Toc4784173"/>
      <w:bookmarkEnd w:id="879"/>
      <w:bookmarkStart w:id="880" w:name="_Toc4784169"/>
      <w:bookmarkEnd w:id="880"/>
      <w:bookmarkStart w:id="881" w:name="_Toc4784166"/>
      <w:bookmarkEnd w:id="881"/>
      <w:bookmarkStart w:id="882" w:name="_Ref532362356"/>
      <w:bookmarkEnd w:id="882"/>
      <w:bookmarkStart w:id="883" w:name="_Toc4784170"/>
      <w:bookmarkEnd w:id="883"/>
      <w:bookmarkStart w:id="884" w:name="_Ref532362359"/>
      <w:bookmarkEnd w:id="884"/>
      <w:bookmarkStart w:id="885" w:name="_Toc4784154"/>
      <w:bookmarkEnd w:id="885"/>
      <w:bookmarkStart w:id="886" w:name="_Toc20171794"/>
      <w:bookmarkEnd w:id="886"/>
      <w:bookmarkStart w:id="887" w:name="_Toc4784172"/>
      <w:bookmarkEnd w:id="887"/>
      <w:bookmarkStart w:id="888" w:name="_Toc4784159"/>
      <w:bookmarkEnd w:id="888"/>
      <w:bookmarkStart w:id="889" w:name="_Ref4770106"/>
      <w:bookmarkEnd w:id="889"/>
      <w:bookmarkStart w:id="890" w:name="_Toc4784157"/>
      <w:bookmarkStart w:id="891" w:name="_Toc51766647"/>
      <w:bookmarkStart w:id="892" w:name="_Toc58860234"/>
      <w:bookmarkStart w:id="893" w:name="_Toc9657"/>
      <w:bookmarkStart w:id="894" w:name="_Toc17470"/>
      <w:bookmarkStart w:id="895" w:name="_Toc84930784"/>
      <w:bookmarkStart w:id="896" w:name="_Toc14277"/>
      <w:bookmarkStart w:id="897" w:name="_Toc179885320"/>
      <w:r>
        <w:rPr>
          <w:rFonts w:hint="eastAsia" w:ascii="宋体" w:hAnsi="宋体" w:cs="宋体"/>
          <w:color w:val="auto"/>
          <w:szCs w:val="21"/>
          <w:highlight w:val="none"/>
          <w:lang w:bidi="ar"/>
        </w:rPr>
        <w:t>8</w:t>
      </w:r>
      <w:bookmarkEnd w:id="890"/>
      <w:r>
        <w:rPr>
          <w:rFonts w:hint="eastAsia" w:ascii="宋体" w:hAnsi="宋体" w:cs="宋体"/>
          <w:color w:val="auto"/>
          <w:szCs w:val="21"/>
          <w:highlight w:val="none"/>
          <w:lang w:bidi="ar"/>
        </w:rPr>
        <w:t>.7  工期延误</w:t>
      </w:r>
      <w:bookmarkEnd w:id="891"/>
      <w:bookmarkEnd w:id="892"/>
      <w:bookmarkEnd w:id="893"/>
      <w:bookmarkEnd w:id="894"/>
      <w:bookmarkEnd w:id="895"/>
      <w:bookmarkEnd w:id="896"/>
      <w:bookmarkEnd w:id="897"/>
    </w:p>
    <w:p w14:paraId="6B92A499">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898" w:name="_Ref4796050"/>
      <w:bookmarkEnd w:id="898"/>
      <w:r>
        <w:rPr>
          <w:rFonts w:hint="eastAsia" w:ascii="宋体" w:hAnsi="宋体" w:cs="宋体"/>
          <w:color w:val="auto"/>
          <w:szCs w:val="21"/>
          <w:highlight w:val="none"/>
          <w:lang w:bidi="ar"/>
        </w:rPr>
        <w:t>8.7.1因发包人原因导致工期延误</w:t>
      </w:r>
    </w:p>
    <w:p w14:paraId="49D6C5D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在合同履行过程中，因下列情况导致工期延误和（或）费用增加的，由发包人承担由此延误的工期和（或）增加的费用，且发包人应支付承包人合理的利润：</w:t>
      </w:r>
    </w:p>
    <w:p w14:paraId="45FB658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（1）根据第13条[变更与调整]的约定构成一项变更的；</w:t>
      </w:r>
    </w:p>
    <w:p w14:paraId="1F6A8E9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（2）发包人违反本合同约定，导致工期延误和（或）费用增加的；</w:t>
      </w:r>
    </w:p>
    <w:p w14:paraId="27CB6B2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（3）发包人、发包人代表、工程师或发包人聘请的任意第三方造成或引起的任何延误、妨碍和阻碍；</w:t>
      </w:r>
    </w:p>
    <w:p w14:paraId="2D5C45F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（4）发包人未能依据第6.2.1项[发包人提供的材料和工程设备]的约定提供材料和工程设备导致工期延误和（或）费用增加的；</w:t>
      </w:r>
    </w:p>
    <w:p w14:paraId="65EC4D3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（5）因发包人原因导致的暂停施工；</w:t>
      </w:r>
    </w:p>
    <w:p w14:paraId="662052E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（6）发包人未及时履行相关合同义务，造成工期延误的其他原因。</w:t>
      </w:r>
    </w:p>
    <w:p w14:paraId="57E48D71">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899" w:name="_Ref4770209"/>
      <w:bookmarkEnd w:id="899"/>
      <w:r>
        <w:rPr>
          <w:rFonts w:hint="eastAsia" w:ascii="宋体" w:hAnsi="宋体" w:cs="宋体"/>
          <w:color w:val="auto"/>
          <w:szCs w:val="21"/>
          <w:highlight w:val="none"/>
          <w:lang w:bidi="ar"/>
        </w:rPr>
        <w:t>8.7.2因承包人原因导致工期延误</w:t>
      </w:r>
    </w:p>
    <w:p w14:paraId="5EA7160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由于承包人的原因，未能按项目进度计划完成工作，承包人应采取措施加快进度，并承担加快进度所增加的费用。</w:t>
      </w:r>
    </w:p>
    <w:p w14:paraId="72EBB6D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14:paraId="7D083C84">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900" w:name="_Ref4770872"/>
      <w:bookmarkEnd w:id="900"/>
      <w:r>
        <w:rPr>
          <w:rFonts w:hint="eastAsia" w:ascii="宋体" w:hAnsi="宋体" w:cs="宋体"/>
          <w:color w:val="auto"/>
          <w:szCs w:val="21"/>
          <w:highlight w:val="none"/>
          <w:lang w:bidi="ar"/>
        </w:rPr>
        <w:t xml:space="preserve">8.7.3行政审批迟延 </w:t>
      </w:r>
    </w:p>
    <w:p w14:paraId="04F5BDC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14:paraId="641A850D">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901" w:name="_Ref4770933"/>
      <w:bookmarkEnd w:id="901"/>
      <w:r>
        <w:rPr>
          <w:rFonts w:hint="eastAsia" w:ascii="宋体" w:hAnsi="宋体" w:cs="宋体"/>
          <w:color w:val="auto"/>
          <w:szCs w:val="21"/>
          <w:highlight w:val="none"/>
          <w:lang w:bidi="ar"/>
        </w:rPr>
        <w:t>8.7.4异常恶劣的气候条件</w:t>
      </w:r>
    </w:p>
    <w:p w14:paraId="136333E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14:paraId="31FF39D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采取克服异常恶劣的气候条件的合理措施继续施工，并及时通知工程师。工程师应当及时发出指示，指示构成变更的，按第13条[变更与调整]约定办理。承包人因采取合理措施而延误的工期由发包人承担。</w:t>
      </w:r>
    </w:p>
    <w:p w14:paraId="11DF7135">
      <w:pPr>
        <w:widowControl/>
        <w:wordWrap w:val="0"/>
        <w:topLinePunct/>
        <w:adjustRightInd w:val="0"/>
        <w:snapToGrid w:val="0"/>
        <w:spacing w:after="120" w:afterLines="50" w:line="360" w:lineRule="auto"/>
        <w:outlineLvl w:val="2"/>
        <w:rPr>
          <w:rFonts w:ascii="宋体" w:hAnsi="宋体" w:cs="宋体"/>
          <w:color w:val="auto"/>
          <w:highlight w:val="none"/>
        </w:rPr>
      </w:pPr>
      <w:bookmarkStart w:id="902" w:name="_Ref4781828"/>
      <w:bookmarkEnd w:id="902"/>
      <w:bookmarkStart w:id="903" w:name="_Toc20171795"/>
      <w:bookmarkStart w:id="904" w:name="_Toc15968"/>
      <w:bookmarkStart w:id="905" w:name="_Toc1728"/>
      <w:bookmarkStart w:id="906" w:name="_Toc179885321"/>
      <w:bookmarkStart w:id="907" w:name="_Toc51766648"/>
      <w:bookmarkStart w:id="908" w:name="_Toc1606"/>
      <w:bookmarkStart w:id="909" w:name="_Toc84930785"/>
      <w:bookmarkStart w:id="910" w:name="_Toc58860235"/>
      <w:r>
        <w:rPr>
          <w:rFonts w:hint="eastAsia" w:ascii="宋体" w:hAnsi="宋体" w:cs="宋体"/>
          <w:color w:val="auto"/>
          <w:szCs w:val="21"/>
          <w:highlight w:val="none"/>
          <w:lang w:bidi="ar"/>
        </w:rPr>
        <w:t>8</w:t>
      </w:r>
      <w:bookmarkEnd w:id="903"/>
      <w:r>
        <w:rPr>
          <w:rFonts w:hint="eastAsia" w:ascii="宋体" w:hAnsi="宋体" w:cs="宋体"/>
          <w:color w:val="auto"/>
          <w:szCs w:val="21"/>
          <w:highlight w:val="none"/>
          <w:lang w:bidi="ar"/>
        </w:rPr>
        <w:t>.8  工期提前</w:t>
      </w:r>
      <w:bookmarkEnd w:id="904"/>
      <w:bookmarkEnd w:id="905"/>
      <w:bookmarkEnd w:id="906"/>
      <w:bookmarkEnd w:id="907"/>
      <w:bookmarkEnd w:id="908"/>
      <w:bookmarkEnd w:id="909"/>
      <w:bookmarkEnd w:id="910"/>
    </w:p>
    <w:p w14:paraId="15BABE31">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8.8.1发包人指示承包人提前竣工且被承包人接受的，应与承包人共同协商采取加快工程进度的措施和修订项目进度计划。发包人应承担承包人由此增加的费用，增加的费用按第13条[变更与调整]的约定执行；发包人不得以任何理由要求承包人超过合理限度压缩工期。承包人有权不接受提前竣工的指示，工期按照合同约定执行。</w:t>
      </w:r>
    </w:p>
    <w:p w14:paraId="27225607">
      <w:pPr>
        <w:widowControl/>
        <w:adjustRightInd w:val="0"/>
        <w:snapToGrid w:val="0"/>
        <w:spacing w:after="120" w:afterLines="50" w:line="360" w:lineRule="auto"/>
        <w:ind w:firstLine="420" w:firstLineChars="200"/>
        <w:rPr>
          <w:rFonts w:ascii="宋体" w:hAnsi="宋体" w:cs="宋体"/>
          <w:color w:val="auto"/>
          <w:highlight w:val="none"/>
        </w:rPr>
      </w:pPr>
      <w:bookmarkStart w:id="911" w:name="_Ref4429347"/>
      <w:bookmarkEnd w:id="911"/>
      <w:r>
        <w:rPr>
          <w:rFonts w:hint="eastAsia" w:ascii="宋体" w:hAnsi="宋体" w:cs="宋体"/>
          <w:color w:val="auto"/>
          <w:szCs w:val="21"/>
          <w:highlight w:val="none"/>
          <w:lang w:bidi="ar"/>
        </w:rPr>
        <w:t>8.8.2承包人提出提前竣工的建议且发包人接受的，应与发包人共同协商采取加快工程进度的措施和修订项目进度计划。发包人应承担承包人由此增加的费用，增加的费用按第13条[变更与调整]的约定执行，并向承包人支付专用合同条件约定的相应奖励金。</w:t>
      </w:r>
    </w:p>
    <w:p w14:paraId="6FA2A90B">
      <w:pPr>
        <w:widowControl/>
        <w:wordWrap w:val="0"/>
        <w:topLinePunct/>
        <w:adjustRightInd w:val="0"/>
        <w:snapToGrid w:val="0"/>
        <w:spacing w:after="120" w:afterLines="50" w:line="360" w:lineRule="auto"/>
        <w:outlineLvl w:val="2"/>
        <w:rPr>
          <w:rFonts w:ascii="宋体" w:hAnsi="宋体" w:cs="宋体"/>
          <w:color w:val="auto"/>
          <w:highlight w:val="none"/>
        </w:rPr>
      </w:pPr>
      <w:bookmarkStart w:id="912" w:name="_Ref4615040"/>
      <w:bookmarkEnd w:id="912"/>
      <w:bookmarkStart w:id="913" w:name="_Ref4615031"/>
      <w:bookmarkEnd w:id="913"/>
      <w:bookmarkStart w:id="914" w:name="_Toc20171796"/>
      <w:bookmarkStart w:id="915" w:name="_Toc84930786"/>
      <w:bookmarkStart w:id="916" w:name="_Toc23569"/>
      <w:bookmarkStart w:id="917" w:name="_Toc9940"/>
      <w:bookmarkStart w:id="918" w:name="_Toc58860236"/>
      <w:bookmarkStart w:id="919" w:name="_Toc8410"/>
      <w:bookmarkStart w:id="920" w:name="_Toc51766649"/>
      <w:bookmarkStart w:id="921" w:name="_Toc179885322"/>
      <w:r>
        <w:rPr>
          <w:rFonts w:hint="eastAsia" w:ascii="宋体" w:hAnsi="宋体" w:cs="宋体"/>
          <w:color w:val="auto"/>
          <w:szCs w:val="21"/>
          <w:highlight w:val="none"/>
          <w:lang w:bidi="ar"/>
        </w:rPr>
        <w:t>8</w:t>
      </w:r>
      <w:bookmarkEnd w:id="914"/>
      <w:r>
        <w:rPr>
          <w:rFonts w:hint="eastAsia" w:ascii="宋体" w:hAnsi="宋体" w:cs="宋体"/>
          <w:color w:val="auto"/>
          <w:szCs w:val="21"/>
          <w:highlight w:val="none"/>
          <w:lang w:bidi="ar"/>
        </w:rPr>
        <w:t>.9  暂停工作</w:t>
      </w:r>
      <w:bookmarkEnd w:id="915"/>
      <w:bookmarkEnd w:id="916"/>
      <w:bookmarkEnd w:id="917"/>
      <w:bookmarkEnd w:id="918"/>
      <w:bookmarkEnd w:id="919"/>
      <w:bookmarkEnd w:id="920"/>
      <w:bookmarkEnd w:id="921"/>
      <w:r>
        <w:rPr>
          <w:rFonts w:hint="eastAsia" w:ascii="宋体" w:hAnsi="宋体" w:cs="宋体"/>
          <w:color w:val="auto"/>
          <w:szCs w:val="21"/>
          <w:highlight w:val="none"/>
          <w:lang w:bidi="ar"/>
        </w:rPr>
        <w:t xml:space="preserve"> </w:t>
      </w:r>
    </w:p>
    <w:p w14:paraId="19D6AF73">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922" w:name="_Ref4709151"/>
      <w:bookmarkEnd w:id="922"/>
      <w:r>
        <w:rPr>
          <w:rFonts w:hint="eastAsia" w:ascii="宋体" w:hAnsi="宋体" w:cs="宋体"/>
          <w:color w:val="auto"/>
          <w:szCs w:val="21"/>
          <w:highlight w:val="none"/>
          <w:lang w:bidi="ar"/>
        </w:rPr>
        <w:t>8.9.1由发包人暂停工作</w:t>
      </w:r>
    </w:p>
    <w:p w14:paraId="7D5DF5F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发包人认为必要时，可通过工程师向承包人发出经发包人签认的暂停工作通知，应列明暂停原因、暂停的日期及预计暂停的期限。承包人应按该通知暂停工作。</w:t>
      </w:r>
      <w:bookmarkStart w:id="923" w:name="_Ref4709233"/>
      <w:bookmarkEnd w:id="923"/>
    </w:p>
    <w:p w14:paraId="7DB49DB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承包人因执行暂停工作通知而造成费用的增加和（或）工期延误由发包人承担，并有权要求发包人支付合理利润，但由于承包人原因造成发包人暂停工作的除外。</w:t>
      </w:r>
    </w:p>
    <w:p w14:paraId="1DBC82B5">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924" w:name="_Ref18972173"/>
      <w:bookmarkEnd w:id="924"/>
      <w:r>
        <w:rPr>
          <w:rFonts w:hint="eastAsia" w:ascii="宋体" w:hAnsi="宋体" w:cs="宋体"/>
          <w:color w:val="auto"/>
          <w:szCs w:val="21"/>
          <w:highlight w:val="none"/>
          <w:lang w:bidi="ar"/>
        </w:rPr>
        <w:t xml:space="preserve">8.9.2由承包人暂停工作 </w:t>
      </w:r>
    </w:p>
    <w:p w14:paraId="434DF8C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因承包人原因所造成部分或全部工程的暂停，承包人应采取措施尽快复工并赶上进度，由此造成费用的增加或工期延误由承包人承担。因此造成逾期竣工的，承包人应按第8.7.2项[因承包人原因导致工期延误]承担逾期竣工违约责任。</w:t>
      </w:r>
    </w:p>
    <w:p w14:paraId="7B30E38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14:paraId="3C4D0E05">
      <w:pPr>
        <w:widowControl/>
        <w:adjustRightInd w:val="0"/>
        <w:snapToGrid w:val="0"/>
        <w:spacing w:after="120" w:afterLines="50" w:line="360" w:lineRule="auto"/>
        <w:ind w:firstLine="420" w:firstLineChars="200"/>
        <w:rPr>
          <w:rFonts w:ascii="宋体" w:hAnsi="宋体" w:cs="宋体"/>
          <w:color w:val="auto"/>
          <w:kern w:val="0"/>
          <w:highlight w:val="none"/>
        </w:rPr>
      </w:pPr>
      <w:bookmarkStart w:id="925" w:name="_Ref4709224"/>
      <w:bookmarkEnd w:id="925"/>
      <w:r>
        <w:rPr>
          <w:rFonts w:hint="eastAsia" w:ascii="宋体" w:hAnsi="宋体" w:cs="宋体"/>
          <w:color w:val="auto"/>
          <w:kern w:val="0"/>
          <w:szCs w:val="21"/>
          <w:highlight w:val="none"/>
          <w:lang w:bidi="ar"/>
        </w:rPr>
        <w:t>（1）发包人拖延、拒绝批准付款申请和支付证书，或未能按合同约定支付价款，导致付款延误的；</w:t>
      </w:r>
    </w:p>
    <w:p w14:paraId="03460D0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（2）发包人未按约定履行合同其他义务导致承包人无法继续履行合同的，或者发包人明确表示暂停或实质上已暂停履行合同的；</w:t>
      </w:r>
    </w:p>
    <w:p w14:paraId="4D960BE6">
      <w:pPr>
        <w:widowControl/>
        <w:wordWrap w:val="0"/>
        <w:topLinePunct/>
        <w:adjustRightInd w:val="0"/>
        <w:snapToGrid w:val="0"/>
        <w:spacing w:after="120" w:afterLines="50" w:line="360" w:lineRule="auto"/>
        <w:ind w:left="480"/>
        <w:outlineLvl w:val="3"/>
        <w:rPr>
          <w:rFonts w:ascii="宋体" w:hAnsi="宋体" w:cs="宋体"/>
          <w:color w:val="auto"/>
          <w:kern w:val="0"/>
          <w:highlight w:val="none"/>
        </w:rPr>
      </w:pPr>
      <w:r>
        <w:rPr>
          <w:rFonts w:hint="eastAsia" w:ascii="宋体" w:hAnsi="宋体" w:cs="宋体"/>
          <w:color w:val="auto"/>
          <w:kern w:val="0"/>
          <w:szCs w:val="21"/>
          <w:highlight w:val="none"/>
          <w:lang w:bidi="ar"/>
        </w:rPr>
        <w:t>8</w:t>
      </w:r>
      <w:r>
        <w:rPr>
          <w:rFonts w:ascii="宋体" w:hAnsi="宋体" w:cs="宋体"/>
          <w:color w:val="auto"/>
          <w:kern w:val="0"/>
          <w:szCs w:val="21"/>
          <w:highlight w:val="none"/>
          <w:lang w:bidi="ar"/>
        </w:rPr>
        <w:t>.9.3</w:t>
      </w:r>
      <w:r>
        <w:rPr>
          <w:rFonts w:hint="eastAsia" w:ascii="宋体" w:hAnsi="宋体" w:cs="宋体"/>
          <w:color w:val="auto"/>
          <w:kern w:val="0"/>
          <w:szCs w:val="21"/>
          <w:highlight w:val="none"/>
          <w:lang w:bidi="ar"/>
        </w:rPr>
        <w:t>除上述原因以外的暂停工作，双方应遵守第17条[不可抗力]的相关约定。</w:t>
      </w:r>
    </w:p>
    <w:p w14:paraId="34C9E68F">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926" w:name="_Ref4709158"/>
      <w:bookmarkEnd w:id="926"/>
      <w:r>
        <w:rPr>
          <w:rFonts w:hint="eastAsia" w:ascii="宋体" w:hAnsi="宋体" w:cs="宋体"/>
          <w:color w:val="auto"/>
          <w:szCs w:val="21"/>
          <w:highlight w:val="none"/>
          <w:lang w:bidi="ar"/>
        </w:rPr>
        <w:t>8.9.</w:t>
      </w:r>
      <w:r>
        <w:rPr>
          <w:rFonts w:ascii="宋体" w:hAnsi="宋体" w:cs="宋体"/>
          <w:color w:val="auto"/>
          <w:szCs w:val="21"/>
          <w:highlight w:val="none"/>
          <w:lang w:bidi="ar"/>
        </w:rPr>
        <w:t>4</w:t>
      </w:r>
      <w:r>
        <w:rPr>
          <w:rFonts w:hint="eastAsia" w:ascii="宋体" w:hAnsi="宋体" w:cs="宋体"/>
          <w:color w:val="auto"/>
          <w:szCs w:val="21"/>
          <w:highlight w:val="none"/>
          <w:lang w:bidi="ar"/>
        </w:rPr>
        <w:t xml:space="preserve">暂停工作期间的工程照管 </w:t>
      </w:r>
    </w:p>
    <w:p w14:paraId="6C571A3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不论由于何种原因引起暂停工作的，暂停工作期间，承包人应负责对工程、工程物资及文件等进行照管和保护，并提供安全保障，由此增加的费用按第8.9.1项[由发包人暂停工作]和第8.9.2项[由承包人暂停工作]的约定承担。</w:t>
      </w:r>
    </w:p>
    <w:p w14:paraId="4B44633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因承包人未能尽到照管、保护的责任造成损失的，使发包人的费用增加，（或）竣工日期延误的，由承包人按本合同约定承担责任。</w:t>
      </w:r>
    </w:p>
    <w:p w14:paraId="7B37D66F">
      <w:pPr>
        <w:widowControl/>
        <w:wordWrap w:val="0"/>
        <w:topLinePunct/>
        <w:adjustRightInd w:val="0"/>
        <w:snapToGrid w:val="0"/>
        <w:spacing w:after="120" w:afterLines="50" w:line="360" w:lineRule="auto"/>
        <w:ind w:left="480"/>
        <w:outlineLvl w:val="3"/>
        <w:rPr>
          <w:rFonts w:ascii="宋体" w:hAnsi="宋体" w:cs="宋体"/>
          <w:color w:val="auto"/>
          <w:highlight w:val="none"/>
        </w:rPr>
      </w:pPr>
      <w:r>
        <w:rPr>
          <w:rFonts w:hint="eastAsia" w:ascii="宋体" w:hAnsi="宋体" w:cs="宋体"/>
          <w:color w:val="auto"/>
          <w:szCs w:val="21"/>
          <w:highlight w:val="none"/>
          <w:lang w:bidi="ar"/>
        </w:rPr>
        <w:t>8.9.</w:t>
      </w:r>
      <w:r>
        <w:rPr>
          <w:rFonts w:ascii="宋体" w:hAnsi="宋体" w:cs="宋体"/>
          <w:color w:val="auto"/>
          <w:szCs w:val="21"/>
          <w:highlight w:val="none"/>
          <w:lang w:bidi="ar"/>
        </w:rPr>
        <w:t>5</w:t>
      </w:r>
      <w:r>
        <w:rPr>
          <w:rFonts w:hint="eastAsia" w:ascii="宋体" w:hAnsi="宋体" w:cs="宋体"/>
          <w:color w:val="auto"/>
          <w:szCs w:val="21"/>
          <w:highlight w:val="none"/>
          <w:lang w:bidi="ar"/>
        </w:rPr>
        <w:t>拖长的暂停</w:t>
      </w:r>
    </w:p>
    <w:p w14:paraId="36E973A0">
      <w:pPr>
        <w:widowControl/>
        <w:wordWrap w:val="0"/>
        <w:topLinePunct/>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根据第8.9.1项[由发包人暂停工作]暂停工作持续超过56天的，承包人可向发包人发出要求复工的通知。如果发包人没有在收到书面通知后28天内准许已暂停工作的全部或部分继续工作，承包人有权根据第13条[变更与调整]的约定，要求以变更方式调减受暂停影响的部分工程。发包人的暂停超过56天且暂停影响到整个工程的，承包人有权根据第16.2款[由承包人解除合同]的约定，发出解除合同的通知。</w:t>
      </w:r>
    </w:p>
    <w:p w14:paraId="60688BEF">
      <w:pPr>
        <w:widowControl/>
        <w:wordWrap w:val="0"/>
        <w:topLinePunct/>
        <w:adjustRightInd w:val="0"/>
        <w:snapToGrid w:val="0"/>
        <w:spacing w:after="120" w:afterLines="50" w:line="360" w:lineRule="auto"/>
        <w:outlineLvl w:val="2"/>
        <w:rPr>
          <w:rFonts w:ascii="宋体" w:hAnsi="宋体" w:cs="宋体"/>
          <w:color w:val="auto"/>
          <w:highlight w:val="none"/>
        </w:rPr>
      </w:pPr>
      <w:bookmarkStart w:id="927" w:name="_Toc20171797"/>
      <w:bookmarkEnd w:id="927"/>
      <w:bookmarkStart w:id="928" w:name="_Toc51766650"/>
      <w:bookmarkStart w:id="929" w:name="_Toc179885323"/>
      <w:bookmarkStart w:id="930" w:name="_Toc19900"/>
      <w:bookmarkStart w:id="931" w:name="_Toc84930787"/>
      <w:bookmarkStart w:id="932" w:name="_Toc14895"/>
      <w:bookmarkStart w:id="933" w:name="_Toc9890"/>
      <w:bookmarkStart w:id="934" w:name="_Toc58860237"/>
      <w:r>
        <w:rPr>
          <w:rFonts w:hint="eastAsia" w:ascii="宋体" w:hAnsi="宋体" w:cs="宋体"/>
          <w:color w:val="auto"/>
          <w:szCs w:val="21"/>
          <w:highlight w:val="none"/>
          <w:lang w:bidi="ar"/>
        </w:rPr>
        <w:t>8.10  复工</w:t>
      </w:r>
      <w:bookmarkEnd w:id="928"/>
      <w:bookmarkEnd w:id="929"/>
      <w:bookmarkEnd w:id="930"/>
      <w:bookmarkEnd w:id="931"/>
      <w:bookmarkEnd w:id="932"/>
      <w:bookmarkEnd w:id="933"/>
      <w:bookmarkEnd w:id="934"/>
      <w:r>
        <w:rPr>
          <w:rFonts w:hint="eastAsia" w:ascii="宋体" w:hAnsi="宋体" w:cs="宋体"/>
          <w:color w:val="auto"/>
          <w:szCs w:val="21"/>
          <w:highlight w:val="none"/>
          <w:lang w:bidi="ar"/>
        </w:rPr>
        <w:t xml:space="preserve"> </w:t>
      </w:r>
    </w:p>
    <w:p w14:paraId="42F265A5">
      <w:pPr>
        <w:widowControl/>
        <w:wordWrap w:val="0"/>
        <w:topLinePunct/>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8.10.1收到发包人的复工通知后，承包人应按通知时间复工；发包人通知的复工时间应当给予承包人必要的准备复工时间。</w:t>
      </w:r>
    </w:p>
    <w:p w14:paraId="711147FD">
      <w:pPr>
        <w:widowControl/>
        <w:wordWrap w:val="0"/>
        <w:topLinePunct/>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8.10.2不论由于何种原因引起暂停工作，双方均可要求对方一同对受暂停影响的工程、工程设备和工程物资进行检查，承包人应将检查结果及需要恢复、修复的内容和估算通知发包人。</w:t>
      </w:r>
    </w:p>
    <w:p w14:paraId="384C5AA0">
      <w:pPr>
        <w:widowControl/>
        <w:wordWrap w:val="0"/>
        <w:topLinePunct/>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8.10.3除第17条[不可抗力]另有约定外，发生的恢复、修复价款及工期延误的后果由责任方承担。</w:t>
      </w:r>
    </w:p>
    <w:p w14:paraId="5B5435DD">
      <w:pPr>
        <w:widowControl/>
        <w:wordWrap w:val="0"/>
        <w:topLinePunct/>
        <w:adjustRightInd w:val="0"/>
        <w:snapToGrid w:val="0"/>
        <w:spacing w:after="120" w:afterLines="50" w:line="360" w:lineRule="auto"/>
        <w:outlineLvl w:val="1"/>
        <w:rPr>
          <w:rFonts w:ascii="宋体" w:hAnsi="宋体" w:cs="宋体"/>
          <w:color w:val="auto"/>
          <w:kern w:val="0"/>
          <w:highlight w:val="none"/>
        </w:rPr>
      </w:pPr>
      <w:bookmarkStart w:id="935" w:name="_Ref4621041"/>
      <w:bookmarkEnd w:id="935"/>
      <w:bookmarkStart w:id="936" w:name="_Ref4621029"/>
      <w:bookmarkEnd w:id="936"/>
      <w:bookmarkStart w:id="937" w:name="_Toc20171798"/>
      <w:bookmarkStart w:id="938" w:name="_Toc179885324"/>
      <w:r>
        <w:rPr>
          <w:rFonts w:hint="eastAsia" w:ascii="宋体" w:hAnsi="宋体" w:cs="宋体"/>
          <w:color w:val="auto"/>
          <w:kern w:val="0"/>
          <w:szCs w:val="21"/>
          <w:highlight w:val="none"/>
          <w:lang w:bidi="ar"/>
        </w:rPr>
        <w:t xml:space="preserve">第9条 </w:t>
      </w:r>
      <w:bookmarkEnd w:id="937"/>
      <w:r>
        <w:rPr>
          <w:rFonts w:hint="eastAsia" w:ascii="宋体" w:hAnsi="宋体" w:cs="宋体"/>
          <w:color w:val="auto"/>
          <w:kern w:val="0"/>
          <w:szCs w:val="21"/>
          <w:highlight w:val="none"/>
          <w:lang w:bidi="ar"/>
        </w:rPr>
        <w:t xml:space="preserve"> 竣工试验</w:t>
      </w:r>
      <w:bookmarkEnd w:id="938"/>
      <w:r>
        <w:rPr>
          <w:rFonts w:hint="eastAsia" w:ascii="宋体" w:hAnsi="宋体" w:cs="宋体"/>
          <w:color w:val="auto"/>
          <w:kern w:val="0"/>
          <w:szCs w:val="21"/>
          <w:highlight w:val="none"/>
          <w:lang w:bidi="ar"/>
        </w:rPr>
        <w:t xml:space="preserve"> </w:t>
      </w:r>
    </w:p>
    <w:p w14:paraId="58BF297D">
      <w:pPr>
        <w:widowControl/>
        <w:wordWrap w:val="0"/>
        <w:topLinePunct/>
        <w:adjustRightInd w:val="0"/>
        <w:snapToGrid w:val="0"/>
        <w:spacing w:after="120" w:afterLines="50" w:line="360" w:lineRule="auto"/>
        <w:outlineLvl w:val="2"/>
        <w:rPr>
          <w:rFonts w:ascii="宋体" w:hAnsi="宋体" w:cs="宋体"/>
          <w:color w:val="auto"/>
          <w:highlight w:val="none"/>
        </w:rPr>
      </w:pPr>
      <w:bookmarkStart w:id="939" w:name="_Ref532586248"/>
      <w:bookmarkEnd w:id="939"/>
      <w:bookmarkStart w:id="940" w:name="_Toc20171799"/>
      <w:bookmarkEnd w:id="940"/>
      <w:bookmarkStart w:id="941" w:name="_Ref532586251"/>
      <w:bookmarkStart w:id="942" w:name="_Toc21284"/>
      <w:bookmarkStart w:id="943" w:name="_Toc5591"/>
      <w:bookmarkStart w:id="944" w:name="_Toc19338"/>
      <w:bookmarkStart w:id="945" w:name="_Toc51766652"/>
      <w:bookmarkStart w:id="946" w:name="_Toc84930789"/>
      <w:bookmarkStart w:id="947" w:name="_Toc179885325"/>
      <w:bookmarkStart w:id="948" w:name="_Toc58860239"/>
      <w:r>
        <w:rPr>
          <w:rFonts w:hint="eastAsia" w:ascii="宋体" w:hAnsi="宋体" w:cs="宋体"/>
          <w:color w:val="auto"/>
          <w:szCs w:val="21"/>
          <w:highlight w:val="none"/>
          <w:lang w:bidi="ar"/>
        </w:rPr>
        <w:t>9</w:t>
      </w:r>
      <w:bookmarkEnd w:id="941"/>
      <w:r>
        <w:rPr>
          <w:rFonts w:hint="eastAsia" w:ascii="宋体" w:hAnsi="宋体" w:cs="宋体"/>
          <w:color w:val="auto"/>
          <w:szCs w:val="21"/>
          <w:highlight w:val="none"/>
          <w:lang w:bidi="ar"/>
        </w:rPr>
        <w:t>.1  竣工试验的义务</w:t>
      </w:r>
      <w:bookmarkEnd w:id="942"/>
      <w:bookmarkEnd w:id="943"/>
      <w:bookmarkEnd w:id="944"/>
      <w:bookmarkEnd w:id="945"/>
      <w:bookmarkEnd w:id="946"/>
      <w:bookmarkEnd w:id="947"/>
      <w:bookmarkEnd w:id="948"/>
    </w:p>
    <w:p w14:paraId="667EDF1B">
      <w:pPr>
        <w:widowControl/>
        <w:wordWrap w:val="0"/>
        <w:topLinePunct/>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9.1.1承包人完成工程或区段工程进行竣工试验所需的作业，并根据第5.4款[竣工文件]和第5.5款[操作和维修手册]提交文件后，进行竣工试验。</w:t>
      </w:r>
      <w:bookmarkStart w:id="949" w:name="_Ref532586608"/>
      <w:bookmarkEnd w:id="949"/>
    </w:p>
    <w:p w14:paraId="79BF3AD0">
      <w:pPr>
        <w:widowControl/>
        <w:wordWrap w:val="0"/>
        <w:topLinePunct/>
        <w:adjustRightInd w:val="0"/>
        <w:snapToGrid w:val="0"/>
        <w:spacing w:after="120" w:afterLines="50" w:line="360" w:lineRule="auto"/>
        <w:ind w:firstLine="420" w:firstLineChars="200"/>
        <w:rPr>
          <w:rFonts w:ascii="宋体" w:hAnsi="宋体" w:cs="宋体"/>
          <w:color w:val="auto"/>
          <w:highlight w:val="none"/>
        </w:rPr>
      </w:pPr>
      <w:bookmarkStart w:id="950" w:name="_Ref11919920"/>
      <w:bookmarkEnd w:id="950"/>
      <w:r>
        <w:rPr>
          <w:rFonts w:hint="eastAsia" w:ascii="宋体" w:hAnsi="宋体" w:cs="宋体"/>
          <w:color w:val="auto"/>
          <w:szCs w:val="21"/>
          <w:highlight w:val="none"/>
          <w:lang w:bidi="ar"/>
        </w:rPr>
        <w:t>9.1.2承包人应在进行竣工试验之前，至少提前42天向工程师提交详细的竣工试验计划，该计划应载明竣工试验的内容、地点、拟开展时间和需要发包人提供的资源条件。工程师应在收到计划后的14天内进行审查，并就该计划不符合合同的部分提出意见，承包人应在收到意见后的14天内自费对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p>
    <w:p w14:paraId="7C785B6B">
      <w:pPr>
        <w:widowControl/>
        <w:wordWrap w:val="0"/>
        <w:topLinePunct/>
        <w:adjustRightInd w:val="0"/>
        <w:snapToGrid w:val="0"/>
        <w:spacing w:after="120" w:afterLines="50" w:line="360" w:lineRule="auto"/>
        <w:ind w:firstLine="420" w:firstLineChars="200"/>
        <w:rPr>
          <w:rFonts w:ascii="宋体" w:hAnsi="宋体" w:cs="宋体"/>
          <w:color w:val="auto"/>
          <w:highlight w:val="none"/>
        </w:rPr>
      </w:pPr>
      <w:bookmarkStart w:id="951" w:name="_Ref532688147"/>
      <w:bookmarkEnd w:id="951"/>
      <w:r>
        <w:rPr>
          <w:rFonts w:hint="eastAsia" w:ascii="宋体" w:hAnsi="宋体" w:cs="宋体"/>
          <w:color w:val="auto"/>
          <w:szCs w:val="21"/>
          <w:highlight w:val="none"/>
          <w:lang w:bidi="ar"/>
        </w:rPr>
        <w:t>9.1.3承包人应根据经确认的竣工试验计划以及第6.5款[由承包人试验和</w:t>
      </w:r>
      <w:r>
        <w:rPr>
          <w:rFonts w:ascii="宋体" w:hAnsi="宋体" w:cs="宋体"/>
          <w:color w:val="auto"/>
          <w:szCs w:val="21"/>
          <w:highlight w:val="none"/>
          <w:lang w:bidi="ar"/>
        </w:rPr>
        <w:t>检验</w:t>
      </w:r>
      <w:r>
        <w:rPr>
          <w:rFonts w:hint="eastAsia" w:ascii="宋体" w:hAnsi="宋体" w:cs="宋体"/>
          <w:color w:val="auto"/>
          <w:szCs w:val="21"/>
          <w:highlight w:val="none"/>
          <w:lang w:bidi="ar"/>
        </w:rPr>
        <w:t>]进行竣工试验。除《发包人要求》中另有说明外，竣工试验应按以下顺序分阶段进行，即只有在工程或区段工程已通过上一阶段试验的情况下，才可进行下一阶段试验：</w:t>
      </w:r>
    </w:p>
    <w:p w14:paraId="39AFE9E1">
      <w:pPr>
        <w:widowControl/>
        <w:wordWrap w:val="0"/>
        <w:topLinePunct/>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（1）承包人进行启动前试验，包括适当的检查和功能性试验，以证明工程或区段工程的每一部分均能够安全地承受下一阶段试验；</w:t>
      </w:r>
    </w:p>
    <w:p w14:paraId="1503A1B9">
      <w:pPr>
        <w:widowControl/>
        <w:wordWrap w:val="0"/>
        <w:topLinePunct/>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（2）承包人进行启动试验，以证明工程或区段工程能够在所有可利用的操作条件下安全运行，并按照专用合同条件和《发包人要求》中的规定操作；</w:t>
      </w:r>
    </w:p>
    <w:p w14:paraId="08D02E89">
      <w:pPr>
        <w:widowControl/>
        <w:wordWrap w:val="0"/>
        <w:topLinePunct/>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（3）承包人进行试运行试验。当工程或区段工程能稳定安全运行时，承包人应通知工程师，可以进行其他竣工试验，包括各种性能测试，以证明工程或区段工程符合《发包人要求》中列明的性能保证指标。</w:t>
      </w:r>
    </w:p>
    <w:p w14:paraId="29659AF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进行上述试验不应构成第10条[验收和工程接收]规定的接收，但试验所产生的任何产品或其他收益均应归属于发包人。</w:t>
      </w:r>
    </w:p>
    <w:p w14:paraId="37933D9F">
      <w:pPr>
        <w:widowControl/>
        <w:wordWrap w:val="0"/>
        <w:topLinePunct/>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9.1.4完成上述各阶段竣工试验后，承包人应向工程师提交试验结果报告，试验结果须符合约定的标准、规范和数据。工程师应在收到报告后14天内予以回复，逾期未回复的，视为认可竣工试验结果。但在考虑工程或区段工程是否通过竣工试验时，应适当考虑发包人对工程或其任何部分的使用，对工程或区段工程的性能、特性和试验结果产生的影响。</w:t>
      </w:r>
    </w:p>
    <w:p w14:paraId="4BF24DAF">
      <w:pPr>
        <w:widowControl/>
        <w:wordWrap w:val="0"/>
        <w:topLinePunct/>
        <w:adjustRightInd w:val="0"/>
        <w:snapToGrid w:val="0"/>
        <w:spacing w:after="120" w:afterLines="50" w:line="360" w:lineRule="auto"/>
        <w:outlineLvl w:val="2"/>
        <w:rPr>
          <w:rFonts w:ascii="宋体" w:hAnsi="宋体" w:cs="宋体"/>
          <w:color w:val="auto"/>
          <w:highlight w:val="none"/>
        </w:rPr>
      </w:pPr>
      <w:bookmarkStart w:id="952" w:name="_Toc20171800"/>
      <w:bookmarkEnd w:id="952"/>
      <w:bookmarkStart w:id="953" w:name="_Toc58860240"/>
      <w:bookmarkStart w:id="954" w:name="_Toc179885326"/>
      <w:bookmarkStart w:id="955" w:name="_Toc15651"/>
      <w:bookmarkStart w:id="956" w:name="_Toc51766653"/>
      <w:bookmarkStart w:id="957" w:name="_Toc30512"/>
      <w:bookmarkStart w:id="958" w:name="_Toc84930790"/>
      <w:bookmarkStart w:id="959" w:name="_Toc2957"/>
      <w:r>
        <w:rPr>
          <w:rFonts w:hint="eastAsia" w:ascii="宋体" w:hAnsi="宋体" w:cs="宋体"/>
          <w:color w:val="auto"/>
          <w:szCs w:val="21"/>
          <w:highlight w:val="none"/>
          <w:lang w:bidi="ar"/>
        </w:rPr>
        <w:t>9.2  延误的试验</w:t>
      </w:r>
      <w:bookmarkEnd w:id="953"/>
      <w:bookmarkEnd w:id="954"/>
      <w:bookmarkEnd w:id="955"/>
      <w:bookmarkEnd w:id="956"/>
      <w:bookmarkEnd w:id="957"/>
      <w:bookmarkEnd w:id="958"/>
      <w:bookmarkEnd w:id="959"/>
    </w:p>
    <w:p w14:paraId="1877F720">
      <w:pPr>
        <w:widowControl/>
        <w:wordWrap w:val="0"/>
        <w:topLinePunct/>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9.2.1如果承包人已根据第9.1款[竣工试验的义务]就可以开始进行各项竣工试验的日期通知工程师，但该等试验因发包人原因被延误14天以上的，发包人应承担由此增加的费用和工期延误，并支付承包人合理利润。同时，承包人应在合理可行的情况下尽快进行竣工试验。</w:t>
      </w:r>
    </w:p>
    <w:p w14:paraId="3762CA3A">
      <w:pPr>
        <w:widowControl/>
        <w:wordWrap w:val="0"/>
        <w:topLinePunct/>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9.2.2承包人无正当理由延误进行竣工试验的，工程师可向其发出通知，要求其在收到通知后的21天内进行该项竣工试验。承包人应在该21天的期限内确定进行试验的日期，并至少提前7天通知工程师。</w:t>
      </w:r>
    </w:p>
    <w:p w14:paraId="7ACF21F3">
      <w:pPr>
        <w:widowControl/>
        <w:wordWrap w:val="0"/>
        <w:topLinePunct/>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9.2.3如果承包人未在该期限内进行竣工试验，则发包人有权自行组织该项竣工试验，由此产生的合理费用由承包人承担。发包人应在试验完成后28天内向承包人发送试验结果。</w:t>
      </w:r>
    </w:p>
    <w:p w14:paraId="1AA27C92">
      <w:pPr>
        <w:widowControl/>
        <w:wordWrap w:val="0"/>
        <w:topLinePunct/>
        <w:adjustRightInd w:val="0"/>
        <w:snapToGrid w:val="0"/>
        <w:spacing w:after="120" w:afterLines="50" w:line="360" w:lineRule="auto"/>
        <w:outlineLvl w:val="2"/>
        <w:rPr>
          <w:rFonts w:ascii="宋体" w:hAnsi="宋体" w:cs="宋体"/>
          <w:color w:val="auto"/>
          <w:highlight w:val="none"/>
        </w:rPr>
      </w:pPr>
      <w:bookmarkStart w:id="960" w:name="_Toc20171801"/>
      <w:bookmarkEnd w:id="960"/>
      <w:bookmarkStart w:id="961" w:name="_Ref532594588"/>
      <w:bookmarkEnd w:id="961"/>
      <w:bookmarkStart w:id="962" w:name="_Ref532594592"/>
      <w:bookmarkStart w:id="963" w:name="_Toc84930791"/>
      <w:bookmarkStart w:id="964" w:name="_Toc10777"/>
      <w:bookmarkStart w:id="965" w:name="_Toc179885327"/>
      <w:bookmarkStart w:id="966" w:name="_Toc12323"/>
      <w:bookmarkStart w:id="967" w:name="_Toc7717"/>
      <w:bookmarkStart w:id="968" w:name="_Toc58860241"/>
      <w:bookmarkStart w:id="969" w:name="_Toc51766654"/>
      <w:r>
        <w:rPr>
          <w:rFonts w:hint="eastAsia" w:ascii="宋体" w:hAnsi="宋体" w:cs="宋体"/>
          <w:color w:val="auto"/>
          <w:szCs w:val="21"/>
          <w:highlight w:val="none"/>
          <w:lang w:bidi="ar"/>
        </w:rPr>
        <w:t>9</w:t>
      </w:r>
      <w:bookmarkEnd w:id="962"/>
      <w:r>
        <w:rPr>
          <w:rFonts w:hint="eastAsia" w:ascii="宋体" w:hAnsi="宋体" w:cs="宋体"/>
          <w:color w:val="auto"/>
          <w:szCs w:val="21"/>
          <w:highlight w:val="none"/>
          <w:lang w:bidi="ar"/>
        </w:rPr>
        <w:t>.3  重新试验</w:t>
      </w:r>
      <w:bookmarkEnd w:id="963"/>
      <w:bookmarkEnd w:id="964"/>
      <w:bookmarkEnd w:id="965"/>
      <w:bookmarkEnd w:id="966"/>
      <w:bookmarkEnd w:id="967"/>
      <w:bookmarkEnd w:id="968"/>
      <w:bookmarkEnd w:id="969"/>
      <w:r>
        <w:rPr>
          <w:rFonts w:hint="eastAsia" w:ascii="宋体" w:hAnsi="宋体" w:cs="宋体"/>
          <w:color w:val="auto"/>
          <w:szCs w:val="21"/>
          <w:highlight w:val="none"/>
          <w:lang w:bidi="ar"/>
        </w:rPr>
        <w:t xml:space="preserve"> </w:t>
      </w:r>
    </w:p>
    <w:p w14:paraId="6E20BAB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如果工程或区段工程未能通过竣工试验，则承包人应根据第6.6款[缺陷和修补]修补缺陷。发包人或承包人可要求按相同的条件，重新进行未通过的试验以及相关工程或区段工程的竣工试验。该等重新进行的试验仍应适用本条对于竣工试验的规定。</w:t>
      </w:r>
    </w:p>
    <w:p w14:paraId="2BE7395F">
      <w:pPr>
        <w:widowControl/>
        <w:wordWrap w:val="0"/>
        <w:topLinePunct/>
        <w:adjustRightInd w:val="0"/>
        <w:snapToGrid w:val="0"/>
        <w:spacing w:after="120" w:afterLines="50" w:line="360" w:lineRule="auto"/>
        <w:outlineLvl w:val="2"/>
        <w:rPr>
          <w:rFonts w:ascii="宋体" w:hAnsi="宋体" w:cs="宋体"/>
          <w:color w:val="auto"/>
          <w:highlight w:val="none"/>
        </w:rPr>
      </w:pPr>
      <w:bookmarkStart w:id="970" w:name="_Ref532688221"/>
      <w:bookmarkEnd w:id="970"/>
      <w:bookmarkStart w:id="971" w:name="_Ref532688226"/>
      <w:bookmarkEnd w:id="971"/>
      <w:bookmarkStart w:id="972" w:name="_Toc20171802"/>
      <w:bookmarkStart w:id="973" w:name="_Toc5444"/>
      <w:bookmarkStart w:id="974" w:name="_Toc298"/>
      <w:bookmarkStart w:id="975" w:name="_Toc84930792"/>
      <w:bookmarkStart w:id="976" w:name="_Toc51766655"/>
      <w:bookmarkStart w:id="977" w:name="_Toc58860242"/>
      <w:bookmarkStart w:id="978" w:name="_Toc6741"/>
      <w:bookmarkStart w:id="979" w:name="_Toc179885328"/>
      <w:r>
        <w:rPr>
          <w:rFonts w:hint="eastAsia" w:ascii="宋体" w:hAnsi="宋体" w:cs="宋体"/>
          <w:color w:val="auto"/>
          <w:szCs w:val="21"/>
          <w:highlight w:val="none"/>
          <w:lang w:bidi="ar"/>
        </w:rPr>
        <w:t>9</w:t>
      </w:r>
      <w:bookmarkEnd w:id="972"/>
      <w:r>
        <w:rPr>
          <w:rFonts w:hint="eastAsia" w:ascii="宋体" w:hAnsi="宋体" w:cs="宋体"/>
          <w:color w:val="auto"/>
          <w:szCs w:val="21"/>
          <w:highlight w:val="none"/>
          <w:lang w:bidi="ar"/>
        </w:rPr>
        <w:t>.4  未能通过竣工试验</w:t>
      </w:r>
      <w:bookmarkEnd w:id="973"/>
      <w:bookmarkEnd w:id="974"/>
      <w:bookmarkEnd w:id="975"/>
      <w:bookmarkEnd w:id="976"/>
      <w:bookmarkEnd w:id="977"/>
      <w:bookmarkEnd w:id="978"/>
      <w:bookmarkEnd w:id="979"/>
    </w:p>
    <w:p w14:paraId="2C8A6E3F">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9.4.1因发包人原因导致竣工试验未能通过的，承包人进行竣工试验的费用由发包人承担，竣工日期相应顺延。</w:t>
      </w:r>
    </w:p>
    <w:p w14:paraId="5796DD89">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9.4.2如果工程或区段工程未能通过根据第9.3款[重新试验]重新进行的竣工试验的，则：</w:t>
      </w:r>
    </w:p>
    <w:p w14:paraId="1C85431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（1）发包人有权要求承包人根据第6.6款[缺陷和修补]继续进行修补和改正，并根据第9.3款[重新试验]再次进行竣工试验；</w:t>
      </w:r>
    </w:p>
    <w:p w14:paraId="5228212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14:paraId="22A1589A">
      <w:pPr>
        <w:widowControl/>
        <w:adjustRightInd w:val="0"/>
        <w:snapToGrid w:val="0"/>
        <w:spacing w:after="120" w:afterLines="50" w:line="360" w:lineRule="auto"/>
        <w:ind w:firstLine="420" w:firstLineChars="200"/>
        <w:rPr>
          <w:rFonts w:ascii="宋体" w:hAnsi="宋体" w:cs="宋体"/>
          <w:color w:val="auto"/>
          <w:kern w:val="0"/>
          <w:highlight w:val="none"/>
        </w:rPr>
      </w:pPr>
      <w:bookmarkStart w:id="980" w:name="_Ref4621461"/>
      <w:bookmarkEnd w:id="980"/>
      <w:r>
        <w:rPr>
          <w:rFonts w:hint="eastAsia" w:ascii="宋体" w:hAnsi="宋体" w:cs="宋体"/>
          <w:color w:val="auto"/>
          <w:kern w:val="0"/>
          <w:szCs w:val="21"/>
          <w:highlight w:val="none"/>
          <w:lang w:bidi="ar"/>
        </w:rPr>
        <w:t>（3）未能通过竣工试验，使工程或区段工程的任何主要部分丧失了生产、使用功能时，发包人有权指令承包人更换相关部分，承包人应承担因此增加的费用和误期损害赔偿责任，并赔偿发包人的相应损失；</w:t>
      </w:r>
    </w:p>
    <w:p w14:paraId="7BCB4E4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16.1款[由发包人解除合同]的约定解除合同。</w:t>
      </w:r>
    </w:p>
    <w:p w14:paraId="49B43654">
      <w:pPr>
        <w:widowControl/>
        <w:wordWrap w:val="0"/>
        <w:topLinePunct/>
        <w:adjustRightInd w:val="0"/>
        <w:snapToGrid w:val="0"/>
        <w:spacing w:after="120" w:afterLines="50" w:line="360" w:lineRule="auto"/>
        <w:outlineLvl w:val="1"/>
        <w:rPr>
          <w:rFonts w:ascii="宋体" w:hAnsi="宋体" w:cs="宋体"/>
          <w:color w:val="auto"/>
          <w:kern w:val="0"/>
          <w:highlight w:val="none"/>
        </w:rPr>
      </w:pPr>
      <w:bookmarkStart w:id="981" w:name="_Ref4618338"/>
      <w:bookmarkEnd w:id="981"/>
      <w:bookmarkStart w:id="982" w:name="_Ref4624043"/>
      <w:bookmarkEnd w:id="982"/>
      <w:bookmarkStart w:id="983" w:name="_Toc20171803"/>
      <w:bookmarkEnd w:id="983"/>
      <w:bookmarkStart w:id="984" w:name="_Ref4618348"/>
      <w:bookmarkStart w:id="985" w:name="_Toc179885329"/>
      <w:r>
        <w:rPr>
          <w:rFonts w:hint="eastAsia" w:ascii="宋体" w:hAnsi="宋体" w:cs="宋体"/>
          <w:color w:val="auto"/>
          <w:kern w:val="0"/>
          <w:szCs w:val="21"/>
          <w:highlight w:val="none"/>
          <w:lang w:bidi="ar"/>
        </w:rPr>
        <w:t>第1</w:t>
      </w:r>
      <w:bookmarkEnd w:id="984"/>
      <w:r>
        <w:rPr>
          <w:rFonts w:hint="eastAsia" w:ascii="宋体" w:hAnsi="宋体" w:cs="宋体"/>
          <w:color w:val="auto"/>
          <w:kern w:val="0"/>
          <w:szCs w:val="21"/>
          <w:highlight w:val="none"/>
          <w:lang w:bidi="ar"/>
        </w:rPr>
        <w:t>0条  验收和工程接收</w:t>
      </w:r>
      <w:bookmarkEnd w:id="985"/>
    </w:p>
    <w:p w14:paraId="0B743B24">
      <w:pPr>
        <w:widowControl/>
        <w:wordWrap w:val="0"/>
        <w:topLinePunct/>
        <w:adjustRightInd w:val="0"/>
        <w:snapToGrid w:val="0"/>
        <w:spacing w:after="120" w:afterLines="50" w:line="360" w:lineRule="auto"/>
        <w:outlineLvl w:val="2"/>
        <w:rPr>
          <w:rFonts w:ascii="宋体" w:hAnsi="宋体" w:cs="宋体"/>
          <w:color w:val="auto"/>
          <w:highlight w:val="none"/>
        </w:rPr>
      </w:pPr>
      <w:bookmarkStart w:id="986" w:name="_Toc20171804"/>
      <w:bookmarkEnd w:id="986"/>
      <w:bookmarkStart w:id="987" w:name="_Ref532359143"/>
      <w:bookmarkEnd w:id="987"/>
      <w:bookmarkStart w:id="988" w:name="_Ref532300801"/>
      <w:bookmarkEnd w:id="988"/>
      <w:bookmarkStart w:id="989" w:name="_Ref532300804"/>
      <w:bookmarkEnd w:id="989"/>
      <w:bookmarkStart w:id="990" w:name="_Ref532301202"/>
      <w:bookmarkEnd w:id="990"/>
      <w:bookmarkStart w:id="991" w:name="_Ref532359152"/>
      <w:bookmarkEnd w:id="991"/>
      <w:bookmarkStart w:id="992" w:name="_Ref532301199"/>
      <w:bookmarkStart w:id="993" w:name="_Toc51766657"/>
      <w:bookmarkStart w:id="994" w:name="_Toc365"/>
      <w:bookmarkStart w:id="995" w:name="_Toc18977"/>
      <w:bookmarkStart w:id="996" w:name="_Toc84930794"/>
      <w:bookmarkStart w:id="997" w:name="_Toc58860244"/>
      <w:bookmarkStart w:id="998" w:name="_Toc179885330"/>
      <w:bookmarkStart w:id="999" w:name="_Toc22862"/>
      <w:r>
        <w:rPr>
          <w:rFonts w:hint="eastAsia" w:ascii="宋体" w:hAnsi="宋体" w:cs="宋体"/>
          <w:color w:val="auto"/>
          <w:szCs w:val="21"/>
          <w:highlight w:val="none"/>
          <w:lang w:bidi="ar"/>
        </w:rPr>
        <w:t>1</w:t>
      </w:r>
      <w:bookmarkEnd w:id="992"/>
      <w:r>
        <w:rPr>
          <w:rFonts w:hint="eastAsia" w:ascii="宋体" w:hAnsi="宋体" w:cs="宋体"/>
          <w:color w:val="auto"/>
          <w:szCs w:val="21"/>
          <w:highlight w:val="none"/>
          <w:lang w:bidi="ar"/>
        </w:rPr>
        <w:t>0.1  竣工验收</w:t>
      </w:r>
      <w:bookmarkEnd w:id="993"/>
      <w:bookmarkEnd w:id="994"/>
      <w:bookmarkEnd w:id="995"/>
      <w:bookmarkEnd w:id="996"/>
      <w:bookmarkEnd w:id="997"/>
      <w:bookmarkEnd w:id="998"/>
      <w:bookmarkEnd w:id="999"/>
    </w:p>
    <w:p w14:paraId="09A22B44">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000" w:name="_Ref532628356"/>
      <w:bookmarkEnd w:id="1000"/>
      <w:r>
        <w:rPr>
          <w:rFonts w:hint="eastAsia" w:ascii="宋体" w:hAnsi="宋体" w:cs="宋体"/>
          <w:color w:val="auto"/>
          <w:szCs w:val="21"/>
          <w:highlight w:val="none"/>
          <w:lang w:bidi="ar"/>
        </w:rPr>
        <w:t>10.1.1竣工验收条件</w:t>
      </w:r>
    </w:p>
    <w:p w14:paraId="15C7D4D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工程具备以下条件的，承包人可以申请竣工验收：</w:t>
      </w:r>
    </w:p>
    <w:p w14:paraId="521F15C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除因第13条[变更与调整]导致的工程量删减和第14.5.3项[扫尾工作清单]列入缺陷责任期内完成的扫尾工程和缺陷修补工作外，合同范围内的全部单位/区段工程以及有关工作，包括合同要求的试验和竣工试验均已完成，并符合合同要求；</w:t>
      </w:r>
    </w:p>
    <w:p w14:paraId="251AE52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（2）已按合同约定编制了扫尾工作和缺陷修补工作清单以及相应实施计划；</w:t>
      </w:r>
    </w:p>
    <w:p w14:paraId="7E31F5D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（3）已按合同约定的内容和份数备齐竣工资料；</w:t>
      </w:r>
    </w:p>
    <w:p w14:paraId="223A3CC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（4）合同约定要求在竣工验收前应完成的其他工作。</w:t>
      </w:r>
    </w:p>
    <w:p w14:paraId="223022D8">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001" w:name="_Ref4429424"/>
      <w:bookmarkEnd w:id="1001"/>
      <w:r>
        <w:rPr>
          <w:rFonts w:hint="eastAsia" w:ascii="宋体" w:hAnsi="宋体" w:cs="宋体"/>
          <w:color w:val="auto"/>
          <w:szCs w:val="21"/>
          <w:highlight w:val="none"/>
          <w:lang w:bidi="ar"/>
        </w:rPr>
        <w:t>10.1.2竣工验收程序</w:t>
      </w:r>
    </w:p>
    <w:p w14:paraId="0E5A098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除专用合同条件另有约定外，承包人申请竣工验收的，应当按照以下程序进行：</w:t>
      </w:r>
    </w:p>
    <w:p w14:paraId="288B072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承包人向工程师报送竣工验收申请报告，工程师应在收到竣工验收申请报告后14天内完成审查并报送发包人。工程师审查后认为尚不具备竣工验收条件的，应在收到竣工验收申请报告后的14天内通知承包人，指出在颁发接收证书前承包人还需进行的工作内容。承包人完成工程师通知的全部工作内容后，应再次提交竣工验收申请报告，直至工程师同意为止。</w:t>
      </w:r>
    </w:p>
    <w:p w14:paraId="228BC6A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工程师同意承包人提交的竣工验收申请报告的，或工程师收到竣工验收申请报告后14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14:paraId="2069182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1A46E00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（4）因发包人原因，未在工程师收到承包人竣工验收申请报告之日起</w:t>
      </w:r>
      <w:r>
        <w:rPr>
          <w:rFonts w:ascii="宋体" w:hAnsi="宋体" w:cs="宋体"/>
          <w:color w:val="auto"/>
          <w:kern w:val="0"/>
          <w:szCs w:val="21"/>
          <w:highlight w:val="none"/>
          <w:lang w:bidi="ar"/>
        </w:rPr>
        <w:t>42</w:t>
      </w:r>
      <w:r>
        <w:rPr>
          <w:rFonts w:hint="eastAsia" w:ascii="宋体" w:hAnsi="宋体" w:cs="宋体"/>
          <w:color w:val="auto"/>
          <w:kern w:val="0"/>
          <w:szCs w:val="21"/>
          <w:highlight w:val="none"/>
          <w:lang w:bidi="ar"/>
        </w:rPr>
        <w:t>天内完成竣工验收的，以承包人提交竣工验收申请报告之日作为工程实际竣工日期。</w:t>
      </w:r>
    </w:p>
    <w:p w14:paraId="2DEFDC7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（5）工程未经竣工验收，发包人擅自使用的，以转移占有工程之日为实际竣工日期。</w:t>
      </w:r>
    </w:p>
    <w:p w14:paraId="34F69E1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除专用合同条件另有约定外，发包人不按照本项和第</w:t>
      </w:r>
      <w:r>
        <w:rPr>
          <w:rFonts w:ascii="宋体" w:hAnsi="宋体" w:cs="宋体"/>
          <w:color w:val="auto"/>
          <w:kern w:val="0"/>
          <w:szCs w:val="21"/>
          <w:highlight w:val="none"/>
          <w:lang w:bidi="ar"/>
        </w:rPr>
        <w:t>10.4</w:t>
      </w:r>
      <w:r>
        <w:rPr>
          <w:rFonts w:hint="eastAsia" w:ascii="宋体" w:hAnsi="宋体" w:cs="宋体"/>
          <w:color w:val="auto"/>
          <w:kern w:val="0"/>
          <w:szCs w:val="21"/>
          <w:highlight w:val="none"/>
          <w:lang w:bidi="ar"/>
        </w:rPr>
        <w:t>款</w:t>
      </w:r>
      <w:r>
        <w:rPr>
          <w:rFonts w:ascii="宋体" w:hAnsi="宋体" w:cs="宋体"/>
          <w:color w:val="auto"/>
          <w:kern w:val="0"/>
          <w:szCs w:val="21"/>
          <w:highlight w:val="none"/>
          <w:lang w:bidi="ar"/>
        </w:rPr>
        <w:t>[接收证书]</w:t>
      </w:r>
      <w:r>
        <w:rPr>
          <w:rFonts w:hint="eastAsia" w:ascii="宋体" w:hAnsi="宋体" w:cs="宋体"/>
          <w:color w:val="auto"/>
          <w:kern w:val="0"/>
          <w:szCs w:val="21"/>
          <w:highlight w:val="none"/>
          <w:lang w:bidi="ar"/>
        </w:rPr>
        <w:t>约定组织竣工验收、颁发工程接收证书的，每逾期一天，应以签约合同价为基数，按照贷款市场报价利率（LPR）支付违约金。</w:t>
      </w:r>
    </w:p>
    <w:p w14:paraId="550C73D9">
      <w:pPr>
        <w:widowControl/>
        <w:wordWrap w:val="0"/>
        <w:topLinePunct/>
        <w:adjustRightInd w:val="0"/>
        <w:snapToGrid w:val="0"/>
        <w:spacing w:after="120" w:afterLines="50" w:line="360" w:lineRule="auto"/>
        <w:outlineLvl w:val="2"/>
        <w:rPr>
          <w:rFonts w:ascii="宋体" w:hAnsi="宋体" w:cs="宋体"/>
          <w:color w:val="auto"/>
          <w:highlight w:val="none"/>
        </w:rPr>
      </w:pPr>
      <w:bookmarkStart w:id="1002" w:name="_Toc20171805"/>
      <w:bookmarkEnd w:id="1002"/>
      <w:bookmarkStart w:id="1003" w:name="_Ref532301213"/>
      <w:bookmarkEnd w:id="1003"/>
      <w:bookmarkStart w:id="1004" w:name="_Ref532301210"/>
      <w:bookmarkStart w:id="1005" w:name="_Toc28155"/>
      <w:bookmarkStart w:id="1006" w:name="_Toc51766658"/>
      <w:bookmarkStart w:id="1007" w:name="_Toc58860245"/>
      <w:bookmarkStart w:id="1008" w:name="_Toc607"/>
      <w:bookmarkStart w:id="1009" w:name="_Toc84930795"/>
      <w:bookmarkStart w:id="1010" w:name="_Toc179885331"/>
      <w:bookmarkStart w:id="1011" w:name="_Toc27709"/>
      <w:r>
        <w:rPr>
          <w:rFonts w:hint="eastAsia" w:ascii="宋体" w:hAnsi="宋体" w:cs="宋体"/>
          <w:color w:val="auto"/>
          <w:szCs w:val="21"/>
          <w:highlight w:val="none"/>
          <w:lang w:bidi="ar"/>
        </w:rPr>
        <w:t>1</w:t>
      </w:r>
      <w:bookmarkEnd w:id="1004"/>
      <w:r>
        <w:rPr>
          <w:rFonts w:hint="eastAsia" w:ascii="宋体" w:hAnsi="宋体" w:cs="宋体"/>
          <w:color w:val="auto"/>
          <w:szCs w:val="21"/>
          <w:highlight w:val="none"/>
          <w:lang w:bidi="ar"/>
        </w:rPr>
        <w:t>0.2  单位/区段工程的验收</w:t>
      </w:r>
      <w:bookmarkEnd w:id="1005"/>
      <w:bookmarkEnd w:id="1006"/>
      <w:bookmarkEnd w:id="1007"/>
      <w:bookmarkEnd w:id="1008"/>
      <w:bookmarkEnd w:id="1009"/>
      <w:bookmarkEnd w:id="1010"/>
      <w:bookmarkEnd w:id="1011"/>
    </w:p>
    <w:p w14:paraId="32C1FFB5">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10.2.1发包人根据项目进度计划安排，在全部工程竣工前需要使用已经竣工的单位/区段工程时，或承包人提出经发包人同意时，可进行单位/区段工程验收。验收的程序可参照第10.1款[竣工验收]的约定进行。验收合格后，由工程师向承包人出具经发包人签认的单位/区段工程验收证书。单位/区段工程的验收成果和结论作为全部工程竣工验收申请报告的附件。</w:t>
      </w:r>
    </w:p>
    <w:p w14:paraId="46D97DC0">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10.2.2发包人在全部工程竣工前，使用已接收的单位/区段工程导致承包人费用增加的，发包人应承担由此增加的费用和（或）工期延误，并支付承包人合理利润。</w:t>
      </w:r>
    </w:p>
    <w:p w14:paraId="5DEDCA2F">
      <w:pPr>
        <w:widowControl/>
        <w:wordWrap w:val="0"/>
        <w:topLinePunct/>
        <w:adjustRightInd w:val="0"/>
        <w:snapToGrid w:val="0"/>
        <w:spacing w:after="120" w:afterLines="50" w:line="360" w:lineRule="auto"/>
        <w:outlineLvl w:val="2"/>
        <w:rPr>
          <w:rFonts w:ascii="宋体" w:hAnsi="宋体" w:cs="宋体"/>
          <w:color w:val="auto"/>
          <w:highlight w:val="none"/>
        </w:rPr>
      </w:pPr>
      <w:bookmarkStart w:id="1012" w:name="_Ref532688351"/>
      <w:bookmarkEnd w:id="1012"/>
      <w:bookmarkStart w:id="1013" w:name="_Ref4429473"/>
      <w:bookmarkEnd w:id="1013"/>
      <w:bookmarkStart w:id="1014" w:name="_Toc20171806"/>
      <w:bookmarkEnd w:id="1014"/>
      <w:bookmarkStart w:id="1015" w:name="_Ref532688354"/>
      <w:bookmarkStart w:id="1016" w:name="_Toc179885332"/>
      <w:bookmarkStart w:id="1017" w:name="_Toc84930796"/>
      <w:bookmarkStart w:id="1018" w:name="_Toc58860246"/>
      <w:bookmarkStart w:id="1019" w:name="_Toc23127"/>
      <w:bookmarkStart w:id="1020" w:name="_Toc22523"/>
      <w:bookmarkStart w:id="1021" w:name="_Toc51766659"/>
      <w:bookmarkStart w:id="1022" w:name="_Toc13831"/>
      <w:r>
        <w:rPr>
          <w:rFonts w:hint="eastAsia" w:ascii="宋体" w:hAnsi="宋体" w:cs="宋体"/>
          <w:color w:val="auto"/>
          <w:szCs w:val="21"/>
          <w:highlight w:val="none"/>
          <w:lang w:bidi="ar"/>
        </w:rPr>
        <w:t>1</w:t>
      </w:r>
      <w:bookmarkEnd w:id="1015"/>
      <w:r>
        <w:rPr>
          <w:rFonts w:hint="eastAsia" w:ascii="宋体" w:hAnsi="宋体" w:cs="宋体"/>
          <w:color w:val="auto"/>
          <w:szCs w:val="21"/>
          <w:highlight w:val="none"/>
          <w:lang w:bidi="ar"/>
        </w:rPr>
        <w:t>0.3  工程的接收</w:t>
      </w:r>
      <w:bookmarkEnd w:id="1016"/>
      <w:bookmarkEnd w:id="1017"/>
      <w:bookmarkEnd w:id="1018"/>
      <w:bookmarkEnd w:id="1019"/>
      <w:bookmarkEnd w:id="1020"/>
      <w:bookmarkEnd w:id="1021"/>
      <w:bookmarkEnd w:id="1022"/>
    </w:p>
    <w:p w14:paraId="16BC2429">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10.3.1根据工程项目的具体情况和特点，可按工程或单位/区段工程进行接收，并在专用合同条件约定接收的先后顺序、时间安排和其他要求。</w:t>
      </w:r>
    </w:p>
    <w:p w14:paraId="628874DC">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10.3.2除按本条约定已经提交的资料外，接收工程时承包人需提交竣工验收资料的类别、内容、份数和提交时间，在专用合同条件中约定。</w:t>
      </w:r>
    </w:p>
    <w:p w14:paraId="15FE55C1">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10.3.3发包人无正当理由不接收工程的，发包人自应当接收工程之日起，承担工程照管、成品保护、保管等与工程有关的各项费用，合同当事人可以在专用合同条件中另行约定发包人逾期接收工程的违约责任。</w:t>
      </w:r>
    </w:p>
    <w:p w14:paraId="218AA3F2">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10.3.4承包人无正当理由不移交工程的，承包人应承担工程照管、成品保护、保管等与工程有关的各项费用，合同当事人可以在专用合同条件中另行约定承包人无正当理由不移交工程的违约责任。</w:t>
      </w:r>
    </w:p>
    <w:p w14:paraId="3AEBAC65">
      <w:pPr>
        <w:widowControl/>
        <w:wordWrap w:val="0"/>
        <w:topLinePunct/>
        <w:adjustRightInd w:val="0"/>
        <w:snapToGrid w:val="0"/>
        <w:spacing w:after="120" w:afterLines="50" w:line="360" w:lineRule="auto"/>
        <w:outlineLvl w:val="2"/>
        <w:rPr>
          <w:rFonts w:ascii="宋体" w:hAnsi="宋体" w:cs="宋体"/>
          <w:color w:val="auto"/>
          <w:highlight w:val="none"/>
        </w:rPr>
      </w:pPr>
      <w:bookmarkStart w:id="1023" w:name="_Toc58860247"/>
      <w:bookmarkStart w:id="1024" w:name="_Toc179885333"/>
      <w:bookmarkStart w:id="1025" w:name="_Toc25476"/>
      <w:bookmarkStart w:id="1026" w:name="_Toc3110"/>
      <w:bookmarkStart w:id="1027" w:name="_Toc21178"/>
      <w:bookmarkStart w:id="1028" w:name="_Toc84930797"/>
      <w:bookmarkStart w:id="1029" w:name="_Toc51766660"/>
      <w:r>
        <w:rPr>
          <w:rFonts w:hint="eastAsia" w:ascii="宋体" w:hAnsi="宋体" w:cs="宋体"/>
          <w:color w:val="auto"/>
          <w:szCs w:val="21"/>
          <w:highlight w:val="none"/>
          <w:lang w:bidi="ar"/>
        </w:rPr>
        <w:t>10.4  接收证书</w:t>
      </w:r>
      <w:bookmarkEnd w:id="1023"/>
      <w:bookmarkEnd w:id="1024"/>
      <w:bookmarkEnd w:id="1025"/>
      <w:bookmarkEnd w:id="1026"/>
      <w:bookmarkEnd w:id="1027"/>
      <w:bookmarkEnd w:id="1028"/>
      <w:bookmarkEnd w:id="1029"/>
    </w:p>
    <w:p w14:paraId="377CA81C">
      <w:pPr>
        <w:widowControl/>
        <w:adjustRightInd w:val="0"/>
        <w:snapToGrid w:val="0"/>
        <w:spacing w:after="120" w:afterLines="50" w:line="360" w:lineRule="auto"/>
        <w:ind w:firstLine="420" w:firstLineChars="200"/>
        <w:rPr>
          <w:rFonts w:ascii="宋体" w:hAnsi="宋体" w:cs="宋体"/>
          <w:color w:val="auto"/>
          <w:highlight w:val="none"/>
        </w:rPr>
      </w:pPr>
      <w:bookmarkStart w:id="1030" w:name="_Ref4429542"/>
      <w:bookmarkEnd w:id="1030"/>
      <w:r>
        <w:rPr>
          <w:rFonts w:hint="eastAsia" w:ascii="宋体" w:hAnsi="宋体" w:cs="宋体"/>
          <w:color w:val="auto"/>
          <w:szCs w:val="21"/>
          <w:highlight w:val="none"/>
          <w:lang w:bidi="ar"/>
        </w:rPr>
        <w:t>10.4.1除专用合同条件另有约定外，承包人应在竣工验收合格后向发包人提交第14.6款[质量保证金]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p>
    <w:p w14:paraId="7F05197F">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10.4.2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14:paraId="0DCC3298">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10.4.3竣工验收合格而发包人无正当理由逾期不颁发工程接收证书的，自验收合格后第15天起视为已颁发工程接收证书。</w:t>
      </w:r>
    </w:p>
    <w:p w14:paraId="29ABEAEC">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10.4.4工程未经验收或验收不合格，发包人擅自使用的，应在转移占有工程后7天内向承包人颁发工程接收证书；发包人无正当理由逾期不颁发工程接收证书的，自转移占有后第15天起视为已颁发工程接收证书。</w:t>
      </w:r>
    </w:p>
    <w:p w14:paraId="53171953">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10.4.5存在扫尾工作的，工程接收证书中应当将第14.5.3项[扫尾工作清单]中约定的扫尾工作清单作为工程接收证书附件。</w:t>
      </w:r>
    </w:p>
    <w:p w14:paraId="2C8FC8BD">
      <w:pPr>
        <w:widowControl/>
        <w:wordWrap w:val="0"/>
        <w:topLinePunct/>
        <w:adjustRightInd w:val="0"/>
        <w:snapToGrid w:val="0"/>
        <w:spacing w:after="120" w:afterLines="50" w:line="360" w:lineRule="auto"/>
        <w:outlineLvl w:val="2"/>
        <w:rPr>
          <w:rFonts w:ascii="宋体" w:hAnsi="宋体" w:cs="宋体"/>
          <w:color w:val="auto"/>
          <w:highlight w:val="none"/>
        </w:rPr>
      </w:pPr>
      <w:bookmarkStart w:id="1031" w:name="_Ref4429932"/>
      <w:bookmarkEnd w:id="1031"/>
      <w:bookmarkStart w:id="1032" w:name="_Toc20171808"/>
      <w:bookmarkEnd w:id="1032"/>
      <w:bookmarkStart w:id="1033" w:name="_Ref4429935"/>
      <w:bookmarkStart w:id="1034" w:name="_Toc58860248"/>
      <w:bookmarkStart w:id="1035" w:name="_Toc51766661"/>
      <w:bookmarkStart w:id="1036" w:name="_Toc84930798"/>
      <w:bookmarkStart w:id="1037" w:name="_Toc179885334"/>
      <w:bookmarkStart w:id="1038" w:name="_Toc30367"/>
      <w:bookmarkStart w:id="1039" w:name="_Toc17852"/>
      <w:bookmarkStart w:id="1040" w:name="_Toc20349"/>
      <w:r>
        <w:rPr>
          <w:rFonts w:hint="eastAsia" w:ascii="宋体" w:hAnsi="宋体" w:cs="宋体"/>
          <w:color w:val="auto"/>
          <w:szCs w:val="21"/>
          <w:highlight w:val="none"/>
          <w:lang w:bidi="ar"/>
        </w:rPr>
        <w:t>1</w:t>
      </w:r>
      <w:bookmarkEnd w:id="1033"/>
      <w:r>
        <w:rPr>
          <w:rFonts w:hint="eastAsia" w:ascii="宋体" w:hAnsi="宋体" w:cs="宋体"/>
          <w:color w:val="auto"/>
          <w:szCs w:val="21"/>
          <w:highlight w:val="none"/>
          <w:lang w:bidi="ar"/>
        </w:rPr>
        <w:t>0.5  竣工退场</w:t>
      </w:r>
      <w:bookmarkEnd w:id="1034"/>
      <w:bookmarkEnd w:id="1035"/>
      <w:bookmarkEnd w:id="1036"/>
      <w:bookmarkEnd w:id="1037"/>
      <w:bookmarkEnd w:id="1038"/>
      <w:bookmarkEnd w:id="1039"/>
      <w:bookmarkEnd w:id="1040"/>
    </w:p>
    <w:p w14:paraId="2CC308F2">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041" w:name="_Ref4429943"/>
      <w:bookmarkEnd w:id="1041"/>
      <w:r>
        <w:rPr>
          <w:rFonts w:hint="eastAsia" w:ascii="宋体" w:hAnsi="宋体" w:cs="宋体"/>
          <w:color w:val="auto"/>
          <w:szCs w:val="21"/>
          <w:highlight w:val="none"/>
          <w:lang w:bidi="ar"/>
        </w:rPr>
        <w:t>10.5.1竣工退场</w:t>
      </w:r>
    </w:p>
    <w:p w14:paraId="1B38F16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颁发工程接收证书后，承包人应对施工现场进行清理，并撤离相关人员，使得施工现场处于以下状态，直至工程师检验合格为止：</w:t>
      </w:r>
    </w:p>
    <w:p w14:paraId="677BC3F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（1）施工现场内残留的垃圾已全部清除出场；</w:t>
      </w:r>
    </w:p>
    <w:p w14:paraId="5BF9DF5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（2）临时工程已拆除，场地已按合同约定进行清理、平整或复原；</w:t>
      </w:r>
    </w:p>
    <w:p w14:paraId="1EA9D9A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（3）按合同约定应撤离的人员、承包人提供的施工设备和剩余的材料，包括废弃的施工设备和材料，已按计划撤离施工现场；</w:t>
      </w:r>
    </w:p>
    <w:p w14:paraId="017C3AD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（4）施工现场周边及其附近道路、河道的施工堆积物，已全部清理；</w:t>
      </w:r>
    </w:p>
    <w:p w14:paraId="4EE67FA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（5）施工现场其他竣工退场工作已全部完成。</w:t>
      </w:r>
    </w:p>
    <w:p w14:paraId="4B155F6A">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14:paraId="32EBBC7B">
      <w:pPr>
        <w:widowControl/>
        <w:wordWrap w:val="0"/>
        <w:topLinePunct/>
        <w:adjustRightInd w:val="0"/>
        <w:snapToGrid w:val="0"/>
        <w:spacing w:after="120" w:afterLines="50" w:line="360" w:lineRule="auto"/>
        <w:ind w:left="480"/>
        <w:outlineLvl w:val="3"/>
        <w:rPr>
          <w:rFonts w:ascii="宋体" w:hAnsi="宋体" w:cs="宋体"/>
          <w:color w:val="auto"/>
          <w:highlight w:val="none"/>
        </w:rPr>
      </w:pPr>
      <w:r>
        <w:rPr>
          <w:rFonts w:hint="eastAsia" w:ascii="宋体" w:hAnsi="宋体" w:cs="宋体"/>
          <w:color w:val="auto"/>
          <w:szCs w:val="21"/>
          <w:highlight w:val="none"/>
          <w:lang w:bidi="ar"/>
        </w:rPr>
        <w:t>10.5.2地表还原</w:t>
      </w:r>
    </w:p>
    <w:p w14:paraId="412F17B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承包人应按合同约定和工程师的要求恢复临时占地及清理场地，否则发包人有权委托其他人恢复或清理，所发生的费用由承包人承担。</w:t>
      </w:r>
    </w:p>
    <w:p w14:paraId="35BC3119">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042" w:name="_Ref20159437"/>
      <w:bookmarkEnd w:id="1042"/>
      <w:r>
        <w:rPr>
          <w:rFonts w:hint="eastAsia" w:ascii="宋体" w:hAnsi="宋体" w:cs="宋体"/>
          <w:color w:val="auto"/>
          <w:szCs w:val="21"/>
          <w:highlight w:val="none"/>
          <w:lang w:bidi="ar"/>
        </w:rPr>
        <w:t>10.5.3人员撤离</w:t>
      </w:r>
    </w:p>
    <w:p w14:paraId="081AD2E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p>
    <w:p w14:paraId="6CD51182">
      <w:pPr>
        <w:widowControl/>
        <w:wordWrap w:val="0"/>
        <w:topLinePunct/>
        <w:adjustRightInd w:val="0"/>
        <w:snapToGrid w:val="0"/>
        <w:spacing w:after="120" w:afterLines="50" w:line="360" w:lineRule="auto"/>
        <w:outlineLvl w:val="1"/>
        <w:rPr>
          <w:rFonts w:ascii="宋体" w:hAnsi="宋体" w:cs="宋体"/>
          <w:color w:val="auto"/>
          <w:kern w:val="0"/>
          <w:highlight w:val="none"/>
        </w:rPr>
      </w:pPr>
      <w:bookmarkStart w:id="1043" w:name="_Ref531955009"/>
      <w:bookmarkEnd w:id="1043"/>
      <w:bookmarkStart w:id="1044" w:name="_Ref4796909"/>
      <w:bookmarkEnd w:id="1044"/>
      <w:bookmarkStart w:id="1045" w:name="_Toc20171809"/>
      <w:bookmarkEnd w:id="1045"/>
      <w:bookmarkStart w:id="1046" w:name="_Ref4796906"/>
      <w:bookmarkStart w:id="1047" w:name="_Toc179885335"/>
      <w:r>
        <w:rPr>
          <w:rFonts w:hint="eastAsia" w:ascii="宋体" w:hAnsi="宋体" w:cs="宋体"/>
          <w:color w:val="auto"/>
          <w:kern w:val="0"/>
          <w:szCs w:val="21"/>
          <w:highlight w:val="none"/>
          <w:lang w:bidi="ar"/>
        </w:rPr>
        <w:t>第1</w:t>
      </w:r>
      <w:bookmarkEnd w:id="1046"/>
      <w:r>
        <w:rPr>
          <w:rFonts w:hint="eastAsia" w:ascii="宋体" w:hAnsi="宋体" w:cs="宋体"/>
          <w:color w:val="auto"/>
          <w:kern w:val="0"/>
          <w:szCs w:val="21"/>
          <w:highlight w:val="none"/>
          <w:lang w:bidi="ar"/>
        </w:rPr>
        <w:t>1条  缺陷责任与保修</w:t>
      </w:r>
      <w:bookmarkEnd w:id="1047"/>
      <w:r>
        <w:rPr>
          <w:rFonts w:hint="eastAsia" w:ascii="宋体" w:hAnsi="宋体" w:cs="宋体"/>
          <w:color w:val="auto"/>
          <w:kern w:val="0"/>
          <w:szCs w:val="21"/>
          <w:highlight w:val="none"/>
          <w:lang w:bidi="ar"/>
        </w:rPr>
        <w:t xml:space="preserve"> </w:t>
      </w:r>
    </w:p>
    <w:p w14:paraId="180D67CC">
      <w:pPr>
        <w:widowControl/>
        <w:wordWrap w:val="0"/>
        <w:topLinePunct/>
        <w:adjustRightInd w:val="0"/>
        <w:snapToGrid w:val="0"/>
        <w:spacing w:after="120" w:afterLines="50" w:line="360" w:lineRule="auto"/>
        <w:outlineLvl w:val="2"/>
        <w:rPr>
          <w:rFonts w:ascii="宋体" w:hAnsi="宋体" w:cs="宋体"/>
          <w:color w:val="auto"/>
          <w:highlight w:val="none"/>
        </w:rPr>
      </w:pPr>
      <w:bookmarkStart w:id="1048" w:name="_Ref531955248"/>
      <w:bookmarkEnd w:id="1048"/>
      <w:bookmarkStart w:id="1049" w:name="_Ref532362928"/>
      <w:bookmarkEnd w:id="1049"/>
      <w:bookmarkStart w:id="1050" w:name="_Toc296503147"/>
      <w:bookmarkEnd w:id="1050"/>
      <w:bookmarkStart w:id="1051" w:name="_Toc337558841"/>
      <w:bookmarkEnd w:id="1051"/>
      <w:bookmarkStart w:id="1052" w:name="_Ref531955245"/>
      <w:bookmarkEnd w:id="1052"/>
      <w:bookmarkStart w:id="1053" w:name="_Toc296346648"/>
      <w:bookmarkEnd w:id="1053"/>
      <w:bookmarkStart w:id="1054" w:name="_Toc20171810"/>
      <w:bookmarkStart w:id="1055" w:name="_Toc179885336"/>
      <w:bookmarkStart w:id="1056" w:name="_Toc84930800"/>
      <w:bookmarkStart w:id="1057" w:name="_Toc32344"/>
      <w:bookmarkStart w:id="1058" w:name="_Toc51766663"/>
      <w:bookmarkStart w:id="1059" w:name="_Toc58860250"/>
      <w:bookmarkStart w:id="1060" w:name="_Toc15855"/>
      <w:bookmarkStart w:id="1061" w:name="_Toc8299"/>
      <w:r>
        <w:rPr>
          <w:rFonts w:hint="eastAsia" w:ascii="宋体" w:hAnsi="宋体" w:cs="宋体"/>
          <w:color w:val="auto"/>
          <w:szCs w:val="21"/>
          <w:highlight w:val="none"/>
          <w:lang w:bidi="ar"/>
        </w:rPr>
        <w:t xml:space="preserve">11.1  </w:t>
      </w:r>
      <w:bookmarkEnd w:id="1054"/>
      <w:r>
        <w:rPr>
          <w:rFonts w:hint="eastAsia" w:ascii="宋体" w:hAnsi="宋体" w:cs="宋体"/>
          <w:color w:val="auto"/>
          <w:szCs w:val="21"/>
          <w:highlight w:val="none"/>
          <w:lang w:bidi="ar"/>
        </w:rPr>
        <w:t>工程保修的原则</w:t>
      </w:r>
      <w:bookmarkEnd w:id="1055"/>
      <w:bookmarkEnd w:id="1056"/>
      <w:bookmarkEnd w:id="1057"/>
      <w:bookmarkEnd w:id="1058"/>
      <w:bookmarkEnd w:id="1059"/>
      <w:bookmarkEnd w:id="1060"/>
      <w:bookmarkEnd w:id="1061"/>
    </w:p>
    <w:p w14:paraId="18E1C24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在工程移交发包人后，因承包人原因产生的质量缺陷，承包人应承担质量缺陷责任和保修义务。缺陷责任期届满，承包人仍应按合同约定的工程各部位保修年限承担保修义务。</w:t>
      </w:r>
    </w:p>
    <w:p w14:paraId="10769CC5">
      <w:pPr>
        <w:widowControl/>
        <w:wordWrap w:val="0"/>
        <w:topLinePunct/>
        <w:adjustRightInd w:val="0"/>
        <w:snapToGrid w:val="0"/>
        <w:spacing w:after="120" w:afterLines="50" w:line="360" w:lineRule="auto"/>
        <w:outlineLvl w:val="2"/>
        <w:rPr>
          <w:rFonts w:ascii="宋体" w:hAnsi="宋体" w:cs="宋体"/>
          <w:color w:val="auto"/>
          <w:highlight w:val="none"/>
        </w:rPr>
      </w:pPr>
      <w:bookmarkStart w:id="1062" w:name="_Toc20171811"/>
      <w:bookmarkEnd w:id="1062"/>
      <w:bookmarkStart w:id="1063" w:name="_Ref4430062"/>
      <w:bookmarkStart w:id="1064" w:name="_Toc12872"/>
      <w:bookmarkStart w:id="1065" w:name="_Toc58860251"/>
      <w:bookmarkStart w:id="1066" w:name="_Toc179885337"/>
      <w:bookmarkStart w:id="1067" w:name="_Toc6594"/>
      <w:bookmarkStart w:id="1068" w:name="_Toc25440"/>
      <w:bookmarkStart w:id="1069" w:name="_Toc84930801"/>
      <w:bookmarkStart w:id="1070" w:name="_Toc51766664"/>
      <w:r>
        <w:rPr>
          <w:rFonts w:hint="eastAsia" w:ascii="宋体" w:hAnsi="宋体" w:cs="宋体"/>
          <w:color w:val="auto"/>
          <w:szCs w:val="21"/>
          <w:highlight w:val="none"/>
          <w:lang w:bidi="ar"/>
        </w:rPr>
        <w:t>1</w:t>
      </w:r>
      <w:bookmarkEnd w:id="1063"/>
      <w:r>
        <w:rPr>
          <w:rFonts w:hint="eastAsia" w:ascii="宋体" w:hAnsi="宋体" w:cs="宋体"/>
          <w:color w:val="auto"/>
          <w:szCs w:val="21"/>
          <w:highlight w:val="none"/>
          <w:lang w:bidi="ar"/>
        </w:rPr>
        <w:t>1.2  缺陷责任期</w:t>
      </w:r>
      <w:bookmarkEnd w:id="1064"/>
      <w:bookmarkEnd w:id="1065"/>
      <w:bookmarkEnd w:id="1066"/>
      <w:bookmarkEnd w:id="1067"/>
      <w:bookmarkEnd w:id="1068"/>
      <w:bookmarkEnd w:id="1069"/>
      <w:bookmarkEnd w:id="1070"/>
      <w:r>
        <w:rPr>
          <w:rFonts w:hint="eastAsia" w:ascii="宋体" w:hAnsi="宋体" w:cs="宋体"/>
          <w:color w:val="auto"/>
          <w:szCs w:val="21"/>
          <w:highlight w:val="none"/>
          <w:lang w:bidi="ar"/>
        </w:rPr>
        <w:t xml:space="preserve"> </w:t>
      </w:r>
    </w:p>
    <w:p w14:paraId="1D2FCB8A">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缺陷责任期原则上从工程竣工验收合格之日起计算，合同当事人应在专用合同条件约定缺陷责任期的具体期限，但该期限最长不超过24个月。</w:t>
      </w:r>
    </w:p>
    <w:p w14:paraId="1965C18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单位/区段工程先于全部工程进行验收，经验收合格并交付使用的，该单位/区段工程缺陷责任期自单位/区段工程验收合格之日起算。因发包人原因导致工程未在合同约定期限进行验收，但工程经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14:paraId="769F2B4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14:paraId="02DF7465">
      <w:pPr>
        <w:widowControl/>
        <w:wordWrap w:val="0"/>
        <w:topLinePunct/>
        <w:adjustRightInd w:val="0"/>
        <w:snapToGrid w:val="0"/>
        <w:spacing w:after="120" w:afterLines="50" w:line="360" w:lineRule="auto"/>
        <w:outlineLvl w:val="2"/>
        <w:rPr>
          <w:rFonts w:ascii="宋体" w:hAnsi="宋体" w:cs="宋体"/>
          <w:color w:val="auto"/>
          <w:highlight w:val="none"/>
        </w:rPr>
      </w:pPr>
      <w:bookmarkStart w:id="1071" w:name="_Ref532662491"/>
      <w:bookmarkEnd w:id="1071"/>
      <w:bookmarkStart w:id="1072" w:name="_Toc20171812"/>
      <w:bookmarkEnd w:id="1072"/>
      <w:bookmarkStart w:id="1073" w:name="_Ref532662486"/>
      <w:bookmarkStart w:id="1074" w:name="_Toc29155"/>
      <w:bookmarkStart w:id="1075" w:name="_Toc51766665"/>
      <w:bookmarkStart w:id="1076" w:name="_Toc11726"/>
      <w:bookmarkStart w:id="1077" w:name="_Toc24642"/>
      <w:bookmarkStart w:id="1078" w:name="_Toc58860252"/>
      <w:bookmarkStart w:id="1079" w:name="_Toc179885338"/>
      <w:bookmarkStart w:id="1080" w:name="_Toc84930802"/>
      <w:r>
        <w:rPr>
          <w:rFonts w:hint="eastAsia" w:ascii="宋体" w:hAnsi="宋体" w:cs="宋体"/>
          <w:color w:val="auto"/>
          <w:szCs w:val="21"/>
          <w:highlight w:val="none"/>
          <w:lang w:bidi="ar"/>
        </w:rPr>
        <w:t>1</w:t>
      </w:r>
      <w:bookmarkEnd w:id="1073"/>
      <w:r>
        <w:rPr>
          <w:rFonts w:hint="eastAsia" w:ascii="宋体" w:hAnsi="宋体" w:cs="宋体"/>
          <w:color w:val="auto"/>
          <w:szCs w:val="21"/>
          <w:highlight w:val="none"/>
          <w:lang w:bidi="ar"/>
        </w:rPr>
        <w:t>1.3  缺陷</w:t>
      </w:r>
      <w:bookmarkEnd w:id="1074"/>
      <w:bookmarkEnd w:id="1075"/>
      <w:r>
        <w:rPr>
          <w:rFonts w:hint="eastAsia" w:ascii="宋体" w:hAnsi="宋体" w:cs="宋体"/>
          <w:color w:val="auto"/>
          <w:szCs w:val="21"/>
          <w:highlight w:val="none"/>
          <w:lang w:bidi="ar"/>
        </w:rPr>
        <w:t>调查</w:t>
      </w:r>
      <w:bookmarkEnd w:id="1076"/>
      <w:bookmarkEnd w:id="1077"/>
      <w:bookmarkEnd w:id="1078"/>
      <w:bookmarkEnd w:id="1079"/>
      <w:bookmarkEnd w:id="1080"/>
    </w:p>
    <w:p w14:paraId="641F87AC">
      <w:pPr>
        <w:widowControl/>
        <w:wordWrap w:val="0"/>
        <w:topLinePunct/>
        <w:adjustRightInd w:val="0"/>
        <w:snapToGrid w:val="0"/>
        <w:spacing w:after="120" w:afterLines="50" w:line="360" w:lineRule="auto"/>
        <w:ind w:left="480"/>
        <w:outlineLvl w:val="3"/>
        <w:rPr>
          <w:rFonts w:ascii="宋体" w:hAnsi="宋体" w:cs="宋体"/>
          <w:b/>
          <w:color w:val="auto"/>
          <w:szCs w:val="21"/>
          <w:highlight w:val="none"/>
          <w:lang w:bidi="ar"/>
        </w:rPr>
      </w:pPr>
      <w:r>
        <w:rPr>
          <w:rFonts w:hint="eastAsia" w:ascii="宋体" w:hAnsi="宋体" w:cs="宋体"/>
          <w:color w:val="auto"/>
          <w:szCs w:val="21"/>
          <w:highlight w:val="none"/>
          <w:lang w:bidi="ar"/>
        </w:rPr>
        <w:t>1</w:t>
      </w:r>
      <w:r>
        <w:rPr>
          <w:rFonts w:ascii="宋体" w:hAnsi="宋体" w:cs="宋体"/>
          <w:color w:val="auto"/>
          <w:szCs w:val="21"/>
          <w:highlight w:val="none"/>
          <w:lang w:bidi="ar"/>
        </w:rPr>
        <w:t xml:space="preserve">1.3.1 </w:t>
      </w:r>
      <w:r>
        <w:rPr>
          <w:rFonts w:hint="eastAsia" w:ascii="宋体" w:hAnsi="宋体" w:cs="宋体"/>
          <w:color w:val="auto"/>
          <w:szCs w:val="21"/>
          <w:highlight w:val="none"/>
          <w:lang w:bidi="ar"/>
        </w:rPr>
        <w:t>承包人缺陷调查</w:t>
      </w:r>
    </w:p>
    <w:p w14:paraId="72912DAB">
      <w:pPr>
        <w:widowControl/>
        <w:adjustRightInd w:val="0"/>
        <w:snapToGrid w:val="0"/>
        <w:spacing w:after="120" w:afterLines="50"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14:paraId="3E76254E">
      <w:pPr>
        <w:widowControl/>
        <w:adjustRightInd w:val="0"/>
        <w:snapToGrid w:val="0"/>
        <w:spacing w:after="120" w:afterLines="50"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14:paraId="06D09E46">
      <w:pPr>
        <w:widowControl/>
        <w:wordWrap w:val="0"/>
        <w:topLinePunct/>
        <w:adjustRightInd w:val="0"/>
        <w:snapToGrid w:val="0"/>
        <w:spacing w:after="120" w:afterLines="50" w:line="360" w:lineRule="auto"/>
        <w:ind w:left="480"/>
        <w:outlineLvl w:val="3"/>
        <w:rPr>
          <w:rFonts w:ascii="宋体" w:hAnsi="宋体" w:cs="宋体"/>
          <w:color w:val="auto"/>
          <w:highlight w:val="none"/>
        </w:rPr>
      </w:pPr>
      <w:r>
        <w:rPr>
          <w:rFonts w:hint="eastAsia" w:ascii="宋体" w:hAnsi="宋体" w:cs="宋体"/>
          <w:color w:val="auto"/>
          <w:szCs w:val="21"/>
          <w:highlight w:val="none"/>
          <w:lang w:bidi="ar"/>
        </w:rPr>
        <w:t>11.3.</w:t>
      </w:r>
      <w:r>
        <w:rPr>
          <w:rFonts w:ascii="宋体" w:hAnsi="宋体" w:cs="宋体"/>
          <w:color w:val="auto"/>
          <w:szCs w:val="21"/>
          <w:highlight w:val="none"/>
          <w:lang w:bidi="ar"/>
        </w:rPr>
        <w:t>2</w:t>
      </w:r>
      <w:r>
        <w:rPr>
          <w:rFonts w:hint="eastAsia" w:ascii="宋体" w:hAnsi="宋体" w:cs="宋体"/>
          <w:color w:val="auto"/>
          <w:szCs w:val="21"/>
          <w:highlight w:val="none"/>
          <w:lang w:bidi="ar"/>
        </w:rPr>
        <w:t>缺陷责任</w:t>
      </w:r>
    </w:p>
    <w:p w14:paraId="618505B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14:paraId="26600899">
      <w:pPr>
        <w:widowControl/>
        <w:wordWrap w:val="0"/>
        <w:topLinePunct/>
        <w:adjustRightInd w:val="0"/>
        <w:snapToGrid w:val="0"/>
        <w:spacing w:after="120" w:afterLines="50" w:line="360" w:lineRule="auto"/>
        <w:ind w:left="480"/>
        <w:outlineLvl w:val="3"/>
        <w:rPr>
          <w:rFonts w:ascii="宋体" w:hAnsi="宋体" w:cs="宋体"/>
          <w:color w:val="auto"/>
          <w:highlight w:val="none"/>
        </w:rPr>
      </w:pPr>
      <w:r>
        <w:rPr>
          <w:rFonts w:hint="eastAsia" w:ascii="宋体" w:hAnsi="宋体" w:cs="宋体"/>
          <w:color w:val="auto"/>
          <w:szCs w:val="21"/>
          <w:highlight w:val="none"/>
          <w:lang w:bidi="ar"/>
        </w:rPr>
        <w:t>11.3.</w:t>
      </w:r>
      <w:r>
        <w:rPr>
          <w:rFonts w:ascii="宋体" w:hAnsi="宋体" w:cs="宋体"/>
          <w:color w:val="auto"/>
          <w:szCs w:val="21"/>
          <w:highlight w:val="none"/>
          <w:lang w:bidi="ar"/>
        </w:rPr>
        <w:t>3</w:t>
      </w:r>
      <w:r>
        <w:rPr>
          <w:rFonts w:hint="eastAsia" w:ascii="宋体" w:hAnsi="宋体" w:cs="宋体"/>
          <w:color w:val="auto"/>
          <w:szCs w:val="21"/>
          <w:highlight w:val="none"/>
          <w:lang w:bidi="ar"/>
        </w:rPr>
        <w:t>修复费用</w:t>
      </w:r>
    </w:p>
    <w:p w14:paraId="45D891C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发包人和承包人应共同查清缺陷或损坏的原因。经查明属承包人原因造成的，应由承包人承担修复的费用。经查验非承包人原因造成的，发包人应承担修复的费用，并支付承包人合理利润。</w:t>
      </w:r>
    </w:p>
    <w:p w14:paraId="4FE9637A">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081" w:name="_Ref531955041"/>
      <w:bookmarkEnd w:id="1081"/>
      <w:r>
        <w:rPr>
          <w:rFonts w:hint="eastAsia" w:ascii="宋体" w:hAnsi="宋体" w:cs="宋体"/>
          <w:color w:val="auto"/>
          <w:szCs w:val="21"/>
          <w:highlight w:val="none"/>
          <w:lang w:bidi="ar"/>
        </w:rPr>
        <w:t>11.3.</w:t>
      </w:r>
      <w:r>
        <w:rPr>
          <w:rFonts w:ascii="宋体" w:hAnsi="宋体" w:cs="宋体"/>
          <w:color w:val="auto"/>
          <w:szCs w:val="21"/>
          <w:highlight w:val="none"/>
          <w:lang w:bidi="ar"/>
        </w:rPr>
        <w:t>4</w:t>
      </w:r>
      <w:r>
        <w:rPr>
          <w:rFonts w:hint="eastAsia" w:ascii="宋体" w:hAnsi="宋体" w:cs="宋体"/>
          <w:color w:val="auto"/>
          <w:szCs w:val="21"/>
          <w:highlight w:val="none"/>
          <w:lang w:bidi="ar"/>
        </w:rPr>
        <w:t>修复通知</w:t>
      </w:r>
    </w:p>
    <w:p w14:paraId="7020108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件约定的合理期限内到达工程现场并修复缺陷或损坏。</w:t>
      </w:r>
    </w:p>
    <w:p w14:paraId="6229A051">
      <w:pPr>
        <w:widowControl/>
        <w:wordWrap w:val="0"/>
        <w:topLinePunct/>
        <w:adjustRightInd w:val="0"/>
        <w:snapToGrid w:val="0"/>
        <w:spacing w:after="120" w:afterLines="50" w:line="360" w:lineRule="auto"/>
        <w:ind w:left="480"/>
        <w:outlineLvl w:val="3"/>
        <w:rPr>
          <w:rFonts w:ascii="宋体" w:hAnsi="宋体" w:cs="宋体"/>
          <w:color w:val="auto"/>
          <w:highlight w:val="none"/>
        </w:rPr>
      </w:pPr>
      <w:r>
        <w:rPr>
          <w:rFonts w:hint="eastAsia" w:ascii="宋体" w:hAnsi="宋体" w:cs="宋体"/>
          <w:color w:val="auto"/>
          <w:szCs w:val="21"/>
          <w:highlight w:val="none"/>
          <w:lang w:bidi="ar"/>
        </w:rPr>
        <w:t>11.3.</w:t>
      </w:r>
      <w:r>
        <w:rPr>
          <w:rFonts w:ascii="宋体" w:hAnsi="宋体" w:cs="宋体"/>
          <w:color w:val="auto"/>
          <w:szCs w:val="21"/>
          <w:highlight w:val="none"/>
          <w:lang w:bidi="ar"/>
        </w:rPr>
        <w:t>5</w:t>
      </w:r>
      <w:r>
        <w:rPr>
          <w:rFonts w:hint="eastAsia" w:ascii="宋体" w:hAnsi="宋体" w:cs="宋体"/>
          <w:color w:val="auto"/>
          <w:szCs w:val="21"/>
          <w:highlight w:val="none"/>
          <w:lang w:bidi="ar"/>
        </w:rPr>
        <w:t>在现场外修复</w:t>
      </w:r>
    </w:p>
    <w:p w14:paraId="0A382FA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14:paraId="7FBA0C09">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082" w:name="_Ref4534291"/>
      <w:bookmarkEnd w:id="1082"/>
      <w:r>
        <w:rPr>
          <w:rFonts w:hint="eastAsia" w:ascii="宋体" w:hAnsi="宋体" w:cs="宋体"/>
          <w:color w:val="auto"/>
          <w:szCs w:val="21"/>
          <w:highlight w:val="none"/>
          <w:lang w:bidi="ar"/>
        </w:rPr>
        <w:t>11.3.</w:t>
      </w:r>
      <w:r>
        <w:rPr>
          <w:rFonts w:ascii="宋体" w:hAnsi="宋体" w:cs="宋体"/>
          <w:color w:val="auto"/>
          <w:szCs w:val="21"/>
          <w:highlight w:val="none"/>
          <w:lang w:bidi="ar"/>
        </w:rPr>
        <w:t>6</w:t>
      </w:r>
      <w:r>
        <w:rPr>
          <w:rFonts w:hint="eastAsia" w:ascii="宋体" w:hAnsi="宋体" w:cs="宋体"/>
          <w:color w:val="auto"/>
          <w:szCs w:val="21"/>
          <w:highlight w:val="none"/>
          <w:lang w:bidi="ar"/>
        </w:rPr>
        <w:t>未能修复</w:t>
      </w:r>
    </w:p>
    <w:p w14:paraId="741809D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B37252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如果工程或工程设备的缺陷或损害使发包人实质上失去了工程的整体功能，发包人有权向承包人追回已支付的工程款项，并要求其赔偿发包人相应损失。</w:t>
      </w:r>
    </w:p>
    <w:p w14:paraId="0B3E92EC">
      <w:pPr>
        <w:widowControl/>
        <w:wordWrap w:val="0"/>
        <w:topLinePunct/>
        <w:adjustRightInd w:val="0"/>
        <w:snapToGrid w:val="0"/>
        <w:spacing w:after="120" w:afterLines="50" w:line="360" w:lineRule="auto"/>
        <w:outlineLvl w:val="2"/>
        <w:rPr>
          <w:rFonts w:ascii="宋体" w:hAnsi="宋体" w:cs="宋体"/>
          <w:color w:val="auto"/>
          <w:highlight w:val="none"/>
        </w:rPr>
      </w:pPr>
      <w:bookmarkStart w:id="1083" w:name="_Ref532662554"/>
      <w:bookmarkEnd w:id="1083"/>
      <w:bookmarkStart w:id="1084" w:name="_Toc20171813"/>
      <w:bookmarkEnd w:id="1084"/>
      <w:bookmarkStart w:id="1085" w:name="_Ref532662552"/>
      <w:bookmarkEnd w:id="1085"/>
      <w:bookmarkStart w:id="1086" w:name="_Toc23187"/>
      <w:bookmarkStart w:id="1087" w:name="_Toc7565"/>
      <w:bookmarkStart w:id="1088" w:name="_Toc179885339"/>
      <w:bookmarkStart w:id="1089" w:name="_Toc58860253"/>
      <w:bookmarkStart w:id="1090" w:name="_Toc29755"/>
      <w:bookmarkStart w:id="1091" w:name="_Toc84930803"/>
      <w:bookmarkStart w:id="1092" w:name="_Toc51766666"/>
      <w:r>
        <w:rPr>
          <w:rFonts w:hint="eastAsia" w:ascii="宋体" w:hAnsi="宋体" w:cs="宋体"/>
          <w:color w:val="auto"/>
          <w:szCs w:val="21"/>
          <w:highlight w:val="none"/>
          <w:lang w:bidi="ar"/>
        </w:rPr>
        <w:t>11.4  缺陷修复后的进一步试验</w:t>
      </w:r>
      <w:bookmarkEnd w:id="1086"/>
      <w:bookmarkEnd w:id="1087"/>
      <w:bookmarkEnd w:id="1088"/>
      <w:bookmarkEnd w:id="1089"/>
      <w:bookmarkEnd w:id="1090"/>
      <w:bookmarkEnd w:id="1091"/>
      <w:bookmarkEnd w:id="1092"/>
    </w:p>
    <w:p w14:paraId="41239FB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任何一项缺陷修补后的7天内，承包人应向发包人发出通知，告知已修补的情况。如根据第9条[竣工试验]或第12条[竣工后试验]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14:paraId="1224FD5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所有的重复试验应按照适用于先前试验的条款进行，但应由责任方承担修补工作的成本和重新试验的风险和费用。</w:t>
      </w:r>
    </w:p>
    <w:p w14:paraId="35E2410B">
      <w:pPr>
        <w:widowControl/>
        <w:wordWrap w:val="0"/>
        <w:topLinePunct/>
        <w:adjustRightInd w:val="0"/>
        <w:snapToGrid w:val="0"/>
        <w:spacing w:after="120" w:afterLines="50" w:line="360" w:lineRule="auto"/>
        <w:outlineLvl w:val="2"/>
        <w:rPr>
          <w:rFonts w:ascii="宋体" w:hAnsi="宋体" w:cs="宋体"/>
          <w:color w:val="auto"/>
          <w:highlight w:val="none"/>
        </w:rPr>
      </w:pPr>
      <w:bookmarkStart w:id="1093" w:name="_Toc20171814"/>
      <w:bookmarkEnd w:id="1093"/>
      <w:bookmarkStart w:id="1094" w:name="_Toc31304"/>
      <w:bookmarkStart w:id="1095" w:name="_Toc15540"/>
      <w:bookmarkStart w:id="1096" w:name="_Toc84930804"/>
      <w:bookmarkStart w:id="1097" w:name="_Toc179885340"/>
      <w:bookmarkStart w:id="1098" w:name="_Toc51766667"/>
      <w:bookmarkStart w:id="1099" w:name="_Toc58860254"/>
      <w:bookmarkStart w:id="1100" w:name="_Toc28139"/>
      <w:r>
        <w:rPr>
          <w:rFonts w:hint="eastAsia" w:ascii="宋体" w:hAnsi="宋体" w:cs="宋体"/>
          <w:color w:val="auto"/>
          <w:szCs w:val="21"/>
          <w:highlight w:val="none"/>
          <w:lang w:bidi="ar"/>
        </w:rPr>
        <w:t>11.5  承包人出入权</w:t>
      </w:r>
      <w:bookmarkEnd w:id="1094"/>
      <w:bookmarkEnd w:id="1095"/>
      <w:bookmarkEnd w:id="1096"/>
      <w:bookmarkEnd w:id="1097"/>
      <w:bookmarkEnd w:id="1098"/>
      <w:bookmarkEnd w:id="1099"/>
      <w:bookmarkEnd w:id="1100"/>
    </w:p>
    <w:p w14:paraId="1C7E370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p>
    <w:p w14:paraId="6D41DE4F">
      <w:pPr>
        <w:widowControl/>
        <w:wordWrap w:val="0"/>
        <w:topLinePunct/>
        <w:adjustRightInd w:val="0"/>
        <w:snapToGrid w:val="0"/>
        <w:spacing w:after="120" w:afterLines="50" w:line="360" w:lineRule="auto"/>
        <w:outlineLvl w:val="2"/>
        <w:rPr>
          <w:rFonts w:ascii="宋体" w:hAnsi="宋体" w:cs="宋体"/>
          <w:color w:val="auto"/>
          <w:highlight w:val="none"/>
        </w:rPr>
      </w:pPr>
      <w:bookmarkStart w:id="1101" w:name="_Toc20171815"/>
      <w:bookmarkEnd w:id="1101"/>
      <w:bookmarkStart w:id="1102" w:name="_Toc58860255"/>
      <w:bookmarkStart w:id="1103" w:name="_Toc51766668"/>
      <w:bookmarkStart w:id="1104" w:name="_Toc13169"/>
      <w:bookmarkStart w:id="1105" w:name="_Toc179885341"/>
      <w:bookmarkStart w:id="1106" w:name="_Toc29218"/>
      <w:bookmarkStart w:id="1107" w:name="_Toc21746"/>
      <w:bookmarkStart w:id="1108" w:name="_Toc84930805"/>
      <w:r>
        <w:rPr>
          <w:rFonts w:hint="eastAsia" w:ascii="宋体" w:hAnsi="宋体" w:cs="宋体"/>
          <w:color w:val="auto"/>
          <w:szCs w:val="21"/>
          <w:highlight w:val="none"/>
          <w:lang w:bidi="ar"/>
        </w:rPr>
        <w:t>11.6</w:t>
      </w:r>
      <w:bookmarkEnd w:id="1102"/>
      <w:r>
        <w:rPr>
          <w:rFonts w:hint="eastAsia" w:ascii="宋体" w:hAnsi="宋体" w:cs="宋体"/>
          <w:color w:val="auto"/>
          <w:szCs w:val="21"/>
          <w:highlight w:val="none"/>
          <w:lang w:bidi="ar"/>
        </w:rPr>
        <w:t xml:space="preserve">  </w:t>
      </w:r>
      <w:bookmarkEnd w:id="1103"/>
      <w:bookmarkEnd w:id="1104"/>
      <w:bookmarkStart w:id="1109" w:name="_Ref4430229"/>
      <w:bookmarkEnd w:id="1109"/>
      <w:bookmarkStart w:id="1110" w:name="_Ref4430223"/>
      <w:bookmarkEnd w:id="1110"/>
      <w:bookmarkStart w:id="1111" w:name="_Toc51766669"/>
      <w:bookmarkStart w:id="1112" w:name="_Toc58860256"/>
      <w:bookmarkStart w:id="1113" w:name="_Toc25296"/>
      <w:r>
        <w:rPr>
          <w:rFonts w:hint="eastAsia" w:ascii="宋体" w:hAnsi="宋体" w:cs="宋体"/>
          <w:color w:val="auto"/>
          <w:szCs w:val="21"/>
          <w:highlight w:val="none"/>
          <w:lang w:bidi="ar"/>
        </w:rPr>
        <w:t>缺陷责任期终止证书</w:t>
      </w:r>
      <w:bookmarkEnd w:id="1105"/>
      <w:bookmarkEnd w:id="1106"/>
      <w:bookmarkEnd w:id="1107"/>
      <w:bookmarkEnd w:id="1108"/>
      <w:bookmarkEnd w:id="1111"/>
      <w:bookmarkEnd w:id="1112"/>
      <w:bookmarkEnd w:id="1113"/>
    </w:p>
    <w:p w14:paraId="11C0AEF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w:t>
      </w:r>
      <w:bookmarkStart w:id="1114" w:name="_Hlk4686672"/>
      <w:r>
        <w:rPr>
          <w:rFonts w:hint="eastAsia" w:ascii="宋体" w:hAnsi="宋体" w:cs="宋体"/>
          <w:color w:val="auto"/>
          <w:kern w:val="0"/>
          <w:szCs w:val="21"/>
          <w:highlight w:val="none"/>
          <w:lang w:bidi="ar"/>
        </w:rPr>
        <w:t>承包人应于缺陷责任期届满前7天内向发包人发出缺陷责任期即将届满通知，发包人应在收到通知后</w:t>
      </w:r>
      <w:bookmarkEnd w:id="1114"/>
      <w:r>
        <w:rPr>
          <w:rFonts w:hint="eastAsia" w:ascii="宋体" w:hAnsi="宋体" w:cs="宋体"/>
          <w:color w:val="auto"/>
          <w:kern w:val="0"/>
          <w:szCs w:val="21"/>
          <w:highlight w:val="none"/>
          <w:lang w:bidi="ar"/>
        </w:rPr>
        <w:t>7天内核实承包人是否履行缺陷修复义务，承包人未能履行缺陷修复义务的，发包人有权扣除相应金额的维修费用。发包人应在缺陷责任期届满之日，向承包人颁发缺陷责任期终止证书，并按第14.6.3项[质量保证金的返还]返还质量保证金。</w:t>
      </w:r>
    </w:p>
    <w:p w14:paraId="5A47F3D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如根据第10.5.3项[人员撤离]承包人在施工现场还留有人员、施工设备和临时工程的，承包人应当在收到缺陷责任期终止证书后28天内，将上述人员、施工设备和临时工程撤离施工现场。</w:t>
      </w:r>
    </w:p>
    <w:p w14:paraId="5336DA65">
      <w:pPr>
        <w:widowControl/>
        <w:wordWrap w:val="0"/>
        <w:topLinePunct/>
        <w:adjustRightInd w:val="0"/>
        <w:snapToGrid w:val="0"/>
        <w:spacing w:after="120" w:afterLines="50" w:line="360" w:lineRule="auto"/>
        <w:outlineLvl w:val="2"/>
        <w:rPr>
          <w:rFonts w:ascii="宋体" w:hAnsi="宋体" w:cs="宋体"/>
          <w:color w:val="auto"/>
          <w:highlight w:val="none"/>
        </w:rPr>
      </w:pPr>
      <w:bookmarkStart w:id="1115" w:name="_Toc20171817"/>
      <w:bookmarkEnd w:id="1115"/>
      <w:bookmarkStart w:id="1116" w:name="_Ref4430272"/>
      <w:bookmarkStart w:id="1117" w:name="_Toc9809"/>
      <w:bookmarkStart w:id="1118" w:name="_Toc179885342"/>
      <w:bookmarkStart w:id="1119" w:name="_Toc58860257"/>
      <w:bookmarkStart w:id="1120" w:name="_Toc6432"/>
      <w:bookmarkStart w:id="1121" w:name="_Toc84930806"/>
      <w:bookmarkStart w:id="1122" w:name="_Toc51766670"/>
      <w:bookmarkStart w:id="1123" w:name="_Toc18712"/>
      <w:r>
        <w:rPr>
          <w:rFonts w:hint="eastAsia" w:ascii="宋体" w:hAnsi="宋体" w:cs="宋体"/>
          <w:color w:val="auto"/>
          <w:szCs w:val="21"/>
          <w:highlight w:val="none"/>
          <w:lang w:bidi="ar"/>
        </w:rPr>
        <w:t>1</w:t>
      </w:r>
      <w:bookmarkEnd w:id="1116"/>
      <w:r>
        <w:rPr>
          <w:rFonts w:hint="eastAsia" w:ascii="宋体" w:hAnsi="宋体" w:cs="宋体"/>
          <w:color w:val="auto"/>
          <w:szCs w:val="21"/>
          <w:highlight w:val="none"/>
          <w:lang w:bidi="ar"/>
        </w:rPr>
        <w:t>1.</w:t>
      </w:r>
      <w:r>
        <w:rPr>
          <w:rFonts w:ascii="宋体" w:hAnsi="宋体" w:cs="宋体"/>
          <w:color w:val="auto"/>
          <w:szCs w:val="21"/>
          <w:highlight w:val="none"/>
          <w:lang w:bidi="ar"/>
        </w:rPr>
        <w:t>7</w:t>
      </w:r>
      <w:r>
        <w:rPr>
          <w:rFonts w:hint="eastAsia" w:ascii="宋体" w:hAnsi="宋体" w:cs="宋体"/>
          <w:color w:val="auto"/>
          <w:szCs w:val="21"/>
          <w:highlight w:val="none"/>
          <w:lang w:bidi="ar"/>
        </w:rPr>
        <w:t xml:space="preserve">  保修责任</w:t>
      </w:r>
      <w:bookmarkEnd w:id="1117"/>
      <w:bookmarkEnd w:id="1118"/>
      <w:bookmarkEnd w:id="1119"/>
      <w:bookmarkEnd w:id="1120"/>
      <w:bookmarkEnd w:id="1121"/>
      <w:bookmarkEnd w:id="1122"/>
      <w:bookmarkEnd w:id="1123"/>
    </w:p>
    <w:p w14:paraId="08CE0F2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因承包人原因导致的质量缺陷责任，由合同当事人根据有关法律规定，在专用合同条件和工程质量保修书中约定工程质量保修范围、期限和责任。</w:t>
      </w:r>
      <w:bookmarkStart w:id="1124" w:name="_Ref531957860"/>
      <w:bookmarkEnd w:id="1124"/>
      <w:bookmarkStart w:id="1125" w:name="_Ref531958289"/>
      <w:bookmarkEnd w:id="1125"/>
    </w:p>
    <w:p w14:paraId="1934F26F">
      <w:pPr>
        <w:widowControl/>
        <w:wordWrap w:val="0"/>
        <w:topLinePunct/>
        <w:adjustRightInd w:val="0"/>
        <w:snapToGrid w:val="0"/>
        <w:spacing w:after="120" w:afterLines="50" w:line="360" w:lineRule="auto"/>
        <w:outlineLvl w:val="1"/>
        <w:rPr>
          <w:rFonts w:ascii="宋体" w:hAnsi="宋体" w:cs="宋体"/>
          <w:color w:val="auto"/>
          <w:kern w:val="0"/>
          <w:highlight w:val="none"/>
        </w:rPr>
      </w:pPr>
      <w:bookmarkStart w:id="1126" w:name="_Toc20171818"/>
      <w:bookmarkEnd w:id="1126"/>
      <w:bookmarkStart w:id="1127" w:name="_Ref4796958"/>
      <w:bookmarkEnd w:id="1127"/>
      <w:bookmarkStart w:id="1128" w:name="_Ref4621057"/>
      <w:bookmarkEnd w:id="1128"/>
      <w:bookmarkStart w:id="1129" w:name="_Ref4621065"/>
      <w:bookmarkEnd w:id="1129"/>
      <w:bookmarkStart w:id="1130" w:name="_Ref4796955"/>
      <w:bookmarkStart w:id="1131" w:name="_Toc179885343"/>
      <w:r>
        <w:rPr>
          <w:rFonts w:hint="eastAsia" w:ascii="宋体" w:hAnsi="宋体" w:cs="宋体"/>
          <w:color w:val="auto"/>
          <w:kern w:val="0"/>
          <w:szCs w:val="21"/>
          <w:highlight w:val="none"/>
          <w:lang w:bidi="ar"/>
        </w:rPr>
        <w:t>第1</w:t>
      </w:r>
      <w:bookmarkEnd w:id="1130"/>
      <w:r>
        <w:rPr>
          <w:rFonts w:hint="eastAsia" w:ascii="宋体" w:hAnsi="宋体" w:cs="宋体"/>
          <w:color w:val="auto"/>
          <w:kern w:val="0"/>
          <w:szCs w:val="21"/>
          <w:highlight w:val="none"/>
          <w:lang w:bidi="ar"/>
        </w:rPr>
        <w:t>2条  竣工后试验</w:t>
      </w:r>
      <w:bookmarkEnd w:id="1131"/>
    </w:p>
    <w:p w14:paraId="38A3C78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本合同工程包含竣工后试验的，遵守本条约定。</w:t>
      </w:r>
    </w:p>
    <w:p w14:paraId="7CB35D6E">
      <w:pPr>
        <w:widowControl/>
        <w:wordWrap w:val="0"/>
        <w:topLinePunct/>
        <w:adjustRightInd w:val="0"/>
        <w:snapToGrid w:val="0"/>
        <w:spacing w:after="120" w:afterLines="50" w:line="360" w:lineRule="auto"/>
        <w:outlineLvl w:val="2"/>
        <w:rPr>
          <w:rFonts w:ascii="宋体" w:hAnsi="宋体" w:cs="宋体"/>
          <w:color w:val="auto"/>
          <w:highlight w:val="none"/>
        </w:rPr>
      </w:pPr>
      <w:bookmarkStart w:id="1132" w:name="_Ref531954604"/>
      <w:bookmarkEnd w:id="1132"/>
      <w:bookmarkStart w:id="1133" w:name="_Ref531954601"/>
      <w:bookmarkEnd w:id="1133"/>
      <w:bookmarkStart w:id="1134" w:name="_Ref531954694"/>
      <w:bookmarkEnd w:id="1134"/>
      <w:bookmarkStart w:id="1135" w:name="_Toc20171819"/>
      <w:bookmarkEnd w:id="1135"/>
      <w:bookmarkStart w:id="1136" w:name="_Hlk522259976"/>
      <w:bookmarkStart w:id="1137" w:name="_Toc84930808"/>
      <w:bookmarkStart w:id="1138" w:name="_Toc3570"/>
      <w:bookmarkStart w:id="1139" w:name="_Toc179885344"/>
      <w:bookmarkStart w:id="1140" w:name="_Toc51766672"/>
      <w:bookmarkStart w:id="1141" w:name="_Toc7019"/>
      <w:bookmarkStart w:id="1142" w:name="_Toc8331"/>
      <w:bookmarkStart w:id="1143" w:name="_Toc58860259"/>
      <w:r>
        <w:rPr>
          <w:rFonts w:hint="eastAsia" w:ascii="宋体" w:hAnsi="宋体" w:cs="宋体"/>
          <w:color w:val="auto"/>
          <w:szCs w:val="21"/>
          <w:highlight w:val="none"/>
          <w:lang w:bidi="ar"/>
        </w:rPr>
        <w:t>1</w:t>
      </w:r>
      <w:bookmarkEnd w:id="1136"/>
      <w:r>
        <w:rPr>
          <w:rFonts w:hint="eastAsia" w:ascii="宋体" w:hAnsi="宋体" w:cs="宋体"/>
          <w:color w:val="auto"/>
          <w:szCs w:val="21"/>
          <w:highlight w:val="none"/>
          <w:lang w:bidi="ar"/>
        </w:rPr>
        <w:t>2.1  竣工后试验的程序</w:t>
      </w:r>
      <w:bookmarkEnd w:id="1137"/>
      <w:bookmarkEnd w:id="1138"/>
      <w:bookmarkEnd w:id="1139"/>
      <w:bookmarkEnd w:id="1140"/>
      <w:bookmarkEnd w:id="1141"/>
      <w:bookmarkEnd w:id="1142"/>
      <w:bookmarkEnd w:id="1143"/>
    </w:p>
    <w:p w14:paraId="12469BAD">
      <w:pPr>
        <w:widowControl/>
        <w:adjustRightInd w:val="0"/>
        <w:snapToGrid w:val="0"/>
        <w:spacing w:after="120" w:afterLines="50" w:line="360" w:lineRule="auto"/>
        <w:ind w:firstLine="420" w:firstLineChars="200"/>
        <w:rPr>
          <w:rFonts w:ascii="宋体" w:hAnsi="宋体" w:cs="宋体"/>
          <w:color w:val="auto"/>
          <w:highlight w:val="none"/>
        </w:rPr>
      </w:pPr>
      <w:bookmarkStart w:id="1144" w:name="_Ref11920184"/>
      <w:bookmarkEnd w:id="1144"/>
      <w:r>
        <w:rPr>
          <w:rFonts w:hint="eastAsia" w:ascii="宋体" w:hAnsi="宋体" w:cs="宋体"/>
          <w:color w:val="auto"/>
          <w:szCs w:val="21"/>
          <w:highlight w:val="none"/>
          <w:lang w:bidi="ar"/>
        </w:rPr>
        <w:t>12.1.1工程或区段工程被发包人接收后，在合理可行的情况下应根据合同约定尽早进行竣工后试验。</w:t>
      </w:r>
    </w:p>
    <w:p w14:paraId="0B2F7072">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12.1.2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14:paraId="6CFF7BDD">
      <w:pPr>
        <w:widowControl/>
        <w:adjustRightInd w:val="0"/>
        <w:snapToGrid w:val="0"/>
        <w:spacing w:after="120" w:afterLines="50" w:line="360" w:lineRule="auto"/>
        <w:ind w:firstLine="420" w:firstLineChars="200"/>
        <w:rPr>
          <w:rFonts w:ascii="宋体" w:hAnsi="宋体" w:cs="宋体"/>
          <w:color w:val="auto"/>
          <w:highlight w:val="none"/>
        </w:rPr>
      </w:pPr>
      <w:bookmarkStart w:id="1145" w:name="_Ref11920162"/>
      <w:bookmarkEnd w:id="1145"/>
      <w:r>
        <w:rPr>
          <w:rFonts w:hint="eastAsia" w:ascii="宋体" w:hAnsi="宋体" w:cs="宋体"/>
          <w:color w:val="auto"/>
          <w:szCs w:val="21"/>
          <w:highlight w:val="none"/>
          <w:lang w:bidi="ar"/>
        </w:rPr>
        <w:t>12.1.3除《发包人要求》另有约定外，发包人应在合理可行的情况下尽快进行每项竣工后试验，并至少提前21天将该项竣工后试验的内容、地点和时间，以及显示其他竣工后试验拟开展时间的竣工后试验计划通知承包人。</w:t>
      </w:r>
    </w:p>
    <w:p w14:paraId="07184A10">
      <w:pPr>
        <w:widowControl/>
        <w:adjustRightInd w:val="0"/>
        <w:snapToGrid w:val="0"/>
        <w:spacing w:after="120" w:afterLines="50" w:line="360" w:lineRule="auto"/>
        <w:ind w:firstLine="420" w:firstLineChars="200"/>
        <w:rPr>
          <w:rFonts w:ascii="宋体" w:hAnsi="宋体" w:cs="宋体"/>
          <w:color w:val="auto"/>
          <w:highlight w:val="none"/>
        </w:rPr>
      </w:pPr>
      <w:bookmarkStart w:id="1146" w:name="_Ref11920146"/>
      <w:bookmarkEnd w:id="1146"/>
      <w:r>
        <w:rPr>
          <w:rFonts w:hint="eastAsia" w:ascii="宋体" w:hAnsi="宋体" w:cs="宋体"/>
          <w:color w:val="auto"/>
          <w:szCs w:val="21"/>
          <w:highlight w:val="none"/>
          <w:lang w:bidi="ar"/>
        </w:rPr>
        <w:t>12.1.4发包人应根据《发包人要求》、承包人按照第5.5款[操作和维修手册]提交的文件，以及承包人被要求提供的指导进行竣工后试验。如承包人未在发包人通知的时间和地点参加竣工后试验，发包人可自行进行，该试验应被视为是承包人在场的情况下进行的，且承包人应视为认可试验数据。</w:t>
      </w:r>
    </w:p>
    <w:p w14:paraId="2CCB4F7C">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12.1.5竣工后试验的结果应由双方进行整理和评价，并应适当考虑发包人对工程或其任何部分的使用，对工程或区段工程的性能、特性和试验结果产生的影响。</w:t>
      </w:r>
    </w:p>
    <w:p w14:paraId="1A9B9539">
      <w:pPr>
        <w:widowControl/>
        <w:wordWrap w:val="0"/>
        <w:topLinePunct/>
        <w:adjustRightInd w:val="0"/>
        <w:snapToGrid w:val="0"/>
        <w:spacing w:after="120" w:afterLines="50" w:line="360" w:lineRule="auto"/>
        <w:outlineLvl w:val="2"/>
        <w:rPr>
          <w:rFonts w:ascii="宋体" w:hAnsi="宋体" w:cs="宋体"/>
          <w:color w:val="auto"/>
          <w:highlight w:val="none"/>
        </w:rPr>
      </w:pPr>
      <w:bookmarkStart w:id="1147" w:name="_Toc20171820"/>
      <w:bookmarkEnd w:id="1147"/>
      <w:bookmarkStart w:id="1148" w:name="_Ref531954781"/>
      <w:bookmarkEnd w:id="1148"/>
      <w:bookmarkStart w:id="1149" w:name="_Ref531954785"/>
      <w:bookmarkStart w:id="1150" w:name="_Toc58860260"/>
      <w:bookmarkStart w:id="1151" w:name="_Toc12374"/>
      <w:bookmarkStart w:id="1152" w:name="_Toc84930809"/>
      <w:bookmarkStart w:id="1153" w:name="_Toc22188"/>
      <w:bookmarkStart w:id="1154" w:name="_Toc27851"/>
      <w:bookmarkStart w:id="1155" w:name="_Toc51766673"/>
      <w:bookmarkStart w:id="1156" w:name="_Toc179885345"/>
      <w:r>
        <w:rPr>
          <w:rFonts w:hint="eastAsia" w:ascii="宋体" w:hAnsi="宋体" w:cs="宋体"/>
          <w:color w:val="auto"/>
          <w:szCs w:val="21"/>
          <w:highlight w:val="none"/>
          <w:lang w:bidi="ar"/>
        </w:rPr>
        <w:t>1</w:t>
      </w:r>
      <w:bookmarkEnd w:id="1149"/>
      <w:r>
        <w:rPr>
          <w:rFonts w:hint="eastAsia" w:ascii="宋体" w:hAnsi="宋体" w:cs="宋体"/>
          <w:color w:val="auto"/>
          <w:szCs w:val="21"/>
          <w:highlight w:val="none"/>
          <w:lang w:bidi="ar"/>
        </w:rPr>
        <w:t>2.2  延误的试验</w:t>
      </w:r>
      <w:bookmarkEnd w:id="1150"/>
      <w:bookmarkEnd w:id="1151"/>
      <w:bookmarkEnd w:id="1152"/>
      <w:bookmarkEnd w:id="1153"/>
      <w:bookmarkEnd w:id="1154"/>
      <w:bookmarkEnd w:id="1155"/>
      <w:bookmarkEnd w:id="1156"/>
      <w:r>
        <w:rPr>
          <w:rFonts w:hint="eastAsia" w:ascii="宋体" w:hAnsi="宋体" w:cs="宋体"/>
          <w:color w:val="auto"/>
          <w:szCs w:val="21"/>
          <w:highlight w:val="none"/>
          <w:lang w:bidi="ar"/>
        </w:rPr>
        <w:t xml:space="preserve"> </w:t>
      </w:r>
    </w:p>
    <w:p w14:paraId="504A71A7">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12.2.1如果竣工后试验因发包人原因被延误的，发包人应承担承包人由此增加的费用并支付承包人合理利润。</w:t>
      </w:r>
    </w:p>
    <w:p w14:paraId="0A448805">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12.2.2如果因承包人以外的原因，导致竣工后试验未能在缺陷责任期或双方另行同意的其他期限内完成，则相关工程或区段工程应视为已通过该竣工后试验。</w:t>
      </w:r>
    </w:p>
    <w:p w14:paraId="04274EC3">
      <w:pPr>
        <w:widowControl/>
        <w:wordWrap w:val="0"/>
        <w:topLinePunct/>
        <w:adjustRightInd w:val="0"/>
        <w:snapToGrid w:val="0"/>
        <w:spacing w:after="120" w:afterLines="50" w:line="360" w:lineRule="auto"/>
        <w:outlineLvl w:val="2"/>
        <w:rPr>
          <w:rFonts w:ascii="宋体" w:hAnsi="宋体" w:cs="宋体"/>
          <w:color w:val="auto"/>
          <w:highlight w:val="none"/>
        </w:rPr>
      </w:pPr>
      <w:bookmarkStart w:id="1157" w:name="_Toc20171821"/>
      <w:bookmarkEnd w:id="1157"/>
      <w:bookmarkStart w:id="1158" w:name="_Toc179885346"/>
      <w:bookmarkStart w:id="1159" w:name="_Toc24146"/>
      <w:bookmarkStart w:id="1160" w:name="_Toc84930810"/>
      <w:bookmarkStart w:id="1161" w:name="_Toc21146"/>
      <w:bookmarkStart w:id="1162" w:name="_Toc51766674"/>
      <w:bookmarkStart w:id="1163" w:name="_Toc58860261"/>
      <w:bookmarkStart w:id="1164" w:name="_Toc26798"/>
      <w:r>
        <w:rPr>
          <w:rFonts w:hint="eastAsia" w:ascii="宋体" w:hAnsi="宋体" w:cs="宋体"/>
          <w:color w:val="auto"/>
          <w:szCs w:val="21"/>
          <w:highlight w:val="none"/>
          <w:lang w:bidi="ar"/>
        </w:rPr>
        <w:t>12.3  重新试验</w:t>
      </w:r>
      <w:bookmarkEnd w:id="1158"/>
      <w:bookmarkEnd w:id="1159"/>
      <w:bookmarkEnd w:id="1160"/>
      <w:bookmarkEnd w:id="1161"/>
      <w:bookmarkEnd w:id="1162"/>
      <w:bookmarkEnd w:id="1163"/>
      <w:bookmarkEnd w:id="1164"/>
    </w:p>
    <w:p w14:paraId="26C249A9">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12.3.1如工程或区段工程未能通过竣工后试验，则承包人应根据第11.3款[缺陷调查]的规定修补缺陷，以达到合同约定的要求；并按照第11.4款[缺陷修复后的进一步试验]重新进行竣工后试验以及承担风险和费用。如未通过试验和重新试验是承包人原因造成的，则承包人还应承担发包人因此增加的费用。</w:t>
      </w:r>
    </w:p>
    <w:p w14:paraId="4820331D">
      <w:pPr>
        <w:widowControl/>
        <w:wordWrap w:val="0"/>
        <w:topLinePunct/>
        <w:adjustRightInd w:val="0"/>
        <w:snapToGrid w:val="0"/>
        <w:spacing w:after="120" w:afterLines="50" w:line="360" w:lineRule="auto"/>
        <w:outlineLvl w:val="2"/>
        <w:rPr>
          <w:rFonts w:ascii="宋体" w:hAnsi="宋体" w:cs="宋体"/>
          <w:color w:val="auto"/>
          <w:highlight w:val="none"/>
        </w:rPr>
      </w:pPr>
      <w:bookmarkStart w:id="1165" w:name="_Ref531954819"/>
      <w:bookmarkEnd w:id="1165"/>
      <w:bookmarkStart w:id="1166" w:name="_Ref531954811"/>
      <w:bookmarkEnd w:id="1166"/>
      <w:bookmarkStart w:id="1167" w:name="_Toc20171822"/>
      <w:bookmarkStart w:id="1168" w:name="_Toc51766675"/>
      <w:bookmarkStart w:id="1169" w:name="_Toc30320"/>
      <w:bookmarkStart w:id="1170" w:name="_Toc84930811"/>
      <w:bookmarkStart w:id="1171" w:name="_Toc26253"/>
      <w:bookmarkStart w:id="1172" w:name="_Toc27991"/>
      <w:bookmarkStart w:id="1173" w:name="_Toc179885347"/>
      <w:bookmarkStart w:id="1174" w:name="_Toc58860262"/>
      <w:r>
        <w:rPr>
          <w:rFonts w:hint="eastAsia" w:ascii="宋体" w:hAnsi="宋体" w:cs="宋体"/>
          <w:color w:val="auto"/>
          <w:szCs w:val="21"/>
          <w:highlight w:val="none"/>
          <w:lang w:bidi="ar"/>
        </w:rPr>
        <w:t>1</w:t>
      </w:r>
      <w:bookmarkEnd w:id="1167"/>
      <w:r>
        <w:rPr>
          <w:rFonts w:hint="eastAsia" w:ascii="宋体" w:hAnsi="宋体" w:cs="宋体"/>
          <w:color w:val="auto"/>
          <w:szCs w:val="21"/>
          <w:highlight w:val="none"/>
          <w:lang w:bidi="ar"/>
        </w:rPr>
        <w:t>2.4  未能通过竣工后试验</w:t>
      </w:r>
      <w:bookmarkEnd w:id="1168"/>
      <w:bookmarkEnd w:id="1169"/>
      <w:bookmarkEnd w:id="1170"/>
      <w:bookmarkEnd w:id="1171"/>
      <w:bookmarkEnd w:id="1172"/>
      <w:bookmarkEnd w:id="1173"/>
      <w:bookmarkEnd w:id="1174"/>
    </w:p>
    <w:p w14:paraId="3C0D04E7">
      <w:pPr>
        <w:widowControl/>
        <w:adjustRightInd w:val="0"/>
        <w:snapToGrid w:val="0"/>
        <w:spacing w:after="120" w:afterLines="50" w:line="360" w:lineRule="auto"/>
        <w:ind w:firstLine="420" w:firstLineChars="200"/>
        <w:rPr>
          <w:rFonts w:ascii="宋体" w:hAnsi="宋体" w:cs="宋体"/>
          <w:color w:val="auto"/>
          <w:highlight w:val="none"/>
        </w:rPr>
      </w:pPr>
      <w:bookmarkStart w:id="1175" w:name="_Ref531954829"/>
      <w:bookmarkEnd w:id="1175"/>
      <w:r>
        <w:rPr>
          <w:rFonts w:hint="eastAsia" w:ascii="宋体" w:hAnsi="宋体" w:cs="宋体"/>
          <w:color w:val="auto"/>
          <w:szCs w:val="21"/>
          <w:highlight w:val="none"/>
          <w:lang w:bidi="ar"/>
        </w:rPr>
        <w:t>12.4.1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p>
    <w:p w14:paraId="358AEB26">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12.4.2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14:paraId="5991B39A">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12.4.3发包人无故拖延给予承包人进行调查、调整或修补所需的进入工程或区段工程的许可，并造成承包人费用增加的，应承担由此增加的费用并支付承包人合理利润。</w:t>
      </w:r>
    </w:p>
    <w:p w14:paraId="39AD5D4C">
      <w:pPr>
        <w:widowControl/>
        <w:wordWrap w:val="0"/>
        <w:topLinePunct/>
        <w:adjustRightInd w:val="0"/>
        <w:snapToGrid w:val="0"/>
        <w:spacing w:after="120" w:afterLines="50" w:line="360" w:lineRule="auto"/>
        <w:outlineLvl w:val="1"/>
        <w:rPr>
          <w:rFonts w:ascii="宋体" w:hAnsi="宋体" w:cs="宋体"/>
          <w:color w:val="auto"/>
          <w:kern w:val="0"/>
          <w:highlight w:val="none"/>
        </w:rPr>
      </w:pPr>
      <w:bookmarkStart w:id="1176" w:name="_Ref4415801"/>
      <w:bookmarkEnd w:id="1176"/>
      <w:bookmarkStart w:id="1177" w:name="_Toc20171823"/>
      <w:bookmarkStart w:id="1178" w:name="_Toc179885348"/>
      <w:r>
        <w:rPr>
          <w:rFonts w:hint="eastAsia" w:ascii="宋体" w:hAnsi="宋体" w:cs="宋体"/>
          <w:color w:val="auto"/>
          <w:kern w:val="0"/>
          <w:szCs w:val="21"/>
          <w:highlight w:val="none"/>
          <w:lang w:bidi="ar"/>
        </w:rPr>
        <w:t>第1</w:t>
      </w:r>
      <w:bookmarkEnd w:id="1177"/>
      <w:r>
        <w:rPr>
          <w:rFonts w:hint="eastAsia" w:ascii="宋体" w:hAnsi="宋体" w:cs="宋体"/>
          <w:color w:val="auto"/>
          <w:kern w:val="0"/>
          <w:szCs w:val="21"/>
          <w:highlight w:val="none"/>
          <w:lang w:bidi="ar"/>
        </w:rPr>
        <w:t>3条  变更与调整</w:t>
      </w:r>
      <w:bookmarkEnd w:id="1178"/>
    </w:p>
    <w:p w14:paraId="79189144">
      <w:pPr>
        <w:widowControl/>
        <w:wordWrap w:val="0"/>
        <w:topLinePunct/>
        <w:adjustRightInd w:val="0"/>
        <w:snapToGrid w:val="0"/>
        <w:spacing w:after="120" w:afterLines="50" w:line="360" w:lineRule="auto"/>
        <w:outlineLvl w:val="2"/>
        <w:rPr>
          <w:rFonts w:ascii="宋体" w:hAnsi="宋体" w:cs="宋体"/>
          <w:color w:val="auto"/>
          <w:highlight w:val="none"/>
        </w:rPr>
      </w:pPr>
      <w:bookmarkStart w:id="1179" w:name="_Ref532670393"/>
      <w:bookmarkEnd w:id="1179"/>
      <w:bookmarkStart w:id="1180" w:name="_Ref532668569"/>
      <w:bookmarkEnd w:id="1180"/>
      <w:bookmarkStart w:id="1181" w:name="_Ref532670395"/>
      <w:bookmarkEnd w:id="1181"/>
      <w:bookmarkStart w:id="1182" w:name="_Ref532677087"/>
      <w:bookmarkEnd w:id="1182"/>
      <w:bookmarkStart w:id="1183" w:name="_Toc20171824"/>
      <w:bookmarkEnd w:id="1183"/>
      <w:bookmarkStart w:id="1184" w:name="_Ref532668573"/>
      <w:bookmarkEnd w:id="1184"/>
      <w:bookmarkStart w:id="1185" w:name="_Ref532677084"/>
      <w:bookmarkStart w:id="1186" w:name="_Toc179885349"/>
      <w:bookmarkStart w:id="1187" w:name="_Toc58860264"/>
      <w:bookmarkStart w:id="1188" w:name="_Toc51766677"/>
      <w:bookmarkStart w:id="1189" w:name="_Toc84930813"/>
      <w:bookmarkStart w:id="1190" w:name="_Toc30737"/>
      <w:bookmarkStart w:id="1191" w:name="_Toc66"/>
      <w:bookmarkStart w:id="1192" w:name="_Toc25570"/>
      <w:r>
        <w:rPr>
          <w:rFonts w:hint="eastAsia" w:ascii="宋体" w:hAnsi="宋体" w:cs="宋体"/>
          <w:color w:val="auto"/>
          <w:szCs w:val="21"/>
          <w:highlight w:val="none"/>
          <w:lang w:bidi="ar"/>
        </w:rPr>
        <w:t>1</w:t>
      </w:r>
      <w:bookmarkEnd w:id="1185"/>
      <w:r>
        <w:rPr>
          <w:rFonts w:hint="eastAsia" w:ascii="宋体" w:hAnsi="宋体" w:cs="宋体"/>
          <w:color w:val="auto"/>
          <w:szCs w:val="21"/>
          <w:highlight w:val="none"/>
          <w:lang w:bidi="ar"/>
        </w:rPr>
        <w:t>3.1  发包人变更权</w:t>
      </w:r>
      <w:bookmarkEnd w:id="1186"/>
      <w:bookmarkEnd w:id="1187"/>
      <w:bookmarkEnd w:id="1188"/>
      <w:bookmarkEnd w:id="1189"/>
      <w:bookmarkEnd w:id="1190"/>
      <w:bookmarkEnd w:id="1191"/>
      <w:bookmarkEnd w:id="1192"/>
      <w:r>
        <w:rPr>
          <w:rFonts w:hint="eastAsia" w:ascii="宋体" w:hAnsi="宋体" w:cs="宋体"/>
          <w:color w:val="auto"/>
          <w:szCs w:val="21"/>
          <w:highlight w:val="none"/>
          <w:lang w:bidi="ar"/>
        </w:rPr>
        <w:t xml:space="preserve"> </w:t>
      </w:r>
    </w:p>
    <w:p w14:paraId="05984736">
      <w:pPr>
        <w:widowControl/>
        <w:adjustRightInd w:val="0"/>
        <w:snapToGrid w:val="0"/>
        <w:spacing w:after="120" w:afterLines="50" w:line="360" w:lineRule="auto"/>
        <w:ind w:firstLine="420" w:firstLineChars="200"/>
        <w:rPr>
          <w:rFonts w:ascii="宋体" w:hAnsi="宋体" w:cs="宋体"/>
          <w:color w:val="auto"/>
          <w:highlight w:val="none"/>
        </w:rPr>
      </w:pPr>
      <w:bookmarkStart w:id="1193" w:name="_Ref4534979"/>
      <w:bookmarkEnd w:id="1193"/>
      <w:r>
        <w:rPr>
          <w:rFonts w:hint="eastAsia" w:ascii="宋体" w:hAnsi="宋体" w:cs="宋体"/>
          <w:color w:val="auto"/>
          <w:szCs w:val="21"/>
          <w:highlight w:val="none"/>
          <w:lang w:bidi="ar"/>
        </w:rPr>
        <w:t>13.1.1变更指示应经发包人同意，并由工程师发出经发包人签认的变更指示。除第11.3.</w:t>
      </w:r>
      <w:r>
        <w:rPr>
          <w:rFonts w:ascii="宋体" w:hAnsi="宋体" w:cs="宋体"/>
          <w:color w:val="auto"/>
          <w:szCs w:val="21"/>
          <w:highlight w:val="none"/>
          <w:lang w:bidi="ar"/>
        </w:rPr>
        <w:t>6</w:t>
      </w:r>
      <w:r>
        <w:rPr>
          <w:rFonts w:hint="eastAsia" w:ascii="宋体" w:hAnsi="宋体" w:cs="宋体"/>
          <w:color w:val="auto"/>
          <w:szCs w:val="21"/>
          <w:highlight w:val="none"/>
          <w:lang w:bidi="ar"/>
        </w:rPr>
        <w:t>项[未能修复]约定的情况外，变更不应包括准备将任何工作删减并交由他人或发包人自行实施的情况。承包人收到变更指示后，方可实施变更。未经许可，承包人不得擅自对工程的任何部分进行变更。发包人与承包人对某项指示或批准是否构成变更产生争议的，按第20条[争议解决]处理。</w:t>
      </w:r>
    </w:p>
    <w:p w14:paraId="6495D959">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13.1.2承包人应按照变更指示执行，除非承包人及时向工程师发出通知，说明该项变更指示将降低工程的安全性、稳定性或适用性；涉及的工作内容和范围不可预见；所涉设备难以采购；导致承包人无法执行第</w:t>
      </w:r>
      <w:r>
        <w:rPr>
          <w:rFonts w:ascii="宋体" w:hAnsi="宋体" w:cs="宋体"/>
          <w:color w:val="auto"/>
          <w:szCs w:val="21"/>
          <w:highlight w:val="none"/>
          <w:lang w:bidi="ar"/>
        </w:rPr>
        <w:t>7.5</w:t>
      </w:r>
      <w:r>
        <w:rPr>
          <w:rFonts w:hint="eastAsia" w:ascii="宋体" w:hAnsi="宋体" w:cs="宋体"/>
          <w:color w:val="auto"/>
          <w:szCs w:val="21"/>
          <w:highlight w:val="none"/>
          <w:lang w:bidi="ar"/>
        </w:rPr>
        <w:t>款[现场劳动用工]、第7</w:t>
      </w:r>
      <w:r>
        <w:rPr>
          <w:rFonts w:ascii="宋体" w:hAnsi="宋体" w:cs="宋体"/>
          <w:color w:val="auto"/>
          <w:szCs w:val="21"/>
          <w:highlight w:val="none"/>
          <w:lang w:bidi="ar"/>
        </w:rPr>
        <w:t>.6</w:t>
      </w:r>
      <w:r>
        <w:rPr>
          <w:rFonts w:hint="eastAsia" w:ascii="宋体" w:hAnsi="宋体" w:cs="宋体"/>
          <w:color w:val="auto"/>
          <w:szCs w:val="21"/>
          <w:highlight w:val="none"/>
          <w:lang w:bidi="ar"/>
        </w:rPr>
        <w:t>款[安全文明施工</w:t>
      </w:r>
      <w:r>
        <w:rPr>
          <w:rFonts w:ascii="宋体" w:hAnsi="宋体" w:cs="宋体"/>
          <w:color w:val="auto"/>
          <w:szCs w:val="21"/>
          <w:highlight w:val="none"/>
          <w:lang w:bidi="ar"/>
        </w:rPr>
        <w:t>]</w:t>
      </w:r>
      <w:r>
        <w:rPr>
          <w:rFonts w:hint="eastAsia" w:ascii="宋体" w:hAnsi="宋体" w:cs="宋体"/>
          <w:color w:val="auto"/>
          <w:szCs w:val="21"/>
          <w:highlight w:val="none"/>
          <w:lang w:bidi="ar"/>
        </w:rPr>
        <w:t>、第</w:t>
      </w:r>
      <w:r>
        <w:rPr>
          <w:rFonts w:ascii="宋体" w:hAnsi="宋体" w:cs="宋体"/>
          <w:color w:val="auto"/>
          <w:szCs w:val="21"/>
          <w:highlight w:val="none"/>
          <w:lang w:bidi="ar"/>
        </w:rPr>
        <w:t>7.7</w:t>
      </w:r>
      <w:r>
        <w:rPr>
          <w:rFonts w:hint="eastAsia" w:ascii="宋体" w:hAnsi="宋体" w:cs="宋体"/>
          <w:color w:val="auto"/>
          <w:szCs w:val="21"/>
          <w:highlight w:val="none"/>
          <w:lang w:bidi="ar"/>
        </w:rPr>
        <w:t>款[</w:t>
      </w:r>
      <w:r>
        <w:rPr>
          <w:rFonts w:ascii="宋体" w:hAnsi="宋体" w:cs="宋体"/>
          <w:color w:val="auto"/>
          <w:szCs w:val="21"/>
          <w:highlight w:val="none"/>
          <w:lang w:bidi="ar"/>
        </w:rPr>
        <w:t>职业健康]</w:t>
      </w:r>
      <w:r>
        <w:rPr>
          <w:rFonts w:hint="eastAsia" w:ascii="宋体" w:hAnsi="宋体" w:cs="宋体"/>
          <w:color w:val="auto"/>
          <w:szCs w:val="21"/>
          <w:highlight w:val="none"/>
          <w:lang w:bidi="ar"/>
        </w:rPr>
        <w:t>或第</w:t>
      </w:r>
      <w:r>
        <w:rPr>
          <w:rFonts w:ascii="宋体" w:hAnsi="宋体" w:cs="宋体"/>
          <w:color w:val="auto"/>
          <w:szCs w:val="21"/>
          <w:highlight w:val="none"/>
          <w:lang w:bidi="ar"/>
        </w:rPr>
        <w:t>7.8</w:t>
      </w:r>
      <w:r>
        <w:rPr>
          <w:rFonts w:hint="eastAsia" w:ascii="宋体" w:hAnsi="宋体" w:cs="宋体"/>
          <w:color w:val="auto"/>
          <w:szCs w:val="21"/>
          <w:highlight w:val="none"/>
          <w:lang w:bidi="ar"/>
        </w:rPr>
        <w:t>款[环境保护</w:t>
      </w:r>
      <w:r>
        <w:rPr>
          <w:rFonts w:ascii="宋体" w:hAnsi="宋体" w:cs="宋体"/>
          <w:color w:val="auto"/>
          <w:szCs w:val="21"/>
          <w:highlight w:val="none"/>
          <w:lang w:bidi="ar"/>
        </w:rPr>
        <w:t>]</w:t>
      </w:r>
      <w:r>
        <w:rPr>
          <w:rFonts w:hint="eastAsia" w:ascii="宋体" w:hAnsi="宋体" w:cs="宋体"/>
          <w:color w:val="auto"/>
          <w:szCs w:val="21"/>
          <w:highlight w:val="none"/>
          <w:lang w:bidi="ar"/>
        </w:rPr>
        <w:t>内容；将造成工期延误；与第4.1款[承包人的一般义务]相冲突等无法执行的理由。工程师接到承包人的通知后，应作出经发包人签认的取消、确认或改变原指示的书面回复。</w:t>
      </w:r>
    </w:p>
    <w:p w14:paraId="1FF86B3E">
      <w:pPr>
        <w:widowControl/>
        <w:adjustRightInd w:val="0"/>
        <w:snapToGrid w:val="0"/>
        <w:spacing w:after="120" w:afterLines="50" w:line="360" w:lineRule="auto"/>
        <w:rPr>
          <w:rFonts w:ascii="宋体" w:hAnsi="宋体" w:cs="宋体"/>
          <w:color w:val="auto"/>
          <w:highlight w:val="none"/>
        </w:rPr>
      </w:pPr>
      <w:bookmarkStart w:id="1194" w:name="_Toc20171825"/>
      <w:bookmarkEnd w:id="1194"/>
      <w:bookmarkStart w:id="1195" w:name="_Ref4623207"/>
      <w:bookmarkEnd w:id="1195"/>
      <w:bookmarkStart w:id="1196" w:name="_Ref531955590"/>
      <w:bookmarkEnd w:id="1196"/>
      <w:bookmarkStart w:id="1197" w:name="_Ref531955587"/>
      <w:r>
        <w:rPr>
          <w:rFonts w:hint="eastAsia" w:ascii="宋体" w:hAnsi="宋体" w:cs="宋体"/>
          <w:color w:val="auto"/>
          <w:szCs w:val="21"/>
          <w:highlight w:val="none"/>
          <w:lang w:bidi="ar"/>
        </w:rPr>
        <w:t>1</w:t>
      </w:r>
      <w:bookmarkEnd w:id="1197"/>
      <w:r>
        <w:rPr>
          <w:rFonts w:hint="eastAsia" w:ascii="宋体" w:hAnsi="宋体" w:cs="宋体"/>
          <w:color w:val="auto"/>
          <w:szCs w:val="21"/>
          <w:highlight w:val="none"/>
          <w:lang w:bidi="ar"/>
        </w:rPr>
        <w:t>3.2  承包人的合理化建议</w:t>
      </w:r>
    </w:p>
    <w:p w14:paraId="5FFEE034">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13.2.1承包人提出合理化建议的，应向工程师提交合理化建议说明，说明建议的内容、理由以及实施该建议对合同价格和工期的影响。</w:t>
      </w:r>
    </w:p>
    <w:p w14:paraId="319FD89D">
      <w:pPr>
        <w:widowControl/>
        <w:adjustRightInd w:val="0"/>
        <w:snapToGrid w:val="0"/>
        <w:spacing w:after="120" w:afterLines="50" w:line="360" w:lineRule="auto"/>
        <w:ind w:firstLine="420" w:firstLineChars="200"/>
        <w:rPr>
          <w:rFonts w:ascii="宋体" w:hAnsi="宋体" w:cs="宋体"/>
          <w:color w:val="auto"/>
          <w:highlight w:val="none"/>
        </w:rPr>
      </w:pPr>
      <w:bookmarkStart w:id="1198" w:name="_Ref4681686"/>
      <w:bookmarkEnd w:id="1198"/>
      <w:r>
        <w:rPr>
          <w:rFonts w:hint="eastAsia" w:ascii="宋体" w:hAnsi="宋体" w:cs="宋体"/>
          <w:color w:val="auto"/>
          <w:szCs w:val="21"/>
          <w:highlight w:val="none"/>
          <w:lang w:bidi="ar"/>
        </w:rPr>
        <w:t>13.2.2除专用合同条件另有约定外，</w:t>
      </w:r>
      <w:bookmarkStart w:id="1199" w:name="_Hlk4682273"/>
      <w:r>
        <w:rPr>
          <w:rFonts w:hint="eastAsia" w:ascii="宋体" w:hAnsi="宋体" w:cs="宋体"/>
          <w:color w:val="auto"/>
          <w:szCs w:val="21"/>
          <w:highlight w:val="none"/>
          <w:lang w:bidi="ar"/>
        </w:rPr>
        <w:t>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w:t>
      </w:r>
      <w:bookmarkEnd w:id="1199"/>
      <w:r>
        <w:rPr>
          <w:rFonts w:hint="eastAsia" w:ascii="宋体" w:hAnsi="宋体" w:cs="宋体"/>
          <w:color w:val="auto"/>
          <w:szCs w:val="21"/>
          <w:highlight w:val="none"/>
          <w:lang w:bidi="ar"/>
        </w:rPr>
        <w:t>13.3.3项[变更估价]约定执行。发包人不同意变更的，工程师应书面通知承包人。</w:t>
      </w:r>
    </w:p>
    <w:p w14:paraId="1841EFA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13.2.3合理化建议降低了合同价格、缩短了工期或者提高了工程经济效益的，双方可以按照专用合同条件的约定进行利益分享。</w:t>
      </w:r>
    </w:p>
    <w:p w14:paraId="11D4AE81">
      <w:pPr>
        <w:widowControl/>
        <w:wordWrap w:val="0"/>
        <w:topLinePunct/>
        <w:adjustRightInd w:val="0"/>
        <w:snapToGrid w:val="0"/>
        <w:spacing w:after="120" w:afterLines="50" w:line="360" w:lineRule="auto"/>
        <w:outlineLvl w:val="2"/>
        <w:rPr>
          <w:rFonts w:ascii="宋体" w:hAnsi="宋体" w:cs="宋体"/>
          <w:color w:val="auto"/>
          <w:highlight w:val="none"/>
        </w:rPr>
      </w:pPr>
      <w:bookmarkStart w:id="1200" w:name="_Ref532671480"/>
      <w:bookmarkEnd w:id="1200"/>
      <w:bookmarkStart w:id="1201" w:name="_Ref532669305"/>
      <w:bookmarkEnd w:id="1201"/>
      <w:bookmarkStart w:id="1202" w:name="_Ref532673538"/>
      <w:bookmarkEnd w:id="1202"/>
      <w:bookmarkStart w:id="1203" w:name="_Ref532669302"/>
      <w:bookmarkEnd w:id="1203"/>
      <w:bookmarkStart w:id="1204" w:name="_Toc20171826"/>
      <w:bookmarkEnd w:id="1204"/>
      <w:bookmarkStart w:id="1205" w:name="_Ref532673541"/>
      <w:bookmarkEnd w:id="1205"/>
      <w:bookmarkStart w:id="1206" w:name="_Ref532671484"/>
      <w:bookmarkStart w:id="1207" w:name="_Toc84930814"/>
      <w:bookmarkStart w:id="1208" w:name="_Toc58860265"/>
      <w:bookmarkStart w:id="1209" w:name="_Toc4113"/>
      <w:bookmarkStart w:id="1210" w:name="_Toc23815"/>
      <w:bookmarkStart w:id="1211" w:name="_Toc51766678"/>
      <w:bookmarkStart w:id="1212" w:name="_Toc179885350"/>
      <w:bookmarkStart w:id="1213" w:name="_Toc2940"/>
      <w:r>
        <w:rPr>
          <w:rFonts w:hint="eastAsia" w:ascii="宋体" w:hAnsi="宋体" w:cs="宋体"/>
          <w:color w:val="auto"/>
          <w:szCs w:val="21"/>
          <w:highlight w:val="none"/>
          <w:lang w:bidi="ar"/>
        </w:rPr>
        <w:t>1</w:t>
      </w:r>
      <w:bookmarkEnd w:id="1206"/>
      <w:r>
        <w:rPr>
          <w:rFonts w:hint="eastAsia" w:ascii="宋体" w:hAnsi="宋体" w:cs="宋体"/>
          <w:color w:val="auto"/>
          <w:szCs w:val="21"/>
          <w:highlight w:val="none"/>
          <w:lang w:bidi="ar"/>
        </w:rPr>
        <w:t>3.3  变更程序</w:t>
      </w:r>
      <w:bookmarkEnd w:id="1207"/>
      <w:bookmarkEnd w:id="1208"/>
      <w:bookmarkEnd w:id="1209"/>
      <w:bookmarkEnd w:id="1210"/>
      <w:bookmarkEnd w:id="1211"/>
      <w:bookmarkEnd w:id="1212"/>
      <w:bookmarkEnd w:id="1213"/>
    </w:p>
    <w:p w14:paraId="7542E9E1">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214" w:name="_Ref4534600"/>
      <w:bookmarkEnd w:id="1214"/>
      <w:r>
        <w:rPr>
          <w:rFonts w:hint="eastAsia" w:ascii="宋体" w:hAnsi="宋体" w:cs="宋体"/>
          <w:color w:val="auto"/>
          <w:szCs w:val="21"/>
          <w:highlight w:val="none"/>
          <w:lang w:bidi="ar"/>
        </w:rPr>
        <w:t>13.3.1发包人提出变更</w:t>
      </w:r>
    </w:p>
    <w:p w14:paraId="00AEE66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发包人提出变更的，应通过工程师向承包人发出书面形式的变更指示，变更指示应说明计划变更的工程范围和变更的内容。</w:t>
      </w:r>
    </w:p>
    <w:p w14:paraId="334A3A72">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215" w:name="_Ref4534617"/>
      <w:bookmarkEnd w:id="1215"/>
      <w:r>
        <w:rPr>
          <w:rFonts w:hint="eastAsia" w:ascii="宋体" w:hAnsi="宋体" w:cs="宋体"/>
          <w:color w:val="auto"/>
          <w:szCs w:val="21"/>
          <w:highlight w:val="none"/>
          <w:lang w:bidi="ar"/>
        </w:rPr>
        <w:t>13.3.2变更执行</w:t>
      </w:r>
    </w:p>
    <w:p w14:paraId="31DE0FF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13.3.3项[变更估价]约定确定变更估价。</w:t>
      </w:r>
    </w:p>
    <w:p w14:paraId="597B783D">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216" w:name="_Ref3835481"/>
      <w:bookmarkEnd w:id="1216"/>
      <w:r>
        <w:rPr>
          <w:rFonts w:hint="eastAsia" w:ascii="宋体" w:hAnsi="宋体" w:cs="宋体"/>
          <w:color w:val="auto"/>
          <w:szCs w:val="21"/>
          <w:highlight w:val="none"/>
          <w:lang w:bidi="ar"/>
        </w:rPr>
        <w:t>13.3.3变更估价</w:t>
      </w:r>
    </w:p>
    <w:p w14:paraId="774ECB2B">
      <w:pPr>
        <w:widowControl/>
        <w:wordWrap w:val="0"/>
        <w:topLinePunct/>
        <w:autoSpaceDE w:val="0"/>
        <w:autoSpaceDN w:val="0"/>
        <w:adjustRightInd w:val="0"/>
        <w:snapToGrid w:val="0"/>
        <w:spacing w:after="120" w:afterLines="50" w:line="360" w:lineRule="auto"/>
        <w:ind w:left="480"/>
        <w:rPr>
          <w:rFonts w:ascii="宋体" w:hAnsi="宋体" w:cs="宋体"/>
          <w:color w:val="auto"/>
          <w:highlight w:val="none"/>
        </w:rPr>
      </w:pPr>
      <w:r>
        <w:rPr>
          <w:rFonts w:hint="eastAsia" w:ascii="宋体" w:hAnsi="宋体" w:cs="宋体"/>
          <w:color w:val="auto"/>
          <w:szCs w:val="21"/>
          <w:highlight w:val="none"/>
          <w:lang w:bidi="ar"/>
        </w:rPr>
        <w:t>13.3.3.1变更估价原则</w:t>
      </w:r>
    </w:p>
    <w:p w14:paraId="41FF013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除专用合同条件另有约定外，变更估价按照本款约定处理：</w:t>
      </w:r>
    </w:p>
    <w:p w14:paraId="6C16A48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（1）合同中未包含价格清单，合同价格应按照所执行的变更工程的成本加利润调整；</w:t>
      </w:r>
    </w:p>
    <w:p w14:paraId="6F154E8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（2）合同中包含价格清单，合同价格按照如下规则调整：</w:t>
      </w:r>
    </w:p>
    <w:p w14:paraId="4C0C3E8A">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1）价格清单中有适用于变更工程项目的，应采用该项目的费率和价格；</w:t>
      </w:r>
    </w:p>
    <w:p w14:paraId="6B61A39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2）价格清单中没有适用但有类似于变更工程项目的，可在合理范围内参照类似项目的费率或价格；</w:t>
      </w:r>
    </w:p>
    <w:p w14:paraId="7261D45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3）价格清单中没有适用也没有类似于变更工程项目的，该工程项目应按成本加利润原则调整适用新的费率或价格。</w:t>
      </w:r>
    </w:p>
    <w:p w14:paraId="1B1E8FC5">
      <w:pPr>
        <w:widowControl/>
        <w:wordWrap w:val="0"/>
        <w:topLinePunct/>
        <w:autoSpaceDE w:val="0"/>
        <w:autoSpaceDN w:val="0"/>
        <w:adjustRightInd w:val="0"/>
        <w:snapToGrid w:val="0"/>
        <w:spacing w:after="120" w:afterLines="50" w:line="360" w:lineRule="auto"/>
        <w:ind w:left="480"/>
        <w:rPr>
          <w:rFonts w:ascii="宋体" w:hAnsi="宋体" w:cs="宋体"/>
          <w:color w:val="auto"/>
          <w:highlight w:val="none"/>
        </w:rPr>
      </w:pPr>
      <w:r>
        <w:rPr>
          <w:rFonts w:hint="eastAsia" w:ascii="宋体" w:hAnsi="宋体" w:cs="宋体"/>
          <w:color w:val="auto"/>
          <w:szCs w:val="21"/>
          <w:highlight w:val="none"/>
          <w:lang w:bidi="ar"/>
        </w:rPr>
        <w:t>13.3.3.2变更估价程序</w:t>
      </w:r>
    </w:p>
    <w:p w14:paraId="44115AA0">
      <w:pPr>
        <w:widowControl/>
        <w:adjustRightInd w:val="0"/>
        <w:snapToGrid w:val="0"/>
        <w:spacing w:after="120" w:afterLines="50" w:line="360" w:lineRule="auto"/>
        <w:ind w:firstLine="420" w:firstLineChars="200"/>
        <w:rPr>
          <w:rFonts w:ascii="宋体" w:hAnsi="宋体" w:cs="宋体"/>
          <w:color w:val="auto"/>
          <w:kern w:val="0"/>
          <w:highlight w:val="none"/>
        </w:rPr>
      </w:pPr>
      <w:bookmarkStart w:id="1217" w:name="_Ref531955605"/>
      <w:bookmarkEnd w:id="1217"/>
      <w:bookmarkStart w:id="1218" w:name="_Toc296503150"/>
      <w:bookmarkEnd w:id="1218"/>
      <w:bookmarkStart w:id="1219" w:name="_Toc296346651"/>
      <w:bookmarkEnd w:id="1219"/>
      <w:bookmarkStart w:id="1220" w:name="_Ref531955607"/>
      <w:bookmarkEnd w:id="1220"/>
      <w:bookmarkStart w:id="1221" w:name="_Toc337558844"/>
      <w:r>
        <w:rPr>
          <w:rFonts w:hint="eastAsia" w:ascii="宋体" w:hAnsi="宋体" w:cs="宋体"/>
          <w:color w:val="auto"/>
          <w:kern w:val="0"/>
          <w:szCs w:val="21"/>
          <w:highlight w:val="none"/>
          <w:lang w:bidi="ar"/>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bookmarkEnd w:id="1221"/>
    </w:p>
    <w:p w14:paraId="59314CA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因变更引起的价格调整应计入最近一期的进度款中支付。</w:t>
      </w:r>
    </w:p>
    <w:p w14:paraId="5870AF7C">
      <w:pPr>
        <w:widowControl/>
        <w:wordWrap w:val="0"/>
        <w:topLinePunct/>
        <w:adjustRightInd w:val="0"/>
        <w:snapToGrid w:val="0"/>
        <w:spacing w:after="120" w:afterLines="50" w:line="360" w:lineRule="auto"/>
        <w:ind w:left="480"/>
        <w:outlineLvl w:val="3"/>
        <w:rPr>
          <w:rFonts w:ascii="宋体" w:hAnsi="宋体" w:cs="宋体"/>
          <w:color w:val="auto"/>
          <w:highlight w:val="none"/>
        </w:rPr>
      </w:pPr>
      <w:r>
        <w:rPr>
          <w:rFonts w:hint="eastAsia" w:ascii="宋体" w:hAnsi="宋体" w:cs="宋体"/>
          <w:color w:val="auto"/>
          <w:szCs w:val="21"/>
          <w:highlight w:val="none"/>
          <w:lang w:bidi="ar"/>
        </w:rPr>
        <w:t>13.3.4变更引起的工期调整</w:t>
      </w:r>
    </w:p>
    <w:p w14:paraId="690A7E5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因变更引起工期变化的，合同当事人均可要求调整合同工期，由合同当事人按照第3.6款[商定或确定]并参考工程所在地的工期定额标准确定增减工期天数。</w:t>
      </w:r>
    </w:p>
    <w:p w14:paraId="74B695F9">
      <w:pPr>
        <w:widowControl/>
        <w:wordWrap w:val="0"/>
        <w:topLinePunct/>
        <w:adjustRightInd w:val="0"/>
        <w:snapToGrid w:val="0"/>
        <w:spacing w:after="120" w:afterLines="50" w:line="360" w:lineRule="auto"/>
        <w:outlineLvl w:val="2"/>
        <w:rPr>
          <w:rFonts w:ascii="宋体" w:hAnsi="宋体" w:cs="宋体"/>
          <w:color w:val="auto"/>
          <w:highlight w:val="none"/>
        </w:rPr>
      </w:pPr>
      <w:bookmarkStart w:id="1222" w:name="_Ref4431237"/>
      <w:bookmarkEnd w:id="1222"/>
      <w:bookmarkStart w:id="1223" w:name="_Toc20171827"/>
      <w:bookmarkStart w:id="1224" w:name="_Toc31527"/>
      <w:bookmarkStart w:id="1225" w:name="_Toc51766679"/>
      <w:bookmarkStart w:id="1226" w:name="_Toc179885351"/>
      <w:bookmarkStart w:id="1227" w:name="_Toc58860266"/>
      <w:bookmarkStart w:id="1228" w:name="_Toc8910"/>
      <w:bookmarkStart w:id="1229" w:name="_Toc84930815"/>
      <w:bookmarkStart w:id="1230" w:name="_Toc14495"/>
      <w:r>
        <w:rPr>
          <w:rFonts w:hint="eastAsia" w:ascii="宋体" w:hAnsi="宋体" w:cs="宋体"/>
          <w:color w:val="auto"/>
          <w:szCs w:val="21"/>
          <w:highlight w:val="none"/>
          <w:lang w:bidi="ar"/>
        </w:rPr>
        <w:t>1</w:t>
      </w:r>
      <w:bookmarkEnd w:id="1223"/>
      <w:r>
        <w:rPr>
          <w:rFonts w:hint="eastAsia" w:ascii="宋体" w:hAnsi="宋体" w:cs="宋体"/>
          <w:color w:val="auto"/>
          <w:szCs w:val="21"/>
          <w:highlight w:val="none"/>
          <w:lang w:bidi="ar"/>
        </w:rPr>
        <w:t>3.4  暂估价</w:t>
      </w:r>
      <w:bookmarkEnd w:id="1224"/>
      <w:bookmarkEnd w:id="1225"/>
      <w:bookmarkEnd w:id="1226"/>
      <w:bookmarkEnd w:id="1227"/>
      <w:bookmarkEnd w:id="1228"/>
      <w:bookmarkEnd w:id="1229"/>
      <w:bookmarkEnd w:id="1230"/>
    </w:p>
    <w:p w14:paraId="30EB44D8">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231" w:name="_Ref4616729"/>
      <w:bookmarkEnd w:id="1231"/>
      <w:r>
        <w:rPr>
          <w:rFonts w:hint="eastAsia" w:ascii="宋体" w:hAnsi="宋体" w:cs="宋体"/>
          <w:color w:val="auto"/>
          <w:szCs w:val="21"/>
          <w:highlight w:val="none"/>
          <w:lang w:bidi="ar"/>
        </w:rPr>
        <w:t>13.4.1依法必须招标的暂估价项目</w:t>
      </w:r>
    </w:p>
    <w:p w14:paraId="2CB4617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对于依法必须招标的暂估价项目，专用合同条件约定由承包人作为招标人的，招标文件、评标方案、评标结果应报送发包人批准。与组织招标工作有关的费用应当被认为已经包括在承包人的签约合同价中。</w:t>
      </w:r>
    </w:p>
    <w:p w14:paraId="309ABEB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专用合同条件约定由发包人和承包人共同作为招标人的，与组织招标工作有关的费用在专用合同条件中约定。</w:t>
      </w:r>
    </w:p>
    <w:p w14:paraId="1A91995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具体的招标程序以及发包人和承包人权利义务关系可在专用合同条件中约定。暂估价项目的中标金额与价格清单中所列暂估价的金额差以及相应的税金等其他费用应列入合同价格。</w:t>
      </w:r>
    </w:p>
    <w:p w14:paraId="25424F78">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232" w:name="_Ref4682312"/>
      <w:bookmarkEnd w:id="1232"/>
      <w:r>
        <w:rPr>
          <w:rFonts w:hint="eastAsia" w:ascii="宋体" w:hAnsi="宋体" w:cs="宋体"/>
          <w:color w:val="auto"/>
          <w:szCs w:val="21"/>
          <w:highlight w:val="none"/>
          <w:lang w:bidi="ar"/>
        </w:rPr>
        <w:t>13.4.2不属于依法必须招标的暂估价项目</w:t>
      </w:r>
    </w:p>
    <w:p w14:paraId="36EBC07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14:paraId="5F02114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67C15C9B">
      <w:pPr>
        <w:widowControl/>
        <w:wordWrap w:val="0"/>
        <w:topLinePunct/>
        <w:adjustRightInd w:val="0"/>
        <w:snapToGrid w:val="0"/>
        <w:spacing w:after="120" w:afterLines="50" w:line="360" w:lineRule="auto"/>
        <w:outlineLvl w:val="2"/>
        <w:rPr>
          <w:rFonts w:ascii="宋体" w:hAnsi="宋体" w:cs="宋体"/>
          <w:color w:val="auto"/>
          <w:highlight w:val="none"/>
        </w:rPr>
      </w:pPr>
      <w:bookmarkStart w:id="1233" w:name="_Ref4431250"/>
      <w:bookmarkEnd w:id="1233"/>
      <w:bookmarkStart w:id="1234" w:name="_Toc20171828"/>
      <w:bookmarkStart w:id="1235" w:name="_Toc51766680"/>
      <w:bookmarkStart w:id="1236" w:name="_Toc84930816"/>
      <w:bookmarkStart w:id="1237" w:name="_Toc58860267"/>
      <w:bookmarkStart w:id="1238" w:name="_Toc179885352"/>
      <w:bookmarkStart w:id="1239" w:name="_Toc28663"/>
      <w:bookmarkStart w:id="1240" w:name="_Toc12815"/>
      <w:bookmarkStart w:id="1241" w:name="_Toc21640"/>
      <w:r>
        <w:rPr>
          <w:rFonts w:hint="eastAsia" w:ascii="宋体" w:hAnsi="宋体" w:cs="宋体"/>
          <w:color w:val="auto"/>
          <w:szCs w:val="21"/>
          <w:highlight w:val="none"/>
          <w:lang w:bidi="ar"/>
        </w:rPr>
        <w:t>1</w:t>
      </w:r>
      <w:bookmarkEnd w:id="1234"/>
      <w:r>
        <w:rPr>
          <w:rFonts w:hint="eastAsia" w:ascii="宋体" w:hAnsi="宋体" w:cs="宋体"/>
          <w:color w:val="auto"/>
          <w:szCs w:val="21"/>
          <w:highlight w:val="none"/>
          <w:lang w:bidi="ar"/>
        </w:rPr>
        <w:t>3.5  暂列金额</w:t>
      </w:r>
      <w:bookmarkEnd w:id="1235"/>
      <w:bookmarkEnd w:id="1236"/>
      <w:bookmarkEnd w:id="1237"/>
      <w:bookmarkEnd w:id="1238"/>
      <w:bookmarkEnd w:id="1239"/>
      <w:bookmarkEnd w:id="1240"/>
      <w:bookmarkEnd w:id="1241"/>
      <w:r>
        <w:rPr>
          <w:rFonts w:hint="eastAsia" w:ascii="宋体" w:hAnsi="宋体" w:cs="宋体"/>
          <w:color w:val="auto"/>
          <w:szCs w:val="21"/>
          <w:highlight w:val="none"/>
          <w:lang w:bidi="ar"/>
        </w:rPr>
        <w:t xml:space="preserve"> </w:t>
      </w:r>
    </w:p>
    <w:p w14:paraId="269E036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14:paraId="1ABDEB7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对于每笔暂列金额，发包人可以指示用于下列支付：</w:t>
      </w:r>
    </w:p>
    <w:p w14:paraId="3947C0F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（1）发包人根据第13.1款[发包人变更权]指示变更，决定对合同价格和付款计划表（如有）进行调整的、由承包人实施的工作（包括要提供的工程设备、材料和服务）；</w:t>
      </w:r>
    </w:p>
    <w:p w14:paraId="53B5BF6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承包人购买的工程设备、材料、工作或服务，应支付包括承包人已付（或应付）的实际金额以及相应的管理费等费用和利润（管理费和利润应以实际金额为基数根据合同约定的费率（如有）或百分比计算）。</w:t>
      </w:r>
    </w:p>
    <w:p w14:paraId="4037C99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根据上述(1)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14:paraId="7B8097F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每份包含暂列金额的文件还应包括用以证明暂列金额的所有有效的发票、凭证和账户或收据。</w:t>
      </w:r>
    </w:p>
    <w:p w14:paraId="22C49F09">
      <w:pPr>
        <w:widowControl/>
        <w:wordWrap w:val="0"/>
        <w:topLinePunct/>
        <w:adjustRightInd w:val="0"/>
        <w:snapToGrid w:val="0"/>
        <w:spacing w:after="120" w:afterLines="50" w:line="360" w:lineRule="auto"/>
        <w:outlineLvl w:val="2"/>
        <w:rPr>
          <w:rFonts w:ascii="宋体" w:hAnsi="宋体" w:cs="宋体"/>
          <w:color w:val="auto"/>
          <w:highlight w:val="none"/>
        </w:rPr>
      </w:pPr>
      <w:bookmarkStart w:id="1242" w:name="_Toc337558845"/>
      <w:bookmarkEnd w:id="1242"/>
      <w:bookmarkStart w:id="1243" w:name="_Toc296503152"/>
      <w:bookmarkEnd w:id="1243"/>
      <w:bookmarkStart w:id="1244" w:name="_Toc296346653"/>
      <w:bookmarkEnd w:id="1244"/>
      <w:bookmarkStart w:id="1245" w:name="_Toc20171829"/>
      <w:bookmarkEnd w:id="1245"/>
      <w:bookmarkStart w:id="1246" w:name="_Ref4431438"/>
      <w:bookmarkStart w:id="1247" w:name="_Toc12431"/>
      <w:bookmarkStart w:id="1248" w:name="_Toc12830"/>
      <w:bookmarkStart w:id="1249" w:name="_Toc51766681"/>
      <w:bookmarkStart w:id="1250" w:name="_Toc179885353"/>
      <w:bookmarkStart w:id="1251" w:name="_Toc84930817"/>
      <w:bookmarkStart w:id="1252" w:name="_Toc19476"/>
      <w:bookmarkStart w:id="1253" w:name="_Toc58860268"/>
      <w:r>
        <w:rPr>
          <w:rFonts w:hint="eastAsia" w:ascii="宋体" w:hAnsi="宋体" w:cs="宋体"/>
          <w:color w:val="auto"/>
          <w:szCs w:val="21"/>
          <w:highlight w:val="none"/>
          <w:lang w:bidi="ar"/>
        </w:rPr>
        <w:t>1</w:t>
      </w:r>
      <w:bookmarkEnd w:id="1246"/>
      <w:r>
        <w:rPr>
          <w:rFonts w:hint="eastAsia" w:ascii="宋体" w:hAnsi="宋体" w:cs="宋体"/>
          <w:color w:val="auto"/>
          <w:szCs w:val="21"/>
          <w:highlight w:val="none"/>
          <w:lang w:bidi="ar"/>
        </w:rPr>
        <w:t>3.6  计日工</w:t>
      </w:r>
      <w:bookmarkEnd w:id="1247"/>
      <w:bookmarkEnd w:id="1248"/>
      <w:bookmarkEnd w:id="1249"/>
      <w:bookmarkEnd w:id="1250"/>
      <w:bookmarkEnd w:id="1251"/>
      <w:bookmarkEnd w:id="1252"/>
      <w:bookmarkEnd w:id="1253"/>
    </w:p>
    <w:p w14:paraId="1E989E00">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13.6.1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3.6款[商定或确定]确定计日工的单价。</w:t>
      </w:r>
    </w:p>
    <w:p w14:paraId="5A5A5E60">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13.6.2采用计日工计价的任何一项工作，承包人应在该项工作实施过程中，每天提交以下报表和有关凭证报送工程师审查：</w:t>
      </w:r>
    </w:p>
    <w:p w14:paraId="197B984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（1）工作名称、内容和数量；</w:t>
      </w:r>
    </w:p>
    <w:p w14:paraId="0BA093F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（2）投入该工作的所有人员的姓名、专业、工种、级别和耗用工时；</w:t>
      </w:r>
    </w:p>
    <w:p w14:paraId="1052F5D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（3）投入该工作的材料类别和数量；</w:t>
      </w:r>
    </w:p>
    <w:p w14:paraId="1AFDEE2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（4）投入该工作的施工设备型号、台数和耗用台时；</w:t>
      </w:r>
    </w:p>
    <w:p w14:paraId="6642398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（5）其他有关资料和凭证。</w:t>
      </w:r>
    </w:p>
    <w:p w14:paraId="7860738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计日工由承包人汇总后，列入最近一期进度付款申请单，由工程师审查并经发包人批准后列入进度付款。</w:t>
      </w:r>
    </w:p>
    <w:p w14:paraId="224DCAAA">
      <w:pPr>
        <w:widowControl/>
        <w:wordWrap w:val="0"/>
        <w:topLinePunct/>
        <w:adjustRightInd w:val="0"/>
        <w:snapToGrid w:val="0"/>
        <w:spacing w:after="120" w:afterLines="50" w:line="360" w:lineRule="auto"/>
        <w:outlineLvl w:val="2"/>
        <w:rPr>
          <w:rFonts w:ascii="宋体" w:hAnsi="宋体" w:cs="宋体"/>
          <w:color w:val="auto"/>
          <w:highlight w:val="none"/>
        </w:rPr>
      </w:pPr>
      <w:bookmarkStart w:id="1254" w:name="_Toc20171830"/>
      <w:bookmarkEnd w:id="1254"/>
      <w:bookmarkStart w:id="1255" w:name="_Ref4617318"/>
      <w:bookmarkEnd w:id="1255"/>
      <w:bookmarkStart w:id="1256" w:name="_Ref4617331"/>
      <w:bookmarkStart w:id="1257" w:name="_Toc3388"/>
      <w:bookmarkStart w:id="1258" w:name="_Toc27802"/>
      <w:bookmarkStart w:id="1259" w:name="_Toc58860269"/>
      <w:bookmarkStart w:id="1260" w:name="_Toc84930818"/>
      <w:bookmarkStart w:id="1261" w:name="_Toc51766682"/>
      <w:bookmarkStart w:id="1262" w:name="_Toc12734"/>
      <w:bookmarkStart w:id="1263" w:name="_Toc179885354"/>
      <w:r>
        <w:rPr>
          <w:rFonts w:hint="eastAsia" w:ascii="宋体" w:hAnsi="宋体" w:cs="宋体"/>
          <w:color w:val="auto"/>
          <w:szCs w:val="21"/>
          <w:highlight w:val="none"/>
          <w:lang w:bidi="ar"/>
        </w:rPr>
        <w:t>1</w:t>
      </w:r>
      <w:bookmarkEnd w:id="1256"/>
      <w:r>
        <w:rPr>
          <w:rFonts w:hint="eastAsia" w:ascii="宋体" w:hAnsi="宋体" w:cs="宋体"/>
          <w:color w:val="auto"/>
          <w:szCs w:val="21"/>
          <w:highlight w:val="none"/>
          <w:lang w:bidi="ar"/>
        </w:rPr>
        <w:t>3.7  法律变化引起的调整</w:t>
      </w:r>
      <w:bookmarkEnd w:id="1257"/>
      <w:bookmarkEnd w:id="1258"/>
      <w:bookmarkEnd w:id="1259"/>
      <w:bookmarkEnd w:id="1260"/>
      <w:bookmarkEnd w:id="1261"/>
      <w:bookmarkEnd w:id="1262"/>
      <w:bookmarkEnd w:id="1263"/>
    </w:p>
    <w:p w14:paraId="19005288">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13.7.1基准日期后，法律变化导致承包人在合同履行过程中所需要的费用发生除第13.8款[市场价格波动引起的调整]约定以外的增加时，由发包人承担由此增加的费用；减少时，应从合同价格中予以扣减。基准日期后，因法律变化造成工期延误时，工期应予以顺延。</w:t>
      </w:r>
    </w:p>
    <w:p w14:paraId="6A40EFEC">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13.7.2因法律变化引起的合同价格和工期调整，合同当事人无法达成一致的，由工程师按第3.6款[商定或确定]的约定处理。</w:t>
      </w:r>
    </w:p>
    <w:p w14:paraId="7C8C9F35">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13.7.3因承包人原因造成工期延误，在工期延误期间出现法律变化的，由此增加的费用和（或）延误的工期由承包人承担。</w:t>
      </w:r>
    </w:p>
    <w:p w14:paraId="4E9BC370">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13.7.4因法律变化而需要对工程的实施进行任何调整的，承包人应迅速通知发包人，或者发包人应迅速通知承包人，并附上详细的辅助资料。发包人接到通知后，应根据第13.3款[变更程序]发出变更指示。</w:t>
      </w:r>
    </w:p>
    <w:p w14:paraId="25435F63">
      <w:pPr>
        <w:widowControl/>
        <w:wordWrap w:val="0"/>
        <w:topLinePunct/>
        <w:adjustRightInd w:val="0"/>
        <w:snapToGrid w:val="0"/>
        <w:spacing w:after="120" w:afterLines="50" w:line="360" w:lineRule="auto"/>
        <w:outlineLvl w:val="2"/>
        <w:rPr>
          <w:rFonts w:ascii="宋体" w:hAnsi="宋体" w:cs="宋体"/>
          <w:color w:val="auto"/>
          <w:highlight w:val="none"/>
        </w:rPr>
      </w:pPr>
      <w:bookmarkStart w:id="1264" w:name="_Ref531955627"/>
      <w:bookmarkEnd w:id="1264"/>
      <w:bookmarkStart w:id="1265" w:name="_Ref18977613"/>
      <w:bookmarkEnd w:id="1265"/>
      <w:bookmarkStart w:id="1266" w:name="_Ref531955630"/>
      <w:bookmarkEnd w:id="1266"/>
      <w:bookmarkStart w:id="1267" w:name="_Toc20171831"/>
      <w:bookmarkStart w:id="1268" w:name="_Toc28227"/>
      <w:bookmarkStart w:id="1269" w:name="_Toc31665"/>
      <w:bookmarkStart w:id="1270" w:name="_Toc58860270"/>
      <w:bookmarkStart w:id="1271" w:name="_Toc51766683"/>
      <w:bookmarkStart w:id="1272" w:name="_Toc20849"/>
      <w:bookmarkStart w:id="1273" w:name="_Toc179885355"/>
      <w:bookmarkStart w:id="1274" w:name="_Toc84930819"/>
      <w:r>
        <w:rPr>
          <w:rFonts w:hint="eastAsia" w:ascii="宋体" w:hAnsi="宋体" w:cs="宋体"/>
          <w:color w:val="auto"/>
          <w:szCs w:val="21"/>
          <w:highlight w:val="none"/>
          <w:lang w:bidi="ar"/>
        </w:rPr>
        <w:t>1</w:t>
      </w:r>
      <w:bookmarkEnd w:id="1267"/>
      <w:r>
        <w:rPr>
          <w:rFonts w:hint="eastAsia" w:ascii="宋体" w:hAnsi="宋体" w:cs="宋体"/>
          <w:color w:val="auto"/>
          <w:szCs w:val="21"/>
          <w:highlight w:val="none"/>
          <w:lang w:bidi="ar"/>
        </w:rPr>
        <w:t>3.8  市场价格波动引起的调整</w:t>
      </w:r>
      <w:bookmarkEnd w:id="1268"/>
      <w:bookmarkEnd w:id="1269"/>
      <w:bookmarkEnd w:id="1270"/>
      <w:bookmarkEnd w:id="1271"/>
      <w:bookmarkEnd w:id="1272"/>
      <w:bookmarkEnd w:id="1273"/>
      <w:bookmarkEnd w:id="1274"/>
    </w:p>
    <w:p w14:paraId="4C68BF29">
      <w:pPr>
        <w:widowControl/>
        <w:adjustRightInd w:val="0"/>
        <w:snapToGrid w:val="0"/>
        <w:spacing w:after="120" w:afterLines="50" w:line="360" w:lineRule="auto"/>
        <w:ind w:firstLine="420" w:firstLineChars="200"/>
        <w:rPr>
          <w:rFonts w:ascii="宋体" w:hAnsi="宋体" w:cs="宋体"/>
          <w:color w:val="auto"/>
          <w:highlight w:val="none"/>
        </w:rPr>
      </w:pPr>
      <w:bookmarkStart w:id="1275" w:name="_Ref4709841"/>
      <w:bookmarkEnd w:id="1275"/>
      <w:r>
        <w:rPr>
          <w:rFonts w:hint="eastAsia" w:ascii="宋体" w:hAnsi="宋体" w:cs="宋体"/>
          <w:color w:val="auto"/>
          <w:szCs w:val="21"/>
          <w:highlight w:val="none"/>
          <w:lang w:bidi="ar"/>
        </w:rPr>
        <w:t>13.8.1主要工程材料、设备、人工价格与招标时基期价相比，波动幅度超过合同约定幅度的，双方按照合同约定的价格调整方式调整。</w:t>
      </w:r>
    </w:p>
    <w:p w14:paraId="002A4472">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13.8.2发包人与承包人在专用合同条件中约定采用《价格指数权重表》的，适用本项约定。</w:t>
      </w:r>
    </w:p>
    <w:p w14:paraId="4F07521E">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13.8.2.1双方当事人可以将部分主要工程材料、工程设备、人工价格及其他双方认为应当根据市场价格调整的费用列入附件</w:t>
      </w:r>
      <w:r>
        <w:rPr>
          <w:rFonts w:ascii="宋体" w:hAnsi="宋体" w:cs="宋体"/>
          <w:color w:val="auto"/>
          <w:szCs w:val="21"/>
          <w:highlight w:val="none"/>
          <w:lang w:bidi="ar"/>
        </w:rPr>
        <w:t>6</w:t>
      </w:r>
      <w:r>
        <w:rPr>
          <w:rFonts w:hint="eastAsia" w:ascii="宋体" w:hAnsi="宋体" w:cs="宋体"/>
          <w:color w:val="auto"/>
          <w:szCs w:val="21"/>
          <w:highlight w:val="none"/>
          <w:lang w:bidi="ar"/>
        </w:rPr>
        <w:t>《价格指数权重表》，并根据以下公式计算差额并调整合同价格：</w:t>
      </w:r>
    </w:p>
    <w:p w14:paraId="06395422">
      <w:pPr>
        <w:widowControl/>
        <w:adjustRightInd w:val="0"/>
        <w:snapToGrid w:val="0"/>
        <w:spacing w:after="120" w:afterLines="50" w:line="360" w:lineRule="auto"/>
        <w:ind w:firstLine="420" w:firstLineChars="200"/>
        <w:rPr>
          <w:rFonts w:ascii="宋体" w:hAnsi="宋体" w:cs="宋体"/>
          <w:color w:val="auto"/>
          <w:kern w:val="0"/>
          <w:highlight w:val="none"/>
        </w:rPr>
      </w:pPr>
      <w:bookmarkStart w:id="1276" w:name="_Ref4616996"/>
      <w:bookmarkEnd w:id="1276"/>
      <w:r>
        <w:rPr>
          <w:rFonts w:hint="eastAsia" w:ascii="宋体" w:hAnsi="宋体" w:cs="宋体"/>
          <w:color w:val="auto"/>
          <w:kern w:val="0"/>
          <w:szCs w:val="21"/>
          <w:highlight w:val="none"/>
          <w:lang w:bidi="ar"/>
        </w:rPr>
        <w:t>（1）价格调整公式</w:t>
      </w:r>
    </w:p>
    <w:p w14:paraId="03E96987">
      <w:pPr>
        <w:widowControl/>
        <w:adjustRightInd w:val="0"/>
        <w:snapToGrid w:val="0"/>
        <w:spacing w:after="120" w:afterLines="50" w:line="360" w:lineRule="auto"/>
        <w:ind w:firstLine="420" w:firstLineChars="200"/>
        <w:rPr>
          <w:rFonts w:ascii="宋体" w:hAnsi="宋体" w:cs="宋体"/>
          <w:color w:val="auto"/>
          <w:kern w:val="0"/>
          <w:highlight w:val="none"/>
        </w:rPr>
      </w:pPr>
      <w:r>
        <w:rPr>
          <w:rFonts w:ascii="宋体" w:hAnsi="宋体" w:cs="宋体"/>
          <w:color w:val="auto"/>
          <w:szCs w:val="21"/>
          <w:highlight w:val="none"/>
        </w:rPr>
        <w:drawing>
          <wp:inline distT="0" distB="0" distL="114300" distR="114300">
            <wp:extent cx="4429125" cy="371475"/>
            <wp:effectExtent l="0" t="0" r="3175" b="952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7" r:link="rId8"/>
                    <a:stretch>
                      <a:fillRect/>
                    </a:stretch>
                  </pic:blipFill>
                  <pic:spPr>
                    <a:xfrm>
                      <a:off x="0" y="0"/>
                      <a:ext cx="4429125" cy="371475"/>
                    </a:xfrm>
                    <a:prstGeom prst="rect">
                      <a:avLst/>
                    </a:prstGeom>
                    <a:noFill/>
                    <a:ln>
                      <a:noFill/>
                    </a:ln>
                  </pic:spPr>
                </pic:pic>
              </a:graphicData>
            </a:graphic>
          </wp:inline>
        </w:drawing>
      </w:r>
      <w:r>
        <w:rPr>
          <w:rFonts w:hint="eastAsia" w:ascii="宋体" w:hAnsi="宋体" w:cs="宋体"/>
          <w:color w:val="auto"/>
          <w:kern w:val="0"/>
          <w:szCs w:val="21"/>
          <w:highlight w:val="none"/>
          <w:lang w:bidi="ar"/>
        </w:rPr>
        <w:t xml:space="preserve"> </w:t>
      </w:r>
    </w:p>
    <w:p w14:paraId="179D79B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公式中：△P---需调整的价格差额；</w:t>
      </w:r>
    </w:p>
    <w:p w14:paraId="63C467E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P</w:t>
      </w:r>
      <w:r>
        <w:rPr>
          <w:rFonts w:hint="eastAsia" w:ascii="宋体" w:hAnsi="宋体" w:cs="宋体"/>
          <w:color w:val="auto"/>
          <w:kern w:val="0"/>
          <w:szCs w:val="21"/>
          <w:highlight w:val="none"/>
          <w:vertAlign w:val="subscript"/>
          <w:lang w:bidi="ar"/>
        </w:rPr>
        <w:t>O</w:t>
      </w:r>
      <w:r>
        <w:rPr>
          <w:rFonts w:hint="eastAsia" w:ascii="宋体" w:hAnsi="宋体" w:cs="宋体"/>
          <w:color w:val="auto"/>
          <w:kern w:val="0"/>
          <w:szCs w:val="21"/>
          <w:highlight w:val="none"/>
          <w:lang w:bidi="ar"/>
        </w:rPr>
        <w:t>---付款证书中承包人应得到的已完成工作量的金额。此项金额应不包括价格调整、不计质量保证金的预留和支付、预付款的支付和扣回。第13条[变更与</w:t>
      </w:r>
      <w:r>
        <w:rPr>
          <w:rFonts w:ascii="宋体" w:hAnsi="宋体" w:cs="宋体"/>
          <w:color w:val="auto"/>
          <w:kern w:val="0"/>
          <w:szCs w:val="21"/>
          <w:highlight w:val="none"/>
          <w:lang w:bidi="ar"/>
        </w:rPr>
        <w:t>调整</w:t>
      </w:r>
      <w:r>
        <w:rPr>
          <w:rFonts w:hint="eastAsia" w:ascii="宋体" w:hAnsi="宋体" w:cs="宋体"/>
          <w:color w:val="auto"/>
          <w:kern w:val="0"/>
          <w:szCs w:val="21"/>
          <w:highlight w:val="none"/>
          <w:lang w:bidi="ar"/>
        </w:rPr>
        <w:t>]约定的变更及其他金额已按当期价格计价的，也不计在内；</w:t>
      </w:r>
    </w:p>
    <w:p w14:paraId="15384F5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 xml:space="preserve">A ---定值权重（即不调部分的权重）； </w:t>
      </w:r>
    </w:p>
    <w:p w14:paraId="3B4809E2">
      <w:pPr>
        <w:widowControl/>
        <w:adjustRightInd w:val="0"/>
        <w:snapToGrid w:val="0"/>
        <w:spacing w:after="120" w:afterLines="50" w:line="360" w:lineRule="auto"/>
        <w:ind w:firstLine="420" w:firstLineChars="200"/>
        <w:rPr>
          <w:rFonts w:ascii="宋体" w:hAnsi="宋体" w:cs="宋体"/>
          <w:color w:val="auto"/>
          <w:kern w:val="0"/>
          <w:highlight w:val="none"/>
        </w:rPr>
      </w:pPr>
      <w:bookmarkStart w:id="1277" w:name="_Hlk24103184"/>
      <w:bookmarkEnd w:id="1277"/>
      <w:r>
        <w:rPr>
          <w:rFonts w:hint="eastAsia" w:ascii="宋体" w:hAnsi="宋体" w:cs="宋体"/>
          <w:color w:val="auto"/>
          <w:kern w:val="0"/>
          <w:szCs w:val="21"/>
          <w:highlight w:val="none"/>
          <w:lang w:bidi="ar"/>
        </w:rPr>
        <w:t>B</w:t>
      </w:r>
      <w:r>
        <w:rPr>
          <w:rFonts w:hint="eastAsia" w:ascii="宋体" w:hAnsi="宋体" w:cs="宋体"/>
          <w:color w:val="auto"/>
          <w:kern w:val="0"/>
          <w:szCs w:val="21"/>
          <w:highlight w:val="none"/>
          <w:vertAlign w:val="subscript"/>
          <w:lang w:bidi="ar"/>
        </w:rPr>
        <w:t>1</w:t>
      </w:r>
      <w:r>
        <w:rPr>
          <w:rFonts w:hint="eastAsia" w:ascii="宋体" w:hAnsi="宋体" w:cs="宋体"/>
          <w:color w:val="auto"/>
          <w:kern w:val="0"/>
          <w:szCs w:val="21"/>
          <w:highlight w:val="none"/>
          <w:lang w:bidi="ar"/>
        </w:rPr>
        <w:t>；</w:t>
      </w:r>
      <w:bookmarkStart w:id="1278" w:name="_Hlk24103205"/>
      <w:r>
        <w:rPr>
          <w:rFonts w:hint="eastAsia" w:ascii="宋体" w:hAnsi="宋体" w:cs="宋体"/>
          <w:color w:val="auto"/>
          <w:kern w:val="0"/>
          <w:szCs w:val="21"/>
          <w:highlight w:val="none"/>
          <w:lang w:bidi="ar"/>
        </w:rPr>
        <w:t>B</w:t>
      </w:r>
      <w:bookmarkEnd w:id="1278"/>
      <w:r>
        <w:rPr>
          <w:rFonts w:hint="eastAsia" w:ascii="宋体" w:hAnsi="宋体" w:cs="宋体"/>
          <w:color w:val="auto"/>
          <w:kern w:val="0"/>
          <w:szCs w:val="21"/>
          <w:highlight w:val="none"/>
          <w:vertAlign w:val="subscript"/>
          <w:lang w:bidi="ar"/>
        </w:rPr>
        <w:t>2</w:t>
      </w:r>
      <w:r>
        <w:rPr>
          <w:rFonts w:hint="eastAsia" w:ascii="宋体" w:hAnsi="宋体" w:cs="宋体"/>
          <w:color w:val="auto"/>
          <w:kern w:val="0"/>
          <w:szCs w:val="21"/>
          <w:highlight w:val="none"/>
          <w:lang w:bidi="ar"/>
        </w:rPr>
        <w:t>；</w:t>
      </w:r>
      <w:bookmarkStart w:id="1279" w:name="_Hlk24103220"/>
      <w:r>
        <w:rPr>
          <w:rFonts w:hint="eastAsia" w:ascii="宋体" w:hAnsi="宋体" w:cs="宋体"/>
          <w:color w:val="auto"/>
          <w:kern w:val="0"/>
          <w:szCs w:val="21"/>
          <w:highlight w:val="none"/>
          <w:lang w:bidi="ar"/>
        </w:rPr>
        <w:t>B</w:t>
      </w:r>
      <w:bookmarkEnd w:id="1279"/>
      <w:r>
        <w:rPr>
          <w:rFonts w:hint="eastAsia" w:ascii="宋体" w:hAnsi="宋体" w:cs="宋体"/>
          <w:color w:val="auto"/>
          <w:kern w:val="0"/>
          <w:szCs w:val="21"/>
          <w:highlight w:val="none"/>
          <w:vertAlign w:val="subscript"/>
          <w:lang w:bidi="ar"/>
        </w:rPr>
        <w:t>3</w:t>
      </w:r>
      <w:r>
        <w:rPr>
          <w:rFonts w:hint="eastAsia" w:ascii="宋体" w:hAnsi="宋体" w:cs="宋体"/>
          <w:color w:val="auto"/>
          <w:kern w:val="0"/>
          <w:szCs w:val="21"/>
          <w:highlight w:val="none"/>
          <w:lang w:bidi="ar"/>
        </w:rPr>
        <w:t>；……</w:t>
      </w:r>
      <w:bookmarkStart w:id="1280" w:name="_Hlk24103245"/>
      <w:r>
        <w:rPr>
          <w:rFonts w:hint="eastAsia" w:ascii="宋体" w:hAnsi="宋体" w:cs="宋体"/>
          <w:color w:val="auto"/>
          <w:kern w:val="0"/>
          <w:szCs w:val="21"/>
          <w:highlight w:val="none"/>
          <w:lang w:bidi="ar"/>
        </w:rPr>
        <w:t>B</w:t>
      </w:r>
      <w:bookmarkEnd w:id="1280"/>
      <w:r>
        <w:rPr>
          <w:rFonts w:hint="eastAsia" w:ascii="宋体" w:hAnsi="宋体" w:cs="宋体"/>
          <w:color w:val="auto"/>
          <w:kern w:val="0"/>
          <w:szCs w:val="21"/>
          <w:highlight w:val="none"/>
          <w:vertAlign w:val="subscript"/>
          <w:lang w:bidi="ar"/>
        </w:rPr>
        <w:t>n</w:t>
      </w:r>
      <w:r>
        <w:rPr>
          <w:rFonts w:hint="eastAsia" w:ascii="宋体" w:hAnsi="宋体" w:cs="宋体"/>
          <w:color w:val="auto"/>
          <w:kern w:val="0"/>
          <w:szCs w:val="21"/>
          <w:highlight w:val="none"/>
          <w:lang w:bidi="ar"/>
        </w:rPr>
        <w:t>---各可调因子的变值权重（即可调部分的权重）为各可调因子在投标函投标总报价中所占的比例，且A+B</w:t>
      </w:r>
      <w:r>
        <w:rPr>
          <w:rFonts w:hint="eastAsia" w:ascii="宋体" w:hAnsi="宋体" w:cs="宋体"/>
          <w:color w:val="auto"/>
          <w:kern w:val="0"/>
          <w:szCs w:val="21"/>
          <w:highlight w:val="none"/>
          <w:vertAlign w:val="subscript"/>
          <w:lang w:bidi="ar"/>
        </w:rPr>
        <w:t>1</w:t>
      </w:r>
      <w:r>
        <w:rPr>
          <w:rFonts w:hint="eastAsia" w:ascii="宋体" w:hAnsi="宋体" w:cs="宋体"/>
          <w:color w:val="auto"/>
          <w:kern w:val="0"/>
          <w:szCs w:val="21"/>
          <w:highlight w:val="none"/>
          <w:lang w:bidi="ar"/>
        </w:rPr>
        <w:t>+B</w:t>
      </w:r>
      <w:r>
        <w:rPr>
          <w:rFonts w:hint="eastAsia" w:ascii="宋体" w:hAnsi="宋体" w:cs="宋体"/>
          <w:color w:val="auto"/>
          <w:kern w:val="0"/>
          <w:szCs w:val="21"/>
          <w:highlight w:val="none"/>
          <w:vertAlign w:val="subscript"/>
          <w:lang w:bidi="ar"/>
        </w:rPr>
        <w:t>2</w:t>
      </w:r>
      <w:r>
        <w:rPr>
          <w:rFonts w:hint="eastAsia" w:ascii="宋体" w:hAnsi="宋体" w:cs="宋体"/>
          <w:color w:val="auto"/>
          <w:kern w:val="0"/>
          <w:szCs w:val="21"/>
          <w:highlight w:val="none"/>
          <w:lang w:bidi="ar"/>
        </w:rPr>
        <w:t>+B</w:t>
      </w:r>
      <w:r>
        <w:rPr>
          <w:rFonts w:hint="eastAsia" w:ascii="宋体" w:hAnsi="宋体" w:cs="宋体"/>
          <w:color w:val="auto"/>
          <w:kern w:val="0"/>
          <w:szCs w:val="21"/>
          <w:highlight w:val="none"/>
          <w:vertAlign w:val="subscript"/>
          <w:lang w:bidi="ar"/>
        </w:rPr>
        <w:t>3</w:t>
      </w:r>
      <w:r>
        <w:rPr>
          <w:rFonts w:hint="eastAsia" w:ascii="宋体" w:hAnsi="宋体" w:cs="宋体"/>
          <w:color w:val="auto"/>
          <w:kern w:val="0"/>
          <w:szCs w:val="21"/>
          <w:highlight w:val="none"/>
          <w:lang w:bidi="ar"/>
        </w:rPr>
        <w:t>+……+B</w:t>
      </w:r>
      <w:r>
        <w:rPr>
          <w:rFonts w:hint="eastAsia" w:ascii="宋体" w:hAnsi="宋体" w:cs="宋体"/>
          <w:color w:val="auto"/>
          <w:kern w:val="0"/>
          <w:szCs w:val="21"/>
          <w:highlight w:val="none"/>
          <w:vertAlign w:val="subscript"/>
          <w:lang w:bidi="ar"/>
        </w:rPr>
        <w:t>n</w:t>
      </w:r>
      <w:r>
        <w:rPr>
          <w:rFonts w:hint="eastAsia" w:ascii="宋体" w:hAnsi="宋体" w:cs="宋体"/>
          <w:color w:val="auto"/>
          <w:kern w:val="0"/>
          <w:szCs w:val="21"/>
          <w:highlight w:val="none"/>
          <w:lang w:bidi="ar"/>
        </w:rPr>
        <w:t>=1；</w:t>
      </w:r>
    </w:p>
    <w:p w14:paraId="2EA9806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F</w:t>
      </w:r>
      <w:r>
        <w:rPr>
          <w:rFonts w:hint="eastAsia" w:ascii="宋体" w:hAnsi="宋体" w:cs="宋体"/>
          <w:color w:val="auto"/>
          <w:kern w:val="0"/>
          <w:szCs w:val="21"/>
          <w:highlight w:val="none"/>
          <w:vertAlign w:val="subscript"/>
          <w:lang w:bidi="ar"/>
        </w:rPr>
        <w:t>t1</w:t>
      </w:r>
      <w:r>
        <w:rPr>
          <w:rFonts w:hint="eastAsia" w:ascii="宋体" w:hAnsi="宋体" w:cs="宋体"/>
          <w:color w:val="auto"/>
          <w:kern w:val="0"/>
          <w:szCs w:val="21"/>
          <w:highlight w:val="none"/>
          <w:lang w:bidi="ar"/>
        </w:rPr>
        <w:t>；F</w:t>
      </w:r>
      <w:r>
        <w:rPr>
          <w:rFonts w:hint="eastAsia" w:ascii="宋体" w:hAnsi="宋体" w:cs="宋体"/>
          <w:color w:val="auto"/>
          <w:kern w:val="0"/>
          <w:szCs w:val="21"/>
          <w:highlight w:val="none"/>
          <w:vertAlign w:val="subscript"/>
          <w:lang w:bidi="ar"/>
        </w:rPr>
        <w:t>t2</w:t>
      </w:r>
      <w:r>
        <w:rPr>
          <w:rFonts w:hint="eastAsia" w:ascii="宋体" w:hAnsi="宋体" w:cs="宋体"/>
          <w:color w:val="auto"/>
          <w:kern w:val="0"/>
          <w:szCs w:val="21"/>
          <w:highlight w:val="none"/>
          <w:lang w:bidi="ar"/>
        </w:rPr>
        <w:t>；F</w:t>
      </w:r>
      <w:r>
        <w:rPr>
          <w:rFonts w:hint="eastAsia" w:ascii="宋体" w:hAnsi="宋体" w:cs="宋体"/>
          <w:color w:val="auto"/>
          <w:kern w:val="0"/>
          <w:szCs w:val="21"/>
          <w:highlight w:val="none"/>
          <w:vertAlign w:val="subscript"/>
          <w:lang w:bidi="ar"/>
        </w:rPr>
        <w:t>t3</w:t>
      </w:r>
      <w:r>
        <w:rPr>
          <w:rFonts w:hint="eastAsia" w:ascii="宋体" w:hAnsi="宋体" w:cs="宋体"/>
          <w:color w:val="auto"/>
          <w:kern w:val="0"/>
          <w:szCs w:val="21"/>
          <w:highlight w:val="none"/>
          <w:lang w:bidi="ar"/>
        </w:rPr>
        <w:t>；……F</w:t>
      </w:r>
      <w:r>
        <w:rPr>
          <w:rFonts w:hint="eastAsia" w:ascii="宋体" w:hAnsi="宋体" w:cs="宋体"/>
          <w:color w:val="auto"/>
          <w:kern w:val="0"/>
          <w:szCs w:val="21"/>
          <w:highlight w:val="none"/>
          <w:vertAlign w:val="subscript"/>
          <w:lang w:bidi="ar"/>
        </w:rPr>
        <w:t>tn</w:t>
      </w:r>
      <w:r>
        <w:rPr>
          <w:rFonts w:hint="eastAsia" w:ascii="宋体" w:hAnsi="宋体" w:cs="宋体"/>
          <w:color w:val="auto"/>
          <w:kern w:val="0"/>
          <w:szCs w:val="21"/>
          <w:highlight w:val="none"/>
          <w:lang w:bidi="ar"/>
        </w:rPr>
        <w:t>---各可调因子的当期价格指数，指付款证书相关周期最后一天的前42天的各可调因子的价格指数；</w:t>
      </w:r>
    </w:p>
    <w:p w14:paraId="073B7B2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F</w:t>
      </w:r>
      <w:r>
        <w:rPr>
          <w:rFonts w:hint="eastAsia" w:ascii="宋体" w:hAnsi="宋体" w:cs="宋体"/>
          <w:color w:val="auto"/>
          <w:kern w:val="0"/>
          <w:szCs w:val="21"/>
          <w:highlight w:val="none"/>
          <w:vertAlign w:val="subscript"/>
          <w:lang w:bidi="ar"/>
        </w:rPr>
        <w:t>01</w:t>
      </w:r>
      <w:r>
        <w:rPr>
          <w:rFonts w:hint="eastAsia" w:ascii="宋体" w:hAnsi="宋体" w:cs="宋体"/>
          <w:color w:val="auto"/>
          <w:kern w:val="0"/>
          <w:szCs w:val="21"/>
          <w:highlight w:val="none"/>
          <w:lang w:bidi="ar"/>
        </w:rPr>
        <w:t>；F</w:t>
      </w:r>
      <w:r>
        <w:rPr>
          <w:rFonts w:hint="eastAsia" w:ascii="宋体" w:hAnsi="宋体" w:cs="宋体"/>
          <w:color w:val="auto"/>
          <w:kern w:val="0"/>
          <w:szCs w:val="21"/>
          <w:highlight w:val="none"/>
          <w:vertAlign w:val="subscript"/>
          <w:lang w:bidi="ar"/>
        </w:rPr>
        <w:t>02</w:t>
      </w:r>
      <w:r>
        <w:rPr>
          <w:rFonts w:hint="eastAsia" w:ascii="宋体" w:hAnsi="宋体" w:cs="宋体"/>
          <w:color w:val="auto"/>
          <w:kern w:val="0"/>
          <w:szCs w:val="21"/>
          <w:highlight w:val="none"/>
          <w:lang w:bidi="ar"/>
        </w:rPr>
        <w:t>；F</w:t>
      </w:r>
      <w:r>
        <w:rPr>
          <w:rFonts w:hint="eastAsia" w:ascii="宋体" w:hAnsi="宋体" w:cs="宋体"/>
          <w:color w:val="auto"/>
          <w:kern w:val="0"/>
          <w:szCs w:val="21"/>
          <w:highlight w:val="none"/>
          <w:vertAlign w:val="subscript"/>
          <w:lang w:bidi="ar"/>
        </w:rPr>
        <w:t>03</w:t>
      </w:r>
      <w:r>
        <w:rPr>
          <w:rFonts w:hint="eastAsia" w:ascii="宋体" w:hAnsi="宋体" w:cs="宋体"/>
          <w:color w:val="auto"/>
          <w:kern w:val="0"/>
          <w:szCs w:val="21"/>
          <w:highlight w:val="none"/>
          <w:lang w:bidi="ar"/>
        </w:rPr>
        <w:t>；……F</w:t>
      </w:r>
      <w:r>
        <w:rPr>
          <w:rFonts w:hint="eastAsia" w:ascii="宋体" w:hAnsi="宋体" w:cs="宋体"/>
          <w:color w:val="auto"/>
          <w:kern w:val="0"/>
          <w:szCs w:val="21"/>
          <w:highlight w:val="none"/>
          <w:vertAlign w:val="subscript"/>
          <w:lang w:bidi="ar"/>
        </w:rPr>
        <w:t>0n</w:t>
      </w:r>
      <w:r>
        <w:rPr>
          <w:rFonts w:hint="eastAsia" w:ascii="宋体" w:hAnsi="宋体" w:cs="宋体"/>
          <w:color w:val="auto"/>
          <w:kern w:val="0"/>
          <w:szCs w:val="21"/>
          <w:highlight w:val="none"/>
          <w:lang w:bidi="ar"/>
        </w:rPr>
        <w:t>---各可调因子的基本价格指数，指基准日期的各可调因子的价格指数。</w:t>
      </w:r>
    </w:p>
    <w:p w14:paraId="0556AE6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04E1229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（2）暂时确定调整差额</w:t>
      </w:r>
    </w:p>
    <w:p w14:paraId="3EF1458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在计算调整差额时得不到当期价格指数的，可暂用上一次价格指数计算，并在以后的付款中再按实际价格指数进行调整。</w:t>
      </w:r>
    </w:p>
    <w:p w14:paraId="695BEE8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（3）权重的调整</w:t>
      </w:r>
    </w:p>
    <w:p w14:paraId="0C2192D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按第13.1款[发包人变更权]约定的变更导致原定合同中的权重不合理的，由工程师与承包人和发包人协商后进行调整。</w:t>
      </w:r>
    </w:p>
    <w:p w14:paraId="2AA27A9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（4）承包人原因工期延误后的价格调整</w:t>
      </w:r>
    </w:p>
    <w:p w14:paraId="01AB95E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因承包人原因未在约定的工期内竣工的，则对原约定竣工日期后继续施工的工程，在使用本款第(1)项价格调整公式时，应采用原约定竣工日期与实际竣工日期的两个价格指数中较低的一个作为当期价格指数。</w:t>
      </w:r>
    </w:p>
    <w:p w14:paraId="46E3456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（5）发包人引起的工期延误后的价格调整</w:t>
      </w:r>
    </w:p>
    <w:p w14:paraId="3FFDE2A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由于发包人原因未在约定的工期内竣工的，则对原约定竣工日期后继续施工的工程，在使用本款第（1）目价格调整公式时，应采用原约定竣工日期与实际竣工日期的两个价格指数中较高的一个作为当期价格指数。</w:t>
      </w:r>
    </w:p>
    <w:p w14:paraId="122C61C3">
      <w:pPr>
        <w:widowControl/>
        <w:wordWrap w:val="0"/>
        <w:topLinePunct/>
        <w:autoSpaceDE w:val="0"/>
        <w:autoSpaceDN w:val="0"/>
        <w:adjustRightInd w:val="0"/>
        <w:snapToGrid w:val="0"/>
        <w:spacing w:after="120" w:afterLines="50" w:line="360" w:lineRule="auto"/>
        <w:ind w:left="480"/>
        <w:rPr>
          <w:rFonts w:ascii="宋体" w:hAnsi="宋体" w:cs="宋体"/>
          <w:color w:val="auto"/>
          <w:highlight w:val="none"/>
        </w:rPr>
      </w:pPr>
      <w:r>
        <w:rPr>
          <w:rFonts w:hint="eastAsia" w:ascii="宋体" w:hAnsi="宋体" w:cs="宋体"/>
          <w:color w:val="auto"/>
          <w:szCs w:val="21"/>
          <w:highlight w:val="none"/>
          <w:lang w:bidi="ar"/>
        </w:rPr>
        <w:t>13.8.2.2未列入</w:t>
      </w:r>
      <w:bookmarkStart w:id="1281" w:name="_Hlk24494865"/>
      <w:r>
        <w:rPr>
          <w:rFonts w:hint="eastAsia" w:ascii="宋体" w:hAnsi="宋体" w:cs="宋体"/>
          <w:color w:val="auto"/>
          <w:szCs w:val="21"/>
          <w:highlight w:val="none"/>
          <w:lang w:bidi="ar"/>
        </w:rPr>
        <w:t>《价格指数权重表》</w:t>
      </w:r>
      <w:bookmarkEnd w:id="1281"/>
      <w:r>
        <w:rPr>
          <w:rFonts w:hint="eastAsia" w:ascii="宋体" w:hAnsi="宋体" w:cs="宋体"/>
          <w:color w:val="auto"/>
          <w:szCs w:val="21"/>
          <w:highlight w:val="none"/>
          <w:lang w:bidi="ar"/>
        </w:rPr>
        <w:t>的费用不因市场变化而调整。</w:t>
      </w:r>
    </w:p>
    <w:p w14:paraId="12E37CAC">
      <w:pPr>
        <w:widowControl/>
        <w:wordWrap w:val="0"/>
        <w:topLinePunct/>
        <w:adjustRightInd w:val="0"/>
        <w:snapToGrid w:val="0"/>
        <w:spacing w:after="120" w:afterLines="50" w:line="360" w:lineRule="auto"/>
        <w:ind w:left="480"/>
        <w:outlineLvl w:val="3"/>
        <w:rPr>
          <w:rFonts w:ascii="宋体" w:hAnsi="宋体" w:cs="宋体"/>
          <w:color w:val="auto"/>
          <w:highlight w:val="none"/>
        </w:rPr>
      </w:pPr>
      <w:r>
        <w:rPr>
          <w:rFonts w:hint="eastAsia" w:ascii="宋体" w:hAnsi="宋体" w:cs="宋体"/>
          <w:color w:val="auto"/>
          <w:szCs w:val="21"/>
          <w:highlight w:val="none"/>
          <w:lang w:bidi="ar"/>
        </w:rPr>
        <w:t>13.8.3双方约定采用其他方式调整合同价款的，以专用合同条件约定为准。</w:t>
      </w:r>
    </w:p>
    <w:p w14:paraId="6B96D8C9">
      <w:pPr>
        <w:widowControl/>
        <w:wordWrap w:val="0"/>
        <w:topLinePunct/>
        <w:adjustRightInd w:val="0"/>
        <w:snapToGrid w:val="0"/>
        <w:spacing w:after="120" w:afterLines="50" w:line="360" w:lineRule="auto"/>
        <w:outlineLvl w:val="1"/>
        <w:rPr>
          <w:rFonts w:ascii="宋体" w:hAnsi="宋体" w:cs="宋体"/>
          <w:color w:val="auto"/>
          <w:kern w:val="0"/>
          <w:highlight w:val="none"/>
        </w:rPr>
      </w:pPr>
      <w:bookmarkStart w:id="1282" w:name="_Toc20171832"/>
      <w:bookmarkEnd w:id="1282"/>
      <w:bookmarkStart w:id="1283" w:name="_Ref531955880"/>
      <w:bookmarkEnd w:id="1283"/>
      <w:bookmarkStart w:id="1284" w:name="_Ref531955885"/>
      <w:bookmarkStart w:id="1285" w:name="_Toc179885356"/>
      <w:r>
        <w:rPr>
          <w:rFonts w:hint="eastAsia" w:ascii="宋体" w:hAnsi="宋体" w:cs="宋体"/>
          <w:color w:val="auto"/>
          <w:kern w:val="0"/>
          <w:szCs w:val="21"/>
          <w:highlight w:val="none"/>
          <w:lang w:bidi="ar"/>
        </w:rPr>
        <w:t>第1</w:t>
      </w:r>
      <w:bookmarkEnd w:id="1284"/>
      <w:r>
        <w:rPr>
          <w:rFonts w:hint="eastAsia" w:ascii="宋体" w:hAnsi="宋体" w:cs="宋体"/>
          <w:color w:val="auto"/>
          <w:kern w:val="0"/>
          <w:szCs w:val="21"/>
          <w:highlight w:val="none"/>
          <w:lang w:bidi="ar"/>
        </w:rPr>
        <w:t>4条  合同价格与支付</w:t>
      </w:r>
      <w:bookmarkEnd w:id="1285"/>
      <w:r>
        <w:rPr>
          <w:rFonts w:hint="eastAsia" w:ascii="宋体" w:hAnsi="宋体" w:cs="宋体"/>
          <w:color w:val="auto"/>
          <w:kern w:val="0"/>
          <w:szCs w:val="21"/>
          <w:highlight w:val="none"/>
          <w:lang w:bidi="ar"/>
        </w:rPr>
        <w:t xml:space="preserve"> </w:t>
      </w:r>
    </w:p>
    <w:p w14:paraId="039864E5">
      <w:pPr>
        <w:widowControl/>
        <w:wordWrap w:val="0"/>
        <w:topLinePunct/>
        <w:adjustRightInd w:val="0"/>
        <w:snapToGrid w:val="0"/>
        <w:spacing w:after="120" w:afterLines="50" w:line="360" w:lineRule="auto"/>
        <w:outlineLvl w:val="2"/>
        <w:rPr>
          <w:rFonts w:ascii="宋体" w:hAnsi="宋体" w:cs="宋体"/>
          <w:color w:val="auto"/>
          <w:highlight w:val="none"/>
        </w:rPr>
      </w:pPr>
      <w:bookmarkStart w:id="1286" w:name="_Ref4431531"/>
      <w:bookmarkEnd w:id="1286"/>
      <w:bookmarkStart w:id="1287" w:name="_Toc20171833"/>
      <w:bookmarkEnd w:id="1287"/>
      <w:bookmarkStart w:id="1288" w:name="_Ref4431521"/>
      <w:bookmarkStart w:id="1289" w:name="_Toc25109"/>
      <w:bookmarkStart w:id="1290" w:name="_Toc27257"/>
      <w:bookmarkStart w:id="1291" w:name="_Toc51766685"/>
      <w:bookmarkStart w:id="1292" w:name="_Toc2462"/>
      <w:bookmarkStart w:id="1293" w:name="_Toc179885357"/>
      <w:bookmarkStart w:id="1294" w:name="_Toc84930821"/>
      <w:bookmarkStart w:id="1295" w:name="_Toc58860272"/>
      <w:r>
        <w:rPr>
          <w:rFonts w:hint="eastAsia" w:ascii="宋体" w:hAnsi="宋体" w:cs="宋体"/>
          <w:color w:val="auto"/>
          <w:szCs w:val="21"/>
          <w:highlight w:val="none"/>
          <w:lang w:bidi="ar"/>
        </w:rPr>
        <w:t>1</w:t>
      </w:r>
      <w:bookmarkEnd w:id="1288"/>
      <w:r>
        <w:rPr>
          <w:rFonts w:hint="eastAsia" w:ascii="宋体" w:hAnsi="宋体" w:cs="宋体"/>
          <w:color w:val="auto"/>
          <w:szCs w:val="21"/>
          <w:highlight w:val="none"/>
          <w:lang w:bidi="ar"/>
        </w:rPr>
        <w:t>4.1  合同价格形式</w:t>
      </w:r>
      <w:bookmarkEnd w:id="1289"/>
      <w:bookmarkEnd w:id="1290"/>
      <w:bookmarkEnd w:id="1291"/>
      <w:bookmarkEnd w:id="1292"/>
      <w:bookmarkEnd w:id="1293"/>
      <w:bookmarkEnd w:id="1294"/>
      <w:bookmarkEnd w:id="1295"/>
    </w:p>
    <w:p w14:paraId="294D73DC">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14.1.1除专用合同条件中另有约定外，本合同为总价合同，除根据第13条[变更与调整]，以及合同中其它相关增减金额的约定进行调整外，合同价格不做调整。</w:t>
      </w:r>
    </w:p>
    <w:p w14:paraId="2BF4D693">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14.1.2除专用合同条件另有约定外：</w:t>
      </w:r>
    </w:p>
    <w:p w14:paraId="705E90B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（1）工程款的支付应以合同协议书约定的签约合同价格为基础，按照合同约定进行调整；</w:t>
      </w:r>
    </w:p>
    <w:p w14:paraId="1CB911B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（2）承包人应支付根据法律规定或合同约定应由其支付的各项税费，除第13.7款[法律变化引起的调整]约定外，合同价格不应因任何这些税费进行调整；</w:t>
      </w:r>
    </w:p>
    <w:p w14:paraId="4FCE882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价格清单列出的任何数量仅为估算的工作量，不得将其视为要求承包人实施的工程的实际或准确的工作量。在价格清单中列出的任何工作量和价格数据应仅限用于变更和支付的参考资料，而不能用于其他目的。</w:t>
      </w:r>
    </w:p>
    <w:p w14:paraId="37CF7703">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14.1.3合同约定工程的某部分按照实际完成的工程量进行支付的，应按照专用合同条件的约定进行计量和估价，并据此调整合同价格。</w:t>
      </w:r>
    </w:p>
    <w:p w14:paraId="42A0146F">
      <w:pPr>
        <w:widowControl/>
        <w:wordWrap w:val="0"/>
        <w:topLinePunct/>
        <w:adjustRightInd w:val="0"/>
        <w:snapToGrid w:val="0"/>
        <w:spacing w:after="120" w:afterLines="50" w:line="360" w:lineRule="auto"/>
        <w:outlineLvl w:val="2"/>
        <w:rPr>
          <w:rFonts w:ascii="宋体" w:hAnsi="宋体" w:cs="宋体"/>
          <w:color w:val="auto"/>
          <w:highlight w:val="none"/>
        </w:rPr>
      </w:pPr>
      <w:bookmarkStart w:id="1296" w:name="_Toc20171834"/>
      <w:bookmarkEnd w:id="1296"/>
      <w:bookmarkStart w:id="1297" w:name="_Ref531956884"/>
      <w:bookmarkEnd w:id="1297"/>
      <w:bookmarkStart w:id="1298" w:name="_Ref531956881"/>
      <w:bookmarkStart w:id="1299" w:name="_Toc58860273"/>
      <w:bookmarkStart w:id="1300" w:name="_Toc84930822"/>
      <w:bookmarkStart w:id="1301" w:name="_Toc51766686"/>
      <w:bookmarkStart w:id="1302" w:name="_Toc28221"/>
      <w:bookmarkStart w:id="1303" w:name="_Toc24425"/>
      <w:bookmarkStart w:id="1304" w:name="_Toc22705"/>
      <w:bookmarkStart w:id="1305" w:name="_Toc179885358"/>
      <w:r>
        <w:rPr>
          <w:rFonts w:hint="eastAsia" w:ascii="宋体" w:hAnsi="宋体" w:cs="宋体"/>
          <w:color w:val="auto"/>
          <w:szCs w:val="21"/>
          <w:highlight w:val="none"/>
          <w:lang w:bidi="ar"/>
        </w:rPr>
        <w:t>1</w:t>
      </w:r>
      <w:bookmarkEnd w:id="1298"/>
      <w:r>
        <w:rPr>
          <w:rFonts w:hint="eastAsia" w:ascii="宋体" w:hAnsi="宋体" w:cs="宋体"/>
          <w:color w:val="auto"/>
          <w:szCs w:val="21"/>
          <w:highlight w:val="none"/>
          <w:lang w:bidi="ar"/>
        </w:rPr>
        <w:t>4.2  预付款</w:t>
      </w:r>
      <w:bookmarkEnd w:id="1299"/>
      <w:bookmarkEnd w:id="1300"/>
      <w:bookmarkEnd w:id="1301"/>
      <w:bookmarkEnd w:id="1302"/>
      <w:bookmarkEnd w:id="1303"/>
      <w:bookmarkEnd w:id="1304"/>
      <w:bookmarkEnd w:id="1305"/>
    </w:p>
    <w:p w14:paraId="2F6E56AF">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306" w:name="_Ref531956894"/>
      <w:bookmarkEnd w:id="1306"/>
      <w:bookmarkStart w:id="1307" w:name="_Ref4623383"/>
      <w:r>
        <w:rPr>
          <w:rFonts w:hint="eastAsia" w:ascii="宋体" w:hAnsi="宋体" w:cs="宋体"/>
          <w:color w:val="auto"/>
          <w:szCs w:val="21"/>
          <w:highlight w:val="none"/>
          <w:lang w:bidi="ar"/>
        </w:rPr>
        <w:t>1</w:t>
      </w:r>
      <w:bookmarkEnd w:id="1307"/>
      <w:r>
        <w:rPr>
          <w:rFonts w:hint="eastAsia" w:ascii="宋体" w:hAnsi="宋体" w:cs="宋体"/>
          <w:color w:val="auto"/>
          <w:szCs w:val="21"/>
          <w:highlight w:val="none"/>
          <w:lang w:bidi="ar"/>
        </w:rPr>
        <w:t>4.2.1预付款支付</w:t>
      </w:r>
    </w:p>
    <w:p w14:paraId="0077F16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预付款的额度和支付按照专用合同条件约定执行。预付款应当专用于承包人为合同工程的设计和工程实施购置材料、工程设备、施工设备、修建临时设施以及组织施工队伍进场等合同工作。</w:t>
      </w:r>
    </w:p>
    <w:p w14:paraId="6476E9F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除专用合同条件另有约定外，预付款在进度付款中同比例扣回。在颁发工程接收证书前，提前解除合同的，尚未扣完的预付款应与合同价款一并结算。</w:t>
      </w:r>
    </w:p>
    <w:p w14:paraId="6C98477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发包人逾期支付预付款超过7天的，承包人有权向发包人发出要求预付的催告通知，发包人收到通知后7天内仍未支付的，承包人有权暂停施工，并按第1</w:t>
      </w:r>
      <w:r>
        <w:rPr>
          <w:rFonts w:ascii="宋体" w:hAnsi="宋体" w:cs="宋体"/>
          <w:color w:val="auto"/>
          <w:kern w:val="0"/>
          <w:szCs w:val="21"/>
          <w:highlight w:val="none"/>
          <w:lang w:bidi="ar"/>
        </w:rPr>
        <w:t>5</w:t>
      </w:r>
      <w:r>
        <w:rPr>
          <w:rFonts w:hint="eastAsia" w:ascii="宋体" w:hAnsi="宋体" w:cs="宋体"/>
          <w:color w:val="auto"/>
          <w:kern w:val="0"/>
          <w:szCs w:val="21"/>
          <w:highlight w:val="none"/>
          <w:lang w:bidi="ar"/>
        </w:rPr>
        <w:t>.1.1项[发包人违约的情形]执行。</w:t>
      </w:r>
    </w:p>
    <w:p w14:paraId="667EF022">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308" w:name="_Ref4797624"/>
      <w:bookmarkEnd w:id="1308"/>
      <w:bookmarkStart w:id="1309" w:name="_Ref531956907"/>
      <w:r>
        <w:rPr>
          <w:rFonts w:hint="eastAsia" w:ascii="宋体" w:hAnsi="宋体" w:cs="宋体"/>
          <w:color w:val="auto"/>
          <w:szCs w:val="21"/>
          <w:highlight w:val="none"/>
          <w:lang w:bidi="ar"/>
        </w:rPr>
        <w:t>1</w:t>
      </w:r>
      <w:bookmarkEnd w:id="1309"/>
      <w:r>
        <w:rPr>
          <w:rFonts w:hint="eastAsia" w:ascii="宋体" w:hAnsi="宋体" w:cs="宋体"/>
          <w:color w:val="auto"/>
          <w:szCs w:val="21"/>
          <w:highlight w:val="none"/>
          <w:lang w:bidi="ar"/>
        </w:rPr>
        <w:t>4.2.2预付款担保</w:t>
      </w:r>
    </w:p>
    <w:p w14:paraId="2695B4E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14:paraId="78D501C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发包人在工程款中逐期扣回预付款后，预付款担保额度应相应减少，但剩余的预付款担保金额不得低于未被扣回的预付款金额。</w:t>
      </w:r>
    </w:p>
    <w:p w14:paraId="7A7D8C18">
      <w:pPr>
        <w:widowControl/>
        <w:wordWrap w:val="0"/>
        <w:topLinePunct/>
        <w:adjustRightInd w:val="0"/>
        <w:snapToGrid w:val="0"/>
        <w:spacing w:after="120" w:afterLines="50" w:line="360" w:lineRule="auto"/>
        <w:outlineLvl w:val="2"/>
        <w:rPr>
          <w:rFonts w:ascii="宋体" w:hAnsi="宋体" w:cs="宋体"/>
          <w:color w:val="auto"/>
          <w:highlight w:val="none"/>
        </w:rPr>
      </w:pPr>
      <w:bookmarkStart w:id="1310" w:name="_Ref531956963"/>
      <w:bookmarkEnd w:id="1310"/>
      <w:bookmarkStart w:id="1311" w:name="_Toc4784195"/>
      <w:bookmarkEnd w:id="1311"/>
      <w:bookmarkStart w:id="1312" w:name="_Ref531956967"/>
      <w:bookmarkEnd w:id="1312"/>
      <w:bookmarkStart w:id="1313" w:name="_Ref4623398"/>
      <w:bookmarkEnd w:id="1313"/>
      <w:bookmarkStart w:id="1314" w:name="_Toc20171835"/>
      <w:bookmarkEnd w:id="1314"/>
      <w:bookmarkStart w:id="1315" w:name="_Toc4784193"/>
      <w:bookmarkEnd w:id="1315"/>
      <w:bookmarkStart w:id="1316" w:name="_Toc4784194"/>
      <w:bookmarkStart w:id="1317" w:name="_Toc29756"/>
      <w:bookmarkStart w:id="1318" w:name="_Toc58860274"/>
      <w:bookmarkStart w:id="1319" w:name="_Toc51766687"/>
      <w:bookmarkStart w:id="1320" w:name="_Toc24350"/>
      <w:bookmarkStart w:id="1321" w:name="_Toc84930823"/>
      <w:bookmarkStart w:id="1322" w:name="_Toc28269"/>
      <w:bookmarkStart w:id="1323" w:name="_Toc179885359"/>
      <w:r>
        <w:rPr>
          <w:rFonts w:hint="eastAsia" w:ascii="宋体" w:hAnsi="宋体" w:cs="宋体"/>
          <w:color w:val="auto"/>
          <w:szCs w:val="21"/>
          <w:highlight w:val="none"/>
          <w:lang w:bidi="ar"/>
        </w:rPr>
        <w:t>1</w:t>
      </w:r>
      <w:bookmarkEnd w:id="1316"/>
      <w:r>
        <w:rPr>
          <w:rFonts w:hint="eastAsia" w:ascii="宋体" w:hAnsi="宋体" w:cs="宋体"/>
          <w:color w:val="auto"/>
          <w:szCs w:val="21"/>
          <w:highlight w:val="none"/>
          <w:lang w:bidi="ar"/>
        </w:rPr>
        <w:t>4.3  工程进度款</w:t>
      </w:r>
      <w:bookmarkEnd w:id="1317"/>
      <w:bookmarkEnd w:id="1318"/>
      <w:bookmarkEnd w:id="1319"/>
      <w:bookmarkEnd w:id="1320"/>
      <w:bookmarkEnd w:id="1321"/>
      <w:bookmarkEnd w:id="1322"/>
      <w:bookmarkEnd w:id="1323"/>
    </w:p>
    <w:p w14:paraId="71E130D1">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324" w:name="_Ref531956987"/>
      <w:bookmarkEnd w:id="1324"/>
      <w:bookmarkStart w:id="1325" w:name="_Ref532679934"/>
      <w:r>
        <w:rPr>
          <w:rFonts w:hint="eastAsia" w:ascii="宋体" w:hAnsi="宋体" w:cs="宋体"/>
          <w:color w:val="auto"/>
          <w:szCs w:val="21"/>
          <w:highlight w:val="none"/>
          <w:lang w:bidi="ar"/>
        </w:rPr>
        <w:t>1</w:t>
      </w:r>
      <w:bookmarkEnd w:id="1325"/>
      <w:r>
        <w:rPr>
          <w:rFonts w:hint="eastAsia" w:ascii="宋体" w:hAnsi="宋体" w:cs="宋体"/>
          <w:color w:val="auto"/>
          <w:szCs w:val="21"/>
          <w:highlight w:val="none"/>
          <w:lang w:bidi="ar"/>
        </w:rPr>
        <w:t xml:space="preserve">4.3.1工程进度付款申请 </w:t>
      </w:r>
    </w:p>
    <w:p w14:paraId="3868B08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（1）人工费的申请</w:t>
      </w:r>
    </w:p>
    <w:p w14:paraId="1ED54DB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p>
    <w:p w14:paraId="0E06238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（2）除专用合同条件另有约定外，承包人应在每月月末向工程师提交进度付款申请单，该进度付款申请单应包括下列内容：</w:t>
      </w:r>
    </w:p>
    <w:p w14:paraId="65B5401E">
      <w:pPr>
        <w:widowControl/>
        <w:adjustRightInd w:val="0"/>
        <w:snapToGrid w:val="0"/>
        <w:spacing w:after="120" w:afterLines="50" w:line="360" w:lineRule="auto"/>
        <w:ind w:firstLine="420" w:firstLineChars="200"/>
        <w:rPr>
          <w:rFonts w:ascii="宋体" w:hAnsi="宋体" w:cs="宋体"/>
          <w:color w:val="auto"/>
          <w:kern w:val="0"/>
          <w:highlight w:val="none"/>
        </w:rPr>
      </w:pPr>
      <w:bookmarkStart w:id="1326" w:name="_Ref24496054"/>
      <w:bookmarkEnd w:id="1326"/>
      <w:r>
        <w:rPr>
          <w:rFonts w:hint="eastAsia" w:ascii="宋体" w:hAnsi="宋体" w:cs="宋体"/>
          <w:color w:val="auto"/>
          <w:kern w:val="0"/>
          <w:szCs w:val="21"/>
          <w:highlight w:val="none"/>
          <w:lang w:bidi="ar"/>
        </w:rPr>
        <w:t>1）截至本次付款周期内已完成工作对应的金额；</w:t>
      </w:r>
    </w:p>
    <w:p w14:paraId="0745376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2）扣除依据本款第（1）目约定中已扣除的人工费金额；</w:t>
      </w:r>
    </w:p>
    <w:p w14:paraId="0C0707D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3）根据第13条[变更与调整]应增加和扣减的变更金额；</w:t>
      </w:r>
    </w:p>
    <w:p w14:paraId="794E3AA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4）根据第14.2款[预付款]约定应支付的预付款和扣减的返还预付款；</w:t>
      </w:r>
    </w:p>
    <w:p w14:paraId="323E7ED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5）根据第14.6.2项[质量保证金的预留]约定应预留的质量保证金金额；</w:t>
      </w:r>
    </w:p>
    <w:p w14:paraId="49FE5F9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6）根据第19条[索赔]应增加和扣减的索赔金额；</w:t>
      </w:r>
    </w:p>
    <w:p w14:paraId="25E7F5A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7）对已签发的进度款支付证书中出现错误的修正，应在本次进度付款中支付或扣除的金额；</w:t>
      </w:r>
    </w:p>
    <w:p w14:paraId="663C436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8）根据合同约定应增加和扣减的其他金额。</w:t>
      </w:r>
    </w:p>
    <w:p w14:paraId="0276853D">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327" w:name="_Ref531957608"/>
      <w:bookmarkEnd w:id="1327"/>
      <w:r>
        <w:rPr>
          <w:rFonts w:hint="eastAsia" w:ascii="宋体" w:hAnsi="宋体" w:cs="宋体"/>
          <w:color w:val="auto"/>
          <w:szCs w:val="21"/>
          <w:highlight w:val="none"/>
          <w:lang w:bidi="ar"/>
        </w:rPr>
        <w:t>14.3.2进度付款审核和支付</w:t>
      </w:r>
    </w:p>
    <w:p w14:paraId="60626AE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14:paraId="1996590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第20条[争议解决]的约定处理。</w:t>
      </w:r>
    </w:p>
    <w:p w14:paraId="29576C6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 xml:space="preserve">除专用合同条件另有约定外，发包人应在进度款支付证书签发后14天内完成支付，发包人逾期支付进度款的，按照贷款市场报价利率（LPR）支付违约金；逾期支付超过56天的，按照贷款市场报价利率（LPR）的两倍支付违约金。发包人支付违约金的总额不得超过逾期所涉金额的百分之二十，违约金的支付不影响本合同的执行。 </w:t>
      </w:r>
    </w:p>
    <w:p w14:paraId="7E67837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发包人签发进度款支付证书，不表明发包人已同意、批准或接受了承包人完成的相应部分的工作。</w:t>
      </w:r>
    </w:p>
    <w:p w14:paraId="306DE087">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328" w:name="_Ref531957023"/>
      <w:bookmarkEnd w:id="1328"/>
      <w:r>
        <w:rPr>
          <w:rFonts w:hint="eastAsia" w:ascii="宋体" w:hAnsi="宋体" w:cs="宋体"/>
          <w:color w:val="auto"/>
          <w:szCs w:val="21"/>
          <w:highlight w:val="none"/>
          <w:lang w:bidi="ar"/>
        </w:rPr>
        <w:t>14.3.3进度付款的修正</w:t>
      </w:r>
    </w:p>
    <w:p w14:paraId="690F147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在对已签发的进度款支付证书进行阶段汇总和复核中发现错误、遗漏或重复的，发包人和承包人均有权提出修正申请。经发包人和承包人同意的修正，应在下期进度付款中支付或扣除。</w:t>
      </w:r>
    </w:p>
    <w:p w14:paraId="2DCEB46D">
      <w:pPr>
        <w:widowControl/>
        <w:wordWrap w:val="0"/>
        <w:topLinePunct/>
        <w:adjustRightInd w:val="0"/>
        <w:snapToGrid w:val="0"/>
        <w:spacing w:after="120" w:afterLines="50" w:line="360" w:lineRule="auto"/>
        <w:outlineLvl w:val="2"/>
        <w:rPr>
          <w:rFonts w:ascii="宋体" w:hAnsi="宋体" w:cs="宋体"/>
          <w:color w:val="auto"/>
          <w:highlight w:val="none"/>
        </w:rPr>
      </w:pPr>
      <w:bookmarkStart w:id="1329" w:name="_Toc20171836"/>
      <w:bookmarkEnd w:id="1329"/>
      <w:bookmarkStart w:id="1330" w:name="_Ref536647822"/>
      <w:bookmarkEnd w:id="1330"/>
      <w:bookmarkStart w:id="1331" w:name="_Ref4538578"/>
      <w:bookmarkEnd w:id="1331"/>
      <w:bookmarkStart w:id="1332" w:name="_Ref536647814"/>
      <w:bookmarkStart w:id="1333" w:name="_Toc84930824"/>
      <w:bookmarkStart w:id="1334" w:name="_Toc179885360"/>
      <w:bookmarkStart w:id="1335" w:name="_Toc22414"/>
      <w:bookmarkStart w:id="1336" w:name="_Toc51766688"/>
      <w:bookmarkStart w:id="1337" w:name="_Toc9740"/>
      <w:bookmarkStart w:id="1338" w:name="_Toc870"/>
      <w:bookmarkStart w:id="1339" w:name="_Toc58860275"/>
      <w:r>
        <w:rPr>
          <w:rFonts w:hint="eastAsia" w:ascii="宋体" w:hAnsi="宋体" w:cs="宋体"/>
          <w:color w:val="auto"/>
          <w:szCs w:val="21"/>
          <w:highlight w:val="none"/>
          <w:lang w:bidi="ar"/>
        </w:rPr>
        <w:t>1</w:t>
      </w:r>
      <w:bookmarkEnd w:id="1332"/>
      <w:r>
        <w:rPr>
          <w:rFonts w:hint="eastAsia" w:ascii="宋体" w:hAnsi="宋体" w:cs="宋体"/>
          <w:color w:val="auto"/>
          <w:szCs w:val="21"/>
          <w:highlight w:val="none"/>
          <w:lang w:bidi="ar"/>
        </w:rPr>
        <w:t>4.4  付款计划表</w:t>
      </w:r>
      <w:bookmarkEnd w:id="1333"/>
      <w:bookmarkEnd w:id="1334"/>
      <w:bookmarkEnd w:id="1335"/>
      <w:bookmarkEnd w:id="1336"/>
      <w:bookmarkEnd w:id="1337"/>
      <w:bookmarkEnd w:id="1338"/>
      <w:bookmarkEnd w:id="1339"/>
    </w:p>
    <w:p w14:paraId="1BCC865B">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340" w:name="_Ref4570974"/>
      <w:bookmarkEnd w:id="1340"/>
      <w:r>
        <w:rPr>
          <w:rFonts w:hint="eastAsia" w:ascii="宋体" w:hAnsi="宋体" w:cs="宋体"/>
          <w:color w:val="auto"/>
          <w:szCs w:val="21"/>
          <w:highlight w:val="none"/>
          <w:lang w:bidi="ar"/>
        </w:rPr>
        <w:t>14.4.1付款计划表的编制要求</w:t>
      </w:r>
    </w:p>
    <w:p w14:paraId="1BE8BD1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除专用合同条件另有约定外，付款计划表按如下要求编制：</w:t>
      </w:r>
    </w:p>
    <w:p w14:paraId="6795466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（1）付款计划表中所列的每期付款金额，应为第14.3.1项[工程进度付款申请]每期进度款的估算金额；</w:t>
      </w:r>
    </w:p>
    <w:p w14:paraId="10EA80D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（2）实际进度与项目进度计划不一致的，合同当事人可按照第3.6款[商定或确定]修改付款计划表；</w:t>
      </w:r>
    </w:p>
    <w:p w14:paraId="2AF8397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（3）不采用付款计划表的，承包人应向工程师提交按季度编制的支付估算付款计划表，用于支付参考。</w:t>
      </w:r>
    </w:p>
    <w:p w14:paraId="5CD0F941">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341" w:name="_Ref4571011"/>
      <w:bookmarkEnd w:id="1341"/>
      <w:r>
        <w:rPr>
          <w:rFonts w:hint="eastAsia" w:ascii="宋体" w:hAnsi="宋体" w:cs="宋体"/>
          <w:color w:val="auto"/>
          <w:szCs w:val="21"/>
          <w:highlight w:val="none"/>
          <w:lang w:bidi="ar"/>
        </w:rPr>
        <w:t>14.4.2付款计划表的编制与审批</w:t>
      </w:r>
    </w:p>
    <w:p w14:paraId="4F04164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除专用合同条件另有约定外，承包人应根据第8.4款[项目进度计划]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14:paraId="4B5314A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（2）工程师应在收到付款计划表后7天内完成审核并报送发包人。发包人应在收到经工程师审核的付款计划表后7天内完成审批，经发包人批准的付款计划表为有约束力的付款计划表。</w:t>
      </w:r>
    </w:p>
    <w:p w14:paraId="01B6200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（3）发包人逾期未完成付款计划表审批的，也未及时要求承包人进行修正和提供补充资料的，则承包人提交的付款计划表视为已经获得发包人批准。</w:t>
      </w:r>
    </w:p>
    <w:p w14:paraId="25FE4A65">
      <w:pPr>
        <w:widowControl/>
        <w:wordWrap w:val="0"/>
        <w:topLinePunct/>
        <w:adjustRightInd w:val="0"/>
        <w:snapToGrid w:val="0"/>
        <w:spacing w:after="120" w:afterLines="50" w:line="360" w:lineRule="auto"/>
        <w:outlineLvl w:val="2"/>
        <w:rPr>
          <w:rFonts w:ascii="宋体" w:hAnsi="宋体" w:cs="宋体"/>
          <w:color w:val="auto"/>
          <w:highlight w:val="none"/>
        </w:rPr>
      </w:pPr>
      <w:bookmarkStart w:id="1342" w:name="_Ref4538634"/>
      <w:bookmarkEnd w:id="1342"/>
      <w:bookmarkStart w:id="1343" w:name="_Toc20171837"/>
      <w:bookmarkStart w:id="1344" w:name="_Toc58860276"/>
      <w:bookmarkStart w:id="1345" w:name="_Toc20393"/>
      <w:bookmarkStart w:id="1346" w:name="_Toc179885361"/>
      <w:bookmarkStart w:id="1347" w:name="_Toc84930825"/>
      <w:bookmarkStart w:id="1348" w:name="_Toc12167"/>
      <w:bookmarkStart w:id="1349" w:name="_Toc12185"/>
      <w:bookmarkStart w:id="1350" w:name="_Toc51766689"/>
      <w:r>
        <w:rPr>
          <w:rFonts w:hint="eastAsia" w:ascii="宋体" w:hAnsi="宋体" w:cs="宋体"/>
          <w:color w:val="auto"/>
          <w:szCs w:val="21"/>
          <w:highlight w:val="none"/>
          <w:lang w:bidi="ar"/>
        </w:rPr>
        <w:t xml:space="preserve">14.5 </w:t>
      </w:r>
      <w:bookmarkEnd w:id="1343"/>
      <w:r>
        <w:rPr>
          <w:rFonts w:hint="eastAsia" w:ascii="宋体" w:hAnsi="宋体" w:cs="宋体"/>
          <w:color w:val="auto"/>
          <w:szCs w:val="21"/>
          <w:highlight w:val="none"/>
          <w:lang w:bidi="ar"/>
        </w:rPr>
        <w:t xml:space="preserve"> 竣工结算</w:t>
      </w:r>
      <w:bookmarkEnd w:id="1344"/>
      <w:bookmarkEnd w:id="1345"/>
      <w:bookmarkEnd w:id="1346"/>
      <w:bookmarkEnd w:id="1347"/>
      <w:bookmarkEnd w:id="1348"/>
      <w:bookmarkEnd w:id="1349"/>
      <w:bookmarkEnd w:id="1350"/>
    </w:p>
    <w:p w14:paraId="4EF26439">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351" w:name="_Ref4571361"/>
      <w:bookmarkEnd w:id="1351"/>
      <w:r>
        <w:rPr>
          <w:rFonts w:hint="eastAsia" w:ascii="宋体" w:hAnsi="宋体" w:cs="宋体"/>
          <w:color w:val="auto"/>
          <w:szCs w:val="21"/>
          <w:highlight w:val="none"/>
          <w:lang w:bidi="ar"/>
        </w:rPr>
        <w:t>14.5.1竣工结算申请</w:t>
      </w:r>
    </w:p>
    <w:p w14:paraId="4B157A1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14:paraId="517FFDB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除专用合同条件另有约定外，竣工结算申请单应包括以下内容：</w:t>
      </w:r>
    </w:p>
    <w:p w14:paraId="29449A3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（1）竣工结算合同价格；</w:t>
      </w:r>
    </w:p>
    <w:p w14:paraId="42490E0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（2）发包人已支付承包人的款项；</w:t>
      </w:r>
    </w:p>
    <w:p w14:paraId="69CC8A8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采用第14.6.1项[承包人提供质量保证金的方式]第（2）种方式提供质量保证金的，应当列明应预留的质量保证金金额；采用第14.6.1项[承包人提供质量保证金的方式]中其他方式提供质量保证金的，应当按第14.6款[质量保证金]提供相关文件作为附件；</w:t>
      </w:r>
    </w:p>
    <w:p w14:paraId="1919B70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（4）发包人应支付承包人的合同价款。</w:t>
      </w:r>
    </w:p>
    <w:p w14:paraId="68EC7047">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352" w:name="_Ref4571384"/>
      <w:bookmarkEnd w:id="1352"/>
      <w:r>
        <w:rPr>
          <w:rFonts w:hint="eastAsia" w:ascii="宋体" w:hAnsi="宋体" w:cs="宋体"/>
          <w:color w:val="auto"/>
          <w:szCs w:val="21"/>
          <w:highlight w:val="none"/>
          <w:lang w:bidi="ar"/>
        </w:rPr>
        <w:t>14.5.2竣工结算审核</w:t>
      </w:r>
    </w:p>
    <w:p w14:paraId="67F80B8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14:paraId="7B06C59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75A04753">
      <w:pPr>
        <w:widowControl/>
        <w:adjustRightInd w:val="0"/>
        <w:snapToGrid w:val="0"/>
        <w:spacing w:after="120" w:afterLines="50" w:line="360" w:lineRule="auto"/>
        <w:ind w:firstLine="420" w:firstLineChars="200"/>
        <w:rPr>
          <w:rFonts w:ascii="宋体" w:hAnsi="宋体" w:cs="宋体"/>
          <w:color w:val="auto"/>
          <w:kern w:val="0"/>
          <w:highlight w:val="none"/>
        </w:rPr>
      </w:pPr>
      <w:bookmarkStart w:id="1353" w:name="_Ref4618006"/>
      <w:bookmarkEnd w:id="1353"/>
      <w:r>
        <w:rPr>
          <w:rFonts w:hint="eastAsia" w:ascii="宋体" w:hAnsi="宋体" w:cs="宋体"/>
          <w:color w:val="auto"/>
          <w:kern w:val="0"/>
          <w:szCs w:val="21"/>
          <w:highlight w:val="none"/>
          <w:lang w:bidi="ar"/>
        </w:rPr>
        <w:t>（2）除专用合同条件另有约定外，发包人应在签发竣工付款证书后的14天内，完成对承包人的竣工付款。发包人逾期支付的，按照贷款市场报价利率（LPR）支付违约金；逾期支付超过56天的，按照贷款市场报价利率（LPR）的两倍支付违约金。发包人支付违约金的总额不得超过逾期所涉金额的百分之二十，违约金的支付不影响本合同的执行。</w:t>
      </w:r>
    </w:p>
    <w:p w14:paraId="6322EAB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承包人对发包人签认的竣工付款证书有异议的，对于有异议部分应在收到发包人签认的竣工付款证书后7天内提出异议，并由合同当事人按照专用合同条件约定的方式和程序进行复核，或按照第20条[争议解决]约定处理。对于无异议部分，发包人应签发临时竣工付款证书，并按本款第（2）项完成付款。承包人逾期未提出异议的，视为认可发包人的审批结果。</w:t>
      </w:r>
    </w:p>
    <w:p w14:paraId="0E73E47B">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354" w:name="_Ref15484305"/>
      <w:bookmarkEnd w:id="1354"/>
      <w:r>
        <w:rPr>
          <w:rFonts w:hint="eastAsia" w:ascii="宋体" w:hAnsi="宋体" w:cs="宋体"/>
          <w:color w:val="auto"/>
          <w:szCs w:val="21"/>
          <w:highlight w:val="none"/>
          <w:lang w:bidi="ar"/>
        </w:rPr>
        <w:t>14.5.3扫尾工作清单</w:t>
      </w:r>
    </w:p>
    <w:p w14:paraId="29AC0B9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经双方协商，部分工作在工程竣工验收后进行的，承包人应当编制扫尾工作清单，扫尾工作清单中应当列明承包人应当完成的扫尾工作的内容及完成时间。</w:t>
      </w:r>
    </w:p>
    <w:p w14:paraId="43A6CF0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承包人完成扫尾工作清单中的内容应取得的费用包含在第14.5.1项[竣工结算申请]及第14.5.2项[竣工结算审核]中一并结算。</w:t>
      </w:r>
    </w:p>
    <w:p w14:paraId="76A3EC5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扫尾工作的缺陷责任期按第11条[缺陷责任与保修]处理。承包人未能按照扫尾工作清单约定的完成时间完成扫尾工作的，视为承包人原因导致的工程质量缺陷按照第11.3款[缺陷调查]处理。</w:t>
      </w:r>
    </w:p>
    <w:p w14:paraId="7CEEBB8C">
      <w:pPr>
        <w:widowControl/>
        <w:wordWrap w:val="0"/>
        <w:topLinePunct/>
        <w:adjustRightInd w:val="0"/>
        <w:snapToGrid w:val="0"/>
        <w:spacing w:after="120" w:afterLines="50" w:line="360" w:lineRule="auto"/>
        <w:outlineLvl w:val="2"/>
        <w:rPr>
          <w:rFonts w:ascii="宋体" w:hAnsi="宋体" w:cs="宋体"/>
          <w:color w:val="auto"/>
          <w:highlight w:val="none"/>
        </w:rPr>
      </w:pPr>
      <w:bookmarkStart w:id="1355" w:name="_Ref15395020"/>
      <w:bookmarkEnd w:id="1355"/>
      <w:bookmarkStart w:id="1356" w:name="_Toc20171838"/>
      <w:bookmarkEnd w:id="1356"/>
      <w:bookmarkStart w:id="1357" w:name="_Ref4582115"/>
      <w:bookmarkEnd w:id="1357"/>
      <w:bookmarkStart w:id="1358" w:name="_Hlk15394931"/>
      <w:bookmarkEnd w:id="1358"/>
      <w:bookmarkStart w:id="1359" w:name="_Ref4617582"/>
      <w:bookmarkEnd w:id="1359"/>
      <w:bookmarkStart w:id="1360" w:name="_Ref4617592"/>
      <w:bookmarkEnd w:id="1360"/>
      <w:bookmarkStart w:id="1361" w:name="_Ref4571100"/>
      <w:bookmarkEnd w:id="1361"/>
      <w:bookmarkStart w:id="1362" w:name="_Ref4571127"/>
      <w:bookmarkStart w:id="1363" w:name="_Toc84930826"/>
      <w:bookmarkStart w:id="1364" w:name="_Toc5798"/>
      <w:bookmarkStart w:id="1365" w:name="_Toc28819"/>
      <w:bookmarkStart w:id="1366" w:name="_Toc179885362"/>
      <w:bookmarkStart w:id="1367" w:name="_Toc58860277"/>
      <w:bookmarkStart w:id="1368" w:name="_Toc15270"/>
      <w:bookmarkStart w:id="1369" w:name="_Toc51766690"/>
      <w:r>
        <w:rPr>
          <w:rFonts w:hint="eastAsia" w:ascii="宋体" w:hAnsi="宋体" w:cs="宋体"/>
          <w:color w:val="auto"/>
          <w:szCs w:val="21"/>
          <w:highlight w:val="none"/>
          <w:lang w:bidi="ar"/>
        </w:rPr>
        <w:t>1</w:t>
      </w:r>
      <w:bookmarkEnd w:id="1362"/>
      <w:r>
        <w:rPr>
          <w:rFonts w:hint="eastAsia" w:ascii="宋体" w:hAnsi="宋体" w:cs="宋体"/>
          <w:color w:val="auto"/>
          <w:szCs w:val="21"/>
          <w:highlight w:val="none"/>
          <w:lang w:bidi="ar"/>
        </w:rPr>
        <w:t>4.6  质量保证金</w:t>
      </w:r>
      <w:bookmarkEnd w:id="1363"/>
      <w:bookmarkEnd w:id="1364"/>
      <w:bookmarkEnd w:id="1365"/>
      <w:bookmarkEnd w:id="1366"/>
      <w:bookmarkEnd w:id="1367"/>
      <w:bookmarkEnd w:id="1368"/>
      <w:bookmarkEnd w:id="1369"/>
      <w:r>
        <w:rPr>
          <w:rFonts w:hint="eastAsia" w:ascii="宋体" w:hAnsi="宋体" w:cs="宋体"/>
          <w:color w:val="auto"/>
          <w:szCs w:val="21"/>
          <w:highlight w:val="none"/>
          <w:lang w:bidi="ar"/>
        </w:rPr>
        <w:t xml:space="preserve"> </w:t>
      </w:r>
    </w:p>
    <w:p w14:paraId="27ECABD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经合同当事人协商一致提供质量保证金的，应在专用合同条件中予以明确。在工程项目竣工前，承包人已经提供履约担保的，发包人不得同时要求承包人提供质量保证金。</w:t>
      </w:r>
    </w:p>
    <w:p w14:paraId="138C4AC3">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370" w:name="_Ref531955069"/>
      <w:bookmarkEnd w:id="1370"/>
      <w:bookmarkStart w:id="1371" w:name="_Ref531957153"/>
      <w:r>
        <w:rPr>
          <w:rFonts w:hint="eastAsia" w:ascii="宋体" w:hAnsi="宋体" w:cs="宋体"/>
          <w:color w:val="auto"/>
          <w:szCs w:val="21"/>
          <w:highlight w:val="none"/>
          <w:lang w:bidi="ar"/>
        </w:rPr>
        <w:t>1</w:t>
      </w:r>
      <w:bookmarkEnd w:id="1371"/>
      <w:r>
        <w:rPr>
          <w:rFonts w:hint="eastAsia" w:ascii="宋体" w:hAnsi="宋体" w:cs="宋体"/>
          <w:color w:val="auto"/>
          <w:szCs w:val="21"/>
          <w:highlight w:val="none"/>
          <w:lang w:bidi="ar"/>
        </w:rPr>
        <w:t>4.6.1承包人提供质量保证金的方式</w:t>
      </w:r>
    </w:p>
    <w:p w14:paraId="2A33534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承包人提供质量保证金有以下三种方式：</w:t>
      </w:r>
    </w:p>
    <w:p w14:paraId="38E5F727">
      <w:pPr>
        <w:widowControl/>
        <w:adjustRightInd w:val="0"/>
        <w:snapToGrid w:val="0"/>
        <w:spacing w:after="120" w:afterLines="50" w:line="360" w:lineRule="auto"/>
        <w:ind w:firstLine="420" w:firstLineChars="200"/>
        <w:rPr>
          <w:rFonts w:ascii="宋体" w:hAnsi="宋体" w:cs="宋体"/>
          <w:color w:val="auto"/>
          <w:kern w:val="0"/>
          <w:highlight w:val="none"/>
        </w:rPr>
      </w:pPr>
      <w:bookmarkStart w:id="1372" w:name="_Ref531955096"/>
      <w:bookmarkEnd w:id="1372"/>
      <w:r>
        <w:rPr>
          <w:rFonts w:hint="eastAsia" w:ascii="宋体" w:hAnsi="宋体" w:cs="宋体"/>
          <w:color w:val="auto"/>
          <w:kern w:val="0"/>
          <w:szCs w:val="21"/>
          <w:highlight w:val="none"/>
          <w:lang w:bidi="ar"/>
        </w:rPr>
        <w:t>（1）提交工程质量保证担保；</w:t>
      </w:r>
    </w:p>
    <w:p w14:paraId="011832E2">
      <w:pPr>
        <w:widowControl/>
        <w:adjustRightInd w:val="0"/>
        <w:snapToGrid w:val="0"/>
        <w:spacing w:after="120" w:afterLines="50" w:line="360" w:lineRule="auto"/>
        <w:ind w:firstLine="420" w:firstLineChars="200"/>
        <w:rPr>
          <w:rFonts w:ascii="宋体" w:hAnsi="宋体" w:cs="宋体"/>
          <w:color w:val="auto"/>
          <w:kern w:val="0"/>
          <w:highlight w:val="none"/>
        </w:rPr>
      </w:pPr>
      <w:bookmarkStart w:id="1373" w:name="_Ref531955107"/>
      <w:bookmarkEnd w:id="1373"/>
      <w:r>
        <w:rPr>
          <w:rFonts w:hint="eastAsia" w:ascii="宋体" w:hAnsi="宋体" w:cs="宋体"/>
          <w:color w:val="auto"/>
          <w:kern w:val="0"/>
          <w:szCs w:val="21"/>
          <w:highlight w:val="none"/>
          <w:lang w:bidi="ar"/>
        </w:rPr>
        <w:t>（2）预留相应比例的工程款；</w:t>
      </w:r>
    </w:p>
    <w:p w14:paraId="50D9DEDD">
      <w:pPr>
        <w:widowControl/>
        <w:adjustRightInd w:val="0"/>
        <w:snapToGrid w:val="0"/>
        <w:spacing w:after="120" w:afterLines="50" w:line="360" w:lineRule="auto"/>
        <w:ind w:firstLine="420" w:firstLineChars="200"/>
        <w:rPr>
          <w:rFonts w:ascii="宋体" w:hAnsi="宋体" w:cs="宋体"/>
          <w:color w:val="auto"/>
          <w:kern w:val="0"/>
          <w:highlight w:val="none"/>
        </w:rPr>
      </w:pPr>
      <w:bookmarkStart w:id="1374" w:name="_Ref531955117"/>
      <w:bookmarkEnd w:id="1374"/>
      <w:r>
        <w:rPr>
          <w:rFonts w:hint="eastAsia" w:ascii="宋体" w:hAnsi="宋体" w:cs="宋体"/>
          <w:color w:val="auto"/>
          <w:kern w:val="0"/>
          <w:szCs w:val="21"/>
          <w:highlight w:val="none"/>
          <w:lang w:bidi="ar"/>
        </w:rPr>
        <w:t>（3）双方约定的其他方式。</w:t>
      </w:r>
    </w:p>
    <w:p w14:paraId="4103A02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p>
    <w:p w14:paraId="04BBF03C">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375" w:name="_Ref15419738"/>
      <w:bookmarkEnd w:id="1375"/>
      <w:bookmarkStart w:id="1376" w:name="_Ref18931667"/>
      <w:r>
        <w:rPr>
          <w:rFonts w:hint="eastAsia" w:ascii="宋体" w:hAnsi="宋体" w:cs="宋体"/>
          <w:color w:val="auto"/>
          <w:szCs w:val="21"/>
          <w:highlight w:val="none"/>
          <w:lang w:bidi="ar"/>
        </w:rPr>
        <w:t>1</w:t>
      </w:r>
      <w:bookmarkEnd w:id="1376"/>
      <w:r>
        <w:rPr>
          <w:rFonts w:hint="eastAsia" w:ascii="宋体" w:hAnsi="宋体" w:cs="宋体"/>
          <w:color w:val="auto"/>
          <w:szCs w:val="21"/>
          <w:highlight w:val="none"/>
          <w:lang w:bidi="ar"/>
        </w:rPr>
        <w:t>4.6.2质量保证金的预留</w:t>
      </w:r>
    </w:p>
    <w:p w14:paraId="1758F8A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双方约定采用预留相应比例的工程款方式提供质量保证金的，质量保证金的预留有以下三种方式：</w:t>
      </w:r>
    </w:p>
    <w:p w14:paraId="6CEE7E1B">
      <w:pPr>
        <w:widowControl/>
        <w:adjustRightInd w:val="0"/>
        <w:snapToGrid w:val="0"/>
        <w:spacing w:after="120" w:afterLines="50" w:line="360" w:lineRule="auto"/>
        <w:ind w:firstLine="420" w:firstLineChars="200"/>
        <w:rPr>
          <w:rFonts w:ascii="宋体" w:hAnsi="宋体" w:cs="宋体"/>
          <w:color w:val="auto"/>
          <w:kern w:val="0"/>
          <w:highlight w:val="none"/>
        </w:rPr>
      </w:pPr>
      <w:bookmarkStart w:id="1377" w:name="_Hlk18840714"/>
      <w:bookmarkEnd w:id="1377"/>
      <w:bookmarkStart w:id="1378" w:name="_Ref531955143"/>
      <w:r>
        <w:rPr>
          <w:rFonts w:hint="eastAsia" w:ascii="宋体" w:hAnsi="宋体" w:cs="宋体"/>
          <w:color w:val="auto"/>
          <w:kern w:val="0"/>
          <w:szCs w:val="21"/>
          <w:highlight w:val="none"/>
          <w:lang w:bidi="ar"/>
        </w:rPr>
        <w:t>（1）按专用合同条件的约定在支付工程进度款时逐次预留，直至预留的质量保证金总额达到专用合同条件约定的金额或比例为止</w:t>
      </w:r>
      <w:bookmarkEnd w:id="1378"/>
      <w:r>
        <w:rPr>
          <w:rFonts w:hint="eastAsia" w:ascii="宋体" w:hAnsi="宋体" w:cs="宋体"/>
          <w:color w:val="auto"/>
          <w:kern w:val="0"/>
          <w:szCs w:val="21"/>
          <w:highlight w:val="none"/>
          <w:lang w:bidi="ar"/>
        </w:rPr>
        <w:t>。在此情形下，质量保证金的计算基数不包括预付款的支付、扣回以及价格调整的金额；</w:t>
      </w:r>
    </w:p>
    <w:p w14:paraId="117E4DB5">
      <w:pPr>
        <w:widowControl/>
        <w:adjustRightInd w:val="0"/>
        <w:snapToGrid w:val="0"/>
        <w:spacing w:after="120" w:afterLines="50" w:line="360" w:lineRule="auto"/>
        <w:ind w:firstLine="420" w:firstLineChars="200"/>
        <w:rPr>
          <w:rFonts w:ascii="宋体" w:hAnsi="宋体" w:cs="宋体"/>
          <w:color w:val="auto"/>
          <w:kern w:val="0"/>
          <w:highlight w:val="none"/>
        </w:rPr>
      </w:pPr>
      <w:bookmarkStart w:id="1379" w:name="_Ref531955151"/>
      <w:bookmarkEnd w:id="1379"/>
      <w:r>
        <w:rPr>
          <w:rFonts w:hint="eastAsia" w:ascii="宋体" w:hAnsi="宋体" w:cs="宋体"/>
          <w:color w:val="auto"/>
          <w:kern w:val="0"/>
          <w:szCs w:val="21"/>
          <w:highlight w:val="none"/>
          <w:lang w:bidi="ar"/>
        </w:rPr>
        <w:t>（2）工程竣工结算时一次性预留质量保证金；</w:t>
      </w:r>
    </w:p>
    <w:p w14:paraId="4D16D0A3">
      <w:pPr>
        <w:widowControl/>
        <w:adjustRightInd w:val="0"/>
        <w:snapToGrid w:val="0"/>
        <w:spacing w:after="120" w:afterLines="50" w:line="360" w:lineRule="auto"/>
        <w:ind w:firstLine="420" w:firstLineChars="200"/>
        <w:rPr>
          <w:rFonts w:ascii="宋体" w:hAnsi="宋体" w:cs="宋体"/>
          <w:color w:val="auto"/>
          <w:kern w:val="0"/>
          <w:highlight w:val="none"/>
        </w:rPr>
      </w:pPr>
      <w:bookmarkStart w:id="1380" w:name="_Ref531955161"/>
      <w:bookmarkEnd w:id="1380"/>
      <w:r>
        <w:rPr>
          <w:rFonts w:hint="eastAsia" w:ascii="宋体" w:hAnsi="宋体" w:cs="宋体"/>
          <w:color w:val="auto"/>
          <w:kern w:val="0"/>
          <w:szCs w:val="21"/>
          <w:highlight w:val="none"/>
          <w:lang w:bidi="ar"/>
        </w:rPr>
        <w:t>（3）双方约定的其他预留方式。</w:t>
      </w:r>
    </w:p>
    <w:p w14:paraId="023E0F5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14:paraId="7035DFFD">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381" w:name="_Ref532690096"/>
      <w:bookmarkEnd w:id="1381"/>
      <w:bookmarkStart w:id="1382" w:name="_Ref4571243"/>
      <w:r>
        <w:rPr>
          <w:rFonts w:hint="eastAsia" w:ascii="宋体" w:hAnsi="宋体" w:cs="宋体"/>
          <w:color w:val="auto"/>
          <w:szCs w:val="21"/>
          <w:highlight w:val="none"/>
          <w:lang w:bidi="ar"/>
        </w:rPr>
        <w:t>1</w:t>
      </w:r>
      <w:bookmarkEnd w:id="1382"/>
      <w:r>
        <w:rPr>
          <w:rFonts w:hint="eastAsia" w:ascii="宋体" w:hAnsi="宋体" w:cs="宋体"/>
          <w:color w:val="auto"/>
          <w:szCs w:val="21"/>
          <w:highlight w:val="none"/>
          <w:lang w:bidi="ar"/>
        </w:rPr>
        <w:t>4.6.3质量保证金的返还</w:t>
      </w:r>
    </w:p>
    <w:p w14:paraId="1F153A6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缺陷责任期内，承包人认真履行合同约定的责任，缺陷责任期满，发包人根据第11.</w:t>
      </w:r>
      <w:r>
        <w:rPr>
          <w:rFonts w:ascii="宋体" w:hAnsi="宋体" w:cs="宋体"/>
          <w:color w:val="auto"/>
          <w:kern w:val="0"/>
          <w:szCs w:val="21"/>
          <w:highlight w:val="none"/>
          <w:lang w:bidi="ar"/>
        </w:rPr>
        <w:t>6</w:t>
      </w:r>
      <w:r>
        <w:rPr>
          <w:rFonts w:hint="eastAsia" w:ascii="宋体" w:hAnsi="宋体" w:cs="宋体"/>
          <w:color w:val="auto"/>
          <w:kern w:val="0"/>
          <w:szCs w:val="21"/>
          <w:highlight w:val="none"/>
          <w:lang w:bidi="ar"/>
        </w:rPr>
        <w:t>款[缺陷责任期终止证书]向承包人颁发缺陷责任期终止证书后，承包人可向发包人申请返还质量保证金。</w:t>
      </w:r>
    </w:p>
    <w:p w14:paraId="201D6BD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在接到承包人返还质量保证金申请后，应于7天内将质量保证金返还承包人，逾期未返还的，应承担违约责任。发包人在接到承包人返还质量保证金申请后7天内不予答复，视同认可承包人的返还质量保证金申请。</w:t>
      </w:r>
    </w:p>
    <w:p w14:paraId="741CC46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发包人和承包人对质量保证金预留、返还以及工程维修质量、费用有争议的，按本合同第20条[争议解决]约定的争议和纠纷解决程序处理。</w:t>
      </w:r>
    </w:p>
    <w:p w14:paraId="46D6F634">
      <w:pPr>
        <w:widowControl/>
        <w:wordWrap w:val="0"/>
        <w:topLinePunct/>
        <w:adjustRightInd w:val="0"/>
        <w:snapToGrid w:val="0"/>
        <w:spacing w:after="120" w:afterLines="50" w:line="360" w:lineRule="auto"/>
        <w:outlineLvl w:val="2"/>
        <w:rPr>
          <w:rFonts w:ascii="宋体" w:hAnsi="宋体" w:cs="宋体"/>
          <w:color w:val="auto"/>
          <w:highlight w:val="none"/>
        </w:rPr>
      </w:pPr>
      <w:bookmarkStart w:id="1383" w:name="_Ref531957339"/>
      <w:bookmarkEnd w:id="1383"/>
      <w:bookmarkStart w:id="1384" w:name="_Ref531957341"/>
      <w:bookmarkEnd w:id="1384"/>
      <w:bookmarkStart w:id="1385" w:name="_Toc20171839"/>
      <w:bookmarkStart w:id="1386" w:name="_Toc179885363"/>
      <w:bookmarkStart w:id="1387" w:name="_Toc51766691"/>
      <w:bookmarkStart w:id="1388" w:name="_Toc18177"/>
      <w:bookmarkStart w:id="1389" w:name="_Toc15226"/>
      <w:bookmarkStart w:id="1390" w:name="_Toc84930827"/>
      <w:bookmarkStart w:id="1391" w:name="_Toc58860278"/>
      <w:bookmarkStart w:id="1392" w:name="_Toc19556"/>
      <w:r>
        <w:rPr>
          <w:rFonts w:hint="eastAsia" w:ascii="宋体" w:hAnsi="宋体" w:cs="宋体"/>
          <w:color w:val="auto"/>
          <w:szCs w:val="21"/>
          <w:highlight w:val="none"/>
          <w:lang w:bidi="ar"/>
        </w:rPr>
        <w:t>1</w:t>
      </w:r>
      <w:bookmarkEnd w:id="1385"/>
      <w:r>
        <w:rPr>
          <w:rFonts w:hint="eastAsia" w:ascii="宋体" w:hAnsi="宋体" w:cs="宋体"/>
          <w:color w:val="auto"/>
          <w:szCs w:val="21"/>
          <w:highlight w:val="none"/>
          <w:lang w:bidi="ar"/>
        </w:rPr>
        <w:t>4.7  最终结清</w:t>
      </w:r>
      <w:bookmarkEnd w:id="1386"/>
      <w:bookmarkEnd w:id="1387"/>
      <w:bookmarkEnd w:id="1388"/>
      <w:bookmarkEnd w:id="1389"/>
      <w:bookmarkEnd w:id="1390"/>
      <w:bookmarkEnd w:id="1391"/>
      <w:bookmarkEnd w:id="1392"/>
      <w:r>
        <w:rPr>
          <w:rFonts w:hint="eastAsia" w:ascii="宋体" w:hAnsi="宋体" w:cs="宋体"/>
          <w:color w:val="auto"/>
          <w:szCs w:val="21"/>
          <w:highlight w:val="none"/>
          <w:lang w:bidi="ar"/>
        </w:rPr>
        <w:t xml:space="preserve"> </w:t>
      </w:r>
    </w:p>
    <w:p w14:paraId="26474D7A">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393" w:name="_Ref531957350"/>
      <w:bookmarkEnd w:id="1393"/>
      <w:r>
        <w:rPr>
          <w:rFonts w:hint="eastAsia" w:ascii="宋体" w:hAnsi="宋体" w:cs="宋体"/>
          <w:color w:val="auto"/>
          <w:szCs w:val="21"/>
          <w:highlight w:val="none"/>
          <w:lang w:bidi="ar"/>
        </w:rPr>
        <w:t>14.7.1最终结清申请单</w:t>
      </w:r>
    </w:p>
    <w:p w14:paraId="65B6CB2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（1）除专用合同条件另有约定外，承包人应在缺陷责任期终止证书颁发后7天内，按专用合同条件约定的份数向发包人提交最终结清申请单，并提供相关证明材料。</w:t>
      </w:r>
    </w:p>
    <w:p w14:paraId="5BF31F8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除专用合同条件另有约定外，最终结清申请单应列明质量保证金、应扣除的质量保证金、缺陷责任期内发生的增减费用。</w:t>
      </w:r>
    </w:p>
    <w:p w14:paraId="1EF27F1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（2）发包人对最终结清申请单内容有异议的，有权要求承包人进行修正和提供补充资料，承包人应向发包人提交修正后的最终结清申请单。</w:t>
      </w:r>
    </w:p>
    <w:p w14:paraId="7BCC0BF3">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394" w:name="_Ref531957369"/>
      <w:bookmarkEnd w:id="1394"/>
      <w:bookmarkStart w:id="1395" w:name="_Ref4624099"/>
      <w:r>
        <w:rPr>
          <w:rFonts w:hint="eastAsia" w:ascii="宋体" w:hAnsi="宋体" w:cs="宋体"/>
          <w:color w:val="auto"/>
          <w:szCs w:val="21"/>
          <w:highlight w:val="none"/>
          <w:lang w:bidi="ar"/>
        </w:rPr>
        <w:t>14.7.2</w:t>
      </w:r>
      <w:bookmarkEnd w:id="1395"/>
      <w:r>
        <w:rPr>
          <w:rFonts w:hint="eastAsia" w:ascii="宋体" w:hAnsi="宋体" w:cs="宋体"/>
          <w:color w:val="auto"/>
          <w:szCs w:val="21"/>
          <w:highlight w:val="none"/>
          <w:lang w:bidi="ar"/>
        </w:rPr>
        <w:t>最终结清证书和支付</w:t>
      </w:r>
    </w:p>
    <w:p w14:paraId="39FA3AE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2FC1C24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除专用合同条件另有约定外，发包人应在颁发最终结清证书后7天内完成支付。发包人逾期支付的，按照贷款市场报价利率（LPR）支付违约金；逾期支付超过56天的，按照贷款市场报价利率（LPR）的两倍支付违约金。发包人支付违约金的总额不得超过逾期所涉金额的百分之二十，违约金的支付不影响本合同的执行。</w:t>
      </w:r>
    </w:p>
    <w:p w14:paraId="4D521E3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（3）承包人对发包人颁发的最终结清证书有异议的，按第20条[争议解决]的约定办理。</w:t>
      </w:r>
    </w:p>
    <w:p w14:paraId="7C9423DF">
      <w:pPr>
        <w:widowControl/>
        <w:wordWrap w:val="0"/>
        <w:topLinePunct/>
        <w:adjustRightInd w:val="0"/>
        <w:snapToGrid w:val="0"/>
        <w:spacing w:after="120" w:afterLines="50" w:line="360" w:lineRule="auto"/>
        <w:outlineLvl w:val="1"/>
        <w:rPr>
          <w:rFonts w:ascii="宋体" w:hAnsi="宋体" w:cs="宋体"/>
          <w:color w:val="auto"/>
          <w:kern w:val="0"/>
          <w:highlight w:val="none"/>
        </w:rPr>
      </w:pPr>
      <w:bookmarkStart w:id="1396" w:name="_Ref11920396"/>
      <w:bookmarkEnd w:id="1396"/>
      <w:bookmarkStart w:id="1397" w:name="_Toc20171840"/>
      <w:bookmarkEnd w:id="1397"/>
      <w:bookmarkStart w:id="1398" w:name="_Ref11874957"/>
      <w:bookmarkEnd w:id="1398"/>
      <w:bookmarkStart w:id="1399" w:name="_Ref11920407"/>
      <w:bookmarkStart w:id="1400" w:name="_Toc179885364"/>
      <w:r>
        <w:rPr>
          <w:rFonts w:hint="eastAsia" w:ascii="宋体" w:hAnsi="宋体" w:cs="宋体"/>
          <w:color w:val="auto"/>
          <w:kern w:val="0"/>
          <w:szCs w:val="21"/>
          <w:highlight w:val="none"/>
          <w:lang w:bidi="ar"/>
        </w:rPr>
        <w:t>第1</w:t>
      </w:r>
      <w:bookmarkEnd w:id="1399"/>
      <w:r>
        <w:rPr>
          <w:rFonts w:hint="eastAsia" w:ascii="宋体" w:hAnsi="宋体" w:cs="宋体"/>
          <w:color w:val="auto"/>
          <w:kern w:val="0"/>
          <w:szCs w:val="21"/>
          <w:highlight w:val="none"/>
          <w:lang w:bidi="ar"/>
        </w:rPr>
        <w:t>5条  违约</w:t>
      </w:r>
      <w:bookmarkEnd w:id="1400"/>
    </w:p>
    <w:p w14:paraId="0053FE41">
      <w:pPr>
        <w:widowControl/>
        <w:wordWrap w:val="0"/>
        <w:topLinePunct/>
        <w:adjustRightInd w:val="0"/>
        <w:snapToGrid w:val="0"/>
        <w:spacing w:after="120" w:afterLines="50" w:line="360" w:lineRule="auto"/>
        <w:outlineLvl w:val="2"/>
        <w:rPr>
          <w:rFonts w:ascii="宋体" w:hAnsi="宋体" w:cs="宋体"/>
          <w:color w:val="auto"/>
          <w:highlight w:val="none"/>
        </w:rPr>
      </w:pPr>
      <w:bookmarkStart w:id="1401" w:name="_Ref4534376"/>
      <w:bookmarkEnd w:id="1401"/>
      <w:bookmarkStart w:id="1402" w:name="_Ref4534384"/>
      <w:bookmarkEnd w:id="1402"/>
      <w:bookmarkStart w:id="1403" w:name="_Toc20171841"/>
      <w:bookmarkEnd w:id="1403"/>
      <w:bookmarkStart w:id="1404" w:name="_Ref4534411"/>
      <w:bookmarkEnd w:id="1404"/>
      <w:bookmarkStart w:id="1405" w:name="_Ref4534399"/>
      <w:bookmarkStart w:id="1406" w:name="_Toc51766693"/>
      <w:bookmarkStart w:id="1407" w:name="_Toc179885365"/>
      <w:bookmarkStart w:id="1408" w:name="_Toc84930829"/>
      <w:bookmarkStart w:id="1409" w:name="_Toc58860280"/>
      <w:bookmarkStart w:id="1410" w:name="_Toc8591"/>
      <w:bookmarkStart w:id="1411" w:name="_Toc11489"/>
      <w:bookmarkStart w:id="1412" w:name="_Toc20960"/>
      <w:r>
        <w:rPr>
          <w:rFonts w:hint="eastAsia" w:ascii="宋体" w:hAnsi="宋体" w:cs="宋体"/>
          <w:color w:val="auto"/>
          <w:szCs w:val="21"/>
          <w:highlight w:val="none"/>
          <w:lang w:bidi="ar"/>
        </w:rPr>
        <w:t>1</w:t>
      </w:r>
      <w:bookmarkEnd w:id="1405"/>
      <w:r>
        <w:rPr>
          <w:rFonts w:hint="eastAsia" w:ascii="宋体" w:hAnsi="宋体" w:cs="宋体"/>
          <w:color w:val="auto"/>
          <w:szCs w:val="21"/>
          <w:highlight w:val="none"/>
          <w:lang w:bidi="ar"/>
        </w:rPr>
        <w:t>5.1  发包人违约</w:t>
      </w:r>
      <w:bookmarkEnd w:id="1406"/>
      <w:bookmarkEnd w:id="1407"/>
      <w:bookmarkEnd w:id="1408"/>
      <w:bookmarkEnd w:id="1409"/>
      <w:bookmarkEnd w:id="1410"/>
      <w:bookmarkEnd w:id="1411"/>
      <w:bookmarkEnd w:id="1412"/>
    </w:p>
    <w:p w14:paraId="1301C1BD">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413" w:name="_Ref3841087"/>
      <w:bookmarkEnd w:id="1413"/>
      <w:r>
        <w:rPr>
          <w:rFonts w:hint="eastAsia" w:ascii="宋体" w:hAnsi="宋体" w:cs="宋体"/>
          <w:color w:val="auto"/>
          <w:szCs w:val="21"/>
          <w:highlight w:val="none"/>
          <w:lang w:bidi="ar"/>
        </w:rPr>
        <w:t>15.1.1发包人违约的情形</w:t>
      </w:r>
    </w:p>
    <w:p w14:paraId="02DEC06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除专用合同条件另有约定外，在合同履行过程中发生的下列情形，属于发包人违约：</w:t>
      </w:r>
    </w:p>
    <w:p w14:paraId="4525826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 xml:space="preserve">（1）因发包人原因导致开始工作日期延误的； </w:t>
      </w:r>
    </w:p>
    <w:p w14:paraId="31E936F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（2）因发包人原因未能按合同约定支付合同价款的；</w:t>
      </w:r>
    </w:p>
    <w:p w14:paraId="200C3F6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（3）发包人违反第13.1.1项约定，自行实施被取消的工作或转由他人实施的；</w:t>
      </w:r>
    </w:p>
    <w:p w14:paraId="0A0BDBA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（4）因发包人违反合同约定造成工程暂停施工的；</w:t>
      </w:r>
    </w:p>
    <w:p w14:paraId="1C73D7B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（5）工程师无正当理由没有在约定期限内发出复工指示，导致承包人无法复工的；</w:t>
      </w:r>
    </w:p>
    <w:p w14:paraId="055ED23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（6）发包人明确表示或者以其行为表明不履行合同主要义务的；</w:t>
      </w:r>
    </w:p>
    <w:p w14:paraId="4539373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（7）发包人未能按照合同约定履行其他义务的。</w:t>
      </w:r>
    </w:p>
    <w:p w14:paraId="332E737A">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414" w:name="_Ref4535692"/>
      <w:bookmarkEnd w:id="1414"/>
      <w:r>
        <w:rPr>
          <w:rFonts w:hint="eastAsia" w:ascii="宋体" w:hAnsi="宋体" w:cs="宋体"/>
          <w:color w:val="auto"/>
          <w:szCs w:val="21"/>
          <w:highlight w:val="none"/>
          <w:lang w:bidi="ar"/>
        </w:rPr>
        <w:t>15.1.2通知改正</w:t>
      </w:r>
    </w:p>
    <w:p w14:paraId="04F42A53">
      <w:pPr>
        <w:widowControl/>
        <w:adjustRightInd w:val="0"/>
        <w:snapToGrid w:val="0"/>
        <w:spacing w:after="120" w:afterLines="50" w:line="360" w:lineRule="auto"/>
        <w:ind w:firstLine="420" w:firstLineChars="200"/>
        <w:rPr>
          <w:rFonts w:ascii="宋体" w:hAnsi="宋体" w:cs="宋体"/>
          <w:color w:val="auto"/>
          <w:kern w:val="0"/>
          <w:highlight w:val="none"/>
        </w:rPr>
      </w:pPr>
      <w:bookmarkStart w:id="1415" w:name="_Hlk16248297"/>
      <w:bookmarkEnd w:id="1415"/>
      <w:r>
        <w:rPr>
          <w:rFonts w:hint="eastAsia" w:ascii="宋体" w:hAnsi="宋体" w:cs="宋体"/>
          <w:color w:val="auto"/>
          <w:kern w:val="0"/>
          <w:szCs w:val="21"/>
          <w:highlight w:val="none"/>
          <w:lang w:bidi="ar"/>
        </w:rPr>
        <w:t>发包人发生除第15.1.1项第（6）目以外的违约情况时，承包人可向发包人发出通知，要求发包人采取有效措施纠正违约行为。发包人收到承包人通知后28天内仍不纠正违约行为的，承包人有权暂停相应部位工程实施，并通知工程师。</w:t>
      </w:r>
    </w:p>
    <w:p w14:paraId="70AC4469">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416" w:name="_Ref3841132"/>
      <w:bookmarkEnd w:id="1416"/>
      <w:r>
        <w:rPr>
          <w:rFonts w:hint="eastAsia" w:ascii="宋体" w:hAnsi="宋体" w:cs="宋体"/>
          <w:color w:val="auto"/>
          <w:szCs w:val="21"/>
          <w:highlight w:val="none"/>
          <w:lang w:bidi="ar"/>
        </w:rPr>
        <w:t>15.1.3发包人违约的责任</w:t>
      </w:r>
    </w:p>
    <w:p w14:paraId="5855F16C">
      <w:pPr>
        <w:widowControl/>
        <w:adjustRightInd w:val="0"/>
        <w:snapToGrid w:val="0"/>
        <w:spacing w:after="120" w:afterLines="50" w:line="360" w:lineRule="auto"/>
        <w:ind w:firstLine="420" w:firstLineChars="200"/>
        <w:rPr>
          <w:rFonts w:ascii="宋体" w:hAnsi="宋体" w:cs="宋体"/>
          <w:color w:val="auto"/>
          <w:kern w:val="0"/>
          <w:highlight w:val="none"/>
        </w:rPr>
      </w:pPr>
      <w:bookmarkStart w:id="1417" w:name="_Hlk16247984"/>
      <w:bookmarkEnd w:id="1417"/>
      <w:r>
        <w:rPr>
          <w:rFonts w:hint="eastAsia" w:ascii="宋体" w:hAnsi="宋体" w:cs="宋体"/>
          <w:color w:val="auto"/>
          <w:kern w:val="0"/>
          <w:szCs w:val="21"/>
          <w:highlight w:val="none"/>
          <w:lang w:bidi="ar"/>
        </w:rPr>
        <w:t>发包人应承担因其违约给承包人增加的费用和（或）延误的工期，并支付承包人合理的利润。此外，合同当事人可在专用合同条件中另行约定发包人违约责任的承担方式和计算方法。</w:t>
      </w:r>
    </w:p>
    <w:p w14:paraId="200D3CCF">
      <w:pPr>
        <w:widowControl/>
        <w:wordWrap w:val="0"/>
        <w:topLinePunct/>
        <w:adjustRightInd w:val="0"/>
        <w:snapToGrid w:val="0"/>
        <w:spacing w:after="120" w:afterLines="50" w:line="360" w:lineRule="auto"/>
        <w:outlineLvl w:val="2"/>
        <w:rPr>
          <w:rFonts w:ascii="宋体" w:hAnsi="宋体" w:cs="宋体"/>
          <w:color w:val="auto"/>
          <w:highlight w:val="none"/>
        </w:rPr>
      </w:pPr>
      <w:bookmarkStart w:id="1418" w:name="_Ref11958663"/>
      <w:bookmarkEnd w:id="1418"/>
      <w:bookmarkStart w:id="1419" w:name="_Ref11958660"/>
      <w:bookmarkEnd w:id="1419"/>
      <w:bookmarkStart w:id="1420" w:name="_Toc20171842"/>
      <w:bookmarkStart w:id="1421" w:name="_Toc58860281"/>
      <w:bookmarkStart w:id="1422" w:name="_Toc25308"/>
      <w:bookmarkStart w:id="1423" w:name="_Toc17072"/>
      <w:bookmarkStart w:id="1424" w:name="_Toc15959"/>
      <w:bookmarkStart w:id="1425" w:name="_Toc179885366"/>
      <w:bookmarkStart w:id="1426" w:name="_Toc51766694"/>
      <w:bookmarkStart w:id="1427" w:name="_Toc84930830"/>
      <w:r>
        <w:rPr>
          <w:rFonts w:hint="eastAsia" w:ascii="宋体" w:hAnsi="宋体" w:cs="宋体"/>
          <w:color w:val="auto"/>
          <w:szCs w:val="21"/>
          <w:highlight w:val="none"/>
          <w:lang w:bidi="ar"/>
        </w:rPr>
        <w:t>1</w:t>
      </w:r>
      <w:bookmarkEnd w:id="1420"/>
      <w:r>
        <w:rPr>
          <w:rFonts w:hint="eastAsia" w:ascii="宋体" w:hAnsi="宋体" w:cs="宋体"/>
          <w:color w:val="auto"/>
          <w:szCs w:val="21"/>
          <w:highlight w:val="none"/>
          <w:lang w:bidi="ar"/>
        </w:rPr>
        <w:t>5.2  承包人违约</w:t>
      </w:r>
      <w:bookmarkEnd w:id="1421"/>
      <w:bookmarkEnd w:id="1422"/>
      <w:bookmarkEnd w:id="1423"/>
      <w:bookmarkEnd w:id="1424"/>
      <w:bookmarkEnd w:id="1425"/>
      <w:bookmarkEnd w:id="1426"/>
      <w:bookmarkEnd w:id="1427"/>
    </w:p>
    <w:p w14:paraId="0FDD1146">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428" w:name="_Ref3841153"/>
      <w:bookmarkEnd w:id="1428"/>
      <w:r>
        <w:rPr>
          <w:rFonts w:hint="eastAsia" w:ascii="宋体" w:hAnsi="宋体" w:cs="宋体"/>
          <w:color w:val="auto"/>
          <w:szCs w:val="21"/>
          <w:highlight w:val="none"/>
          <w:lang w:bidi="ar"/>
        </w:rPr>
        <w:t>15.2.1承包人违约的情形</w:t>
      </w:r>
    </w:p>
    <w:p w14:paraId="5A63B93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除专用合同条件另有约定外，在履行合同过程中发生的下列情况之一的，属于承包人违约：</w:t>
      </w:r>
    </w:p>
    <w:p w14:paraId="76A64BE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（1）承包人的原因导致的承包人文件、实施和竣工的工程不符合法律法规、工程质量验收标准以及合同约定；</w:t>
      </w:r>
    </w:p>
    <w:p w14:paraId="06E807D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（2）承包人违反合同约定进行转包或违法分包的；</w:t>
      </w:r>
    </w:p>
    <w:p w14:paraId="2FD1187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（3）承包人违反约定采购和使用不合格材料或工程设备；</w:t>
      </w:r>
    </w:p>
    <w:p w14:paraId="78B9273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（4）因承包人原因导致工程质量不符合合同要求的；</w:t>
      </w:r>
    </w:p>
    <w:p w14:paraId="75D7B7C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（5）承包人未经工程师批准，擅自将已按合同约定进入施工现场的施工设备、临时设施或材料撤离施工现场；</w:t>
      </w:r>
    </w:p>
    <w:p w14:paraId="43B6106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（6）承包人未能按项目进度计划及时完成合同约定的工作，造成工期延误；</w:t>
      </w:r>
    </w:p>
    <w:p w14:paraId="17BFD48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（7）由于承包人原因未能通过竣工试验或竣工后试验的；</w:t>
      </w:r>
    </w:p>
    <w:p w14:paraId="20947E9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（8）承包人在缺陷责任期及保修期内，未能在合理期限对工程缺陷进行修复，或拒绝按发包人指示进行修复的；</w:t>
      </w:r>
    </w:p>
    <w:p w14:paraId="682DD55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（9）承包人明确表示或者以其行为表明不履行合同主要义务的；</w:t>
      </w:r>
    </w:p>
    <w:p w14:paraId="212F491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（10）承包人未能按照合同约定履行其他义务的。</w:t>
      </w:r>
    </w:p>
    <w:p w14:paraId="37BA5768">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429" w:name="_Ref531958512"/>
      <w:bookmarkEnd w:id="1429"/>
      <w:r>
        <w:rPr>
          <w:rFonts w:hint="eastAsia" w:ascii="宋体" w:hAnsi="宋体" w:cs="宋体"/>
          <w:color w:val="auto"/>
          <w:szCs w:val="21"/>
          <w:highlight w:val="none"/>
          <w:lang w:bidi="ar"/>
        </w:rPr>
        <w:t>15.2.2通知改正</w:t>
      </w:r>
    </w:p>
    <w:p w14:paraId="4B5C94E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承包人发生除第15.2.1项第（7）目、第（9）目约定以外的其他违约情况时，工程师可在专用合同条件约定的合理期限内向承包人发出整改通知，要求其在指定的期限内改正。</w:t>
      </w:r>
    </w:p>
    <w:p w14:paraId="4148B8C9">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430" w:name="_Ref3841166"/>
      <w:bookmarkEnd w:id="1430"/>
      <w:r>
        <w:rPr>
          <w:rFonts w:hint="eastAsia" w:ascii="宋体" w:hAnsi="宋体" w:cs="宋体"/>
          <w:color w:val="auto"/>
          <w:szCs w:val="21"/>
          <w:highlight w:val="none"/>
          <w:lang w:bidi="ar"/>
        </w:rPr>
        <w:t>15.2.3承包人违约的责任</w:t>
      </w:r>
    </w:p>
    <w:p w14:paraId="0883DD6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承包人应承担因其违约行为而增加的费用和（或）延误的工期。此外，合同当事人可在专用合同条件中另行约定承包人违约责任的承担方式和计算方法。</w:t>
      </w:r>
    </w:p>
    <w:p w14:paraId="4BED5284">
      <w:pPr>
        <w:widowControl/>
        <w:wordWrap w:val="0"/>
        <w:topLinePunct/>
        <w:adjustRightInd w:val="0"/>
        <w:snapToGrid w:val="0"/>
        <w:spacing w:after="120" w:afterLines="50" w:line="360" w:lineRule="auto"/>
        <w:outlineLvl w:val="2"/>
        <w:rPr>
          <w:rFonts w:ascii="宋体" w:hAnsi="宋体" w:cs="宋体"/>
          <w:color w:val="auto"/>
          <w:highlight w:val="none"/>
        </w:rPr>
      </w:pPr>
      <w:bookmarkStart w:id="1431" w:name="_Toc20171843"/>
      <w:bookmarkEnd w:id="1431"/>
      <w:bookmarkStart w:id="1432" w:name="_Toc84930831"/>
      <w:bookmarkStart w:id="1433" w:name="_Toc179885367"/>
      <w:bookmarkStart w:id="1434" w:name="_Toc19322"/>
      <w:bookmarkStart w:id="1435" w:name="_Toc4049"/>
      <w:bookmarkStart w:id="1436" w:name="_Toc51766695"/>
      <w:bookmarkStart w:id="1437" w:name="_Toc58860282"/>
      <w:bookmarkStart w:id="1438" w:name="_Toc20847"/>
      <w:r>
        <w:rPr>
          <w:rFonts w:hint="eastAsia" w:ascii="宋体" w:hAnsi="宋体" w:cs="宋体"/>
          <w:color w:val="auto"/>
          <w:szCs w:val="21"/>
          <w:highlight w:val="none"/>
          <w:lang w:bidi="ar"/>
        </w:rPr>
        <w:t>15.3  第三人造成的违约</w:t>
      </w:r>
      <w:bookmarkEnd w:id="1432"/>
      <w:bookmarkEnd w:id="1433"/>
      <w:bookmarkEnd w:id="1434"/>
      <w:bookmarkEnd w:id="1435"/>
      <w:bookmarkEnd w:id="1436"/>
      <w:bookmarkEnd w:id="1437"/>
      <w:bookmarkEnd w:id="1438"/>
    </w:p>
    <w:p w14:paraId="793F3A0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在履行合同过程中，一方当事人因第三人的原因造成违约的，应当向对方当事人承担违约责任。一方当事人和第三人之间的纠纷，依照法律规定或者按照约定解决。</w:t>
      </w:r>
    </w:p>
    <w:p w14:paraId="4059E4E1">
      <w:pPr>
        <w:widowControl/>
        <w:wordWrap w:val="0"/>
        <w:topLinePunct/>
        <w:adjustRightInd w:val="0"/>
        <w:snapToGrid w:val="0"/>
        <w:spacing w:after="120" w:afterLines="50" w:line="360" w:lineRule="auto"/>
        <w:outlineLvl w:val="1"/>
        <w:rPr>
          <w:rFonts w:ascii="宋体" w:hAnsi="宋体" w:cs="宋体"/>
          <w:color w:val="auto"/>
          <w:kern w:val="0"/>
          <w:highlight w:val="none"/>
        </w:rPr>
      </w:pPr>
      <w:bookmarkStart w:id="1439" w:name="_Ref3840457"/>
      <w:bookmarkEnd w:id="1439"/>
      <w:bookmarkStart w:id="1440" w:name="_Ref532142069"/>
      <w:bookmarkEnd w:id="1440"/>
      <w:bookmarkStart w:id="1441" w:name="_Ref3826629"/>
      <w:bookmarkEnd w:id="1441"/>
      <w:bookmarkStart w:id="1442" w:name="_Toc20171844"/>
      <w:bookmarkEnd w:id="1442"/>
      <w:bookmarkStart w:id="1443" w:name="_Ref4510572"/>
      <w:bookmarkEnd w:id="1443"/>
      <w:bookmarkStart w:id="1444" w:name="_Ref3826634"/>
      <w:bookmarkStart w:id="1445" w:name="_Toc179885368"/>
      <w:r>
        <w:rPr>
          <w:rFonts w:hint="eastAsia" w:ascii="宋体" w:hAnsi="宋体" w:cs="宋体"/>
          <w:color w:val="auto"/>
          <w:kern w:val="0"/>
          <w:szCs w:val="21"/>
          <w:highlight w:val="none"/>
          <w:lang w:bidi="ar"/>
        </w:rPr>
        <w:t>第1</w:t>
      </w:r>
      <w:bookmarkEnd w:id="1444"/>
      <w:r>
        <w:rPr>
          <w:rFonts w:hint="eastAsia" w:ascii="宋体" w:hAnsi="宋体" w:cs="宋体"/>
          <w:color w:val="auto"/>
          <w:kern w:val="0"/>
          <w:szCs w:val="21"/>
          <w:highlight w:val="none"/>
          <w:lang w:bidi="ar"/>
        </w:rPr>
        <w:t>6条  合同解除</w:t>
      </w:r>
      <w:bookmarkEnd w:id="1445"/>
    </w:p>
    <w:p w14:paraId="41AA75F3">
      <w:pPr>
        <w:widowControl/>
        <w:wordWrap w:val="0"/>
        <w:topLinePunct/>
        <w:adjustRightInd w:val="0"/>
        <w:snapToGrid w:val="0"/>
        <w:spacing w:after="120" w:afterLines="50" w:line="360" w:lineRule="auto"/>
        <w:outlineLvl w:val="2"/>
        <w:rPr>
          <w:rFonts w:ascii="宋体" w:hAnsi="宋体" w:cs="宋体"/>
          <w:color w:val="auto"/>
          <w:highlight w:val="none"/>
        </w:rPr>
      </w:pPr>
      <w:bookmarkStart w:id="1446" w:name="_Ref531958502"/>
      <w:bookmarkEnd w:id="1446"/>
      <w:bookmarkStart w:id="1447" w:name="_Ref531958499"/>
      <w:bookmarkEnd w:id="1447"/>
      <w:bookmarkStart w:id="1448" w:name="_Toc20171845"/>
      <w:bookmarkStart w:id="1449" w:name="_Toc3022"/>
      <w:bookmarkStart w:id="1450" w:name="_Toc84930833"/>
      <w:bookmarkStart w:id="1451" w:name="_Toc6473"/>
      <w:bookmarkStart w:id="1452" w:name="_Toc58860284"/>
      <w:bookmarkStart w:id="1453" w:name="_Toc51766697"/>
      <w:bookmarkStart w:id="1454" w:name="_Toc26487"/>
      <w:bookmarkStart w:id="1455" w:name="_Toc179885369"/>
      <w:r>
        <w:rPr>
          <w:rFonts w:hint="eastAsia" w:ascii="宋体" w:hAnsi="宋体" w:cs="宋体"/>
          <w:color w:val="auto"/>
          <w:szCs w:val="21"/>
          <w:highlight w:val="none"/>
          <w:lang w:bidi="ar"/>
        </w:rPr>
        <w:t>1</w:t>
      </w:r>
      <w:bookmarkEnd w:id="1448"/>
      <w:r>
        <w:rPr>
          <w:rFonts w:hint="eastAsia" w:ascii="宋体" w:hAnsi="宋体" w:cs="宋体"/>
          <w:color w:val="auto"/>
          <w:szCs w:val="21"/>
          <w:highlight w:val="none"/>
          <w:lang w:bidi="ar"/>
        </w:rPr>
        <w:t>6.1  由发包人解除合同</w:t>
      </w:r>
      <w:bookmarkEnd w:id="1449"/>
      <w:bookmarkEnd w:id="1450"/>
      <w:bookmarkEnd w:id="1451"/>
      <w:bookmarkEnd w:id="1452"/>
      <w:bookmarkEnd w:id="1453"/>
      <w:bookmarkEnd w:id="1454"/>
      <w:bookmarkEnd w:id="1455"/>
    </w:p>
    <w:p w14:paraId="7BF03868">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456" w:name="_Ref4535422"/>
      <w:bookmarkEnd w:id="1456"/>
      <w:r>
        <w:rPr>
          <w:rFonts w:hint="eastAsia" w:ascii="宋体" w:hAnsi="宋体" w:cs="宋体"/>
          <w:color w:val="auto"/>
          <w:szCs w:val="21"/>
          <w:highlight w:val="none"/>
          <w:lang w:bidi="ar"/>
        </w:rPr>
        <w:t>16.1.1因承包人违约解除合同</w:t>
      </w:r>
    </w:p>
    <w:p w14:paraId="2AD550C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发包人有权基于下列原因，以书面形式通知承包人解除合同，解除通知中应注明是根据第16.1.1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5）目的情况下，发包人无须提前告知承包人其解除合同意向，可直接发出正式解除合同通知立即解除合同：</w:t>
      </w:r>
    </w:p>
    <w:p w14:paraId="13D19209">
      <w:pPr>
        <w:widowControl/>
        <w:adjustRightInd w:val="0"/>
        <w:snapToGrid w:val="0"/>
        <w:spacing w:after="120" w:afterLines="50" w:line="360" w:lineRule="auto"/>
        <w:ind w:firstLine="420" w:firstLineChars="200"/>
        <w:rPr>
          <w:rFonts w:ascii="宋体" w:hAnsi="宋体" w:cs="宋体"/>
          <w:color w:val="auto"/>
          <w:kern w:val="0"/>
          <w:highlight w:val="none"/>
        </w:rPr>
      </w:pPr>
      <w:bookmarkStart w:id="1457" w:name="_Ref531958536"/>
      <w:bookmarkEnd w:id="1457"/>
      <w:r>
        <w:rPr>
          <w:rFonts w:hint="eastAsia" w:ascii="宋体" w:hAnsi="宋体" w:cs="宋体"/>
          <w:color w:val="auto"/>
          <w:kern w:val="0"/>
          <w:szCs w:val="21"/>
          <w:highlight w:val="none"/>
          <w:lang w:bidi="ar"/>
        </w:rPr>
        <w:t>（1）承包人未能遵守第4.2款[履约担保]的约定；</w:t>
      </w:r>
    </w:p>
    <w:p w14:paraId="7CB656FA">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（2）承包人未能遵守第4.5款[分包]有关分包和转包的约定；</w:t>
      </w:r>
    </w:p>
    <w:p w14:paraId="2DC8FDBA">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（3）承包人实际进度明显落后于进度计划，并且未按发包人的指令采取措施并修正进度计划；</w:t>
      </w:r>
    </w:p>
    <w:p w14:paraId="1B11A32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（4）工程质量有严重缺陷，承包人无正当理由使修复开始日期拖延达28天以上；</w:t>
      </w:r>
    </w:p>
    <w:p w14:paraId="0335EBB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5）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079B480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（6）承包人明确表示或以自己的行为表明不履行合同、或经发包人以书面形式通知其履约后仍未能依约履行合同、或以不适当的方式履行合同；</w:t>
      </w:r>
    </w:p>
    <w:p w14:paraId="16077EC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（7）未能通过的竣工试验、未能通过的竣工后试验，使工程的任何部分和（或）整个工程丧失了主要使用功能、生产功能；</w:t>
      </w:r>
    </w:p>
    <w:p w14:paraId="561AE25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（8）因承包人的原因暂停工作超过56天且暂停影响到整个工程，或因承包人的原因暂停工作超过182天；</w:t>
      </w:r>
    </w:p>
    <w:p w14:paraId="56157AD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（9）承包人未能遵守第8.2款[竣工日期]规定，延误超过182天；</w:t>
      </w:r>
    </w:p>
    <w:p w14:paraId="321F419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（10）工程师根据第15.2.2项[通知改正]发出整改通知后，承包人在指定的合理期限内仍不纠正违约行为并致使合同目的不能实现的。</w:t>
      </w:r>
    </w:p>
    <w:p w14:paraId="66D7BDA4">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458" w:name="_Ref3841839"/>
      <w:bookmarkEnd w:id="1458"/>
      <w:bookmarkStart w:id="1459" w:name="_Ref4624315"/>
      <w:r>
        <w:rPr>
          <w:rFonts w:hint="eastAsia" w:ascii="宋体" w:hAnsi="宋体" w:cs="宋体"/>
          <w:color w:val="auto"/>
          <w:szCs w:val="21"/>
          <w:highlight w:val="none"/>
          <w:lang w:bidi="ar"/>
        </w:rPr>
        <w:t>1</w:t>
      </w:r>
      <w:bookmarkEnd w:id="1459"/>
      <w:r>
        <w:rPr>
          <w:rFonts w:hint="eastAsia" w:ascii="宋体" w:hAnsi="宋体" w:cs="宋体"/>
          <w:color w:val="auto"/>
          <w:szCs w:val="21"/>
          <w:highlight w:val="none"/>
          <w:lang w:bidi="ar"/>
        </w:rPr>
        <w:t>6.1.2因承包人违约解除合同后承包人的义务</w:t>
      </w:r>
    </w:p>
    <w:p w14:paraId="6A37883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合同解除后，承包人应按以下约定执行：</w:t>
      </w:r>
    </w:p>
    <w:p w14:paraId="212564E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（1）除了为保护生命、财产或工程安全、清理和必须执行的工作外，停止执行所有被通知解除的工作，并将相关人员撤离现场；</w:t>
      </w:r>
    </w:p>
    <w:p w14:paraId="060481E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（2）经发包人批准，承包人应将与被解除合同相关的和正在执行的分包合同及相关的责任和义务转让至发包人和（或）发包人指定方的名下，包括永久性工程及工程物资，以及相关工作；</w:t>
      </w:r>
    </w:p>
    <w:p w14:paraId="78329F3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（3）移交已完成的永久性工程及负责已运抵现场的工程物资。在移交前，妥善做好己完工程和已运抵现场的工程物资的保管、维护和保养；</w:t>
      </w:r>
    </w:p>
    <w:p w14:paraId="70B7341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（4）将发包人提供的所有信息及承包人为本工程编制的设计文件、技术资料及其它文件移交给发包人。在承包人留有的资料文件中，销毁与发包人提供的所有信息相关的数据及资料的备份；</w:t>
      </w:r>
    </w:p>
    <w:p w14:paraId="6E8E5B2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（5）移交相应实施阶段已经付款的并已完成的和尚待完成的设计文件、图纸、资料、操作维修手册、施工组织设计、质检资料、竣工资料等；</w:t>
      </w:r>
    </w:p>
    <w:p w14:paraId="0C5B0A92">
      <w:pPr>
        <w:widowControl/>
        <w:wordWrap w:val="0"/>
        <w:topLinePunct/>
        <w:adjustRightInd w:val="0"/>
        <w:snapToGrid w:val="0"/>
        <w:spacing w:after="120" w:afterLines="50" w:line="360" w:lineRule="auto"/>
        <w:ind w:left="480"/>
        <w:outlineLvl w:val="3"/>
        <w:rPr>
          <w:rFonts w:ascii="宋体" w:hAnsi="宋体" w:cs="宋体"/>
          <w:color w:val="auto"/>
          <w:highlight w:val="none"/>
        </w:rPr>
      </w:pPr>
      <w:r>
        <w:rPr>
          <w:rFonts w:hint="eastAsia" w:ascii="宋体" w:hAnsi="宋体" w:cs="宋体"/>
          <w:color w:val="auto"/>
          <w:szCs w:val="21"/>
          <w:highlight w:val="none"/>
          <w:lang w:bidi="ar"/>
        </w:rPr>
        <w:t>16.1.3因承包人违约解除合同后的估价、付款和结算</w:t>
      </w:r>
    </w:p>
    <w:p w14:paraId="3F302CB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因承包人原因导致合同解除的，则合同当事人应在合同解除后28天内完成估价、付款和清算，并按以下约定执行：</w:t>
      </w:r>
    </w:p>
    <w:p w14:paraId="669543B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（1）合同解除后，按第3.6款[商定或确定]商定或确定承包人实际完成工作对应的合同价款，以及承包人已提供的材料、工程设备、施工设备和临时工程等的价值；</w:t>
      </w:r>
    </w:p>
    <w:p w14:paraId="57D3F1E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（2）合同解除后，承包人应支付的违约金；</w:t>
      </w:r>
    </w:p>
    <w:p w14:paraId="58CEDCF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（3）合同解除后，因解除合同给发包人造成的损失；</w:t>
      </w:r>
    </w:p>
    <w:p w14:paraId="29CD722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（4）合同解除后，承包人应按照发包人的指示完成现场的清理和撤离；</w:t>
      </w:r>
    </w:p>
    <w:p w14:paraId="0B2CB7E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（5）发包人和承包人应在合同解除后进行清算，出具最终结清付款证书，结清全部款项。</w:t>
      </w:r>
    </w:p>
    <w:p w14:paraId="4E95F3D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因承包人违约解除合同的，发包人有权暂停对承包人的付款，查清各项付款和已扣款项，发包人和承包人未能就合同解除后的清算和款项支付达成一致的，按照第20条[争议解决]的约定处理。</w:t>
      </w:r>
    </w:p>
    <w:p w14:paraId="168A53BF">
      <w:pPr>
        <w:widowControl/>
        <w:wordWrap w:val="0"/>
        <w:topLinePunct/>
        <w:adjustRightInd w:val="0"/>
        <w:snapToGrid w:val="0"/>
        <w:spacing w:after="120" w:afterLines="50" w:line="360" w:lineRule="auto"/>
        <w:ind w:left="480"/>
        <w:outlineLvl w:val="3"/>
        <w:rPr>
          <w:rFonts w:ascii="宋体" w:hAnsi="宋体" w:cs="宋体"/>
          <w:color w:val="auto"/>
          <w:highlight w:val="none"/>
        </w:rPr>
      </w:pPr>
      <w:r>
        <w:rPr>
          <w:rFonts w:hint="eastAsia" w:ascii="宋体" w:hAnsi="宋体" w:cs="宋体"/>
          <w:color w:val="auto"/>
          <w:szCs w:val="21"/>
          <w:highlight w:val="none"/>
          <w:lang w:bidi="ar"/>
        </w:rPr>
        <w:t>16.1.4因承包人违约解除合同的合同权益转让</w:t>
      </w:r>
    </w:p>
    <w:p w14:paraId="724B7B7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合同解除后，发包人可以继续完成工程，和（或）安排第三人完成。发包人有权要求承包人将其为实施合同而订立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14:paraId="1910F5BB">
      <w:pPr>
        <w:widowControl/>
        <w:wordWrap w:val="0"/>
        <w:topLinePunct/>
        <w:adjustRightInd w:val="0"/>
        <w:snapToGrid w:val="0"/>
        <w:spacing w:after="120" w:afterLines="50" w:line="360" w:lineRule="auto"/>
        <w:outlineLvl w:val="2"/>
        <w:rPr>
          <w:rFonts w:ascii="宋体" w:hAnsi="宋体" w:cs="宋体"/>
          <w:color w:val="auto"/>
          <w:highlight w:val="none"/>
        </w:rPr>
      </w:pPr>
      <w:bookmarkStart w:id="1460" w:name="_Ref531958554"/>
      <w:bookmarkEnd w:id="1460"/>
      <w:bookmarkStart w:id="1461" w:name="_Toc20171846"/>
      <w:bookmarkEnd w:id="1461"/>
      <w:bookmarkStart w:id="1462" w:name="_Ref531958549"/>
      <w:bookmarkStart w:id="1463" w:name="_Toc51766698"/>
      <w:bookmarkStart w:id="1464" w:name="_Toc24879"/>
      <w:bookmarkStart w:id="1465" w:name="_Toc84930834"/>
      <w:bookmarkStart w:id="1466" w:name="_Toc58860285"/>
      <w:bookmarkStart w:id="1467" w:name="_Toc9305"/>
      <w:bookmarkStart w:id="1468" w:name="_Toc179885370"/>
      <w:bookmarkStart w:id="1469" w:name="_Toc4978"/>
      <w:r>
        <w:rPr>
          <w:rFonts w:hint="eastAsia" w:ascii="宋体" w:hAnsi="宋体" w:cs="宋体"/>
          <w:color w:val="auto"/>
          <w:szCs w:val="21"/>
          <w:highlight w:val="none"/>
          <w:lang w:bidi="ar"/>
        </w:rPr>
        <w:t>1</w:t>
      </w:r>
      <w:bookmarkEnd w:id="1462"/>
      <w:r>
        <w:rPr>
          <w:rFonts w:hint="eastAsia" w:ascii="宋体" w:hAnsi="宋体" w:cs="宋体"/>
          <w:color w:val="auto"/>
          <w:szCs w:val="21"/>
          <w:highlight w:val="none"/>
          <w:lang w:bidi="ar"/>
        </w:rPr>
        <w:t>6.2  由承包人解除合同</w:t>
      </w:r>
      <w:bookmarkEnd w:id="1463"/>
      <w:bookmarkEnd w:id="1464"/>
      <w:bookmarkEnd w:id="1465"/>
      <w:bookmarkEnd w:id="1466"/>
      <w:bookmarkEnd w:id="1467"/>
      <w:bookmarkEnd w:id="1468"/>
      <w:bookmarkEnd w:id="1469"/>
    </w:p>
    <w:p w14:paraId="63D37820">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470" w:name="_Ref3841758"/>
      <w:bookmarkEnd w:id="1470"/>
      <w:r>
        <w:rPr>
          <w:rFonts w:hint="eastAsia" w:ascii="宋体" w:hAnsi="宋体" w:cs="宋体"/>
          <w:color w:val="auto"/>
          <w:szCs w:val="21"/>
          <w:highlight w:val="none"/>
          <w:lang w:bidi="ar"/>
        </w:rPr>
        <w:t>16.2.1因发包人违约解除合同</w:t>
      </w:r>
    </w:p>
    <w:p w14:paraId="6BC80F3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承包人有权基于下列原因，以书面形式通知发包人解除合同，解除通知中应注明是根据第16.2.1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(5)目的情况下，承包人无须提前告知发包人其解除合同意向，可直接发出正式解除合同通知立即解除合同：</w:t>
      </w:r>
    </w:p>
    <w:p w14:paraId="3861996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（1）承包人就发包人未能遵守第2.5.2项关于发包人的资金安排发出通知后42天内，仍未收到合理的证明；</w:t>
      </w:r>
    </w:p>
    <w:p w14:paraId="4D3347A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 xml:space="preserve">（2）在第14条规定的付款时间到期后42天内，承包人仍未收到应付款项； </w:t>
      </w:r>
    </w:p>
    <w:p w14:paraId="73F9E01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（3）发包人实质上未能根据合同约定履行其义务，构成根本性违约；</w:t>
      </w:r>
    </w:p>
    <w:p w14:paraId="28A2A35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（4）发承包双方订立本合同协议书后的84天内，承包人未收到根据第8.1款[开始工作]的开始工作通知；</w:t>
      </w:r>
    </w:p>
    <w:p w14:paraId="4FEF70E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5）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69DF536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（6）发包人未能遵守第2.5.3项的约定提交支付担保；</w:t>
      </w:r>
    </w:p>
    <w:p w14:paraId="156FA3D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（7）发包人未能执行第15.1.2项[通知改正]的约定，致使合同目的不能实现的；</w:t>
      </w:r>
    </w:p>
    <w:p w14:paraId="2D20679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（8）因发包人的原因暂停工作超过56天且暂停影响到整个工程，或因发包人的原因暂停工作超过182天的；</w:t>
      </w:r>
    </w:p>
    <w:p w14:paraId="44F7602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（9）因发包人原因造成开始工作日期迟于承包人收到中标通知书（或在无中标通知书的情况下，订立本合同之日）后第84天的。</w:t>
      </w:r>
    </w:p>
    <w:p w14:paraId="70E74A8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14:paraId="44E9CC94">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471" w:name="_Ref3842018"/>
      <w:bookmarkEnd w:id="1471"/>
      <w:bookmarkStart w:id="1472" w:name="_Ref4624336"/>
      <w:r>
        <w:rPr>
          <w:rFonts w:hint="eastAsia" w:ascii="宋体" w:hAnsi="宋体" w:cs="宋体"/>
          <w:color w:val="auto"/>
          <w:szCs w:val="21"/>
          <w:highlight w:val="none"/>
          <w:lang w:bidi="ar"/>
        </w:rPr>
        <w:t>1</w:t>
      </w:r>
      <w:bookmarkEnd w:id="1472"/>
      <w:r>
        <w:rPr>
          <w:rFonts w:hint="eastAsia" w:ascii="宋体" w:hAnsi="宋体" w:cs="宋体"/>
          <w:color w:val="auto"/>
          <w:szCs w:val="21"/>
          <w:highlight w:val="none"/>
          <w:lang w:bidi="ar"/>
        </w:rPr>
        <w:t>6.2.2因发包人违约解除合同后承包人的义务</w:t>
      </w:r>
    </w:p>
    <w:p w14:paraId="2C098B6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合同解除后，承包人应按以下约定执行：</w:t>
      </w:r>
    </w:p>
    <w:p w14:paraId="1F336AD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（1）除为保护生命、财产、工程安全的工作外，停止所有进一步的工作；承包人因执行该保护工作而产生费用的，由发包人承担。</w:t>
      </w:r>
    </w:p>
    <w:p w14:paraId="15FCB59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（2）向发包人移交承包人已获得支付的承包人文件、生产设备、材料和其他工作；</w:t>
      </w:r>
    </w:p>
    <w:p w14:paraId="61F249D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（3）从现场运走除为了安全需要以外的所有属于承包人的其他货物，并撤离现场。</w:t>
      </w:r>
    </w:p>
    <w:p w14:paraId="3BBBF519">
      <w:pPr>
        <w:widowControl/>
        <w:wordWrap w:val="0"/>
        <w:topLinePunct/>
        <w:adjustRightInd w:val="0"/>
        <w:snapToGrid w:val="0"/>
        <w:spacing w:after="120" w:afterLines="50" w:line="360" w:lineRule="auto"/>
        <w:ind w:left="480"/>
        <w:outlineLvl w:val="3"/>
        <w:rPr>
          <w:rFonts w:ascii="宋体" w:hAnsi="宋体" w:cs="宋体"/>
          <w:color w:val="auto"/>
          <w:highlight w:val="none"/>
        </w:rPr>
      </w:pPr>
      <w:r>
        <w:rPr>
          <w:rFonts w:hint="eastAsia" w:ascii="宋体" w:hAnsi="宋体" w:cs="宋体"/>
          <w:color w:val="auto"/>
          <w:szCs w:val="21"/>
          <w:highlight w:val="none"/>
          <w:lang w:bidi="ar"/>
        </w:rPr>
        <w:t>16.2.3因发包人违约解除合同后的付款</w:t>
      </w:r>
    </w:p>
    <w:p w14:paraId="306EF97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承包人按照本款约定解除合同的，发包人应在解除合同后28天内支付下列款项，并退还履约担保：</w:t>
      </w:r>
    </w:p>
    <w:p w14:paraId="63D68D5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（1）合同解除前所完成工作的价款；</w:t>
      </w:r>
    </w:p>
    <w:p w14:paraId="72C7837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（2）承包人为工程施工订购并已付款的材料、工程设备和其他物品的价款；发包人付款后，该材料、工程设备和其他物品归发包人所有；</w:t>
      </w:r>
    </w:p>
    <w:p w14:paraId="162D8CA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（3）承包人为完成工程所发生的，而发包人未支付的金额；</w:t>
      </w:r>
    </w:p>
    <w:p w14:paraId="6DBA7D9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（4）承包人撤离施工现场以及遣散承包人人员的款项；</w:t>
      </w:r>
    </w:p>
    <w:p w14:paraId="60135C7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（5）按照合同约定在合同解除前应支付的违约金；</w:t>
      </w:r>
    </w:p>
    <w:p w14:paraId="46B4AC2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（6）按照合同约定应当支付给承包人的其他款项；</w:t>
      </w:r>
    </w:p>
    <w:p w14:paraId="62DD27F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（7）按照合同约定应返还的质量保证金；</w:t>
      </w:r>
    </w:p>
    <w:p w14:paraId="13F9FCF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（8）因解除合同给承包人造成的损失。</w:t>
      </w:r>
    </w:p>
    <w:p w14:paraId="0DC8195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承包人应妥善做好已完工程和与工程有关的已购材料、工程设备的保护和移交工作，并将施工设备和人员撤出施工现场，发包人应为承包人撤出提供必要条件。</w:t>
      </w:r>
    </w:p>
    <w:p w14:paraId="7CC279AC">
      <w:pPr>
        <w:widowControl/>
        <w:wordWrap w:val="0"/>
        <w:topLinePunct/>
        <w:adjustRightInd w:val="0"/>
        <w:snapToGrid w:val="0"/>
        <w:spacing w:after="120" w:afterLines="50" w:line="360" w:lineRule="auto"/>
        <w:outlineLvl w:val="2"/>
        <w:rPr>
          <w:rFonts w:ascii="宋体" w:hAnsi="宋体" w:cs="宋体"/>
          <w:color w:val="auto"/>
          <w:highlight w:val="none"/>
        </w:rPr>
      </w:pPr>
      <w:bookmarkStart w:id="1473" w:name="_Toc20171847"/>
      <w:bookmarkEnd w:id="1473"/>
      <w:bookmarkStart w:id="1474" w:name="_Ref3841966"/>
      <w:bookmarkStart w:id="1475" w:name="_Toc179885371"/>
      <w:bookmarkStart w:id="1476" w:name="_Toc26283"/>
      <w:bookmarkStart w:id="1477" w:name="_Toc25911"/>
      <w:bookmarkStart w:id="1478" w:name="_Toc51766699"/>
      <w:bookmarkStart w:id="1479" w:name="_Toc84930835"/>
      <w:bookmarkStart w:id="1480" w:name="_Toc58860286"/>
      <w:bookmarkStart w:id="1481" w:name="_Toc482"/>
      <w:r>
        <w:rPr>
          <w:rFonts w:hint="eastAsia" w:ascii="宋体" w:hAnsi="宋体" w:cs="宋体"/>
          <w:color w:val="auto"/>
          <w:szCs w:val="21"/>
          <w:highlight w:val="none"/>
          <w:lang w:bidi="ar"/>
        </w:rPr>
        <w:t>1</w:t>
      </w:r>
      <w:bookmarkEnd w:id="1474"/>
      <w:r>
        <w:rPr>
          <w:rFonts w:hint="eastAsia" w:ascii="宋体" w:hAnsi="宋体" w:cs="宋体"/>
          <w:color w:val="auto"/>
          <w:szCs w:val="21"/>
          <w:highlight w:val="none"/>
          <w:lang w:bidi="ar"/>
        </w:rPr>
        <w:t>6.3  合同解除后的事项</w:t>
      </w:r>
      <w:bookmarkEnd w:id="1475"/>
      <w:bookmarkEnd w:id="1476"/>
      <w:bookmarkEnd w:id="1477"/>
      <w:bookmarkEnd w:id="1478"/>
      <w:bookmarkEnd w:id="1479"/>
      <w:bookmarkEnd w:id="1480"/>
      <w:bookmarkEnd w:id="1481"/>
    </w:p>
    <w:p w14:paraId="6BB29C65">
      <w:pPr>
        <w:widowControl/>
        <w:wordWrap w:val="0"/>
        <w:topLinePunct/>
        <w:adjustRightInd w:val="0"/>
        <w:snapToGrid w:val="0"/>
        <w:spacing w:after="120" w:afterLines="50" w:line="360" w:lineRule="auto"/>
        <w:ind w:left="480"/>
        <w:outlineLvl w:val="3"/>
        <w:rPr>
          <w:rFonts w:ascii="宋体" w:hAnsi="宋体" w:cs="宋体"/>
          <w:color w:val="auto"/>
          <w:highlight w:val="none"/>
        </w:rPr>
      </w:pPr>
      <w:r>
        <w:rPr>
          <w:rFonts w:hint="eastAsia" w:ascii="宋体" w:hAnsi="宋体" w:cs="宋体"/>
          <w:color w:val="auto"/>
          <w:szCs w:val="21"/>
          <w:highlight w:val="none"/>
          <w:lang w:bidi="ar"/>
        </w:rPr>
        <w:t>16.3.1结算约定依然有效</w:t>
      </w:r>
    </w:p>
    <w:p w14:paraId="63A6600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合同解除后，由发包人或由承包人解除合同的结算及结算后的付款约定仍然有效，直至解除合同的结算工作结清。</w:t>
      </w:r>
    </w:p>
    <w:p w14:paraId="161E06B1">
      <w:pPr>
        <w:widowControl/>
        <w:wordWrap w:val="0"/>
        <w:topLinePunct/>
        <w:adjustRightInd w:val="0"/>
        <w:snapToGrid w:val="0"/>
        <w:spacing w:after="120" w:afterLines="50" w:line="360" w:lineRule="auto"/>
        <w:ind w:left="480"/>
        <w:outlineLvl w:val="3"/>
        <w:rPr>
          <w:rFonts w:ascii="宋体" w:hAnsi="宋体" w:cs="宋体"/>
          <w:color w:val="auto"/>
          <w:highlight w:val="none"/>
        </w:rPr>
      </w:pPr>
      <w:r>
        <w:rPr>
          <w:rFonts w:hint="eastAsia" w:ascii="宋体" w:hAnsi="宋体" w:cs="宋体"/>
          <w:color w:val="auto"/>
          <w:szCs w:val="21"/>
          <w:highlight w:val="none"/>
          <w:lang w:bidi="ar"/>
        </w:rPr>
        <w:t>16.3.2解除合同的争议</w:t>
      </w:r>
    </w:p>
    <w:p w14:paraId="206F627C">
      <w:pPr>
        <w:widowControl/>
        <w:adjustRightInd w:val="0"/>
        <w:snapToGrid w:val="0"/>
        <w:spacing w:after="120" w:afterLines="50" w:line="360" w:lineRule="auto"/>
        <w:ind w:firstLine="420" w:firstLineChars="200"/>
        <w:rPr>
          <w:rFonts w:ascii="宋体" w:hAnsi="宋体" w:cs="宋体"/>
          <w:color w:val="auto"/>
          <w:kern w:val="0"/>
          <w:highlight w:val="none"/>
        </w:rPr>
      </w:pPr>
      <w:bookmarkStart w:id="1482" w:name="_Hlk18988355"/>
      <w:bookmarkEnd w:id="1482"/>
      <w:r>
        <w:rPr>
          <w:rFonts w:hint="eastAsia" w:ascii="宋体" w:hAnsi="宋体" w:cs="宋体"/>
          <w:color w:val="auto"/>
          <w:kern w:val="0"/>
          <w:szCs w:val="21"/>
          <w:highlight w:val="none"/>
          <w:lang w:bidi="ar"/>
        </w:rPr>
        <w:t>双方对解除合同或解除合同后的结算有争议的，按照第20条[争议解决]的约定处理。</w:t>
      </w:r>
    </w:p>
    <w:p w14:paraId="60730283">
      <w:pPr>
        <w:widowControl/>
        <w:wordWrap w:val="0"/>
        <w:topLinePunct/>
        <w:adjustRightInd w:val="0"/>
        <w:snapToGrid w:val="0"/>
        <w:spacing w:after="120" w:afterLines="50" w:line="360" w:lineRule="auto"/>
        <w:outlineLvl w:val="1"/>
        <w:rPr>
          <w:rFonts w:ascii="宋体" w:hAnsi="宋体" w:cs="宋体"/>
          <w:color w:val="auto"/>
          <w:kern w:val="0"/>
          <w:highlight w:val="none"/>
        </w:rPr>
      </w:pPr>
      <w:bookmarkStart w:id="1483" w:name="_Ref3840974"/>
      <w:bookmarkEnd w:id="1483"/>
      <w:bookmarkStart w:id="1484" w:name="_Toc20171848"/>
      <w:bookmarkEnd w:id="1484"/>
      <w:bookmarkStart w:id="1485" w:name="_Ref3840605"/>
      <w:bookmarkStart w:id="1486" w:name="_Toc179885372"/>
      <w:r>
        <w:rPr>
          <w:rFonts w:hint="eastAsia" w:ascii="宋体" w:hAnsi="宋体" w:cs="宋体"/>
          <w:color w:val="auto"/>
          <w:kern w:val="0"/>
          <w:szCs w:val="21"/>
          <w:highlight w:val="none"/>
          <w:lang w:bidi="ar"/>
        </w:rPr>
        <w:t>第1</w:t>
      </w:r>
      <w:bookmarkEnd w:id="1485"/>
      <w:r>
        <w:rPr>
          <w:rFonts w:hint="eastAsia" w:ascii="宋体" w:hAnsi="宋体" w:cs="宋体"/>
          <w:color w:val="auto"/>
          <w:kern w:val="0"/>
          <w:szCs w:val="21"/>
          <w:highlight w:val="none"/>
          <w:lang w:bidi="ar"/>
        </w:rPr>
        <w:t>7条  不可抗力</w:t>
      </w:r>
      <w:bookmarkEnd w:id="1486"/>
    </w:p>
    <w:p w14:paraId="0CD31B01">
      <w:pPr>
        <w:widowControl/>
        <w:wordWrap w:val="0"/>
        <w:topLinePunct/>
        <w:adjustRightInd w:val="0"/>
        <w:snapToGrid w:val="0"/>
        <w:spacing w:after="120" w:afterLines="50" w:line="360" w:lineRule="auto"/>
        <w:outlineLvl w:val="2"/>
        <w:rPr>
          <w:rFonts w:ascii="宋体" w:hAnsi="宋体" w:cs="宋体"/>
          <w:color w:val="auto"/>
          <w:highlight w:val="none"/>
        </w:rPr>
      </w:pPr>
      <w:bookmarkStart w:id="1487" w:name="_Ref531958161"/>
      <w:bookmarkEnd w:id="1487"/>
      <w:bookmarkStart w:id="1488" w:name="_Ref531958158"/>
      <w:bookmarkEnd w:id="1488"/>
      <w:bookmarkStart w:id="1489" w:name="_Toc20171849"/>
      <w:bookmarkStart w:id="1490" w:name="_Toc84930837"/>
      <w:bookmarkStart w:id="1491" w:name="_Toc26573"/>
      <w:bookmarkStart w:id="1492" w:name="_Toc51766701"/>
      <w:bookmarkStart w:id="1493" w:name="_Toc58860288"/>
      <w:bookmarkStart w:id="1494" w:name="_Toc179885373"/>
      <w:bookmarkStart w:id="1495" w:name="_Toc21586"/>
      <w:bookmarkStart w:id="1496" w:name="_Toc21139"/>
      <w:r>
        <w:rPr>
          <w:rFonts w:hint="eastAsia" w:ascii="宋体" w:hAnsi="宋体" w:cs="宋体"/>
          <w:color w:val="auto"/>
          <w:szCs w:val="21"/>
          <w:highlight w:val="none"/>
          <w:lang w:bidi="ar"/>
        </w:rPr>
        <w:t>1</w:t>
      </w:r>
      <w:bookmarkEnd w:id="1489"/>
      <w:r>
        <w:rPr>
          <w:rFonts w:hint="eastAsia" w:ascii="宋体" w:hAnsi="宋体" w:cs="宋体"/>
          <w:color w:val="auto"/>
          <w:szCs w:val="21"/>
          <w:highlight w:val="none"/>
          <w:lang w:bidi="ar"/>
        </w:rPr>
        <w:t>7.1  不可抗力的定义</w:t>
      </w:r>
      <w:bookmarkEnd w:id="1490"/>
      <w:bookmarkEnd w:id="1491"/>
      <w:bookmarkEnd w:id="1492"/>
      <w:bookmarkEnd w:id="1493"/>
      <w:bookmarkEnd w:id="1494"/>
      <w:bookmarkEnd w:id="1495"/>
      <w:bookmarkEnd w:id="1496"/>
    </w:p>
    <w:p w14:paraId="3321AFAA">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14:paraId="37E151B0">
      <w:pPr>
        <w:widowControl/>
        <w:wordWrap w:val="0"/>
        <w:topLinePunct/>
        <w:adjustRightInd w:val="0"/>
        <w:snapToGrid w:val="0"/>
        <w:spacing w:after="120" w:afterLines="50" w:line="360" w:lineRule="auto"/>
        <w:outlineLvl w:val="2"/>
        <w:rPr>
          <w:rFonts w:ascii="宋体" w:hAnsi="宋体" w:cs="宋体"/>
          <w:color w:val="auto"/>
          <w:highlight w:val="none"/>
        </w:rPr>
      </w:pPr>
      <w:bookmarkStart w:id="1497" w:name="_Toc20171850"/>
      <w:bookmarkEnd w:id="1497"/>
      <w:bookmarkStart w:id="1498" w:name="_Toc179885374"/>
      <w:bookmarkStart w:id="1499" w:name="_Toc24388"/>
      <w:bookmarkStart w:id="1500" w:name="_Toc58860289"/>
      <w:bookmarkStart w:id="1501" w:name="_Toc7742"/>
      <w:bookmarkStart w:id="1502" w:name="_Toc21252"/>
      <w:bookmarkStart w:id="1503" w:name="_Toc51766702"/>
      <w:bookmarkStart w:id="1504" w:name="_Toc84930838"/>
      <w:r>
        <w:rPr>
          <w:rFonts w:hint="eastAsia" w:ascii="宋体" w:hAnsi="宋体" w:cs="宋体"/>
          <w:color w:val="auto"/>
          <w:szCs w:val="21"/>
          <w:highlight w:val="none"/>
          <w:lang w:bidi="ar"/>
        </w:rPr>
        <w:t>17.2  不可抗力的通知</w:t>
      </w:r>
      <w:bookmarkEnd w:id="1498"/>
      <w:bookmarkEnd w:id="1499"/>
      <w:bookmarkEnd w:id="1500"/>
      <w:bookmarkEnd w:id="1501"/>
      <w:bookmarkEnd w:id="1502"/>
      <w:bookmarkEnd w:id="1503"/>
      <w:bookmarkEnd w:id="1504"/>
      <w:r>
        <w:rPr>
          <w:rFonts w:hint="eastAsia" w:ascii="宋体" w:hAnsi="宋体" w:cs="宋体"/>
          <w:color w:val="auto"/>
          <w:szCs w:val="21"/>
          <w:highlight w:val="none"/>
          <w:lang w:bidi="ar"/>
        </w:rPr>
        <w:t xml:space="preserve"> </w:t>
      </w:r>
    </w:p>
    <w:p w14:paraId="1C85AC8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合同一方当事人觉察或发现不可抗力事件发生，使其履行合同义务受到阻碍时，有义务立即通知合同另一方当事人和工程师，书面说明不可抗力和受阻碍的详细情况，并提供必要的证明。</w:t>
      </w:r>
    </w:p>
    <w:p w14:paraId="112B24D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不可抗力持续发生的，合同一方当事人应每隔28天向合同另一方当事人和工程师提交中间报告，说明不可抗力和履行合同受阻的情况，并于不可抗力事件结束后28天内提交最终报告及有关资料。</w:t>
      </w:r>
    </w:p>
    <w:p w14:paraId="2A22770B">
      <w:pPr>
        <w:widowControl/>
        <w:wordWrap w:val="0"/>
        <w:topLinePunct/>
        <w:adjustRightInd w:val="0"/>
        <w:snapToGrid w:val="0"/>
        <w:spacing w:after="120" w:afterLines="50" w:line="360" w:lineRule="auto"/>
        <w:outlineLvl w:val="2"/>
        <w:rPr>
          <w:rFonts w:ascii="宋体" w:hAnsi="宋体" w:cs="宋体"/>
          <w:color w:val="auto"/>
          <w:highlight w:val="none"/>
        </w:rPr>
      </w:pPr>
      <w:bookmarkStart w:id="1505" w:name="_Toc20171851"/>
      <w:bookmarkEnd w:id="1505"/>
      <w:bookmarkStart w:id="1506" w:name="_Toc51766703"/>
      <w:bookmarkStart w:id="1507" w:name="_Toc58860290"/>
      <w:bookmarkStart w:id="1508" w:name="_Toc179885375"/>
      <w:bookmarkStart w:id="1509" w:name="_Toc11904"/>
      <w:bookmarkStart w:id="1510" w:name="_Toc84930839"/>
      <w:bookmarkStart w:id="1511" w:name="_Toc11670"/>
      <w:bookmarkStart w:id="1512" w:name="_Toc2801"/>
      <w:r>
        <w:rPr>
          <w:rFonts w:hint="eastAsia" w:ascii="宋体" w:hAnsi="宋体" w:cs="宋体"/>
          <w:color w:val="auto"/>
          <w:szCs w:val="21"/>
          <w:highlight w:val="none"/>
          <w:lang w:bidi="ar"/>
        </w:rPr>
        <w:t>17.3  将损失减至最小的义务</w:t>
      </w:r>
      <w:bookmarkEnd w:id="1506"/>
      <w:bookmarkEnd w:id="1507"/>
      <w:bookmarkEnd w:id="1508"/>
      <w:bookmarkEnd w:id="1509"/>
      <w:bookmarkEnd w:id="1510"/>
      <w:bookmarkEnd w:id="1511"/>
      <w:bookmarkEnd w:id="1512"/>
    </w:p>
    <w:p w14:paraId="0AC3DCF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14:paraId="0E4FF4C7">
      <w:pPr>
        <w:widowControl/>
        <w:wordWrap w:val="0"/>
        <w:topLinePunct/>
        <w:adjustRightInd w:val="0"/>
        <w:snapToGrid w:val="0"/>
        <w:spacing w:after="120" w:afterLines="50" w:line="360" w:lineRule="auto"/>
        <w:outlineLvl w:val="2"/>
        <w:rPr>
          <w:rFonts w:ascii="宋体" w:hAnsi="宋体" w:cs="宋体"/>
          <w:color w:val="auto"/>
          <w:highlight w:val="none"/>
        </w:rPr>
      </w:pPr>
      <w:bookmarkStart w:id="1513" w:name="_Toc20171852"/>
      <w:bookmarkEnd w:id="1513"/>
      <w:bookmarkStart w:id="1514" w:name="_Ref531958170"/>
      <w:bookmarkEnd w:id="1514"/>
      <w:bookmarkStart w:id="1515" w:name="_Ref531958172"/>
      <w:bookmarkEnd w:id="1515"/>
      <w:bookmarkStart w:id="1516" w:name="_Ref3840916"/>
      <w:bookmarkStart w:id="1517" w:name="_Toc4878"/>
      <w:bookmarkStart w:id="1518" w:name="_Toc58860291"/>
      <w:bookmarkStart w:id="1519" w:name="_Toc179885376"/>
      <w:bookmarkStart w:id="1520" w:name="_Toc8367"/>
      <w:bookmarkStart w:id="1521" w:name="_Toc84930840"/>
      <w:bookmarkStart w:id="1522" w:name="_Toc5407"/>
      <w:bookmarkStart w:id="1523" w:name="_Toc51766704"/>
      <w:r>
        <w:rPr>
          <w:rFonts w:hint="eastAsia" w:ascii="宋体" w:hAnsi="宋体" w:cs="宋体"/>
          <w:color w:val="auto"/>
          <w:szCs w:val="21"/>
          <w:highlight w:val="none"/>
          <w:lang w:bidi="ar"/>
        </w:rPr>
        <w:t>1</w:t>
      </w:r>
      <w:bookmarkEnd w:id="1516"/>
      <w:r>
        <w:rPr>
          <w:rFonts w:hint="eastAsia" w:ascii="宋体" w:hAnsi="宋体" w:cs="宋体"/>
          <w:color w:val="auto"/>
          <w:szCs w:val="21"/>
          <w:highlight w:val="none"/>
          <w:lang w:bidi="ar"/>
        </w:rPr>
        <w:t>7.4  不可抗力后果的承担</w:t>
      </w:r>
      <w:bookmarkEnd w:id="1517"/>
      <w:bookmarkEnd w:id="1518"/>
      <w:bookmarkEnd w:id="1519"/>
      <w:bookmarkEnd w:id="1520"/>
      <w:bookmarkEnd w:id="1521"/>
      <w:bookmarkEnd w:id="1522"/>
      <w:bookmarkEnd w:id="1523"/>
      <w:r>
        <w:rPr>
          <w:rFonts w:hint="eastAsia" w:ascii="宋体" w:hAnsi="宋体" w:cs="宋体"/>
          <w:color w:val="auto"/>
          <w:szCs w:val="21"/>
          <w:highlight w:val="none"/>
          <w:lang w:bidi="ar"/>
        </w:rPr>
        <w:t xml:space="preserve"> </w:t>
      </w:r>
    </w:p>
    <w:p w14:paraId="535DCA7F">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17.4.1不可抗力导致的人员伤亡、财产损失、费用增加和（或）工期延误等后果，由合同当事人按以下原则承担：</w:t>
      </w:r>
    </w:p>
    <w:p w14:paraId="5EE229A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（1）永久工程，包括已运至施工现场的材料和工程设备的损害，以及因工程损害造成的第三人人员伤亡和财产损失由发包人承担；</w:t>
      </w:r>
    </w:p>
    <w:p w14:paraId="737EA7B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（2）承包人提供的施工设备的损坏由承包人承担；</w:t>
      </w:r>
    </w:p>
    <w:p w14:paraId="0E41EBE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（3）发包人和承包人各自承担其人员伤亡及其他财产损失；</w:t>
      </w:r>
    </w:p>
    <w:p w14:paraId="3AE2B66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因不可抗力影响承包人履行合同约定的义务，已经引起或将引起工期延误的，应当顺延工期，由此导致承包人停工的费用损失由发包人和承包人合理分担，停工期间必须支付的现场必要的工人工资由发包人承担；</w:t>
      </w:r>
    </w:p>
    <w:p w14:paraId="6948EB4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（5）因不可抗力引起或将引起工期延误，发包人指示赶工的，由此增加的赶工费用由发包人承担；</w:t>
      </w:r>
    </w:p>
    <w:p w14:paraId="7D0B84AE">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（6）承包人在停工期间按照工程师或发包人要求照管、清理和修复工程的费用由发包人承担。</w:t>
      </w:r>
    </w:p>
    <w:p w14:paraId="29373DB1">
      <w:pPr>
        <w:widowControl/>
        <w:adjustRightInd w:val="0"/>
        <w:snapToGrid w:val="0"/>
        <w:spacing w:after="120" w:afterLines="50" w:line="360" w:lineRule="auto"/>
        <w:ind w:firstLine="420" w:firstLineChars="200"/>
        <w:rPr>
          <w:color w:val="auto"/>
          <w:highlight w:val="none"/>
        </w:rPr>
      </w:pPr>
      <w:r>
        <w:rPr>
          <w:rFonts w:hint="eastAsia"/>
          <w:color w:val="auto"/>
          <w:highlight w:val="none"/>
        </w:rPr>
        <w:t>不可抗力引起的后果及造成的损失由合同当事人按照法律规定及合同约定各自承担。不可抗力发生前已完成的工程应当按照合同约定进行支付。</w:t>
      </w:r>
    </w:p>
    <w:p w14:paraId="6120EDB0">
      <w:pPr>
        <w:widowControl/>
        <w:wordWrap w:val="0"/>
        <w:topLinePunct/>
        <w:adjustRightInd w:val="0"/>
        <w:snapToGrid w:val="0"/>
        <w:spacing w:after="120" w:afterLines="50" w:line="360" w:lineRule="auto"/>
        <w:outlineLvl w:val="2"/>
        <w:rPr>
          <w:rFonts w:ascii="宋体" w:hAnsi="宋体" w:cs="宋体"/>
          <w:color w:val="auto"/>
          <w:highlight w:val="none"/>
        </w:rPr>
      </w:pPr>
      <w:bookmarkStart w:id="1524" w:name="_Toc20171853"/>
      <w:bookmarkEnd w:id="1524"/>
      <w:bookmarkStart w:id="1525" w:name="_Toc179885377"/>
      <w:bookmarkStart w:id="1526" w:name="_Toc6138"/>
      <w:bookmarkStart w:id="1527" w:name="_Toc18238"/>
      <w:bookmarkStart w:id="1528" w:name="_Toc51766705"/>
      <w:bookmarkStart w:id="1529" w:name="_Toc58860292"/>
      <w:bookmarkStart w:id="1530" w:name="_Toc84930841"/>
      <w:bookmarkStart w:id="1531" w:name="_Toc26674"/>
      <w:r>
        <w:rPr>
          <w:rFonts w:hint="eastAsia" w:ascii="宋体" w:hAnsi="宋体" w:cs="宋体"/>
          <w:color w:val="auto"/>
          <w:szCs w:val="21"/>
          <w:highlight w:val="none"/>
          <w:lang w:bidi="ar"/>
        </w:rPr>
        <w:t>17.5  不可抗力影响分包人</w:t>
      </w:r>
      <w:bookmarkEnd w:id="1525"/>
      <w:bookmarkEnd w:id="1526"/>
      <w:bookmarkEnd w:id="1527"/>
      <w:bookmarkEnd w:id="1528"/>
      <w:bookmarkEnd w:id="1529"/>
      <w:bookmarkEnd w:id="1530"/>
      <w:bookmarkEnd w:id="1531"/>
      <w:r>
        <w:rPr>
          <w:rFonts w:hint="eastAsia" w:ascii="宋体" w:hAnsi="宋体" w:cs="宋体"/>
          <w:color w:val="auto"/>
          <w:szCs w:val="21"/>
          <w:highlight w:val="none"/>
          <w:lang w:bidi="ar"/>
        </w:rPr>
        <w:t xml:space="preserve"> </w:t>
      </w:r>
    </w:p>
    <w:p w14:paraId="6A21D37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分包人根据分包合同的约定，有权获得更多或者更广的不可抗力而免除某些义务时，承包人不得以分包合同中不可抗力约定向发包人抗辩免除其义务。</w:t>
      </w:r>
    </w:p>
    <w:p w14:paraId="4B512D1E">
      <w:pPr>
        <w:widowControl/>
        <w:wordWrap w:val="0"/>
        <w:topLinePunct/>
        <w:adjustRightInd w:val="0"/>
        <w:snapToGrid w:val="0"/>
        <w:spacing w:after="120" w:afterLines="50" w:line="360" w:lineRule="auto"/>
        <w:outlineLvl w:val="2"/>
        <w:rPr>
          <w:rFonts w:ascii="宋体" w:hAnsi="宋体" w:cs="宋体"/>
          <w:color w:val="auto"/>
          <w:highlight w:val="none"/>
        </w:rPr>
      </w:pPr>
      <w:bookmarkStart w:id="1532" w:name="_Ref4538024"/>
      <w:bookmarkEnd w:id="1532"/>
      <w:bookmarkStart w:id="1533" w:name="_Toc20171854"/>
      <w:bookmarkEnd w:id="1533"/>
      <w:bookmarkStart w:id="1534" w:name="_Ref531958181"/>
      <w:bookmarkEnd w:id="1534"/>
      <w:bookmarkStart w:id="1535" w:name="_Ref3840892"/>
      <w:bookmarkEnd w:id="1535"/>
      <w:bookmarkStart w:id="1536" w:name="_Ref531958184"/>
      <w:bookmarkStart w:id="1537" w:name="_Toc51766706"/>
      <w:bookmarkStart w:id="1538" w:name="_Toc25254"/>
      <w:bookmarkStart w:id="1539" w:name="_Toc15173"/>
      <w:bookmarkStart w:id="1540" w:name="_Toc179885378"/>
      <w:bookmarkStart w:id="1541" w:name="_Toc58860293"/>
      <w:bookmarkStart w:id="1542" w:name="_Toc17782"/>
      <w:bookmarkStart w:id="1543" w:name="_Toc84930842"/>
      <w:r>
        <w:rPr>
          <w:rFonts w:hint="eastAsia" w:ascii="宋体" w:hAnsi="宋体" w:cs="宋体"/>
          <w:color w:val="auto"/>
          <w:szCs w:val="21"/>
          <w:highlight w:val="none"/>
          <w:lang w:bidi="ar"/>
        </w:rPr>
        <w:t>1</w:t>
      </w:r>
      <w:bookmarkEnd w:id="1536"/>
      <w:r>
        <w:rPr>
          <w:rFonts w:hint="eastAsia" w:ascii="宋体" w:hAnsi="宋体" w:cs="宋体"/>
          <w:color w:val="auto"/>
          <w:szCs w:val="21"/>
          <w:highlight w:val="none"/>
          <w:lang w:bidi="ar"/>
        </w:rPr>
        <w:t>7.6  因不可抗力解除合同</w:t>
      </w:r>
      <w:bookmarkEnd w:id="1537"/>
      <w:bookmarkEnd w:id="1538"/>
      <w:bookmarkEnd w:id="1539"/>
      <w:bookmarkEnd w:id="1540"/>
      <w:bookmarkEnd w:id="1541"/>
      <w:bookmarkEnd w:id="1542"/>
      <w:bookmarkEnd w:id="1543"/>
      <w:r>
        <w:rPr>
          <w:rFonts w:hint="eastAsia" w:ascii="宋体" w:hAnsi="宋体" w:cs="宋体"/>
          <w:color w:val="auto"/>
          <w:szCs w:val="21"/>
          <w:highlight w:val="none"/>
          <w:lang w:bidi="ar"/>
        </w:rPr>
        <w:t xml:space="preserve"> </w:t>
      </w:r>
    </w:p>
    <w:p w14:paraId="3051F8C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因单次不可抗力导致合同无法履行连续超过84天或累计超过140天的，发包人和承包人均有权解除合同。合同解除后，承包人应按照第10.5款[竣工退场]的规定进行。由双方当事人按照第3.6款[商定或确定]商定或确定发包人应支付的款项，该款项包括：</w:t>
      </w:r>
    </w:p>
    <w:p w14:paraId="3233EAF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（1）合同解除前承包人已完成工作的价款；</w:t>
      </w:r>
    </w:p>
    <w:p w14:paraId="6CB4B51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14:paraId="47B4208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（3）发包人指示承包人退货或解除订货合同而产生的费用，或因不能退货或解除合同而产生的损失；</w:t>
      </w:r>
    </w:p>
    <w:p w14:paraId="15A3F7C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（4）承包人撤离施工现场以及遣散承包人人员的费用；</w:t>
      </w:r>
    </w:p>
    <w:p w14:paraId="48F2EF0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（5）按照合同约定在合同解除前应支付给承包人的其他款项；</w:t>
      </w:r>
    </w:p>
    <w:p w14:paraId="6635670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（6）扣减承包人按照合同约定应向发包人支付的款项；</w:t>
      </w:r>
    </w:p>
    <w:p w14:paraId="38E3862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（7）双方商定或确定的其他款项。</w:t>
      </w:r>
    </w:p>
    <w:p w14:paraId="52F34CEA">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除专用合同条件另有约定外，合同解除后，发包人应当在商定或确定上述款项后28天内完成上述款项的支付。</w:t>
      </w:r>
    </w:p>
    <w:p w14:paraId="44753FDC">
      <w:pPr>
        <w:widowControl/>
        <w:wordWrap w:val="0"/>
        <w:topLinePunct/>
        <w:adjustRightInd w:val="0"/>
        <w:snapToGrid w:val="0"/>
        <w:spacing w:after="120" w:afterLines="50" w:line="360" w:lineRule="auto"/>
        <w:outlineLvl w:val="1"/>
        <w:rPr>
          <w:rFonts w:ascii="宋体" w:hAnsi="宋体" w:cs="宋体"/>
          <w:color w:val="auto"/>
          <w:kern w:val="0"/>
          <w:highlight w:val="none"/>
        </w:rPr>
      </w:pPr>
      <w:bookmarkStart w:id="1544" w:name="_Ref11848274"/>
      <w:bookmarkEnd w:id="1544"/>
      <w:bookmarkStart w:id="1545" w:name="_Toc20171855"/>
      <w:bookmarkEnd w:id="1545"/>
      <w:bookmarkStart w:id="1546" w:name="_Ref11848264"/>
      <w:bookmarkStart w:id="1547" w:name="_Toc179885379"/>
      <w:r>
        <w:rPr>
          <w:rFonts w:hint="eastAsia" w:ascii="宋体" w:hAnsi="宋体" w:cs="宋体"/>
          <w:color w:val="auto"/>
          <w:kern w:val="0"/>
          <w:szCs w:val="21"/>
          <w:highlight w:val="none"/>
          <w:lang w:bidi="ar"/>
        </w:rPr>
        <w:t>第1</w:t>
      </w:r>
      <w:bookmarkEnd w:id="1546"/>
      <w:r>
        <w:rPr>
          <w:rFonts w:hint="eastAsia" w:ascii="宋体" w:hAnsi="宋体" w:cs="宋体"/>
          <w:color w:val="auto"/>
          <w:kern w:val="0"/>
          <w:szCs w:val="21"/>
          <w:highlight w:val="none"/>
          <w:lang w:bidi="ar"/>
        </w:rPr>
        <w:t>8条  保险</w:t>
      </w:r>
      <w:bookmarkEnd w:id="1547"/>
      <w:r>
        <w:rPr>
          <w:rFonts w:hint="eastAsia" w:ascii="宋体" w:hAnsi="宋体" w:cs="宋体"/>
          <w:color w:val="auto"/>
          <w:kern w:val="0"/>
          <w:szCs w:val="21"/>
          <w:highlight w:val="none"/>
          <w:lang w:bidi="ar"/>
        </w:rPr>
        <w:t xml:space="preserve"> </w:t>
      </w:r>
    </w:p>
    <w:p w14:paraId="2474F2F7">
      <w:pPr>
        <w:widowControl/>
        <w:wordWrap w:val="0"/>
        <w:topLinePunct/>
        <w:adjustRightInd w:val="0"/>
        <w:snapToGrid w:val="0"/>
        <w:spacing w:after="120" w:afterLines="50" w:line="360" w:lineRule="auto"/>
        <w:outlineLvl w:val="2"/>
        <w:rPr>
          <w:rFonts w:ascii="宋体" w:hAnsi="宋体" w:cs="宋体"/>
          <w:color w:val="auto"/>
          <w:highlight w:val="none"/>
        </w:rPr>
      </w:pPr>
      <w:bookmarkStart w:id="1548" w:name="_Toc20171856"/>
      <w:bookmarkEnd w:id="1548"/>
      <w:bookmarkStart w:id="1549" w:name="_Ref531957914"/>
      <w:bookmarkEnd w:id="1549"/>
      <w:bookmarkStart w:id="1550" w:name="_Ref3840730"/>
      <w:bookmarkEnd w:id="1550"/>
      <w:bookmarkStart w:id="1551" w:name="_Ref3840734"/>
      <w:bookmarkEnd w:id="1551"/>
      <w:bookmarkStart w:id="1552" w:name="_Ref531957911"/>
      <w:bookmarkEnd w:id="1552"/>
      <w:bookmarkStart w:id="1553" w:name="_Toc351203616"/>
      <w:bookmarkStart w:id="1554" w:name="_Toc31671"/>
      <w:bookmarkStart w:id="1555" w:name="_Toc58860295"/>
      <w:bookmarkStart w:id="1556" w:name="_Toc84930844"/>
      <w:bookmarkStart w:id="1557" w:name="_Toc179885380"/>
      <w:bookmarkStart w:id="1558" w:name="_Toc16605"/>
      <w:bookmarkStart w:id="1559" w:name="_Toc51766708"/>
      <w:bookmarkStart w:id="1560" w:name="_Toc19630"/>
      <w:r>
        <w:rPr>
          <w:rFonts w:hint="eastAsia" w:ascii="宋体" w:hAnsi="宋体" w:cs="宋体"/>
          <w:color w:val="auto"/>
          <w:szCs w:val="21"/>
          <w:highlight w:val="none"/>
          <w:lang w:bidi="ar"/>
        </w:rPr>
        <w:t>1</w:t>
      </w:r>
      <w:bookmarkEnd w:id="1553"/>
      <w:r>
        <w:rPr>
          <w:rFonts w:hint="eastAsia" w:ascii="宋体" w:hAnsi="宋体" w:cs="宋体"/>
          <w:color w:val="auto"/>
          <w:szCs w:val="21"/>
          <w:highlight w:val="none"/>
          <w:lang w:bidi="ar"/>
        </w:rPr>
        <w:t>8.1  设计和工程保险</w:t>
      </w:r>
      <w:bookmarkEnd w:id="1554"/>
      <w:bookmarkEnd w:id="1555"/>
      <w:bookmarkEnd w:id="1556"/>
      <w:bookmarkEnd w:id="1557"/>
      <w:bookmarkEnd w:id="1558"/>
      <w:bookmarkEnd w:id="1559"/>
      <w:bookmarkEnd w:id="1560"/>
    </w:p>
    <w:p w14:paraId="6E049AC0">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18.1.1双方应按照专用合同条件的约定向双方同意的保险人投保建设工程设计责任险、建筑安装工程一切险等保险。具体的投保险种、保险范围、保险金额、保险费率、保险期限等有关内容应当在专用合同条件中明确约定。</w:t>
      </w:r>
    </w:p>
    <w:p w14:paraId="7CB22909">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18.1.2双方应按照专用合同条件的约定投保第三者责任险，并在缺陷责任期终止证书颁发前维持其持续有效。第三者责任险最低投保额应在专用合同条件内约定。</w:t>
      </w:r>
    </w:p>
    <w:p w14:paraId="5C0A0593">
      <w:pPr>
        <w:widowControl/>
        <w:wordWrap w:val="0"/>
        <w:topLinePunct/>
        <w:adjustRightInd w:val="0"/>
        <w:snapToGrid w:val="0"/>
        <w:spacing w:after="120" w:afterLines="50" w:line="360" w:lineRule="auto"/>
        <w:outlineLvl w:val="2"/>
        <w:rPr>
          <w:rFonts w:ascii="宋体" w:hAnsi="宋体" w:cs="宋体"/>
          <w:color w:val="auto"/>
          <w:highlight w:val="none"/>
        </w:rPr>
      </w:pPr>
      <w:bookmarkStart w:id="1561" w:name="_Ref3840683"/>
      <w:bookmarkEnd w:id="1561"/>
      <w:bookmarkStart w:id="1562" w:name="_Toc20171857"/>
      <w:bookmarkStart w:id="1563" w:name="_Toc28180"/>
      <w:bookmarkStart w:id="1564" w:name="_Toc18994"/>
      <w:bookmarkStart w:id="1565" w:name="_Toc179885381"/>
      <w:bookmarkStart w:id="1566" w:name="_Toc51766709"/>
      <w:bookmarkStart w:id="1567" w:name="_Toc58860296"/>
      <w:bookmarkStart w:id="1568" w:name="_Toc31109"/>
      <w:bookmarkStart w:id="1569" w:name="_Toc84930845"/>
      <w:r>
        <w:rPr>
          <w:rFonts w:hint="eastAsia" w:ascii="宋体" w:hAnsi="宋体" w:cs="宋体"/>
          <w:color w:val="auto"/>
          <w:szCs w:val="21"/>
          <w:highlight w:val="none"/>
          <w:lang w:bidi="ar"/>
        </w:rPr>
        <w:t>1</w:t>
      </w:r>
      <w:bookmarkEnd w:id="1562"/>
      <w:r>
        <w:rPr>
          <w:rFonts w:hint="eastAsia" w:ascii="宋体" w:hAnsi="宋体" w:cs="宋体"/>
          <w:color w:val="auto"/>
          <w:szCs w:val="21"/>
          <w:highlight w:val="none"/>
          <w:lang w:bidi="ar"/>
        </w:rPr>
        <w:t>8.2  工伤和意外伤害保险</w:t>
      </w:r>
      <w:bookmarkEnd w:id="1563"/>
      <w:bookmarkEnd w:id="1564"/>
      <w:bookmarkEnd w:id="1565"/>
      <w:bookmarkEnd w:id="1566"/>
      <w:bookmarkEnd w:id="1567"/>
      <w:bookmarkEnd w:id="1568"/>
      <w:bookmarkEnd w:id="1569"/>
    </w:p>
    <w:p w14:paraId="24616DE0">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18.2.1发包人应依照法律规定为其在施工现场的雇用人员办理工伤保险，缴纳工伤保险费；并要求工程师及由发包人为履行合同聘请的第三方在施工现场的雇用人员依法办理工伤保险。</w:t>
      </w:r>
    </w:p>
    <w:p w14:paraId="34557E2D">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18.2.2承包人应依照法律规定为其履行合同雇用的全部人员办理工伤保险，缴纳工伤保险费，并要求分包人及由承包人为履行合同聘请的第三方雇用的全部人员依法办理工伤保险。</w:t>
      </w:r>
    </w:p>
    <w:p w14:paraId="48F503BD">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szCs w:val="21"/>
          <w:highlight w:val="none"/>
          <w:lang w:bidi="ar"/>
        </w:rPr>
        <w:t>18.2.3发包人和承包人可以为其施工现场的全部人员办理意外伤害保险并支付保险费，包括其员工及为履行合同聘请的第三方的人员，具体事项由合同当事人在专用合同条件约定。</w:t>
      </w:r>
    </w:p>
    <w:p w14:paraId="04B19F57">
      <w:pPr>
        <w:widowControl/>
        <w:wordWrap w:val="0"/>
        <w:topLinePunct/>
        <w:adjustRightInd w:val="0"/>
        <w:snapToGrid w:val="0"/>
        <w:spacing w:after="120" w:afterLines="50" w:line="360" w:lineRule="auto"/>
        <w:outlineLvl w:val="2"/>
        <w:rPr>
          <w:rFonts w:ascii="宋体" w:hAnsi="宋体" w:cs="宋体"/>
          <w:color w:val="auto"/>
          <w:highlight w:val="none"/>
        </w:rPr>
      </w:pPr>
      <w:bookmarkStart w:id="1570" w:name="_Ref3840782"/>
      <w:bookmarkEnd w:id="1570"/>
      <w:bookmarkStart w:id="1571" w:name="_Toc20171858"/>
      <w:bookmarkStart w:id="1572" w:name="_Toc84930846"/>
      <w:bookmarkStart w:id="1573" w:name="_Toc51766710"/>
      <w:bookmarkStart w:id="1574" w:name="_Toc58860297"/>
      <w:bookmarkStart w:id="1575" w:name="_Toc3855"/>
      <w:bookmarkStart w:id="1576" w:name="_Toc9367"/>
      <w:bookmarkStart w:id="1577" w:name="_Toc179885382"/>
      <w:bookmarkStart w:id="1578" w:name="_Toc21154"/>
      <w:r>
        <w:rPr>
          <w:rFonts w:hint="eastAsia" w:ascii="宋体" w:hAnsi="宋体" w:cs="宋体"/>
          <w:color w:val="auto"/>
          <w:szCs w:val="21"/>
          <w:highlight w:val="none"/>
          <w:lang w:bidi="ar"/>
        </w:rPr>
        <w:t>1</w:t>
      </w:r>
      <w:bookmarkEnd w:id="1571"/>
      <w:r>
        <w:rPr>
          <w:rFonts w:hint="eastAsia" w:ascii="宋体" w:hAnsi="宋体" w:cs="宋体"/>
          <w:color w:val="auto"/>
          <w:szCs w:val="21"/>
          <w:highlight w:val="none"/>
          <w:lang w:bidi="ar"/>
        </w:rPr>
        <w:t>8.3  货物保险</w:t>
      </w:r>
      <w:bookmarkEnd w:id="1572"/>
      <w:bookmarkEnd w:id="1573"/>
      <w:bookmarkEnd w:id="1574"/>
      <w:bookmarkEnd w:id="1575"/>
      <w:bookmarkEnd w:id="1576"/>
      <w:bookmarkEnd w:id="1577"/>
      <w:bookmarkEnd w:id="1578"/>
    </w:p>
    <w:p w14:paraId="06FEB4A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承包人应按照专用合同条件的约定为运抵现场的施工设备、材料、工程设备和临时工程等办理财产保险，保险期限自上述货物运抵现场至其不再为工程所需要为止。</w:t>
      </w:r>
    </w:p>
    <w:p w14:paraId="38100D3B">
      <w:pPr>
        <w:widowControl/>
        <w:wordWrap w:val="0"/>
        <w:topLinePunct/>
        <w:adjustRightInd w:val="0"/>
        <w:snapToGrid w:val="0"/>
        <w:spacing w:after="120" w:afterLines="50" w:line="360" w:lineRule="auto"/>
        <w:outlineLvl w:val="2"/>
        <w:rPr>
          <w:rFonts w:ascii="宋体" w:hAnsi="宋体" w:cs="宋体"/>
          <w:color w:val="auto"/>
          <w:highlight w:val="none"/>
        </w:rPr>
      </w:pPr>
      <w:bookmarkStart w:id="1579" w:name="_Ref4692238"/>
      <w:bookmarkEnd w:id="1579"/>
      <w:bookmarkStart w:id="1580" w:name="_Toc20171859"/>
      <w:bookmarkEnd w:id="1580"/>
      <w:bookmarkStart w:id="1581" w:name="_Ref4692231"/>
      <w:bookmarkStart w:id="1582" w:name="_Toc13491"/>
      <w:bookmarkStart w:id="1583" w:name="_Toc3108"/>
      <w:bookmarkStart w:id="1584" w:name="_Toc179885383"/>
      <w:bookmarkStart w:id="1585" w:name="_Toc51766711"/>
      <w:bookmarkStart w:id="1586" w:name="_Toc84930847"/>
      <w:bookmarkStart w:id="1587" w:name="_Toc32567"/>
      <w:bookmarkStart w:id="1588" w:name="_Toc58860298"/>
      <w:r>
        <w:rPr>
          <w:rFonts w:hint="eastAsia" w:ascii="宋体" w:hAnsi="宋体" w:cs="宋体"/>
          <w:color w:val="auto"/>
          <w:szCs w:val="21"/>
          <w:highlight w:val="none"/>
          <w:lang w:bidi="ar"/>
        </w:rPr>
        <w:t>1</w:t>
      </w:r>
      <w:bookmarkEnd w:id="1581"/>
      <w:r>
        <w:rPr>
          <w:rFonts w:hint="eastAsia" w:ascii="宋体" w:hAnsi="宋体" w:cs="宋体"/>
          <w:color w:val="auto"/>
          <w:szCs w:val="21"/>
          <w:highlight w:val="none"/>
          <w:lang w:bidi="ar"/>
        </w:rPr>
        <w:t>8.4  其他保险</w:t>
      </w:r>
      <w:bookmarkEnd w:id="1582"/>
      <w:bookmarkEnd w:id="1583"/>
      <w:bookmarkEnd w:id="1584"/>
      <w:bookmarkEnd w:id="1585"/>
      <w:bookmarkEnd w:id="1586"/>
      <w:bookmarkEnd w:id="1587"/>
      <w:bookmarkEnd w:id="1588"/>
    </w:p>
    <w:p w14:paraId="59ED72A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保费用包含在合同价格中，但在合同执行过程中，新颁布适用的法律法规规定由承包人投保的强制保险，应根据本合同</w:t>
      </w:r>
      <w:bookmarkStart w:id="1589" w:name="_Toc296346627"/>
      <w:bookmarkEnd w:id="1589"/>
      <w:bookmarkStart w:id="1590" w:name="_Toc351203617"/>
      <w:bookmarkEnd w:id="1590"/>
      <w:bookmarkStart w:id="1591" w:name="_Toc296503126"/>
      <w:bookmarkEnd w:id="1591"/>
      <w:bookmarkStart w:id="1592" w:name="_Toc337558832"/>
      <w:bookmarkEnd w:id="1592"/>
      <w:r>
        <w:rPr>
          <w:rFonts w:hint="eastAsia" w:ascii="宋体" w:hAnsi="宋体" w:cs="宋体"/>
          <w:color w:val="auto"/>
          <w:kern w:val="0"/>
          <w:szCs w:val="21"/>
          <w:highlight w:val="none"/>
          <w:lang w:bidi="ar"/>
        </w:rPr>
        <w:t>第13条[变更与调整]的约定增加合同价款。</w:t>
      </w:r>
    </w:p>
    <w:p w14:paraId="03A03E40">
      <w:pPr>
        <w:widowControl/>
        <w:wordWrap w:val="0"/>
        <w:topLinePunct/>
        <w:adjustRightInd w:val="0"/>
        <w:snapToGrid w:val="0"/>
        <w:spacing w:after="120" w:afterLines="50" w:line="360" w:lineRule="auto"/>
        <w:outlineLvl w:val="2"/>
        <w:rPr>
          <w:rFonts w:ascii="宋体" w:hAnsi="宋体" w:cs="宋体"/>
          <w:color w:val="auto"/>
          <w:highlight w:val="none"/>
        </w:rPr>
      </w:pPr>
      <w:bookmarkStart w:id="1593" w:name="_Toc20171860"/>
      <w:bookmarkEnd w:id="1593"/>
      <w:bookmarkStart w:id="1594" w:name="_Ref3840659"/>
      <w:bookmarkStart w:id="1595" w:name="_Toc17266"/>
      <w:bookmarkStart w:id="1596" w:name="_Toc179885384"/>
      <w:bookmarkStart w:id="1597" w:name="_Toc9676"/>
      <w:bookmarkStart w:id="1598" w:name="_Toc58860299"/>
      <w:bookmarkStart w:id="1599" w:name="_Toc51766712"/>
      <w:bookmarkStart w:id="1600" w:name="_Toc84930848"/>
      <w:bookmarkStart w:id="1601" w:name="_Toc24339"/>
      <w:r>
        <w:rPr>
          <w:rFonts w:hint="eastAsia" w:ascii="宋体" w:hAnsi="宋体" w:cs="宋体"/>
          <w:color w:val="auto"/>
          <w:szCs w:val="21"/>
          <w:highlight w:val="none"/>
          <w:lang w:bidi="ar"/>
        </w:rPr>
        <w:t>1</w:t>
      </w:r>
      <w:bookmarkEnd w:id="1594"/>
      <w:r>
        <w:rPr>
          <w:rFonts w:hint="eastAsia" w:ascii="宋体" w:hAnsi="宋体" w:cs="宋体"/>
          <w:color w:val="auto"/>
          <w:szCs w:val="21"/>
          <w:highlight w:val="none"/>
          <w:lang w:bidi="ar"/>
        </w:rPr>
        <w:t>8.5  对各项保险的一般要求</w:t>
      </w:r>
      <w:bookmarkEnd w:id="1595"/>
      <w:bookmarkEnd w:id="1596"/>
      <w:bookmarkEnd w:id="1597"/>
      <w:bookmarkEnd w:id="1598"/>
      <w:bookmarkEnd w:id="1599"/>
      <w:bookmarkEnd w:id="1600"/>
      <w:bookmarkEnd w:id="1601"/>
    </w:p>
    <w:p w14:paraId="5246D6C7">
      <w:pPr>
        <w:widowControl/>
        <w:wordWrap w:val="0"/>
        <w:topLinePunct/>
        <w:adjustRightInd w:val="0"/>
        <w:snapToGrid w:val="0"/>
        <w:spacing w:after="120" w:afterLines="50" w:line="360" w:lineRule="auto"/>
        <w:ind w:left="480"/>
        <w:outlineLvl w:val="3"/>
        <w:rPr>
          <w:rFonts w:ascii="宋体" w:hAnsi="宋体" w:cs="宋体"/>
          <w:color w:val="auto"/>
          <w:highlight w:val="none"/>
        </w:rPr>
      </w:pPr>
      <w:r>
        <w:rPr>
          <w:rFonts w:hint="eastAsia" w:ascii="宋体" w:hAnsi="宋体" w:cs="宋体"/>
          <w:color w:val="auto"/>
          <w:szCs w:val="21"/>
          <w:highlight w:val="none"/>
          <w:lang w:bidi="ar"/>
        </w:rPr>
        <w:t>18.5.1持续保险</w:t>
      </w:r>
    </w:p>
    <w:p w14:paraId="2374E20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合同当事人应与保险人保持联系，使保险人能够随时了解工程实施中的变动，并确保按保险合同条款要求持续保险。</w:t>
      </w:r>
    </w:p>
    <w:p w14:paraId="1D831FA1">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602" w:name="_Ref4777650"/>
      <w:bookmarkEnd w:id="1602"/>
      <w:r>
        <w:rPr>
          <w:rFonts w:hint="eastAsia" w:ascii="宋体" w:hAnsi="宋体" w:cs="宋体"/>
          <w:color w:val="auto"/>
          <w:szCs w:val="21"/>
          <w:highlight w:val="none"/>
          <w:lang w:bidi="ar"/>
        </w:rPr>
        <w:t>18.5.2保险凭证</w:t>
      </w:r>
    </w:p>
    <w:p w14:paraId="32E9F65A">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合同当事人应及时向另一方当事人提交其已投保的各项保险的凭证和保险单复印件，保险单必须与专用合同条件约定的条件保持一致。</w:t>
      </w:r>
    </w:p>
    <w:p w14:paraId="5D48A5A1">
      <w:pPr>
        <w:widowControl/>
        <w:wordWrap w:val="0"/>
        <w:topLinePunct/>
        <w:adjustRightInd w:val="0"/>
        <w:snapToGrid w:val="0"/>
        <w:spacing w:after="120" w:afterLines="50" w:line="360" w:lineRule="auto"/>
        <w:ind w:left="480"/>
        <w:outlineLvl w:val="3"/>
        <w:rPr>
          <w:rFonts w:ascii="宋体" w:hAnsi="宋体" w:cs="宋体"/>
          <w:color w:val="auto"/>
          <w:highlight w:val="none"/>
        </w:rPr>
      </w:pPr>
      <w:r>
        <w:rPr>
          <w:rFonts w:hint="eastAsia" w:ascii="宋体" w:hAnsi="宋体" w:cs="宋体"/>
          <w:color w:val="auto"/>
          <w:szCs w:val="21"/>
          <w:highlight w:val="none"/>
          <w:lang w:bidi="ar"/>
        </w:rPr>
        <w:t>18.5.3未按约定投保的补救</w:t>
      </w:r>
    </w:p>
    <w:p w14:paraId="73C13F7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负有投保义务的一方当事人未按合同约定办理保险，或未能使保险持续有效的，则另一方当事人可代为办理，所需费用由负有投保义务的一方当事人承担。</w:t>
      </w:r>
    </w:p>
    <w:p w14:paraId="4F6DD3A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负有投保</w:t>
      </w:r>
      <w:bookmarkStart w:id="1603" w:name="_Toc351203619"/>
      <w:bookmarkEnd w:id="1603"/>
      <w:bookmarkStart w:id="1604" w:name="_Toc337558834"/>
      <w:r>
        <w:rPr>
          <w:rFonts w:hint="eastAsia" w:ascii="宋体" w:hAnsi="宋体" w:cs="宋体"/>
          <w:color w:val="auto"/>
          <w:kern w:val="0"/>
          <w:szCs w:val="21"/>
          <w:highlight w:val="none"/>
          <w:lang w:bidi="ar"/>
        </w:rPr>
        <w:t>义务的一方当事人未</w:t>
      </w:r>
      <w:bookmarkEnd w:id="1604"/>
      <w:r>
        <w:rPr>
          <w:rFonts w:hint="eastAsia" w:ascii="宋体" w:hAnsi="宋体" w:cs="宋体"/>
          <w:color w:val="auto"/>
          <w:kern w:val="0"/>
          <w:szCs w:val="21"/>
          <w:highlight w:val="none"/>
          <w:lang w:bidi="ar"/>
        </w:rPr>
        <w:t>按合同约定办理某项保险，导致受益人未能得到足额赔偿的，由负有投保义务的一方当事人负责按照原应从该项保险得到的保险金数额进行补足。</w:t>
      </w:r>
    </w:p>
    <w:p w14:paraId="5CDCCCC1">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605" w:name="_Ref4692685"/>
      <w:bookmarkEnd w:id="1605"/>
      <w:r>
        <w:rPr>
          <w:rFonts w:hint="eastAsia" w:ascii="宋体" w:hAnsi="宋体" w:cs="宋体"/>
          <w:color w:val="auto"/>
          <w:szCs w:val="21"/>
          <w:highlight w:val="none"/>
          <w:lang w:bidi="ar"/>
        </w:rPr>
        <w:t>18.5.4通知义务</w:t>
      </w:r>
    </w:p>
    <w:p w14:paraId="07E5ED0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除专用合同条件另有约定外，任何一方当事人变更除工伤保险之外的保险合同时，应事先征得另一方当事人同意，并通知工程师。</w:t>
      </w:r>
    </w:p>
    <w:p w14:paraId="74033B2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保险事故发生时，投保人应按照保险合同规定的条件和期限及时向保险人报告。发包人和承包人应当在知道保险事故发生后及时通知对方。</w:t>
      </w:r>
    </w:p>
    <w:p w14:paraId="77AD3E7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双方按本条规定投保不减少双方在合同下的其他义务。</w:t>
      </w:r>
    </w:p>
    <w:p w14:paraId="281D24DB">
      <w:pPr>
        <w:widowControl/>
        <w:wordWrap w:val="0"/>
        <w:topLinePunct/>
        <w:adjustRightInd w:val="0"/>
        <w:snapToGrid w:val="0"/>
        <w:spacing w:after="120" w:afterLines="50" w:line="360" w:lineRule="auto"/>
        <w:outlineLvl w:val="1"/>
        <w:rPr>
          <w:rFonts w:ascii="宋体" w:hAnsi="宋体" w:cs="宋体"/>
          <w:color w:val="auto"/>
          <w:kern w:val="0"/>
          <w:highlight w:val="none"/>
        </w:rPr>
      </w:pPr>
      <w:bookmarkStart w:id="1606" w:name="_Toc20171861"/>
      <w:bookmarkEnd w:id="1606"/>
      <w:bookmarkStart w:id="1607" w:name="_Ref11874997"/>
      <w:bookmarkStart w:id="1608" w:name="_Toc179885385"/>
      <w:r>
        <w:rPr>
          <w:rFonts w:hint="eastAsia" w:ascii="宋体" w:hAnsi="宋体" w:cs="宋体"/>
          <w:color w:val="auto"/>
          <w:kern w:val="0"/>
          <w:szCs w:val="21"/>
          <w:highlight w:val="none"/>
          <w:lang w:bidi="ar"/>
        </w:rPr>
        <w:t>第1</w:t>
      </w:r>
      <w:bookmarkEnd w:id="1607"/>
      <w:r>
        <w:rPr>
          <w:rFonts w:hint="eastAsia" w:ascii="宋体" w:hAnsi="宋体" w:cs="宋体"/>
          <w:color w:val="auto"/>
          <w:kern w:val="0"/>
          <w:szCs w:val="21"/>
          <w:highlight w:val="none"/>
          <w:lang w:bidi="ar"/>
        </w:rPr>
        <w:t>9条  索赔</w:t>
      </w:r>
      <w:bookmarkEnd w:id="1608"/>
      <w:r>
        <w:rPr>
          <w:rFonts w:hint="eastAsia" w:ascii="宋体" w:hAnsi="宋体" w:cs="宋体"/>
          <w:color w:val="auto"/>
          <w:kern w:val="0"/>
          <w:szCs w:val="21"/>
          <w:highlight w:val="none"/>
          <w:lang w:bidi="ar"/>
        </w:rPr>
        <w:t xml:space="preserve"> </w:t>
      </w:r>
    </w:p>
    <w:p w14:paraId="23275D0F">
      <w:pPr>
        <w:widowControl/>
        <w:wordWrap w:val="0"/>
        <w:topLinePunct/>
        <w:adjustRightInd w:val="0"/>
        <w:snapToGrid w:val="0"/>
        <w:spacing w:after="120" w:afterLines="50" w:line="360" w:lineRule="auto"/>
        <w:outlineLvl w:val="2"/>
        <w:rPr>
          <w:rFonts w:ascii="宋体" w:hAnsi="宋体" w:cs="宋体"/>
          <w:color w:val="auto"/>
          <w:highlight w:val="none"/>
        </w:rPr>
      </w:pPr>
      <w:bookmarkStart w:id="1609" w:name="_Toc20171862"/>
      <w:bookmarkEnd w:id="1609"/>
      <w:bookmarkStart w:id="1610" w:name="_Ref4798164"/>
      <w:bookmarkEnd w:id="1610"/>
      <w:bookmarkStart w:id="1611" w:name="_Ref4798173"/>
      <w:bookmarkStart w:id="1612" w:name="_Toc51766714"/>
      <w:bookmarkStart w:id="1613" w:name="_Toc20063"/>
      <w:bookmarkStart w:id="1614" w:name="_Toc13553"/>
      <w:bookmarkStart w:id="1615" w:name="_Toc84930850"/>
      <w:bookmarkStart w:id="1616" w:name="_Toc58860301"/>
      <w:bookmarkStart w:id="1617" w:name="_Toc27067"/>
      <w:bookmarkStart w:id="1618" w:name="_Toc179885386"/>
      <w:r>
        <w:rPr>
          <w:rFonts w:hint="eastAsia" w:ascii="宋体" w:hAnsi="宋体" w:cs="宋体"/>
          <w:color w:val="auto"/>
          <w:szCs w:val="21"/>
          <w:highlight w:val="none"/>
          <w:lang w:bidi="ar"/>
        </w:rPr>
        <w:t>1</w:t>
      </w:r>
      <w:bookmarkEnd w:id="1611"/>
      <w:r>
        <w:rPr>
          <w:rFonts w:hint="eastAsia" w:ascii="宋体" w:hAnsi="宋体" w:cs="宋体"/>
          <w:color w:val="auto"/>
          <w:szCs w:val="21"/>
          <w:highlight w:val="none"/>
          <w:lang w:bidi="ar"/>
        </w:rPr>
        <w:t xml:space="preserve">9.1  </w:t>
      </w:r>
      <w:bookmarkEnd w:id="1612"/>
      <w:bookmarkEnd w:id="1613"/>
      <w:r>
        <w:rPr>
          <w:rFonts w:hint="eastAsia" w:ascii="宋体" w:hAnsi="宋体" w:cs="宋体"/>
          <w:color w:val="auto"/>
          <w:szCs w:val="21"/>
          <w:highlight w:val="none"/>
          <w:lang w:bidi="ar"/>
        </w:rPr>
        <w:t>索赔的提出</w:t>
      </w:r>
      <w:bookmarkEnd w:id="1614"/>
      <w:bookmarkEnd w:id="1615"/>
      <w:bookmarkEnd w:id="1616"/>
      <w:bookmarkEnd w:id="1617"/>
      <w:bookmarkEnd w:id="1618"/>
    </w:p>
    <w:p w14:paraId="395E1E6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根据合同约定，任意一方认为有权得到追加/减少付款、延长缺陷责任期和（或）延长工期的，应按以下程序向对方提出索赔：</w:t>
      </w:r>
    </w:p>
    <w:p w14:paraId="326F1B8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索赔方应在知道或应当知道索赔事件发生后28天内，向对方递交索赔意向通知书，并说明发生索赔事件的事由；索赔方未在前述28天内发出索赔意向通知书的，丧失要求追加/减少付款、延长缺陷责任期和（或）延长工期的权利；</w:t>
      </w:r>
    </w:p>
    <w:p w14:paraId="68B4FBE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（2）索赔方应在发出索赔意向通知书后28天内，向对方正式递交索赔报告；索赔报告应详细说明索赔理由以及要求追加/减少的付款金额、延长缺陷责任期和（或）延长的工期，并附必要的记录和证明材料；</w:t>
      </w:r>
    </w:p>
    <w:p w14:paraId="74F51CC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（3）索赔事件具有持续影响的，索赔方应每月递交延续索赔通知，说明持续影响的实际情况和记录，列出累计的追加/减少付款金额、延长缺陷责任期和（或）工期延长天数；</w:t>
      </w:r>
    </w:p>
    <w:p w14:paraId="47606AD4">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bookmarkStart w:id="1619" w:name="_Ref4796178"/>
      <w:bookmarkEnd w:id="1619"/>
      <w:r>
        <w:rPr>
          <w:rFonts w:hint="eastAsia" w:ascii="宋体" w:hAnsi="宋体" w:cs="宋体"/>
          <w:color w:val="auto"/>
          <w:kern w:val="0"/>
          <w:szCs w:val="21"/>
          <w:highlight w:val="none"/>
          <w:lang w:bidi="ar"/>
        </w:rPr>
        <w:t>（4）在索赔事件影响结束后28天内，索赔方应向对方递交最终索赔报告，说明最终要求索赔的追加/减少付款金额、延长缺陷责任期和（或）延长的工期，并附必要的记录和证明材料。</w:t>
      </w:r>
    </w:p>
    <w:p w14:paraId="4F8E590E">
      <w:pPr>
        <w:widowControl/>
        <w:adjustRightInd w:val="0"/>
        <w:snapToGrid w:val="0"/>
        <w:spacing w:after="120" w:afterLines="50" w:line="360" w:lineRule="auto"/>
        <w:ind w:firstLine="420" w:firstLineChars="200"/>
        <w:rPr>
          <w:color w:val="auto"/>
          <w:highlight w:val="none"/>
        </w:rPr>
      </w:pPr>
      <w:r>
        <w:rPr>
          <w:rFonts w:hint="eastAsia"/>
          <w:color w:val="auto"/>
          <w:highlight w:val="none"/>
        </w:rPr>
        <w:t>（5） 承包人作为索赔方时，其索赔意向通知书、索赔报告及相关索赔文件应向工程师提出；发包人作为索赔方时，其索赔意向通知书、索赔报告及相关索赔文件可自行向承包人提出或由工程师向承包人提出。</w:t>
      </w:r>
    </w:p>
    <w:p w14:paraId="5C2D4D27">
      <w:pPr>
        <w:widowControl/>
        <w:wordWrap w:val="0"/>
        <w:topLinePunct/>
        <w:adjustRightInd w:val="0"/>
        <w:snapToGrid w:val="0"/>
        <w:spacing w:after="120" w:afterLines="50" w:line="360" w:lineRule="auto"/>
        <w:outlineLvl w:val="2"/>
        <w:rPr>
          <w:rFonts w:ascii="宋体" w:hAnsi="宋体" w:cs="宋体"/>
          <w:color w:val="auto"/>
          <w:highlight w:val="none"/>
        </w:rPr>
      </w:pPr>
      <w:bookmarkStart w:id="1620" w:name="_Toc20171863"/>
      <w:bookmarkEnd w:id="1620"/>
      <w:bookmarkStart w:id="1621" w:name="_Ref4796254"/>
      <w:bookmarkEnd w:id="1621"/>
      <w:bookmarkStart w:id="1622" w:name="_Ref4796262"/>
      <w:bookmarkStart w:id="1623" w:name="_Toc22504"/>
      <w:bookmarkStart w:id="1624" w:name="_Toc58860302"/>
      <w:bookmarkStart w:id="1625" w:name="_Toc84930851"/>
      <w:bookmarkStart w:id="1626" w:name="_Toc29558"/>
      <w:bookmarkStart w:id="1627" w:name="_Toc1590"/>
      <w:bookmarkStart w:id="1628" w:name="_Toc51766715"/>
      <w:bookmarkStart w:id="1629" w:name="_Toc179885387"/>
      <w:r>
        <w:rPr>
          <w:rFonts w:hint="eastAsia" w:ascii="宋体" w:hAnsi="宋体" w:cs="宋体"/>
          <w:color w:val="auto"/>
          <w:szCs w:val="21"/>
          <w:highlight w:val="none"/>
          <w:lang w:bidi="ar"/>
        </w:rPr>
        <w:t>1</w:t>
      </w:r>
      <w:bookmarkEnd w:id="1622"/>
      <w:r>
        <w:rPr>
          <w:rFonts w:hint="eastAsia" w:ascii="宋体" w:hAnsi="宋体" w:cs="宋体"/>
          <w:color w:val="auto"/>
          <w:szCs w:val="21"/>
          <w:highlight w:val="none"/>
          <w:lang w:bidi="ar"/>
        </w:rPr>
        <w:t>9.2  承包人索赔的处理程序</w:t>
      </w:r>
      <w:bookmarkEnd w:id="1623"/>
      <w:bookmarkEnd w:id="1624"/>
      <w:bookmarkEnd w:id="1625"/>
      <w:bookmarkEnd w:id="1626"/>
      <w:bookmarkEnd w:id="1627"/>
      <w:bookmarkEnd w:id="1628"/>
      <w:bookmarkEnd w:id="1629"/>
    </w:p>
    <w:p w14:paraId="6E6FE99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（1）工程师收到承包人提交的索赔报告后，应及时审查索赔报告的内容、查验承包人的记录和证明材料，必要时工程师可要求承包人提交全部原始记录副本。</w:t>
      </w:r>
    </w:p>
    <w:p w14:paraId="206943C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工程师应按第3.6款[商定或确定]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14:paraId="778EEB0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（3）承包人接受索赔处理结果的，发包人应在作出索赔处理结果答复后28天内完成支付。承包人不接受索赔处理结果的，按照第20条[争议解决]约定处理。</w:t>
      </w:r>
    </w:p>
    <w:p w14:paraId="53E352A4">
      <w:pPr>
        <w:widowControl/>
        <w:wordWrap w:val="0"/>
        <w:topLinePunct/>
        <w:adjustRightInd w:val="0"/>
        <w:snapToGrid w:val="0"/>
        <w:spacing w:after="120" w:afterLines="50" w:line="360" w:lineRule="auto"/>
        <w:outlineLvl w:val="2"/>
        <w:rPr>
          <w:rFonts w:ascii="宋体" w:hAnsi="宋体" w:cs="宋体"/>
          <w:color w:val="auto"/>
          <w:highlight w:val="none"/>
        </w:rPr>
      </w:pPr>
      <w:bookmarkStart w:id="1630" w:name="_Ref16542123"/>
      <w:bookmarkEnd w:id="1630"/>
      <w:bookmarkStart w:id="1631" w:name="_Ref16542153"/>
      <w:bookmarkEnd w:id="1631"/>
      <w:bookmarkStart w:id="1632" w:name="_Toc20171865"/>
      <w:bookmarkEnd w:id="1632"/>
      <w:bookmarkStart w:id="1633" w:name="_Toc21043"/>
      <w:bookmarkStart w:id="1634" w:name="_Toc58860303"/>
      <w:bookmarkStart w:id="1635" w:name="_Toc84930852"/>
      <w:bookmarkStart w:id="1636" w:name="_Toc51766717"/>
      <w:bookmarkStart w:id="1637" w:name="_Toc179885388"/>
      <w:bookmarkStart w:id="1638" w:name="_Toc28462"/>
      <w:bookmarkStart w:id="1639" w:name="_Toc20957"/>
      <w:r>
        <w:rPr>
          <w:rFonts w:hint="eastAsia" w:ascii="宋体" w:hAnsi="宋体" w:cs="宋体"/>
          <w:color w:val="auto"/>
          <w:szCs w:val="21"/>
          <w:highlight w:val="none"/>
          <w:lang w:bidi="ar"/>
        </w:rPr>
        <w:t>19.3  发包人索赔的处理程序</w:t>
      </w:r>
      <w:bookmarkEnd w:id="1633"/>
      <w:bookmarkEnd w:id="1634"/>
      <w:bookmarkEnd w:id="1635"/>
      <w:bookmarkEnd w:id="1636"/>
      <w:bookmarkEnd w:id="1637"/>
      <w:bookmarkEnd w:id="1638"/>
      <w:bookmarkEnd w:id="1639"/>
    </w:p>
    <w:p w14:paraId="70DDEE4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（1）承包人收到发包人提交的索赔报告后，应及时审查索赔报告的内容、查验发包人证明材料；</w:t>
      </w:r>
    </w:p>
    <w:p w14:paraId="01DDF9C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（2）承包人应在收到上述索赔报告或有关索赔的进一步证明材料后42天内，将索赔处理结果答复发包人。承包人在收到索赔通知书或有关索赔的进一步证明材料后的42天内不予答复的，视为认可索赔。</w:t>
      </w:r>
    </w:p>
    <w:p w14:paraId="74F9443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（3）发包人接受索赔处理结果的，发包人可从应支付给承包人的合同价款中扣除赔付的金额或延长缺陷责任期；发包人不接受索赔处理结果的，按第20条[争议解决]约定处理。</w:t>
      </w:r>
    </w:p>
    <w:p w14:paraId="4A0D429B">
      <w:pPr>
        <w:widowControl/>
        <w:wordWrap w:val="0"/>
        <w:topLinePunct/>
        <w:adjustRightInd w:val="0"/>
        <w:snapToGrid w:val="0"/>
        <w:spacing w:after="120" w:afterLines="50" w:line="360" w:lineRule="auto"/>
        <w:outlineLvl w:val="2"/>
        <w:rPr>
          <w:rFonts w:ascii="宋体" w:hAnsi="宋体" w:cs="宋体"/>
          <w:color w:val="auto"/>
          <w:highlight w:val="none"/>
        </w:rPr>
      </w:pPr>
      <w:bookmarkStart w:id="1640" w:name="_Toc20171866"/>
      <w:bookmarkEnd w:id="1640"/>
      <w:bookmarkStart w:id="1641" w:name="_Toc58860304"/>
      <w:bookmarkStart w:id="1642" w:name="_Toc51766718"/>
      <w:bookmarkStart w:id="1643" w:name="_Toc84930853"/>
      <w:bookmarkStart w:id="1644" w:name="_Toc2166"/>
      <w:bookmarkStart w:id="1645" w:name="_Toc11875"/>
      <w:bookmarkStart w:id="1646" w:name="_Toc12092"/>
      <w:bookmarkStart w:id="1647" w:name="_Toc179885389"/>
      <w:r>
        <w:rPr>
          <w:rFonts w:hint="eastAsia" w:ascii="宋体" w:hAnsi="宋体" w:cs="宋体"/>
          <w:color w:val="auto"/>
          <w:szCs w:val="21"/>
          <w:highlight w:val="none"/>
          <w:lang w:bidi="ar"/>
        </w:rPr>
        <w:t>19.4  提出索赔的期限</w:t>
      </w:r>
      <w:bookmarkEnd w:id="1641"/>
      <w:bookmarkEnd w:id="1642"/>
      <w:bookmarkEnd w:id="1643"/>
      <w:bookmarkEnd w:id="1644"/>
      <w:bookmarkEnd w:id="1645"/>
      <w:bookmarkEnd w:id="1646"/>
      <w:bookmarkEnd w:id="1647"/>
    </w:p>
    <w:p w14:paraId="36AA792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（1）承包人按第14.5款[竣工结算]约定接收竣工付款证书后，应被认为已无权再提出在合同工程接收证书颁发前所发生的任何索赔。</w:t>
      </w:r>
    </w:p>
    <w:p w14:paraId="1A4510D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（2）承包人按第14.7款[最终结清]提交的最终结清申请单中，只限于提出工程接收证书颁发后发生的索赔。提出索赔的期限均自接受最终结清证书时终止。</w:t>
      </w:r>
    </w:p>
    <w:p w14:paraId="12FC6A98">
      <w:pPr>
        <w:widowControl/>
        <w:wordWrap w:val="0"/>
        <w:topLinePunct/>
        <w:adjustRightInd w:val="0"/>
        <w:snapToGrid w:val="0"/>
        <w:spacing w:after="120" w:afterLines="50" w:line="360" w:lineRule="auto"/>
        <w:outlineLvl w:val="1"/>
        <w:rPr>
          <w:rFonts w:ascii="宋体" w:hAnsi="宋体" w:cs="宋体"/>
          <w:color w:val="auto"/>
          <w:kern w:val="0"/>
          <w:highlight w:val="none"/>
        </w:rPr>
      </w:pPr>
      <w:bookmarkStart w:id="1648" w:name="_Toc20171867"/>
      <w:bookmarkEnd w:id="1648"/>
      <w:bookmarkStart w:id="1649" w:name="_Ref532142075"/>
      <w:bookmarkEnd w:id="1649"/>
      <w:bookmarkStart w:id="1650" w:name="_Ref532197861"/>
      <w:bookmarkStart w:id="1651" w:name="_Toc179885390"/>
      <w:r>
        <w:rPr>
          <w:rFonts w:hint="eastAsia" w:ascii="宋体" w:hAnsi="宋体" w:cs="宋体"/>
          <w:color w:val="auto"/>
          <w:kern w:val="0"/>
          <w:szCs w:val="21"/>
          <w:highlight w:val="none"/>
          <w:lang w:bidi="ar"/>
        </w:rPr>
        <w:t>第2</w:t>
      </w:r>
      <w:bookmarkEnd w:id="1650"/>
      <w:r>
        <w:rPr>
          <w:rFonts w:hint="eastAsia" w:ascii="宋体" w:hAnsi="宋体" w:cs="宋体"/>
          <w:color w:val="auto"/>
          <w:kern w:val="0"/>
          <w:szCs w:val="21"/>
          <w:highlight w:val="none"/>
          <w:lang w:bidi="ar"/>
        </w:rPr>
        <w:t>0条  争议解决</w:t>
      </w:r>
      <w:bookmarkEnd w:id="1651"/>
      <w:r>
        <w:rPr>
          <w:rFonts w:hint="eastAsia" w:ascii="宋体" w:hAnsi="宋体" w:cs="宋体"/>
          <w:color w:val="auto"/>
          <w:kern w:val="0"/>
          <w:szCs w:val="21"/>
          <w:highlight w:val="none"/>
          <w:lang w:bidi="ar"/>
        </w:rPr>
        <w:t xml:space="preserve"> </w:t>
      </w:r>
    </w:p>
    <w:p w14:paraId="78A1236E">
      <w:pPr>
        <w:widowControl/>
        <w:wordWrap w:val="0"/>
        <w:topLinePunct/>
        <w:adjustRightInd w:val="0"/>
        <w:snapToGrid w:val="0"/>
        <w:spacing w:after="120" w:afterLines="50" w:line="360" w:lineRule="auto"/>
        <w:outlineLvl w:val="2"/>
        <w:rPr>
          <w:rFonts w:ascii="宋体" w:hAnsi="宋体" w:cs="宋体"/>
          <w:color w:val="auto"/>
          <w:highlight w:val="none"/>
        </w:rPr>
      </w:pPr>
      <w:bookmarkStart w:id="1652" w:name="_Toc20171868"/>
      <w:bookmarkEnd w:id="1652"/>
      <w:bookmarkStart w:id="1653" w:name="_Ref415507198"/>
      <w:bookmarkStart w:id="1654" w:name="_Toc18972"/>
      <w:bookmarkStart w:id="1655" w:name="_Toc9119"/>
      <w:bookmarkStart w:id="1656" w:name="_Toc84930855"/>
      <w:bookmarkStart w:id="1657" w:name="_Toc58860306"/>
      <w:bookmarkStart w:id="1658" w:name="_Toc19970"/>
      <w:bookmarkStart w:id="1659" w:name="_Toc51766720"/>
      <w:bookmarkStart w:id="1660" w:name="_Toc179885391"/>
      <w:r>
        <w:rPr>
          <w:rFonts w:hint="eastAsia" w:ascii="宋体" w:hAnsi="宋体" w:cs="宋体"/>
          <w:color w:val="auto"/>
          <w:szCs w:val="21"/>
          <w:highlight w:val="none"/>
          <w:lang w:bidi="ar"/>
        </w:rPr>
        <w:t>2</w:t>
      </w:r>
      <w:bookmarkEnd w:id="1653"/>
      <w:r>
        <w:rPr>
          <w:rFonts w:hint="eastAsia" w:ascii="宋体" w:hAnsi="宋体" w:cs="宋体"/>
          <w:color w:val="auto"/>
          <w:szCs w:val="21"/>
          <w:highlight w:val="none"/>
          <w:lang w:bidi="ar"/>
        </w:rPr>
        <w:t>0.1  和解</w:t>
      </w:r>
      <w:bookmarkEnd w:id="1654"/>
      <w:bookmarkEnd w:id="1655"/>
      <w:bookmarkEnd w:id="1656"/>
      <w:bookmarkEnd w:id="1657"/>
      <w:bookmarkEnd w:id="1658"/>
      <w:bookmarkEnd w:id="1659"/>
      <w:bookmarkEnd w:id="1660"/>
    </w:p>
    <w:p w14:paraId="3DFFD09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合同当事人可以就争议自行和解，自行和解达成协议的经双方签名并盖章后作为合同补充文件，双方均应遵照执行。</w:t>
      </w:r>
    </w:p>
    <w:p w14:paraId="2BC82228">
      <w:pPr>
        <w:widowControl/>
        <w:wordWrap w:val="0"/>
        <w:topLinePunct/>
        <w:adjustRightInd w:val="0"/>
        <w:snapToGrid w:val="0"/>
        <w:spacing w:after="120" w:afterLines="50" w:line="360" w:lineRule="auto"/>
        <w:outlineLvl w:val="2"/>
        <w:rPr>
          <w:rFonts w:ascii="宋体" w:hAnsi="宋体" w:cs="宋体"/>
          <w:color w:val="auto"/>
          <w:highlight w:val="none"/>
        </w:rPr>
      </w:pPr>
      <w:bookmarkStart w:id="1661" w:name="_Toc20171869"/>
      <w:bookmarkEnd w:id="1661"/>
      <w:bookmarkStart w:id="1662" w:name="_Toc20305"/>
      <w:bookmarkStart w:id="1663" w:name="_Toc84930856"/>
      <w:bookmarkStart w:id="1664" w:name="_Toc51766721"/>
      <w:bookmarkStart w:id="1665" w:name="_Toc58860307"/>
      <w:bookmarkStart w:id="1666" w:name="_Toc16833"/>
      <w:bookmarkStart w:id="1667" w:name="_Toc179885392"/>
      <w:bookmarkStart w:id="1668" w:name="_Toc445"/>
      <w:r>
        <w:rPr>
          <w:rFonts w:hint="eastAsia" w:ascii="宋体" w:hAnsi="宋体" w:cs="宋体"/>
          <w:color w:val="auto"/>
          <w:szCs w:val="21"/>
          <w:highlight w:val="none"/>
          <w:lang w:bidi="ar"/>
        </w:rPr>
        <w:t>20.2  调解</w:t>
      </w:r>
      <w:bookmarkEnd w:id="1662"/>
      <w:bookmarkEnd w:id="1663"/>
      <w:bookmarkEnd w:id="1664"/>
      <w:bookmarkEnd w:id="1665"/>
      <w:bookmarkEnd w:id="1666"/>
      <w:bookmarkEnd w:id="1667"/>
      <w:bookmarkEnd w:id="1668"/>
      <w:r>
        <w:rPr>
          <w:rFonts w:hint="eastAsia" w:ascii="宋体" w:hAnsi="宋体" w:cs="宋体"/>
          <w:color w:val="auto"/>
          <w:szCs w:val="21"/>
          <w:highlight w:val="none"/>
          <w:lang w:bidi="ar"/>
        </w:rPr>
        <w:t xml:space="preserve"> </w:t>
      </w:r>
    </w:p>
    <w:p w14:paraId="11D8F47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合同当事人可以就争议请求建设行政主管部门、行业协会或其他第三方进行调解，调解达成协议的，经双方签名盖章后作为合同补充文件，双方均应遵照执行。</w:t>
      </w:r>
    </w:p>
    <w:p w14:paraId="2ECF9E2B">
      <w:pPr>
        <w:widowControl/>
        <w:wordWrap w:val="0"/>
        <w:topLinePunct/>
        <w:adjustRightInd w:val="0"/>
        <w:snapToGrid w:val="0"/>
        <w:spacing w:after="120" w:afterLines="50" w:line="360" w:lineRule="auto"/>
        <w:outlineLvl w:val="2"/>
        <w:rPr>
          <w:rFonts w:ascii="宋体" w:hAnsi="宋体" w:cs="宋体"/>
          <w:color w:val="auto"/>
          <w:highlight w:val="none"/>
        </w:rPr>
      </w:pPr>
      <w:bookmarkStart w:id="1669" w:name="_Ref532221532"/>
      <w:bookmarkEnd w:id="1669"/>
      <w:bookmarkStart w:id="1670" w:name="_Toc20171870"/>
      <w:bookmarkEnd w:id="1670"/>
      <w:bookmarkStart w:id="1671" w:name="_Ref532221527"/>
      <w:bookmarkStart w:id="1672" w:name="_Toc179885393"/>
      <w:bookmarkStart w:id="1673" w:name="_Toc11725"/>
      <w:bookmarkStart w:id="1674" w:name="_Toc11295"/>
      <w:bookmarkStart w:id="1675" w:name="_Toc58860308"/>
      <w:bookmarkStart w:id="1676" w:name="_Toc51766722"/>
      <w:bookmarkStart w:id="1677" w:name="_Toc84930857"/>
      <w:bookmarkStart w:id="1678" w:name="_Toc24716"/>
      <w:r>
        <w:rPr>
          <w:rFonts w:hint="eastAsia" w:ascii="宋体" w:hAnsi="宋体" w:cs="宋体"/>
          <w:color w:val="auto"/>
          <w:szCs w:val="21"/>
          <w:highlight w:val="none"/>
          <w:lang w:bidi="ar"/>
        </w:rPr>
        <w:t>2</w:t>
      </w:r>
      <w:bookmarkEnd w:id="1671"/>
      <w:r>
        <w:rPr>
          <w:rFonts w:hint="eastAsia" w:ascii="宋体" w:hAnsi="宋体" w:cs="宋体"/>
          <w:color w:val="auto"/>
          <w:szCs w:val="21"/>
          <w:highlight w:val="none"/>
          <w:lang w:bidi="ar"/>
        </w:rPr>
        <w:t>0.3  争议评审</w:t>
      </w:r>
      <w:bookmarkEnd w:id="1672"/>
      <w:bookmarkEnd w:id="1673"/>
      <w:bookmarkEnd w:id="1674"/>
      <w:bookmarkEnd w:id="1675"/>
      <w:bookmarkEnd w:id="1676"/>
      <w:bookmarkEnd w:id="1677"/>
      <w:bookmarkEnd w:id="1678"/>
    </w:p>
    <w:p w14:paraId="498E320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合同当事人在专用合同条件中约定采取争议评审方式及评审规则解决争议的，按下列约定执行：</w:t>
      </w:r>
    </w:p>
    <w:p w14:paraId="1D00DDE7">
      <w:pPr>
        <w:widowControl/>
        <w:wordWrap w:val="0"/>
        <w:topLinePunct/>
        <w:adjustRightInd w:val="0"/>
        <w:snapToGrid w:val="0"/>
        <w:spacing w:after="120" w:afterLines="50" w:line="360" w:lineRule="auto"/>
        <w:ind w:left="480"/>
        <w:outlineLvl w:val="3"/>
        <w:rPr>
          <w:rFonts w:ascii="宋体" w:hAnsi="宋体" w:cs="宋体"/>
          <w:color w:val="auto"/>
          <w:highlight w:val="none"/>
        </w:rPr>
      </w:pPr>
      <w:r>
        <w:rPr>
          <w:rFonts w:hint="eastAsia" w:ascii="宋体" w:hAnsi="宋体" w:cs="宋体"/>
          <w:color w:val="auto"/>
          <w:szCs w:val="21"/>
          <w:highlight w:val="none"/>
          <w:lang w:bidi="ar"/>
        </w:rPr>
        <w:t>20.3.1争议评审小组的确定</w:t>
      </w:r>
    </w:p>
    <w:p w14:paraId="17AAF24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合同当事人可以共同选择一名或三名争议评审员，组成争议评审小组。如专用合同条件未对成员人数进行约定，则应由三名成员组成。除专用合同条件另有约定外，合同当事人应当自合同订立后28天内，或者争议发生后14天内，选定争议评审员。</w:t>
      </w:r>
    </w:p>
    <w:p w14:paraId="78A484E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14:paraId="66F7474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除专用合同条件另有约定外，争议评审员报酬由发包人和承包人各承担一半。</w:t>
      </w:r>
    </w:p>
    <w:p w14:paraId="71EB57AC">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679" w:name="_Ref532287270"/>
      <w:bookmarkEnd w:id="1679"/>
      <w:r>
        <w:rPr>
          <w:rFonts w:hint="eastAsia" w:ascii="宋体" w:hAnsi="宋体" w:cs="宋体"/>
          <w:color w:val="auto"/>
          <w:szCs w:val="21"/>
          <w:highlight w:val="none"/>
          <w:lang w:bidi="ar"/>
        </w:rPr>
        <w:t>20.3.2争议的避免</w:t>
      </w:r>
    </w:p>
    <w:p w14:paraId="222A03AE">
      <w:pPr>
        <w:widowControl/>
        <w:wordWrap w:val="0"/>
        <w:topLinePunct/>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合同当事人协商一致，可以共同书面请求争议评审小组，就合同履行过程中可能出现争议的情况提供协助或进行非正式讨论，争议评审小组应给出公正的意见或建议。</w:t>
      </w:r>
    </w:p>
    <w:p w14:paraId="21FEA49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此类协助或非正式讨论可在任何会议、施工现场视察或其他场合进行，并且除专用合同条件另有约定外，发包人和承包人均应出席。</w:t>
      </w:r>
    </w:p>
    <w:p w14:paraId="5FAF705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争议评审小组在此类非正式讨论上给出的任何意见或建议，无论是口头还是书面的，对发包人和承包人不具有约束力，争议评审小组在之后的争议评审程序或决定中也不受此类意见或建议的约束。</w:t>
      </w:r>
    </w:p>
    <w:p w14:paraId="5DF96A13">
      <w:pPr>
        <w:widowControl/>
        <w:wordWrap w:val="0"/>
        <w:topLinePunct/>
        <w:adjustRightInd w:val="0"/>
        <w:snapToGrid w:val="0"/>
        <w:spacing w:after="120" w:afterLines="50" w:line="360" w:lineRule="auto"/>
        <w:ind w:left="480"/>
        <w:outlineLvl w:val="3"/>
        <w:rPr>
          <w:rFonts w:ascii="宋体" w:hAnsi="宋体" w:cs="宋体"/>
          <w:color w:val="auto"/>
          <w:highlight w:val="none"/>
        </w:rPr>
      </w:pPr>
      <w:bookmarkStart w:id="1680" w:name="_Ref4695594"/>
      <w:bookmarkEnd w:id="1680"/>
      <w:r>
        <w:rPr>
          <w:rFonts w:hint="eastAsia" w:ascii="宋体" w:hAnsi="宋体" w:cs="宋体"/>
          <w:color w:val="auto"/>
          <w:szCs w:val="21"/>
          <w:highlight w:val="none"/>
          <w:lang w:bidi="ar"/>
        </w:rPr>
        <w:t>20.3.3争议评审小组的决定</w:t>
      </w:r>
    </w:p>
    <w:p w14:paraId="1921C4E1">
      <w:pPr>
        <w:widowControl/>
        <w:wordWrap w:val="0"/>
        <w:topLinePunct/>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件中对本项事项另行约定。</w:t>
      </w:r>
    </w:p>
    <w:p w14:paraId="792213E7">
      <w:pPr>
        <w:widowControl/>
        <w:wordWrap w:val="0"/>
        <w:topLinePunct/>
        <w:adjustRightInd w:val="0"/>
        <w:snapToGrid w:val="0"/>
        <w:spacing w:after="120" w:afterLines="50" w:line="360" w:lineRule="auto"/>
        <w:ind w:left="480"/>
        <w:outlineLvl w:val="3"/>
        <w:rPr>
          <w:rFonts w:ascii="宋体" w:hAnsi="宋体" w:cs="宋体"/>
          <w:color w:val="auto"/>
          <w:highlight w:val="none"/>
        </w:rPr>
      </w:pPr>
      <w:r>
        <w:rPr>
          <w:rFonts w:hint="eastAsia" w:ascii="宋体" w:hAnsi="宋体" w:cs="宋体"/>
          <w:color w:val="auto"/>
          <w:szCs w:val="21"/>
          <w:highlight w:val="none"/>
          <w:lang w:bidi="ar"/>
        </w:rPr>
        <w:t>20.3.4争议评审小组决定的效力</w:t>
      </w:r>
    </w:p>
    <w:p w14:paraId="09E57B57">
      <w:pPr>
        <w:widowControl/>
        <w:wordWrap w:val="0"/>
        <w:topLinePunct/>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争议评审小组作出的书面决定经合同当事人签名确认后，对双方具有约束力，双方应遵照执行。</w:t>
      </w:r>
    </w:p>
    <w:p w14:paraId="7B5E073F">
      <w:pPr>
        <w:widowControl/>
        <w:wordWrap w:val="0"/>
        <w:topLinePunct/>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任何一方当事人不接受争议评审小组决定或不履行争议评审小组决定的，双方可选择采用其他争议解决方式。</w:t>
      </w:r>
    </w:p>
    <w:p w14:paraId="5541F49C">
      <w:pPr>
        <w:widowControl/>
        <w:wordWrap w:val="0"/>
        <w:topLinePunct/>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任何一方当事人不接受争议评审小组的决定，并不影响暂时执行争议评审小组的决定，直到在后续的采用其他争议解决方式中对争议评审小组的决定进行了改变。</w:t>
      </w:r>
    </w:p>
    <w:p w14:paraId="54028352">
      <w:pPr>
        <w:widowControl/>
        <w:wordWrap w:val="0"/>
        <w:topLinePunct/>
        <w:adjustRightInd w:val="0"/>
        <w:snapToGrid w:val="0"/>
        <w:spacing w:after="120" w:afterLines="50" w:line="360" w:lineRule="auto"/>
        <w:outlineLvl w:val="2"/>
        <w:rPr>
          <w:rFonts w:ascii="宋体" w:hAnsi="宋体" w:cs="宋体"/>
          <w:color w:val="auto"/>
          <w:highlight w:val="none"/>
        </w:rPr>
      </w:pPr>
      <w:bookmarkStart w:id="1681" w:name="_Toc20171871"/>
      <w:bookmarkEnd w:id="1681"/>
      <w:bookmarkStart w:id="1682" w:name="_Ref532221748"/>
      <w:bookmarkEnd w:id="1682"/>
      <w:bookmarkStart w:id="1683" w:name="_Ref532221752"/>
      <w:bookmarkStart w:id="1684" w:name="_Toc51766723"/>
      <w:bookmarkStart w:id="1685" w:name="_Toc16764"/>
      <w:bookmarkStart w:id="1686" w:name="_Toc12113"/>
      <w:bookmarkStart w:id="1687" w:name="_Toc26665"/>
      <w:bookmarkStart w:id="1688" w:name="_Toc179885394"/>
      <w:bookmarkStart w:id="1689" w:name="_Toc58860309"/>
      <w:bookmarkStart w:id="1690" w:name="_Toc84930858"/>
      <w:r>
        <w:rPr>
          <w:rFonts w:hint="eastAsia" w:ascii="宋体" w:hAnsi="宋体" w:cs="宋体"/>
          <w:color w:val="auto"/>
          <w:szCs w:val="21"/>
          <w:highlight w:val="none"/>
          <w:lang w:bidi="ar"/>
        </w:rPr>
        <w:t>2</w:t>
      </w:r>
      <w:bookmarkEnd w:id="1683"/>
      <w:r>
        <w:rPr>
          <w:rFonts w:hint="eastAsia" w:ascii="宋体" w:hAnsi="宋体" w:cs="宋体"/>
          <w:color w:val="auto"/>
          <w:szCs w:val="21"/>
          <w:highlight w:val="none"/>
          <w:lang w:bidi="ar"/>
        </w:rPr>
        <w:t>0.4  仲裁或诉讼</w:t>
      </w:r>
      <w:bookmarkEnd w:id="1684"/>
      <w:bookmarkEnd w:id="1685"/>
      <w:bookmarkEnd w:id="1686"/>
      <w:bookmarkEnd w:id="1687"/>
      <w:bookmarkEnd w:id="1688"/>
      <w:bookmarkEnd w:id="1689"/>
      <w:bookmarkEnd w:id="1690"/>
    </w:p>
    <w:p w14:paraId="374D6DC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因合同及合同有关事项产生的争议，合同当事人可以在专用合同条件中约定以下一种方式解决争议：</w:t>
      </w:r>
    </w:p>
    <w:p w14:paraId="0638B15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（1）向约定的仲裁委员会申请仲裁；</w:t>
      </w:r>
    </w:p>
    <w:p w14:paraId="3899376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（2）向有管辖权的人民法院起诉。</w:t>
      </w:r>
    </w:p>
    <w:p w14:paraId="072D6B73">
      <w:pPr>
        <w:widowControl/>
        <w:wordWrap w:val="0"/>
        <w:topLinePunct/>
        <w:adjustRightInd w:val="0"/>
        <w:snapToGrid w:val="0"/>
        <w:spacing w:after="120" w:afterLines="50" w:line="360" w:lineRule="auto"/>
        <w:outlineLvl w:val="2"/>
        <w:rPr>
          <w:rFonts w:ascii="宋体" w:hAnsi="宋体" w:cs="宋体"/>
          <w:color w:val="auto"/>
          <w:highlight w:val="none"/>
        </w:rPr>
      </w:pPr>
      <w:bookmarkStart w:id="1691" w:name="_Toc20171872"/>
      <w:bookmarkEnd w:id="1691"/>
      <w:bookmarkStart w:id="1692" w:name="_Toc9803"/>
      <w:bookmarkStart w:id="1693" w:name="_Toc6499"/>
      <w:bookmarkStart w:id="1694" w:name="_Toc179885395"/>
      <w:bookmarkStart w:id="1695" w:name="_Toc84930859"/>
      <w:bookmarkStart w:id="1696" w:name="_Toc51766724"/>
      <w:bookmarkStart w:id="1697" w:name="_Toc58860310"/>
      <w:bookmarkStart w:id="1698" w:name="_Toc15171"/>
      <w:r>
        <w:rPr>
          <w:rFonts w:hint="eastAsia" w:ascii="宋体" w:hAnsi="宋体" w:cs="宋体"/>
          <w:color w:val="auto"/>
          <w:szCs w:val="21"/>
          <w:highlight w:val="none"/>
          <w:lang w:bidi="ar"/>
        </w:rPr>
        <w:t>20.5  争议解决条款效力</w:t>
      </w:r>
      <w:bookmarkEnd w:id="1692"/>
      <w:bookmarkEnd w:id="1693"/>
      <w:bookmarkEnd w:id="1694"/>
      <w:bookmarkEnd w:id="1695"/>
      <w:bookmarkEnd w:id="1696"/>
      <w:bookmarkEnd w:id="1697"/>
      <w:bookmarkEnd w:id="1698"/>
    </w:p>
    <w:p w14:paraId="37312CC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合同有关争议解决的条款独立存在，合同的不生效、无效、被撤销或者终止的，不影响合同中有关争议解决条款的效力。</w:t>
      </w:r>
    </w:p>
    <w:p w14:paraId="11B7840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olor w:val="auto"/>
          <w:szCs w:val="21"/>
          <w:highlight w:val="none"/>
          <w:lang w:bidi="ar"/>
        </w:rPr>
        <w:br w:type="page"/>
      </w:r>
    </w:p>
    <w:p w14:paraId="0FACA4B0">
      <w:pPr>
        <w:widowControl/>
        <w:adjustRightInd w:val="0"/>
        <w:snapToGrid w:val="0"/>
        <w:spacing w:after="50" w:line="360" w:lineRule="auto"/>
        <w:jc w:val="center"/>
        <w:outlineLvl w:val="0"/>
        <w:rPr>
          <w:rFonts w:ascii="宋体" w:hAnsi="宋体" w:cs="宋体"/>
          <w:b/>
          <w:color w:val="auto"/>
          <w:kern w:val="44"/>
          <w:highlight w:val="none"/>
        </w:rPr>
      </w:pPr>
      <w:bookmarkStart w:id="1699" w:name="_Toc20171873"/>
      <w:bookmarkEnd w:id="1699"/>
      <w:bookmarkStart w:id="1700" w:name="_Toc179885396"/>
      <w:r>
        <w:rPr>
          <w:rFonts w:hint="eastAsia" w:ascii="宋体" w:hAnsi="宋体" w:cs="宋体"/>
          <w:b/>
          <w:color w:val="auto"/>
          <w:kern w:val="44"/>
          <w:szCs w:val="21"/>
          <w:highlight w:val="none"/>
          <w:lang w:bidi="ar"/>
        </w:rPr>
        <w:t>第三部分 专用合同条件</w:t>
      </w:r>
      <w:bookmarkEnd w:id="1700"/>
    </w:p>
    <w:p w14:paraId="3D575202">
      <w:pPr>
        <w:widowControl/>
        <w:adjustRightInd w:val="0"/>
        <w:snapToGrid w:val="0"/>
        <w:spacing w:after="120" w:afterLines="50" w:line="360" w:lineRule="auto"/>
        <w:outlineLvl w:val="1"/>
        <w:rPr>
          <w:rFonts w:ascii="宋体" w:hAnsi="宋体" w:cs="Times"/>
          <w:color w:val="auto"/>
          <w:kern w:val="0"/>
          <w:highlight w:val="none"/>
        </w:rPr>
      </w:pPr>
      <w:bookmarkStart w:id="1701" w:name="_Toc20171874"/>
      <w:bookmarkEnd w:id="1701"/>
      <w:bookmarkStart w:id="1702" w:name="_Toc179885397"/>
      <w:r>
        <w:rPr>
          <w:rFonts w:hint="eastAsia" w:ascii="宋体" w:hAnsi="宋体" w:cs="Times"/>
          <w:color w:val="auto"/>
          <w:kern w:val="0"/>
          <w:szCs w:val="21"/>
          <w:highlight w:val="none"/>
          <w:lang w:bidi="ar"/>
        </w:rPr>
        <w:t xml:space="preserve">第1条 </w:t>
      </w:r>
      <w:bookmarkStart w:id="1703" w:name="_Toc521267453"/>
      <w:bookmarkEnd w:id="1703"/>
      <w:r>
        <w:rPr>
          <w:rFonts w:hint="eastAsia" w:ascii="宋体" w:hAnsi="宋体" w:cs="Times"/>
          <w:color w:val="auto"/>
          <w:kern w:val="0"/>
          <w:szCs w:val="21"/>
          <w:highlight w:val="none"/>
          <w:lang w:bidi="ar"/>
        </w:rPr>
        <w:t>一般约定</w:t>
      </w:r>
      <w:bookmarkEnd w:id="1702"/>
    </w:p>
    <w:p w14:paraId="2D977FF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1.1 词语定义和解释</w:t>
      </w:r>
    </w:p>
    <w:p w14:paraId="481437C7">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1.1.1 合同</w:t>
      </w:r>
    </w:p>
    <w:p w14:paraId="66E01F35">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1.1.1.7项目清单：是指发包人提供的载明工程总承包项目勘察费（如果有）、设计费、建筑安装工程费、专业设备材料费（如果有）、暂估价、暂列金额和双方约定的其他费用的名称和相应数量等内容的项目明细。本合同所称“专业设备材料费”是指：为实现项目的生产、处置等特殊功能需要的专业设备材料。</w:t>
      </w:r>
    </w:p>
    <w:p w14:paraId="330D7BE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1.1.1.10 其他合同文件：</w:t>
      </w:r>
      <w:r>
        <w:rPr>
          <w:rFonts w:hint="eastAsia" w:ascii="宋体" w:hAnsi="宋体" w:cs="宋体"/>
          <w:color w:val="auto"/>
          <w:kern w:val="0"/>
          <w:szCs w:val="21"/>
          <w:highlight w:val="none"/>
          <w:u w:val="single"/>
          <w:lang w:bidi="ar"/>
        </w:rPr>
        <w:t>招标文件及其澄清补遗、投标文件及在评标阶段签署的澄清文件、发包人现时和后续颁布的与本合同工程建设相关的管理办法、本合同履行过程中双方以书面形式签署的补充和修正文件（含会议纪要、工程变更、签证、设计洽商记录、图纸会审纪要、工程联系单、经批准实施的施工组织设计文件等修正文件）等</w:t>
      </w:r>
      <w:r>
        <w:rPr>
          <w:rFonts w:hint="eastAsia" w:ascii="宋体" w:hAnsi="宋体" w:cs="宋体"/>
          <w:color w:val="auto"/>
          <w:kern w:val="0"/>
          <w:szCs w:val="21"/>
          <w:highlight w:val="none"/>
          <w:lang w:bidi="ar"/>
        </w:rPr>
        <w:t>。</w:t>
      </w:r>
    </w:p>
    <w:p w14:paraId="51AE39C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1.1.3 工程和设备</w:t>
      </w:r>
    </w:p>
    <w:p w14:paraId="199C217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1.1.3.5 单位/区段工程的范围：</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按合同协议书的约定</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w:t>
      </w:r>
    </w:p>
    <w:p w14:paraId="502C05B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1.1.3.9 作为施工场所组成部分的其他场所包括：</w:t>
      </w:r>
      <w:r>
        <w:rPr>
          <w:rFonts w:hint="eastAsia"/>
          <w:color w:val="auto"/>
          <w:szCs w:val="21"/>
          <w:highlight w:val="none"/>
          <w:u w:val="single"/>
        </w:rPr>
        <w:t>用于建设永久工程和临时工程的工程用地，也包括用于承包人施工所需场地等</w:t>
      </w:r>
      <w:r>
        <w:rPr>
          <w:rFonts w:hint="eastAsia" w:ascii="宋体" w:hAnsi="宋体" w:cs="宋体"/>
          <w:color w:val="auto"/>
          <w:kern w:val="0"/>
          <w:szCs w:val="21"/>
          <w:highlight w:val="none"/>
          <w:lang w:bidi="ar"/>
        </w:rPr>
        <w:t>。</w:t>
      </w:r>
    </w:p>
    <w:p w14:paraId="0543AF9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1.1.3.10 永久占地包括：</w:t>
      </w:r>
      <w:r>
        <w:rPr>
          <w:rFonts w:hint="eastAsia"/>
          <w:color w:val="auto"/>
          <w:szCs w:val="21"/>
          <w:highlight w:val="none"/>
          <w:u w:val="single"/>
        </w:rPr>
        <w:t>仅限于本项目用地红线范围内</w:t>
      </w:r>
      <w:r>
        <w:rPr>
          <w:rFonts w:hint="eastAsia" w:ascii="宋体" w:hAnsi="宋体" w:cs="宋体"/>
          <w:color w:val="auto"/>
          <w:kern w:val="0"/>
          <w:szCs w:val="21"/>
          <w:highlight w:val="none"/>
          <w:lang w:bidi="ar"/>
        </w:rPr>
        <w:t>。</w:t>
      </w:r>
    </w:p>
    <w:p w14:paraId="244D71E2">
      <w:pPr>
        <w:widowControl/>
        <w:adjustRightInd w:val="0"/>
        <w:snapToGrid w:val="0"/>
        <w:spacing w:after="120" w:afterLines="50" w:line="360" w:lineRule="auto"/>
        <w:ind w:firstLine="420" w:firstLineChars="200"/>
        <w:rPr>
          <w:rFonts w:hint="eastAsia"/>
          <w:color w:val="auto"/>
          <w:szCs w:val="21"/>
          <w:highlight w:val="none"/>
          <w:u w:val="single"/>
        </w:rPr>
      </w:pPr>
      <w:r>
        <w:rPr>
          <w:rFonts w:hint="eastAsia" w:ascii="宋体" w:hAnsi="宋体" w:cs="宋体"/>
          <w:color w:val="auto"/>
          <w:kern w:val="0"/>
          <w:szCs w:val="21"/>
          <w:highlight w:val="none"/>
          <w:lang w:bidi="ar"/>
        </w:rPr>
        <w:t>1.1.3.11临时占地包括：</w:t>
      </w:r>
      <w:bookmarkStart w:id="1704" w:name="OLE_LINK18"/>
      <w:r>
        <w:rPr>
          <w:rFonts w:hint="eastAsia"/>
          <w:color w:val="auto"/>
          <w:szCs w:val="21"/>
          <w:highlight w:val="none"/>
          <w:u w:val="single"/>
        </w:rPr>
        <w:t>发包人负责提供承包人临时设施（包含但不限于生活用房、办公用房、材料堆场及材料加工）场地租赁服务，租赁费用在每月进度款内抵扣（费用预估</w:t>
      </w:r>
      <w:r>
        <w:rPr>
          <w:rFonts w:hint="eastAsia"/>
          <w:color w:val="auto"/>
          <w:szCs w:val="21"/>
          <w:highlight w:val="none"/>
          <w:u w:val="single"/>
          <w:lang w:val="en-US" w:eastAsia="zh-CN"/>
        </w:rPr>
        <w:t>7</w:t>
      </w:r>
      <w:r>
        <w:rPr>
          <w:rFonts w:hint="eastAsia"/>
          <w:color w:val="auto"/>
          <w:szCs w:val="21"/>
          <w:highlight w:val="none"/>
          <w:u w:val="single"/>
        </w:rPr>
        <w:t>元/m2/月，租赁面积约1</w:t>
      </w:r>
      <w:r>
        <w:rPr>
          <w:rFonts w:hint="eastAsia"/>
          <w:color w:val="auto"/>
          <w:szCs w:val="21"/>
          <w:highlight w:val="none"/>
          <w:u w:val="single"/>
          <w:lang w:val="en-US" w:eastAsia="zh-CN"/>
        </w:rPr>
        <w:t>5</w:t>
      </w:r>
      <w:r>
        <w:rPr>
          <w:rFonts w:hint="eastAsia"/>
          <w:color w:val="auto"/>
          <w:szCs w:val="21"/>
          <w:highlight w:val="none"/>
          <w:u w:val="single"/>
        </w:rPr>
        <w:t>亩），已包含至合同签约价款中</w:t>
      </w:r>
      <w:r>
        <w:rPr>
          <w:rFonts w:hint="eastAsia"/>
          <w:color w:val="auto"/>
          <w:szCs w:val="21"/>
          <w:highlight w:val="none"/>
          <w:u w:val="single"/>
          <w:lang w:eastAsia="zh-CN"/>
        </w:rPr>
        <w:t>，</w:t>
      </w:r>
      <w:r>
        <w:rPr>
          <w:rFonts w:hint="eastAsia"/>
          <w:color w:val="auto"/>
          <w:szCs w:val="21"/>
          <w:highlight w:val="none"/>
          <w:u w:val="single"/>
          <w:lang w:val="en-US" w:eastAsia="zh-CN"/>
        </w:rPr>
        <w:t>该费用按实结算</w:t>
      </w:r>
      <w:r>
        <w:rPr>
          <w:rFonts w:hint="eastAsia"/>
          <w:color w:val="auto"/>
          <w:szCs w:val="21"/>
          <w:highlight w:val="none"/>
          <w:u w:val="single"/>
        </w:rPr>
        <w:t>。</w:t>
      </w:r>
      <w:bookmarkEnd w:id="1704"/>
    </w:p>
    <w:p w14:paraId="0C9A687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1.2 语言文字</w:t>
      </w:r>
    </w:p>
    <w:p w14:paraId="4CFD627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本合同除使用汉语外，还使用</w:t>
      </w:r>
      <w:r>
        <w:rPr>
          <w:rFonts w:hint="eastAsia" w:ascii="宋体" w:hAnsi="宋体" w:cs="宋体"/>
          <w:color w:val="auto"/>
          <w:kern w:val="0"/>
          <w:szCs w:val="21"/>
          <w:highlight w:val="none"/>
          <w:u w:val="single"/>
          <w:lang w:bidi="ar"/>
        </w:rPr>
        <w:t xml:space="preserve"> / </w:t>
      </w:r>
      <w:r>
        <w:rPr>
          <w:rFonts w:hint="eastAsia" w:ascii="宋体" w:hAnsi="宋体" w:cs="宋体"/>
          <w:color w:val="auto"/>
          <w:kern w:val="0"/>
          <w:szCs w:val="21"/>
          <w:highlight w:val="none"/>
          <w:lang w:bidi="ar"/>
        </w:rPr>
        <w:t>语言。</w:t>
      </w:r>
    </w:p>
    <w:p w14:paraId="388B43A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1.3 法律</w:t>
      </w:r>
    </w:p>
    <w:p w14:paraId="16CE34F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适用于合同的其他规范性文件：</w:t>
      </w:r>
      <w:r>
        <w:rPr>
          <w:rFonts w:hint="eastAsia"/>
          <w:color w:val="auto"/>
          <w:szCs w:val="21"/>
          <w:highlight w:val="none"/>
          <w:u w:val="single"/>
        </w:rPr>
        <w:t>除了适用国家现行的法律和行政法规、部门规章外，还适用省、市地方法规、规章、规定等</w:t>
      </w:r>
      <w:r>
        <w:rPr>
          <w:rFonts w:hint="eastAsia"/>
          <w:color w:val="auto"/>
          <w:szCs w:val="21"/>
          <w:highlight w:val="none"/>
        </w:rPr>
        <w:t>。</w:t>
      </w:r>
    </w:p>
    <w:p w14:paraId="79A8E71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1.4 标准和规范</w:t>
      </w:r>
    </w:p>
    <w:p w14:paraId="2239E1B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1.4.1 适用于本合同的标准、规范（名称）包括：</w:t>
      </w:r>
    </w:p>
    <w:p w14:paraId="1FED1768">
      <w:pPr>
        <w:adjustRightInd w:val="0"/>
        <w:snapToGrid w:val="0"/>
        <w:spacing w:line="360" w:lineRule="auto"/>
        <w:ind w:firstLine="420"/>
        <w:rPr>
          <w:color w:val="auto"/>
          <w:szCs w:val="21"/>
          <w:highlight w:val="none"/>
          <w:u w:val="single"/>
        </w:rPr>
      </w:pPr>
      <w:r>
        <w:rPr>
          <w:rFonts w:hint="eastAsia"/>
          <w:color w:val="auto"/>
          <w:szCs w:val="21"/>
          <w:highlight w:val="none"/>
          <w:u w:val="single"/>
        </w:rPr>
        <w:t>以现行国家、地方及行业标准、规范为准，本条文仅摘录本工程重点适用的标准、规范（名称）（版本以截止到施工图审查通过日期为准，后期国家、地方或行业新发布的标准、规范及修改版，涉及到工程造价的变更，由发包人承担。设计过程中已经明确要执行，执行日期在施工图审查通过日期以后的情况除外）</w:t>
      </w:r>
      <w:r>
        <w:rPr>
          <w:rFonts w:hint="eastAsia"/>
          <w:color w:val="auto"/>
          <w:szCs w:val="21"/>
          <w:highlight w:val="none"/>
        </w:rPr>
        <w:t>。</w:t>
      </w:r>
    </w:p>
    <w:p w14:paraId="4FB33A8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1.4.2 发包人提供的国外标准、规范的名称：</w:t>
      </w:r>
      <w:r>
        <w:rPr>
          <w:rFonts w:hint="eastAsia" w:ascii="宋体" w:hAnsi="宋体" w:cs="宋体"/>
          <w:color w:val="auto"/>
          <w:kern w:val="0"/>
          <w:szCs w:val="21"/>
          <w:highlight w:val="none"/>
          <w:u w:val="single"/>
          <w:lang w:bidi="ar"/>
        </w:rPr>
        <w:t xml:space="preserve"> / </w:t>
      </w:r>
      <w:r>
        <w:rPr>
          <w:rFonts w:hint="eastAsia" w:ascii="宋体" w:hAnsi="宋体" w:cs="宋体"/>
          <w:color w:val="auto"/>
          <w:kern w:val="0"/>
          <w:szCs w:val="21"/>
          <w:highlight w:val="none"/>
          <w:lang w:bidi="ar"/>
        </w:rPr>
        <w:t>；发包人提供的国外标准、规范的份数：</w:t>
      </w:r>
      <w:r>
        <w:rPr>
          <w:rFonts w:hint="eastAsia" w:ascii="宋体" w:hAnsi="宋体" w:cs="宋体"/>
          <w:color w:val="auto"/>
          <w:kern w:val="0"/>
          <w:szCs w:val="21"/>
          <w:highlight w:val="none"/>
          <w:u w:val="single"/>
          <w:lang w:bidi="ar"/>
        </w:rPr>
        <w:t xml:space="preserve"> / </w:t>
      </w:r>
      <w:r>
        <w:rPr>
          <w:rFonts w:hint="eastAsia" w:ascii="宋体" w:hAnsi="宋体" w:cs="宋体"/>
          <w:color w:val="auto"/>
          <w:kern w:val="0"/>
          <w:szCs w:val="21"/>
          <w:highlight w:val="none"/>
          <w:lang w:bidi="ar"/>
        </w:rPr>
        <w:t>；发包人提供的国外标准、规范的时间：</w:t>
      </w:r>
      <w:r>
        <w:rPr>
          <w:rFonts w:hint="eastAsia" w:ascii="宋体" w:hAnsi="宋体" w:cs="宋体"/>
          <w:color w:val="auto"/>
          <w:kern w:val="0"/>
          <w:szCs w:val="21"/>
          <w:highlight w:val="none"/>
          <w:u w:val="single"/>
          <w:lang w:bidi="ar"/>
        </w:rPr>
        <w:t xml:space="preserve"> / </w:t>
      </w:r>
      <w:r>
        <w:rPr>
          <w:rFonts w:hint="eastAsia" w:ascii="宋体" w:hAnsi="宋体" w:cs="宋体"/>
          <w:color w:val="auto"/>
          <w:kern w:val="0"/>
          <w:szCs w:val="21"/>
          <w:highlight w:val="none"/>
          <w:lang w:bidi="ar"/>
        </w:rPr>
        <w:t>。</w:t>
      </w:r>
    </w:p>
    <w:p w14:paraId="7B2872B0">
      <w:pPr>
        <w:widowControl/>
        <w:adjustRightInd w:val="0"/>
        <w:snapToGrid w:val="0"/>
        <w:spacing w:line="360" w:lineRule="auto"/>
        <w:ind w:firstLine="420"/>
        <w:rPr>
          <w:rFonts w:ascii="宋体" w:hAnsi="宋体" w:cs="宋体"/>
          <w:color w:val="auto"/>
          <w:kern w:val="0"/>
          <w:highlight w:val="none"/>
        </w:rPr>
      </w:pPr>
      <w:r>
        <w:rPr>
          <w:rFonts w:hint="eastAsia" w:ascii="宋体" w:hAnsi="宋体" w:cs="宋体"/>
          <w:color w:val="auto"/>
          <w:kern w:val="0"/>
          <w:szCs w:val="21"/>
          <w:highlight w:val="none"/>
          <w:lang w:bidi="ar"/>
        </w:rPr>
        <w:t>1.4.3 没有成文规范、标准规定的约定：</w:t>
      </w:r>
      <w:r>
        <w:rPr>
          <w:rFonts w:hint="eastAsia"/>
          <w:color w:val="auto"/>
          <w:szCs w:val="21"/>
          <w:highlight w:val="none"/>
          <w:u w:val="single"/>
        </w:rPr>
        <w:t>国内没有相应标准、规范，由发包人向承包人提出功能要求，承包人按约定的时间和要求提出施工工艺报监理工程师审查，经发包人批准后执行</w:t>
      </w:r>
      <w:r>
        <w:rPr>
          <w:rFonts w:hint="eastAsia"/>
          <w:color w:val="auto"/>
          <w:szCs w:val="21"/>
          <w:highlight w:val="none"/>
        </w:rPr>
        <w:t>。</w:t>
      </w:r>
    </w:p>
    <w:p w14:paraId="27A8545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1.4.4 发包人对于工程的技术标准、功能要求：</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详见招标文件中“发包人要求”</w:t>
      </w:r>
      <w:r>
        <w:rPr>
          <w:rFonts w:hint="eastAsia"/>
          <w:color w:val="auto"/>
          <w:szCs w:val="21"/>
          <w:highlight w:val="none"/>
        </w:rPr>
        <w:t>。</w:t>
      </w:r>
    </w:p>
    <w:p w14:paraId="7DF23AB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1.5 合同文件的优先顺序</w:t>
      </w:r>
    </w:p>
    <w:p w14:paraId="1546C0CA">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合同文件组成及优先顺序为：</w:t>
      </w:r>
    </w:p>
    <w:p w14:paraId="34F840B3">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(1)合同双方在合同执行中签订的有关协议或补充合同（如果有）；</w:t>
      </w:r>
    </w:p>
    <w:p w14:paraId="04656E4A">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(2)本合同协议书；</w:t>
      </w:r>
    </w:p>
    <w:p w14:paraId="195F59B1">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(3)专用合同条件；；</w:t>
      </w:r>
    </w:p>
    <w:p w14:paraId="7D5B64BF">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(4)本合同通用合同条件；</w:t>
      </w:r>
    </w:p>
    <w:p w14:paraId="7A5585C3">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(5)双方在履行合同过程中形成的双方授权代表签署的会议纪要、备忘录、补充文件、变更和洽商等书面形式的文件构成本合同的组成部分；</w:t>
      </w:r>
    </w:p>
    <w:p w14:paraId="664FC5A7">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(6)附件《发包人要求》</w:t>
      </w:r>
    </w:p>
    <w:p w14:paraId="13988386">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(7)专用合同条件其他附件</w:t>
      </w:r>
    </w:p>
    <w:p w14:paraId="38687E67">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(8)价格清单；</w:t>
      </w:r>
    </w:p>
    <w:p w14:paraId="3ED925DB">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(9)中标通知书；</w:t>
      </w:r>
    </w:p>
    <w:p w14:paraId="54EDBF9B">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(10)投标函及其附录（如果有）；</w:t>
      </w:r>
    </w:p>
    <w:p w14:paraId="702050F9">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(11)发包人的招标文件（含招标答疑、澄清及补充说明等文件资料）；</w:t>
      </w:r>
    </w:p>
    <w:p w14:paraId="2F5F13A2">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(12)设计文件、资料和图纸；</w:t>
      </w:r>
    </w:p>
    <w:p w14:paraId="4C8F08C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(13)标准、规范及有关技术文件。</w:t>
      </w:r>
    </w:p>
    <w:p w14:paraId="00AAF07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1.6 文件的提供和照管</w:t>
      </w:r>
    </w:p>
    <w:p w14:paraId="7782430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1.6.1 发包人文件的提供</w:t>
      </w:r>
    </w:p>
    <w:p w14:paraId="1B9BEB46">
      <w:pPr>
        <w:widowControl/>
        <w:adjustRightInd w:val="0"/>
        <w:snapToGrid w:val="0"/>
        <w:spacing w:after="120" w:afterLines="50" w:line="360" w:lineRule="auto"/>
        <w:ind w:firstLine="420" w:firstLineChars="200"/>
        <w:jc w:val="left"/>
        <w:rPr>
          <w:color w:val="auto"/>
          <w:highlight w:val="none"/>
          <w:lang w:bidi="ar"/>
        </w:rPr>
      </w:pPr>
      <w:r>
        <w:rPr>
          <w:rFonts w:hint="eastAsia"/>
          <w:color w:val="auto"/>
          <w:szCs w:val="21"/>
          <w:highlight w:val="none"/>
        </w:rPr>
        <w:t>发包人文件的提供期限、名称、数量和形式：</w:t>
      </w:r>
      <w:r>
        <w:rPr>
          <w:rFonts w:hint="eastAsia"/>
          <w:color w:val="auto"/>
          <w:szCs w:val="21"/>
          <w:highlight w:val="none"/>
          <w:u w:val="single"/>
        </w:rPr>
        <w:t>合同签订后7天内，发包人向承包人免费提供一套：前期工作相关资料进行工程设计、现场施工等工程实施所需的文件书面版或电子版</w:t>
      </w:r>
      <w:r>
        <w:rPr>
          <w:rFonts w:hint="eastAsia"/>
          <w:color w:val="auto"/>
          <w:szCs w:val="21"/>
          <w:highlight w:val="none"/>
        </w:rPr>
        <w:t>。</w:t>
      </w:r>
    </w:p>
    <w:p w14:paraId="62D2232B">
      <w:pPr>
        <w:widowControl/>
        <w:adjustRightInd w:val="0"/>
        <w:snapToGrid w:val="0"/>
        <w:spacing w:after="120" w:afterLines="50"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发包人文件的数量：</w:t>
      </w:r>
      <w:r>
        <w:rPr>
          <w:rFonts w:hint="eastAsia" w:ascii="宋体" w:hAnsi="宋体" w:cs="宋体"/>
          <w:color w:val="auto"/>
          <w:kern w:val="0"/>
          <w:szCs w:val="21"/>
          <w:highlight w:val="none"/>
          <w:u w:val="single"/>
          <w:lang w:bidi="ar"/>
        </w:rPr>
        <w:t xml:space="preserve">  免费提供一套</w:t>
      </w:r>
      <w:r>
        <w:rPr>
          <w:rFonts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 xml:space="preserve">； </w:t>
      </w:r>
    </w:p>
    <w:p w14:paraId="525C34F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发包人文件的形式：纸质或电子形式。</w:t>
      </w:r>
    </w:p>
    <w:p w14:paraId="673754B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1.6.2 承包人文件的提供</w:t>
      </w:r>
    </w:p>
    <w:p w14:paraId="4C6B5B8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承包人提供的文件包括：</w:t>
      </w:r>
      <w:r>
        <w:rPr>
          <w:rFonts w:hint="eastAsia"/>
          <w:color w:val="auto"/>
          <w:szCs w:val="21"/>
          <w:highlight w:val="none"/>
          <w:u w:val="single"/>
        </w:rPr>
        <w:t>详见附件中“发包人要求”</w:t>
      </w:r>
    </w:p>
    <w:p w14:paraId="2800DAA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1.6.4 文件的照管</w:t>
      </w:r>
    </w:p>
    <w:p w14:paraId="477995D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关于现场文件准备的约定：</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由承包人负责</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w:t>
      </w:r>
    </w:p>
    <w:p w14:paraId="6C13946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1.7 联络</w:t>
      </w:r>
    </w:p>
    <w:p w14:paraId="1B7A16BC">
      <w:pPr>
        <w:adjustRightInd w:val="0"/>
        <w:snapToGrid w:val="0"/>
        <w:spacing w:line="360" w:lineRule="auto"/>
        <w:ind w:firstLine="420"/>
        <w:rPr>
          <w:color w:val="auto"/>
          <w:szCs w:val="21"/>
          <w:highlight w:val="none"/>
        </w:rPr>
      </w:pPr>
      <w:r>
        <w:rPr>
          <w:color w:val="auto"/>
          <w:szCs w:val="21"/>
          <w:highlight w:val="none"/>
        </w:rPr>
        <w:t xml:space="preserve">1.7.2 </w:t>
      </w:r>
      <w:r>
        <w:rPr>
          <w:rFonts w:hint="eastAsia"/>
          <w:color w:val="auto"/>
          <w:szCs w:val="21"/>
          <w:highlight w:val="none"/>
        </w:rPr>
        <w:t>发包人指定的送达方式（包括电子传输方式）：</w:t>
      </w:r>
      <w:r>
        <w:rPr>
          <w:rFonts w:hint="eastAsia"/>
          <w:color w:val="auto"/>
          <w:szCs w:val="21"/>
          <w:highlight w:val="none"/>
          <w:u w:val="single"/>
        </w:rPr>
        <w:t>书面文件或电子邮件</w:t>
      </w:r>
      <w:r>
        <w:rPr>
          <w:rFonts w:hint="eastAsia"/>
          <w:color w:val="auto"/>
          <w:szCs w:val="21"/>
          <w:highlight w:val="none"/>
        </w:rPr>
        <w:t>。</w:t>
      </w:r>
    </w:p>
    <w:p w14:paraId="2CADC7B5">
      <w:pPr>
        <w:adjustRightInd w:val="0"/>
        <w:snapToGrid w:val="0"/>
        <w:spacing w:line="360" w:lineRule="auto"/>
        <w:ind w:firstLine="420"/>
        <w:rPr>
          <w:color w:val="auto"/>
          <w:szCs w:val="21"/>
          <w:highlight w:val="none"/>
        </w:rPr>
      </w:pPr>
      <w:r>
        <w:rPr>
          <w:rFonts w:hint="eastAsia"/>
          <w:color w:val="auto"/>
          <w:szCs w:val="21"/>
          <w:highlight w:val="none"/>
        </w:rPr>
        <w:t>发包人的送达地址：。</w:t>
      </w:r>
    </w:p>
    <w:p w14:paraId="7452A428">
      <w:pPr>
        <w:adjustRightInd w:val="0"/>
        <w:snapToGrid w:val="0"/>
        <w:spacing w:line="360" w:lineRule="auto"/>
        <w:ind w:firstLine="420"/>
        <w:rPr>
          <w:color w:val="auto"/>
          <w:szCs w:val="21"/>
          <w:highlight w:val="none"/>
        </w:rPr>
      </w:pPr>
      <w:r>
        <w:rPr>
          <w:rFonts w:hint="eastAsia"/>
          <w:color w:val="auto"/>
          <w:szCs w:val="21"/>
          <w:highlight w:val="none"/>
        </w:rPr>
        <w:t>承包人指定的送达方式（包括电子传输方式）：</w:t>
      </w:r>
      <w:r>
        <w:rPr>
          <w:rFonts w:hint="eastAsia"/>
          <w:color w:val="auto"/>
          <w:szCs w:val="21"/>
          <w:highlight w:val="none"/>
          <w:u w:val="single"/>
        </w:rPr>
        <w:t>书面文件或电子邮件</w:t>
      </w:r>
      <w:r>
        <w:rPr>
          <w:rFonts w:hint="eastAsia"/>
          <w:color w:val="auto"/>
          <w:szCs w:val="21"/>
          <w:highlight w:val="none"/>
        </w:rPr>
        <w:t>。</w:t>
      </w:r>
    </w:p>
    <w:p w14:paraId="2DCBABE6">
      <w:pPr>
        <w:spacing w:line="360" w:lineRule="auto"/>
        <w:ind w:firstLine="420" w:firstLineChars="200"/>
        <w:rPr>
          <w:color w:val="auto"/>
          <w:szCs w:val="21"/>
          <w:highlight w:val="none"/>
        </w:rPr>
      </w:pPr>
      <w:r>
        <w:rPr>
          <w:rFonts w:hint="eastAsia"/>
          <w:color w:val="auto"/>
          <w:szCs w:val="21"/>
          <w:highlight w:val="none"/>
        </w:rPr>
        <w:t>承包人的送达地址：</w:t>
      </w:r>
      <w:r>
        <w:rPr>
          <w:rFonts w:hint="eastAsia"/>
          <w:color w:val="auto"/>
          <w:szCs w:val="21"/>
          <w:highlight w:val="none"/>
          <w:u w:val="single"/>
        </w:rPr>
        <w:t>施工现场办公室</w:t>
      </w:r>
      <w:r>
        <w:rPr>
          <w:rFonts w:hint="eastAsia"/>
          <w:color w:val="auto"/>
          <w:szCs w:val="21"/>
          <w:highlight w:val="none"/>
        </w:rPr>
        <w:t>。</w:t>
      </w:r>
    </w:p>
    <w:p w14:paraId="6EB68194">
      <w:pPr>
        <w:spacing w:line="360" w:lineRule="auto"/>
        <w:ind w:firstLine="420" w:firstLineChars="200"/>
        <w:rPr>
          <w:color w:val="auto"/>
          <w:szCs w:val="21"/>
          <w:highlight w:val="none"/>
        </w:rPr>
      </w:pPr>
      <w:r>
        <w:rPr>
          <w:rFonts w:hint="eastAsia"/>
          <w:color w:val="auto"/>
          <w:szCs w:val="21"/>
          <w:highlight w:val="none"/>
        </w:rPr>
        <w:t>关于</w:t>
      </w:r>
      <w:r>
        <w:rPr>
          <w:color w:val="auto"/>
          <w:szCs w:val="21"/>
          <w:highlight w:val="none"/>
        </w:rPr>
        <w:t>送达相关内容的约定，</w:t>
      </w:r>
      <w:r>
        <w:rPr>
          <w:rFonts w:hint="eastAsia"/>
          <w:color w:val="auto"/>
          <w:szCs w:val="21"/>
          <w:highlight w:val="none"/>
        </w:rPr>
        <w:t>双方可通过所列明的电子邮箱、通信地址，采取一种或</w:t>
      </w:r>
      <w:r>
        <w:rPr>
          <w:color w:val="auto"/>
          <w:szCs w:val="21"/>
          <w:highlight w:val="none"/>
        </w:rPr>
        <w:t>多</w:t>
      </w:r>
      <w:r>
        <w:rPr>
          <w:rFonts w:hint="eastAsia"/>
          <w:color w:val="auto"/>
          <w:szCs w:val="21"/>
          <w:highlight w:val="none"/>
        </w:rPr>
        <w:t>种形式送达文件：</w:t>
      </w:r>
    </w:p>
    <w:p w14:paraId="7D5024F4">
      <w:pPr>
        <w:spacing w:line="360" w:lineRule="auto"/>
        <w:ind w:firstLine="420" w:firstLineChars="200"/>
        <w:rPr>
          <w:color w:val="auto"/>
          <w:szCs w:val="21"/>
          <w:highlight w:val="none"/>
        </w:rPr>
      </w:pPr>
      <w:r>
        <w:rPr>
          <w:color w:val="auto"/>
          <w:szCs w:val="21"/>
          <w:highlight w:val="none"/>
        </w:rPr>
        <w:t>1.专人递交的，</w:t>
      </w:r>
      <w:r>
        <w:rPr>
          <w:rFonts w:hint="eastAsia"/>
          <w:color w:val="auto"/>
          <w:szCs w:val="21"/>
          <w:highlight w:val="none"/>
        </w:rPr>
        <w:t>递送至日视为有效送达，即使收件方拒收亦视为有效送达。</w:t>
      </w:r>
    </w:p>
    <w:p w14:paraId="2E38FA0E">
      <w:pPr>
        <w:spacing w:line="360" w:lineRule="auto"/>
        <w:ind w:firstLine="420" w:firstLineChars="200"/>
        <w:rPr>
          <w:color w:val="auto"/>
          <w:szCs w:val="21"/>
          <w:highlight w:val="none"/>
        </w:rPr>
      </w:pPr>
      <w:r>
        <w:rPr>
          <w:color w:val="auto"/>
          <w:szCs w:val="21"/>
          <w:highlight w:val="none"/>
        </w:rPr>
        <w:t>2.快递递送(包括邮政EMS)的，交付</w:t>
      </w:r>
      <w:r>
        <w:rPr>
          <w:rFonts w:hint="eastAsia"/>
          <w:color w:val="auto"/>
          <w:szCs w:val="21"/>
          <w:highlight w:val="none"/>
        </w:rPr>
        <w:t>快递</w:t>
      </w:r>
      <w:r>
        <w:rPr>
          <w:color w:val="auto"/>
          <w:szCs w:val="21"/>
          <w:highlight w:val="none"/>
        </w:rPr>
        <w:t>后的第三日视为有效送达，</w:t>
      </w:r>
      <w:r>
        <w:rPr>
          <w:rFonts w:hint="eastAsia"/>
          <w:color w:val="auto"/>
          <w:szCs w:val="21"/>
          <w:highlight w:val="none"/>
        </w:rPr>
        <w:t>即使收件方拒收亦视为有效送达。</w:t>
      </w:r>
    </w:p>
    <w:p w14:paraId="7C4EFCDA">
      <w:pPr>
        <w:spacing w:line="360" w:lineRule="auto"/>
        <w:ind w:firstLine="420" w:firstLineChars="200"/>
        <w:rPr>
          <w:color w:val="auto"/>
          <w:szCs w:val="21"/>
          <w:highlight w:val="none"/>
        </w:rPr>
      </w:pPr>
      <w:r>
        <w:rPr>
          <w:color w:val="auto"/>
          <w:szCs w:val="21"/>
          <w:highlight w:val="none"/>
        </w:rPr>
        <w:t>3.发送电子邮件的，在有关通知、要求或通讯进入本合同约定的电子邮件系统时(发送方电脑系统应显示已成功送达接收方服务器)视为已送达。</w:t>
      </w:r>
    </w:p>
    <w:p w14:paraId="24872B59">
      <w:pPr>
        <w:spacing w:line="360" w:lineRule="auto"/>
        <w:ind w:firstLine="420" w:firstLineChars="200"/>
        <w:rPr>
          <w:color w:val="auto"/>
          <w:szCs w:val="21"/>
          <w:highlight w:val="none"/>
        </w:rPr>
      </w:pPr>
      <w:r>
        <w:rPr>
          <w:color w:val="auto"/>
          <w:szCs w:val="21"/>
          <w:highlight w:val="none"/>
        </w:rPr>
        <w:t>4.同一内容多次通知或以多种方式通知的，以第一次通知到达的日期为送达日。</w:t>
      </w:r>
    </w:p>
    <w:p w14:paraId="0F6D0174">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color w:val="auto"/>
          <w:szCs w:val="21"/>
          <w:highlight w:val="none"/>
        </w:rPr>
        <w:t>5.如有证据证明实际收到通知的时间早于上述时间的，以实际收到时间为准。</w:t>
      </w:r>
    </w:p>
    <w:p w14:paraId="629AA7D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1.10 知识产权</w:t>
      </w:r>
    </w:p>
    <w:p w14:paraId="182CB5B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1.10.1 由发包人（或以发包人名义）编制的《发包人要求》和其他文件的著作权归属：</w:t>
      </w:r>
      <w:r>
        <w:rPr>
          <w:rFonts w:hint="eastAsia" w:ascii="宋体" w:hAnsi="宋体" w:cs="宋体"/>
          <w:color w:val="auto"/>
          <w:kern w:val="0"/>
          <w:szCs w:val="21"/>
          <w:highlight w:val="none"/>
          <w:u w:val="single"/>
          <w:lang w:bidi="ar"/>
        </w:rPr>
        <w:t>属于发包人</w:t>
      </w:r>
      <w:r>
        <w:rPr>
          <w:rFonts w:hint="eastAsia" w:ascii="宋体" w:hAnsi="宋体" w:cs="宋体"/>
          <w:color w:val="auto"/>
          <w:kern w:val="0"/>
          <w:szCs w:val="21"/>
          <w:highlight w:val="none"/>
          <w:lang w:bidi="ar"/>
        </w:rPr>
        <w:t>。</w:t>
      </w:r>
    </w:p>
    <w:p w14:paraId="6DBA7F8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1.10.2 由承包人（或以承包人名义）为实施工程所编制的文件、承包人完成的设计工作成果和建造完成的建筑物的知识产权归属：</w:t>
      </w:r>
      <w:r>
        <w:rPr>
          <w:rFonts w:hint="eastAsia" w:ascii="宋体" w:hAnsi="宋体" w:cs="宋体"/>
          <w:color w:val="auto"/>
          <w:kern w:val="0"/>
          <w:szCs w:val="21"/>
          <w:highlight w:val="none"/>
          <w:u w:val="single"/>
          <w:lang w:bidi="ar"/>
        </w:rPr>
        <w:t xml:space="preserve">    属于发包人   </w:t>
      </w:r>
      <w:r>
        <w:rPr>
          <w:rFonts w:hint="eastAsia" w:ascii="宋体" w:hAnsi="宋体" w:cs="宋体"/>
          <w:color w:val="auto"/>
          <w:kern w:val="0"/>
          <w:szCs w:val="21"/>
          <w:highlight w:val="none"/>
          <w:lang w:bidi="ar"/>
        </w:rPr>
        <w:t>。</w:t>
      </w:r>
    </w:p>
    <w:p w14:paraId="3347BD27">
      <w:pPr>
        <w:widowControl/>
        <w:adjustRightInd w:val="0"/>
        <w:snapToGrid w:val="0"/>
        <w:spacing w:after="120" w:afterLines="50" w:line="360" w:lineRule="auto"/>
        <w:ind w:firstLine="420" w:firstLineChars="200"/>
        <w:rPr>
          <w:rFonts w:ascii="宋体" w:hAnsi="宋体" w:cs="宋体"/>
          <w:color w:val="auto"/>
          <w:kern w:val="0"/>
          <w:highlight w:val="none"/>
        </w:rPr>
      </w:pPr>
      <w:bookmarkStart w:id="1705" w:name="OLE_LINK27"/>
      <w:r>
        <w:rPr>
          <w:rFonts w:hint="eastAsia" w:ascii="宋体" w:hAnsi="宋体" w:cs="宋体"/>
          <w:color w:val="auto"/>
          <w:kern w:val="0"/>
          <w:szCs w:val="21"/>
          <w:highlight w:val="none"/>
          <w:lang w:bidi="ar"/>
        </w:rPr>
        <w:t>1.10.4 承包人在投标文件中采用的专利、专有技术、技术秘密的使用费的承担方式：</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由承包人承担，使用费已包含在签约合同价中</w:t>
      </w:r>
      <w:bookmarkEnd w:id="1705"/>
      <w:r>
        <w:rPr>
          <w:rFonts w:hint="eastAsia"/>
          <w:color w:val="auto"/>
          <w:szCs w:val="21"/>
          <w:highlight w:val="none"/>
          <w:u w:val="single"/>
          <w:lang w:eastAsia="zh-CN"/>
        </w:rPr>
        <w:t>，</w:t>
      </w:r>
      <w:r>
        <w:rPr>
          <w:rFonts w:hint="eastAsia"/>
          <w:color w:val="auto"/>
          <w:szCs w:val="21"/>
          <w:highlight w:val="none"/>
          <w:u w:val="single"/>
          <w:lang w:val="en-US" w:eastAsia="zh-CN"/>
        </w:rPr>
        <w:t>不另行结算</w:t>
      </w:r>
      <w:r>
        <w:rPr>
          <w:rFonts w:hint="eastAsia"/>
          <w:color w:val="auto"/>
          <w:szCs w:val="21"/>
          <w:highlight w:val="none"/>
        </w:rPr>
        <w:t>。</w:t>
      </w:r>
    </w:p>
    <w:p w14:paraId="45C4350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1.11 保密</w:t>
      </w:r>
    </w:p>
    <w:p w14:paraId="3DCCD46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双方订立的商业保密协议（名称）：</w:t>
      </w:r>
      <w:r>
        <w:rPr>
          <w:rFonts w:hint="eastAsia" w:ascii="宋体" w:hAnsi="宋体" w:cs="宋体"/>
          <w:color w:val="auto"/>
          <w:kern w:val="0"/>
          <w:szCs w:val="21"/>
          <w:highlight w:val="none"/>
          <w:u w:val="single"/>
          <w:lang w:bidi="ar"/>
        </w:rPr>
        <w:t xml:space="preserve">   /   </w:t>
      </w:r>
      <w:r>
        <w:rPr>
          <w:rFonts w:hint="eastAsia" w:ascii="宋体" w:hAnsi="宋体" w:cs="宋体"/>
          <w:color w:val="auto"/>
          <w:kern w:val="0"/>
          <w:szCs w:val="21"/>
          <w:highlight w:val="none"/>
          <w:lang w:bidi="ar"/>
        </w:rPr>
        <w:t>，作为本合同附件。</w:t>
      </w:r>
    </w:p>
    <w:p w14:paraId="74DDBAC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双方订立的技术保密协议（名称）：</w:t>
      </w:r>
      <w:r>
        <w:rPr>
          <w:rFonts w:hint="eastAsia" w:ascii="宋体" w:hAnsi="宋体" w:cs="宋体"/>
          <w:color w:val="auto"/>
          <w:kern w:val="0"/>
          <w:szCs w:val="21"/>
          <w:highlight w:val="none"/>
          <w:u w:val="single"/>
          <w:lang w:bidi="ar"/>
        </w:rPr>
        <w:t xml:space="preserve">   /   </w:t>
      </w:r>
      <w:r>
        <w:rPr>
          <w:rFonts w:hint="eastAsia" w:ascii="宋体" w:hAnsi="宋体" w:cs="宋体"/>
          <w:color w:val="auto"/>
          <w:kern w:val="0"/>
          <w:szCs w:val="21"/>
          <w:highlight w:val="none"/>
          <w:lang w:bidi="ar"/>
        </w:rPr>
        <w:t>，作为本合同附件。</w:t>
      </w:r>
    </w:p>
    <w:p w14:paraId="6596CF1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1.13 责任限制</w:t>
      </w:r>
    </w:p>
    <w:p w14:paraId="2634858D">
      <w:pPr>
        <w:widowControl/>
        <w:adjustRightInd w:val="0"/>
        <w:snapToGrid w:val="0"/>
        <w:spacing w:line="360" w:lineRule="auto"/>
        <w:ind w:firstLine="420"/>
        <w:rPr>
          <w:rFonts w:ascii="宋体" w:hAnsi="宋体" w:cs="宋体"/>
          <w:color w:val="auto"/>
          <w:kern w:val="0"/>
          <w:highlight w:val="none"/>
        </w:rPr>
      </w:pPr>
      <w:r>
        <w:rPr>
          <w:rFonts w:hint="eastAsia" w:ascii="宋体" w:hAnsi="宋体" w:cs="宋体"/>
          <w:color w:val="auto"/>
          <w:kern w:val="0"/>
          <w:szCs w:val="21"/>
          <w:highlight w:val="none"/>
          <w:lang w:bidi="ar"/>
        </w:rPr>
        <w:t>承包人对发包人赔偿责任的最高限额为</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签约合同价的10%。但对于因欺诈、犯罪、故意、重大过失、人身伤害等不当行为造成的损失，赔偿的责任限度不受上述最高限额的限制</w:t>
      </w:r>
      <w:r>
        <w:rPr>
          <w:rFonts w:hint="eastAsia"/>
          <w:color w:val="auto"/>
          <w:szCs w:val="21"/>
          <w:highlight w:val="none"/>
        </w:rPr>
        <w:t>。</w:t>
      </w:r>
    </w:p>
    <w:p w14:paraId="3246290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1.14 建筑信息模型技术的应用</w:t>
      </w:r>
    </w:p>
    <w:p w14:paraId="696E57B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关于建筑信息模型技术的开发、使用、存储、传输、交付及费用约定如下：</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由承包人负责</w:t>
      </w:r>
      <w:r>
        <w:rPr>
          <w:rFonts w:hint="eastAsia"/>
          <w:color w:val="auto"/>
          <w:szCs w:val="21"/>
          <w:highlight w:val="none"/>
        </w:rPr>
        <w:t>。</w:t>
      </w:r>
    </w:p>
    <w:p w14:paraId="77AB15E2">
      <w:pPr>
        <w:widowControl/>
        <w:adjustRightInd w:val="0"/>
        <w:snapToGrid w:val="0"/>
        <w:spacing w:after="120" w:afterLines="50" w:line="360" w:lineRule="auto"/>
        <w:outlineLvl w:val="1"/>
        <w:rPr>
          <w:rFonts w:ascii="宋体" w:hAnsi="宋体" w:cs="Times"/>
          <w:color w:val="auto"/>
          <w:kern w:val="0"/>
          <w:highlight w:val="none"/>
        </w:rPr>
      </w:pPr>
      <w:bookmarkStart w:id="1706" w:name="_Toc20171875"/>
      <w:bookmarkEnd w:id="1706"/>
      <w:bookmarkStart w:id="1707" w:name="_Toc179885398"/>
      <w:r>
        <w:rPr>
          <w:rFonts w:hint="eastAsia" w:ascii="宋体" w:hAnsi="宋体" w:cs="Times"/>
          <w:color w:val="auto"/>
          <w:kern w:val="0"/>
          <w:szCs w:val="21"/>
          <w:highlight w:val="none"/>
          <w:lang w:bidi="ar"/>
        </w:rPr>
        <w:t>第2条 发包人</w:t>
      </w:r>
      <w:bookmarkEnd w:id="1707"/>
    </w:p>
    <w:p w14:paraId="285C5D1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2.2 提供施工现场和工作条件</w:t>
      </w:r>
    </w:p>
    <w:p w14:paraId="2D78E7E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2.2.1 提供施工现场</w:t>
      </w:r>
    </w:p>
    <w:p w14:paraId="5A891646">
      <w:pPr>
        <w:widowControl/>
        <w:adjustRightInd w:val="0"/>
        <w:snapToGrid w:val="0"/>
        <w:spacing w:after="120" w:afterLines="50"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关于发包人提供施工现场的范围和期限，采用以下第</w:t>
      </w:r>
      <w:r>
        <w:rPr>
          <w:rFonts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u w:val="single"/>
          <w:lang w:bidi="ar"/>
        </w:rPr>
        <w:t>3</w:t>
      </w:r>
      <w:r>
        <w:rPr>
          <w:rFonts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种方式：</w:t>
      </w:r>
    </w:p>
    <w:p w14:paraId="251567DB">
      <w:pPr>
        <w:widowControl/>
        <w:adjustRightInd w:val="0"/>
        <w:snapToGrid w:val="0"/>
        <w:spacing w:after="120" w:afterLines="50"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（1）一次提供全部施工场地：发包人于开工前向承包人提供合同工程用地红线范围内的施工场地。</w:t>
      </w:r>
    </w:p>
    <w:p w14:paraId="63971FD3">
      <w:pPr>
        <w:widowControl/>
        <w:adjustRightInd w:val="0"/>
        <w:snapToGrid w:val="0"/>
        <w:spacing w:after="120" w:afterLines="50"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（2）分次提供全部施工场地：发包人按约定的时间分次向承包人提供合同工程用地红线范围内的施工场地。</w:t>
      </w:r>
    </w:p>
    <w:p w14:paraId="11068653">
      <w:pPr>
        <w:widowControl/>
        <w:adjustRightInd w:val="0"/>
        <w:snapToGrid w:val="0"/>
        <w:spacing w:after="120" w:afterLines="50" w:line="360" w:lineRule="auto"/>
        <w:ind w:firstLine="420" w:firstLineChars="200"/>
        <w:jc w:val="left"/>
        <w:rPr>
          <w:color w:val="auto"/>
          <w:highlight w:val="none"/>
          <w:lang w:bidi="ar"/>
        </w:rPr>
      </w:pPr>
      <w:r>
        <w:rPr>
          <w:rFonts w:hint="eastAsia"/>
          <w:color w:val="auto"/>
          <w:highlight w:val="none"/>
          <w:lang w:bidi="ar"/>
        </w:rPr>
        <w:t>（3）其他方式：</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发包人用地红线范围、中标通知书发放后7个日历天内</w:t>
      </w:r>
      <w:r>
        <w:rPr>
          <w:rFonts w:hint="eastAsia" w:ascii="宋体" w:hAnsi="宋体" w:cs="宋体"/>
          <w:color w:val="auto"/>
          <w:kern w:val="0"/>
          <w:szCs w:val="21"/>
          <w:highlight w:val="none"/>
          <w:lang w:bidi="ar"/>
        </w:rPr>
        <w:t>。</w:t>
      </w:r>
    </w:p>
    <w:p w14:paraId="3A1C3D9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2.2.2 提供工作条件</w:t>
      </w:r>
    </w:p>
    <w:p w14:paraId="7B5ADE20">
      <w:pPr>
        <w:widowControl/>
        <w:adjustRightInd w:val="0"/>
        <w:snapToGrid w:val="0"/>
        <w:spacing w:line="360" w:lineRule="auto"/>
        <w:ind w:firstLine="420"/>
        <w:rPr>
          <w:rFonts w:ascii="宋体" w:hAnsi="宋体" w:cs="宋体"/>
          <w:color w:val="auto"/>
          <w:kern w:val="0"/>
          <w:highlight w:val="none"/>
        </w:rPr>
      </w:pPr>
      <w:r>
        <w:rPr>
          <w:rFonts w:hint="eastAsia" w:ascii="宋体" w:hAnsi="宋体" w:cs="宋体"/>
          <w:color w:val="auto"/>
          <w:kern w:val="0"/>
          <w:szCs w:val="21"/>
          <w:highlight w:val="none"/>
          <w:lang w:bidi="ar"/>
        </w:rPr>
        <w:t>关于发包人应负责提供的工作条件包括：</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（1）将施工用水、电力等施工所必需的条件接至施工现场内；（2）保证向承包人提供正常施工所需要的进入施工现场的交通条件。</w:t>
      </w:r>
    </w:p>
    <w:p w14:paraId="7A4CA90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2.3 提供基础资料</w:t>
      </w:r>
    </w:p>
    <w:p w14:paraId="4B5181F0">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关于发包人应提供的基础资料的范围和期限：</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合同签订后7天内，向承包人提供建筑方案设计文件、地质详细勘察报告和初步设计文件各一份。其他毗邻区域内的供水、排水、供电、供气、供热、通信、广播电视等地上、地下管线和设施资料，气象和水文观测资料、相邻建筑物、构筑物和地下工程等有关基础资料</w:t>
      </w:r>
      <w:r>
        <w:rPr>
          <w:color w:val="auto"/>
          <w:szCs w:val="21"/>
          <w:highlight w:val="none"/>
          <w:u w:val="single"/>
        </w:rPr>
        <w:t>由承包人自行收集。</w:t>
      </w:r>
    </w:p>
    <w:p w14:paraId="385A82B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2.5 支付合同价款</w:t>
      </w:r>
    </w:p>
    <w:p w14:paraId="290537B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2.5.</w:t>
      </w:r>
      <w:r>
        <w:rPr>
          <w:rFonts w:ascii="宋体" w:hAnsi="宋体" w:cs="宋体"/>
          <w:color w:val="auto"/>
          <w:kern w:val="0"/>
          <w:szCs w:val="21"/>
          <w:highlight w:val="none"/>
          <w:lang w:bidi="ar"/>
        </w:rPr>
        <w:t>2</w:t>
      </w:r>
      <w:r>
        <w:rPr>
          <w:rFonts w:hint="eastAsia" w:ascii="宋体" w:hAnsi="宋体" w:cs="宋体"/>
          <w:color w:val="auto"/>
          <w:kern w:val="0"/>
          <w:szCs w:val="21"/>
          <w:highlight w:val="none"/>
          <w:lang w:bidi="ar"/>
        </w:rPr>
        <w:t xml:space="preserve"> 发包人提供资金来源证明及资金安排的期限要求：</w:t>
      </w:r>
      <w:r>
        <w:rPr>
          <w:rFonts w:hint="eastAsia"/>
          <w:color w:val="auto"/>
          <w:szCs w:val="21"/>
          <w:highlight w:val="none"/>
          <w:u w:val="single"/>
        </w:rPr>
        <w:t>不提供</w:t>
      </w:r>
      <w:r>
        <w:rPr>
          <w:rFonts w:hint="eastAsia" w:ascii="宋体" w:hAnsi="宋体" w:cs="宋体"/>
          <w:color w:val="auto"/>
          <w:kern w:val="0"/>
          <w:szCs w:val="21"/>
          <w:highlight w:val="none"/>
          <w:lang w:bidi="ar"/>
        </w:rPr>
        <w:t>。</w:t>
      </w:r>
    </w:p>
    <w:p w14:paraId="0F1663D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2.5.3 发包人提供支付担保的形式、金额（或比例）、期限：</w:t>
      </w:r>
      <w:r>
        <w:rPr>
          <w:rFonts w:hint="eastAsia"/>
          <w:color w:val="auto"/>
          <w:szCs w:val="21"/>
          <w:highlight w:val="none"/>
          <w:u w:val="single"/>
        </w:rPr>
        <w:t>不提供。</w:t>
      </w:r>
    </w:p>
    <w:p w14:paraId="58A7CB2C">
      <w:pPr>
        <w:widowControl/>
        <w:adjustRightInd w:val="0"/>
        <w:snapToGrid w:val="0"/>
        <w:spacing w:after="120" w:afterLines="50"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支付担保的形式：</w:t>
      </w:r>
      <w:r>
        <w:rPr>
          <w:rFonts w:hint="eastAsia" w:ascii="宋体" w:hAnsi="宋体" w:cs="宋体"/>
          <w:color w:val="auto"/>
          <w:kern w:val="0"/>
          <w:szCs w:val="21"/>
          <w:highlight w:val="none"/>
          <w:u w:val="single"/>
          <w:lang w:bidi="ar"/>
        </w:rPr>
        <w:t xml:space="preserve"> /   </w:t>
      </w:r>
      <w:r>
        <w:rPr>
          <w:rFonts w:hint="eastAsia" w:ascii="宋体" w:hAnsi="宋体" w:cs="宋体"/>
          <w:color w:val="auto"/>
          <w:kern w:val="0"/>
          <w:szCs w:val="21"/>
          <w:highlight w:val="none"/>
          <w:lang w:bidi="ar"/>
        </w:rPr>
        <w:t>。</w:t>
      </w:r>
    </w:p>
    <w:p w14:paraId="2BB2DB1C">
      <w:pPr>
        <w:widowControl/>
        <w:adjustRightInd w:val="0"/>
        <w:snapToGrid w:val="0"/>
        <w:spacing w:after="120" w:afterLines="50"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支付担保的金额（或比例）：</w:t>
      </w:r>
      <w:r>
        <w:rPr>
          <w:rFonts w:hint="eastAsia" w:ascii="宋体" w:hAnsi="宋体" w:cs="宋体"/>
          <w:color w:val="auto"/>
          <w:kern w:val="0"/>
          <w:szCs w:val="21"/>
          <w:highlight w:val="none"/>
          <w:u w:val="single"/>
          <w:lang w:bidi="ar"/>
        </w:rPr>
        <w:t xml:space="preserve"> / </w:t>
      </w:r>
      <w:r>
        <w:rPr>
          <w:rFonts w:hint="eastAsia" w:ascii="宋体" w:hAnsi="宋体" w:cs="宋体"/>
          <w:color w:val="auto"/>
          <w:kern w:val="0"/>
          <w:szCs w:val="21"/>
          <w:highlight w:val="none"/>
          <w:lang w:bidi="ar"/>
        </w:rPr>
        <w:t>。</w:t>
      </w:r>
    </w:p>
    <w:p w14:paraId="7B181A0F">
      <w:pPr>
        <w:widowControl/>
        <w:adjustRightInd w:val="0"/>
        <w:snapToGrid w:val="0"/>
        <w:spacing w:after="120" w:afterLines="50"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支付担保的提供时间：</w:t>
      </w:r>
      <w:r>
        <w:rPr>
          <w:rFonts w:hint="eastAsia" w:ascii="宋体" w:hAnsi="宋体" w:cs="宋体"/>
          <w:color w:val="auto"/>
          <w:kern w:val="0"/>
          <w:szCs w:val="21"/>
          <w:highlight w:val="none"/>
          <w:u w:val="single"/>
          <w:lang w:bidi="ar"/>
        </w:rPr>
        <w:t xml:space="preserve"> / </w:t>
      </w:r>
      <w:r>
        <w:rPr>
          <w:rFonts w:hint="eastAsia" w:ascii="宋体" w:hAnsi="宋体" w:cs="宋体"/>
          <w:color w:val="auto"/>
          <w:kern w:val="0"/>
          <w:szCs w:val="21"/>
          <w:highlight w:val="none"/>
          <w:lang w:bidi="ar"/>
        </w:rPr>
        <w:t>。</w:t>
      </w:r>
    </w:p>
    <w:p w14:paraId="7CA76C45">
      <w:pPr>
        <w:widowControl/>
        <w:adjustRightInd w:val="0"/>
        <w:snapToGrid w:val="0"/>
        <w:spacing w:after="120" w:afterLines="50"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支付担保的担保期限：</w:t>
      </w:r>
      <w:r>
        <w:rPr>
          <w:rFonts w:hint="eastAsia" w:ascii="宋体" w:hAnsi="宋体" w:cs="宋体"/>
          <w:color w:val="auto"/>
          <w:kern w:val="0"/>
          <w:szCs w:val="21"/>
          <w:highlight w:val="none"/>
          <w:u w:val="single"/>
          <w:lang w:bidi="ar"/>
        </w:rPr>
        <w:t xml:space="preserve">  /  </w:t>
      </w:r>
      <w:r>
        <w:rPr>
          <w:rFonts w:hint="eastAsia" w:ascii="宋体" w:hAnsi="宋体" w:cs="宋体"/>
          <w:color w:val="auto"/>
          <w:kern w:val="0"/>
          <w:szCs w:val="21"/>
          <w:highlight w:val="none"/>
          <w:lang w:bidi="ar"/>
        </w:rPr>
        <w:t>。</w:t>
      </w:r>
    </w:p>
    <w:p w14:paraId="6F06E8D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支付担保的退还时间：</w:t>
      </w:r>
      <w:r>
        <w:rPr>
          <w:rFonts w:hint="eastAsia" w:ascii="宋体" w:hAnsi="宋体" w:cs="宋体"/>
          <w:color w:val="auto"/>
          <w:kern w:val="0"/>
          <w:szCs w:val="21"/>
          <w:highlight w:val="none"/>
          <w:u w:val="single"/>
          <w:lang w:bidi="ar"/>
        </w:rPr>
        <w:t xml:space="preserve"> / </w:t>
      </w:r>
      <w:r>
        <w:rPr>
          <w:rFonts w:hint="eastAsia" w:ascii="宋体" w:hAnsi="宋体" w:cs="宋体"/>
          <w:color w:val="auto"/>
          <w:kern w:val="0"/>
          <w:szCs w:val="21"/>
          <w:highlight w:val="none"/>
          <w:lang w:bidi="ar"/>
        </w:rPr>
        <w:t>。</w:t>
      </w:r>
    </w:p>
    <w:p w14:paraId="2FD9D04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2.7 其他义务</w:t>
      </w:r>
    </w:p>
    <w:p w14:paraId="4BEFF058">
      <w:pPr>
        <w:adjustRightInd w:val="0"/>
        <w:snapToGrid w:val="0"/>
        <w:spacing w:line="360" w:lineRule="auto"/>
        <w:ind w:firstLine="420"/>
        <w:rPr>
          <w:color w:val="auto"/>
          <w:szCs w:val="21"/>
          <w:highlight w:val="none"/>
          <w:u w:val="single"/>
        </w:rPr>
      </w:pPr>
      <w:r>
        <w:rPr>
          <w:rFonts w:hint="eastAsia" w:ascii="宋体" w:hAnsi="宋体" w:cs="宋体"/>
          <w:color w:val="auto"/>
          <w:kern w:val="0"/>
          <w:szCs w:val="21"/>
          <w:highlight w:val="none"/>
          <w:lang w:bidi="ar"/>
        </w:rPr>
        <w:t>发包人应履行的其他义务：</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（1）在中标通知书发放后的7日内，将发包人委托的专业管理团队（包括但不限于项目管理、施工监理、造价咨询等）的工作内容、联系人姓名及所授予权限，书面通知承包人；</w:t>
      </w:r>
    </w:p>
    <w:p w14:paraId="6A20B7E9">
      <w:pPr>
        <w:adjustRightInd w:val="0"/>
        <w:snapToGrid w:val="0"/>
        <w:spacing w:line="360" w:lineRule="auto"/>
        <w:ind w:firstLine="420"/>
        <w:rPr>
          <w:color w:val="auto"/>
          <w:szCs w:val="21"/>
          <w:highlight w:val="none"/>
          <w:u w:val="single"/>
        </w:rPr>
      </w:pPr>
      <w:r>
        <w:rPr>
          <w:rFonts w:hint="eastAsia"/>
          <w:color w:val="auto"/>
          <w:szCs w:val="21"/>
          <w:highlight w:val="none"/>
          <w:u w:val="single"/>
        </w:rPr>
        <w:t>（2）发包人委托专业管理团队负责对工程设计、施工过程的有关控制性内容、安全措施等实行管理、协调和监督；有权审查和确认各阶段的设计成果、预算成果；有权审查和确认重大技术方案、施工方案；</w:t>
      </w:r>
    </w:p>
    <w:p w14:paraId="71BA9EEE">
      <w:pPr>
        <w:widowControl/>
        <w:adjustRightInd w:val="0"/>
        <w:snapToGrid w:val="0"/>
        <w:spacing w:line="360" w:lineRule="auto"/>
        <w:ind w:firstLine="420"/>
        <w:rPr>
          <w:rFonts w:ascii="宋体" w:hAnsi="宋体" w:cs="宋体"/>
          <w:color w:val="auto"/>
          <w:kern w:val="0"/>
          <w:highlight w:val="none"/>
        </w:rPr>
      </w:pPr>
      <w:r>
        <w:rPr>
          <w:rFonts w:hint="eastAsia"/>
          <w:color w:val="auto"/>
          <w:szCs w:val="21"/>
          <w:highlight w:val="none"/>
          <w:u w:val="single"/>
        </w:rPr>
        <w:t>（3）负责委托项目管理及施工监理单位对本工程总体质量、总体进度、施工现场文明安全的总体监管</w:t>
      </w:r>
      <w:r>
        <w:rPr>
          <w:rFonts w:hint="eastAsia"/>
          <w:color w:val="auto"/>
          <w:szCs w:val="21"/>
          <w:highlight w:val="none"/>
        </w:rPr>
        <w:t>。</w:t>
      </w:r>
    </w:p>
    <w:p w14:paraId="60A74E38">
      <w:pPr>
        <w:widowControl/>
        <w:adjustRightInd w:val="0"/>
        <w:snapToGrid w:val="0"/>
        <w:spacing w:after="120" w:afterLines="50" w:line="360" w:lineRule="auto"/>
        <w:outlineLvl w:val="1"/>
        <w:rPr>
          <w:rFonts w:ascii="宋体" w:hAnsi="宋体" w:cs="Times"/>
          <w:color w:val="auto"/>
          <w:kern w:val="0"/>
          <w:highlight w:val="none"/>
        </w:rPr>
      </w:pPr>
      <w:bookmarkStart w:id="1708" w:name="_Toc20171876"/>
      <w:bookmarkEnd w:id="1708"/>
      <w:bookmarkStart w:id="1709" w:name="_Toc179885399"/>
      <w:r>
        <w:rPr>
          <w:rFonts w:hint="eastAsia" w:ascii="宋体" w:hAnsi="宋体" w:cs="Times"/>
          <w:color w:val="auto"/>
          <w:kern w:val="0"/>
          <w:szCs w:val="21"/>
          <w:highlight w:val="none"/>
          <w:lang w:bidi="ar"/>
        </w:rPr>
        <w:t>第3条 发包人的管理</w:t>
      </w:r>
      <w:bookmarkEnd w:id="1709"/>
    </w:p>
    <w:p w14:paraId="5DE6D2B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3.1 发包人代表</w:t>
      </w:r>
    </w:p>
    <w:p w14:paraId="4D149FF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发包人代表的姓名：</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w:t>
      </w:r>
    </w:p>
    <w:p w14:paraId="613CCB3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发包人对发包人代表的授权范围如下：</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代表发包人履行相应职责，负责工程设计、施工过程中的协调工作，监督工程进度、质量、安全文明施工及投资等。与工程相关的文件、资料须由发包人代表签字确认以及发包人盖章后方可生效</w:t>
      </w:r>
      <w:r>
        <w:rPr>
          <w:rFonts w:hint="eastAsia"/>
          <w:color w:val="auto"/>
          <w:szCs w:val="21"/>
          <w:highlight w:val="none"/>
        </w:rPr>
        <w:t>；</w:t>
      </w:r>
    </w:p>
    <w:p w14:paraId="7A83C538">
      <w:pPr>
        <w:widowControl/>
        <w:adjustRightInd w:val="0"/>
        <w:snapToGrid w:val="0"/>
        <w:spacing w:line="360" w:lineRule="auto"/>
        <w:ind w:firstLine="420"/>
        <w:rPr>
          <w:rFonts w:ascii="宋体" w:hAnsi="宋体" w:cs="宋体"/>
          <w:color w:val="auto"/>
          <w:kern w:val="0"/>
          <w:highlight w:val="none"/>
        </w:rPr>
      </w:pPr>
      <w:r>
        <w:rPr>
          <w:rFonts w:hint="eastAsia" w:ascii="宋体" w:hAnsi="宋体" w:cs="宋体"/>
          <w:color w:val="auto"/>
          <w:kern w:val="0"/>
          <w:szCs w:val="21"/>
          <w:highlight w:val="none"/>
          <w:lang w:bidi="ar"/>
        </w:rPr>
        <w:t>发包人代表的职责：</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在授权范围内，负责处理合同履行过程中与发包人有关的具体事宜</w:t>
      </w:r>
      <w:r>
        <w:rPr>
          <w:rFonts w:hint="eastAsia"/>
          <w:color w:val="auto"/>
          <w:szCs w:val="21"/>
          <w:highlight w:val="none"/>
        </w:rPr>
        <w:t>。</w:t>
      </w:r>
    </w:p>
    <w:p w14:paraId="26CC3FC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3.2 发包人人员</w:t>
      </w:r>
    </w:p>
    <w:p w14:paraId="1F1FA93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发包人人员姓名：</w:t>
      </w:r>
      <w:r>
        <w:rPr>
          <w:rFonts w:hint="eastAsia" w:ascii="宋体" w:hAnsi="宋体" w:cs="宋体"/>
          <w:color w:val="auto"/>
          <w:kern w:val="0"/>
          <w:szCs w:val="21"/>
          <w:highlight w:val="none"/>
          <w:u w:val="single"/>
          <w:lang w:bidi="ar"/>
        </w:rPr>
        <w:t xml:space="preserve">   /                                </w:t>
      </w:r>
      <w:r>
        <w:rPr>
          <w:rFonts w:hint="eastAsia" w:ascii="宋体" w:hAnsi="宋体" w:cs="宋体"/>
          <w:color w:val="auto"/>
          <w:kern w:val="0"/>
          <w:szCs w:val="21"/>
          <w:highlight w:val="none"/>
          <w:lang w:bidi="ar"/>
        </w:rPr>
        <w:t>；</w:t>
      </w:r>
    </w:p>
    <w:p w14:paraId="777D9B6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发包人人员职务：</w:t>
      </w:r>
      <w:r>
        <w:rPr>
          <w:rFonts w:hint="eastAsia" w:ascii="宋体" w:hAnsi="宋体" w:cs="宋体"/>
          <w:color w:val="auto"/>
          <w:kern w:val="0"/>
          <w:szCs w:val="21"/>
          <w:highlight w:val="none"/>
          <w:u w:val="single"/>
          <w:lang w:bidi="ar"/>
        </w:rPr>
        <w:t xml:space="preserve">   /                               </w:t>
      </w:r>
      <w:r>
        <w:rPr>
          <w:rFonts w:hint="eastAsia" w:ascii="宋体" w:hAnsi="宋体" w:cs="宋体"/>
          <w:color w:val="auto"/>
          <w:kern w:val="0"/>
          <w:szCs w:val="21"/>
          <w:highlight w:val="none"/>
          <w:lang w:bidi="ar"/>
        </w:rPr>
        <w:t>；</w:t>
      </w:r>
    </w:p>
    <w:p w14:paraId="546C8EA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发包人人员职责：</w:t>
      </w:r>
      <w:r>
        <w:rPr>
          <w:rFonts w:hint="eastAsia" w:ascii="宋体" w:hAnsi="宋体" w:cs="宋体"/>
          <w:color w:val="auto"/>
          <w:kern w:val="0"/>
          <w:szCs w:val="21"/>
          <w:highlight w:val="none"/>
          <w:u w:val="single"/>
          <w:lang w:bidi="ar"/>
        </w:rPr>
        <w:t xml:space="preserve">   /                               </w:t>
      </w:r>
      <w:r>
        <w:rPr>
          <w:rFonts w:hint="eastAsia" w:ascii="宋体" w:hAnsi="宋体" w:cs="宋体"/>
          <w:color w:val="auto"/>
          <w:kern w:val="0"/>
          <w:szCs w:val="21"/>
          <w:highlight w:val="none"/>
          <w:lang w:bidi="ar"/>
        </w:rPr>
        <w:t>。</w:t>
      </w:r>
    </w:p>
    <w:p w14:paraId="0637C9C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3.3 工程师</w:t>
      </w:r>
    </w:p>
    <w:p w14:paraId="19CD1632">
      <w:pPr>
        <w:adjustRightInd w:val="0"/>
        <w:snapToGrid w:val="0"/>
        <w:spacing w:line="360" w:lineRule="auto"/>
        <w:ind w:firstLine="420"/>
        <w:rPr>
          <w:rFonts w:ascii="宋体" w:hAnsi="宋体" w:cs="宋体"/>
          <w:color w:val="auto"/>
          <w:kern w:val="0"/>
          <w:szCs w:val="21"/>
          <w:highlight w:val="none"/>
          <w:u w:val="single"/>
          <w:lang w:bidi="ar"/>
        </w:rPr>
      </w:pPr>
      <w:r>
        <w:rPr>
          <w:rFonts w:hint="eastAsia" w:ascii="宋体" w:hAnsi="宋体" w:cs="宋体"/>
          <w:color w:val="auto"/>
          <w:kern w:val="0"/>
          <w:szCs w:val="21"/>
          <w:highlight w:val="none"/>
          <w:lang w:bidi="ar"/>
        </w:rPr>
        <w:t>3</w:t>
      </w:r>
      <w:r>
        <w:rPr>
          <w:rFonts w:ascii="宋体" w:hAnsi="宋体" w:cs="宋体"/>
          <w:color w:val="auto"/>
          <w:kern w:val="0"/>
          <w:szCs w:val="21"/>
          <w:highlight w:val="none"/>
          <w:lang w:bidi="ar"/>
        </w:rPr>
        <w:t>.3.1</w:t>
      </w:r>
      <w:r>
        <w:rPr>
          <w:rFonts w:hint="eastAsia" w:ascii="宋体" w:hAnsi="宋体" w:cs="宋体"/>
          <w:color w:val="auto"/>
          <w:kern w:val="0"/>
          <w:szCs w:val="21"/>
          <w:highlight w:val="none"/>
          <w:lang w:bidi="ar"/>
        </w:rPr>
        <w:t>工程师（监理人）名称</w:t>
      </w:r>
      <w:r>
        <w:rPr>
          <w:rFonts w:ascii="宋体" w:hAnsi="宋体" w:cs="宋体"/>
          <w:color w:val="auto"/>
          <w:kern w:val="0"/>
          <w:szCs w:val="21"/>
          <w:highlight w:val="none"/>
          <w:lang w:bidi="ar"/>
        </w:rPr>
        <w:t>：</w:t>
      </w:r>
      <w:r>
        <w:rPr>
          <w:rFonts w:ascii="宋体" w:hAnsi="宋体" w:cs="宋体"/>
          <w:color w:val="auto"/>
          <w:kern w:val="0"/>
          <w:szCs w:val="21"/>
          <w:highlight w:val="none"/>
          <w:u w:val="single"/>
          <w:lang w:bidi="ar"/>
        </w:rPr>
        <w:t xml:space="preserve">                          </w:t>
      </w:r>
      <w:r>
        <w:rPr>
          <w:rFonts w:ascii="宋体" w:hAnsi="宋体" w:cs="宋体"/>
          <w:color w:val="auto"/>
          <w:kern w:val="0"/>
          <w:szCs w:val="21"/>
          <w:highlight w:val="none"/>
          <w:lang w:bidi="ar"/>
        </w:rPr>
        <w:t>；</w:t>
      </w:r>
      <w:r>
        <w:rPr>
          <w:rFonts w:hint="eastAsia" w:ascii="宋体" w:hAnsi="宋体" w:cs="宋体"/>
          <w:color w:val="auto"/>
          <w:kern w:val="0"/>
          <w:szCs w:val="21"/>
          <w:highlight w:val="none"/>
          <w:lang w:bidi="ar"/>
        </w:rPr>
        <w:t>工程师（监理人）监督管理</w:t>
      </w:r>
      <w:r>
        <w:rPr>
          <w:rFonts w:ascii="宋体" w:hAnsi="宋体" w:cs="宋体"/>
          <w:color w:val="auto"/>
          <w:kern w:val="0"/>
          <w:szCs w:val="21"/>
          <w:highlight w:val="none"/>
          <w:lang w:bidi="ar"/>
        </w:rPr>
        <w:t>范围</w:t>
      </w:r>
      <w:r>
        <w:rPr>
          <w:rFonts w:hint="eastAsia" w:ascii="宋体" w:hAnsi="宋体" w:cs="宋体"/>
          <w:color w:val="auto"/>
          <w:kern w:val="0"/>
          <w:szCs w:val="21"/>
          <w:highlight w:val="none"/>
          <w:lang w:bidi="ar"/>
        </w:rPr>
        <w:t>、内容</w:t>
      </w:r>
      <w:r>
        <w:rPr>
          <w:rFonts w:ascii="宋体" w:hAnsi="宋体" w:cs="宋体"/>
          <w:color w:val="auto"/>
          <w:kern w:val="0"/>
          <w:szCs w:val="21"/>
          <w:highlight w:val="none"/>
          <w:lang w:bidi="ar"/>
        </w:rPr>
        <w:t>：</w:t>
      </w:r>
    </w:p>
    <w:p w14:paraId="3D80884B">
      <w:pPr>
        <w:adjustRightInd w:val="0"/>
        <w:snapToGrid w:val="0"/>
        <w:spacing w:line="360" w:lineRule="auto"/>
        <w:ind w:firstLine="420"/>
        <w:rPr>
          <w:color w:val="auto"/>
          <w:szCs w:val="21"/>
          <w:highlight w:val="none"/>
          <w:u w:val="single"/>
        </w:rPr>
      </w:pPr>
      <w:r>
        <w:rPr>
          <w:rFonts w:hint="eastAsia"/>
          <w:color w:val="auto"/>
          <w:szCs w:val="21"/>
          <w:highlight w:val="none"/>
          <w:u w:val="single"/>
        </w:rPr>
        <w:t>（1）收到工程设计文件后编制监理规划，并在第一次工地会议7天前报发包人。根据有关规定和监理工作需要，编制监理实施细则；</w:t>
      </w:r>
    </w:p>
    <w:p w14:paraId="5DC20033">
      <w:pPr>
        <w:adjustRightInd w:val="0"/>
        <w:snapToGrid w:val="0"/>
        <w:spacing w:line="360" w:lineRule="auto"/>
        <w:ind w:firstLine="420"/>
        <w:rPr>
          <w:color w:val="auto"/>
          <w:szCs w:val="21"/>
          <w:highlight w:val="none"/>
          <w:u w:val="single"/>
        </w:rPr>
      </w:pPr>
      <w:r>
        <w:rPr>
          <w:rFonts w:hint="eastAsia"/>
          <w:color w:val="auto"/>
          <w:szCs w:val="21"/>
          <w:highlight w:val="none"/>
          <w:u w:val="single"/>
        </w:rPr>
        <w:t>（2）熟悉工程设计文件，并参加图纸会审和设计交底会议；</w:t>
      </w:r>
    </w:p>
    <w:p w14:paraId="778AF89A">
      <w:pPr>
        <w:adjustRightInd w:val="0"/>
        <w:snapToGrid w:val="0"/>
        <w:spacing w:line="360" w:lineRule="auto"/>
        <w:ind w:firstLine="420"/>
        <w:rPr>
          <w:color w:val="auto"/>
          <w:szCs w:val="21"/>
          <w:highlight w:val="none"/>
          <w:u w:val="single"/>
        </w:rPr>
      </w:pPr>
      <w:r>
        <w:rPr>
          <w:rFonts w:hint="eastAsia"/>
          <w:color w:val="auto"/>
          <w:szCs w:val="21"/>
          <w:highlight w:val="none"/>
          <w:u w:val="single"/>
        </w:rPr>
        <w:t>（3）参加第一次工地会议；主持监理例会并根据工程需要主持或参加专题会议；</w:t>
      </w:r>
    </w:p>
    <w:p w14:paraId="2A0B13CE">
      <w:pPr>
        <w:adjustRightInd w:val="0"/>
        <w:snapToGrid w:val="0"/>
        <w:spacing w:line="360" w:lineRule="auto"/>
        <w:ind w:firstLine="420"/>
        <w:rPr>
          <w:color w:val="auto"/>
          <w:szCs w:val="21"/>
          <w:highlight w:val="none"/>
          <w:u w:val="single"/>
        </w:rPr>
      </w:pPr>
      <w:r>
        <w:rPr>
          <w:rFonts w:hint="eastAsia"/>
          <w:color w:val="auto"/>
          <w:szCs w:val="21"/>
          <w:highlight w:val="none"/>
          <w:u w:val="single"/>
        </w:rPr>
        <w:t>（4）审查施工承包人提交的施工组织设计，重点审查其中的质量安全技术措施、施工扬尘污染防治措施、危险性较大分部分项专项工程施工方案、用工实名管理等专项施工方案是否符合《建设工程质量管理条例》、《建设工程安全生产管理条例》及省相关工程建设强制性标准；</w:t>
      </w:r>
    </w:p>
    <w:p w14:paraId="13307A6B">
      <w:pPr>
        <w:adjustRightInd w:val="0"/>
        <w:snapToGrid w:val="0"/>
        <w:spacing w:line="360" w:lineRule="auto"/>
        <w:ind w:firstLine="420"/>
        <w:rPr>
          <w:color w:val="auto"/>
          <w:szCs w:val="21"/>
          <w:highlight w:val="none"/>
          <w:u w:val="single"/>
        </w:rPr>
      </w:pPr>
      <w:r>
        <w:rPr>
          <w:rFonts w:hint="eastAsia"/>
          <w:color w:val="auto"/>
          <w:szCs w:val="21"/>
          <w:highlight w:val="none"/>
          <w:u w:val="single"/>
        </w:rPr>
        <w:t>（5）按国家、省、市住房城乡建设主管部门发布的有关用工实名制、工人工资支付分账管理办法及规定等文件要求，施工承包人需将从业人员基本信息、作业工人考勤与工资支付信息和施工进度情况等信息登记建档、建立动态管理台账，并将以上信息报送行政监管部门接受监督管理，工程师需对这些情况进行监督管理。对施工单位未按规定落实实名管理工作的，发出监理通知单，要求其限期整改。对施工企业逾期未整改的，向建设单位和负责该工程监管工作的住房城乡建设主管部门报告；</w:t>
      </w:r>
    </w:p>
    <w:p w14:paraId="12F47F4A">
      <w:pPr>
        <w:adjustRightInd w:val="0"/>
        <w:snapToGrid w:val="0"/>
        <w:spacing w:line="360" w:lineRule="auto"/>
        <w:ind w:firstLine="420"/>
        <w:rPr>
          <w:color w:val="auto"/>
          <w:szCs w:val="21"/>
          <w:highlight w:val="none"/>
          <w:u w:val="single"/>
        </w:rPr>
      </w:pPr>
      <w:r>
        <w:rPr>
          <w:rFonts w:hint="eastAsia"/>
          <w:color w:val="auto"/>
          <w:szCs w:val="21"/>
          <w:highlight w:val="none"/>
          <w:u w:val="single"/>
        </w:rPr>
        <w:t>（6）检查施工承包人工程质量、安全生产管理制度及组织机构和人员资格；</w:t>
      </w:r>
    </w:p>
    <w:p w14:paraId="0BCF1BB1">
      <w:pPr>
        <w:adjustRightInd w:val="0"/>
        <w:snapToGrid w:val="0"/>
        <w:spacing w:line="360" w:lineRule="auto"/>
        <w:ind w:firstLine="420"/>
        <w:rPr>
          <w:color w:val="auto"/>
          <w:szCs w:val="21"/>
          <w:highlight w:val="none"/>
          <w:u w:val="single"/>
        </w:rPr>
      </w:pPr>
      <w:r>
        <w:rPr>
          <w:rFonts w:hint="eastAsia"/>
          <w:color w:val="auto"/>
          <w:szCs w:val="21"/>
          <w:highlight w:val="none"/>
          <w:u w:val="single"/>
        </w:rPr>
        <w:t>（7）检查施工承包人专职安全生产管理人员的配备情况；</w:t>
      </w:r>
    </w:p>
    <w:p w14:paraId="5C8FC5BC">
      <w:pPr>
        <w:adjustRightInd w:val="0"/>
        <w:snapToGrid w:val="0"/>
        <w:spacing w:line="360" w:lineRule="auto"/>
        <w:ind w:firstLine="420"/>
        <w:rPr>
          <w:color w:val="auto"/>
          <w:szCs w:val="21"/>
          <w:highlight w:val="none"/>
          <w:u w:val="single"/>
        </w:rPr>
      </w:pPr>
      <w:r>
        <w:rPr>
          <w:rFonts w:hint="eastAsia"/>
          <w:color w:val="auto"/>
          <w:szCs w:val="21"/>
          <w:highlight w:val="none"/>
          <w:u w:val="single"/>
        </w:rPr>
        <w:t>（8）审查施工承包人提交的施工进度计划，核查承包人对施工进度计划的调整；</w:t>
      </w:r>
    </w:p>
    <w:p w14:paraId="08204D93">
      <w:pPr>
        <w:adjustRightInd w:val="0"/>
        <w:snapToGrid w:val="0"/>
        <w:spacing w:line="360" w:lineRule="auto"/>
        <w:ind w:firstLine="420"/>
        <w:rPr>
          <w:color w:val="auto"/>
          <w:szCs w:val="21"/>
          <w:highlight w:val="none"/>
          <w:u w:val="single"/>
        </w:rPr>
      </w:pPr>
      <w:r>
        <w:rPr>
          <w:rFonts w:hint="eastAsia"/>
          <w:color w:val="auto"/>
          <w:szCs w:val="21"/>
          <w:highlight w:val="none"/>
          <w:u w:val="single"/>
        </w:rPr>
        <w:t>（9）检查施工承包人的试验室；</w:t>
      </w:r>
    </w:p>
    <w:p w14:paraId="320A8806">
      <w:pPr>
        <w:adjustRightInd w:val="0"/>
        <w:snapToGrid w:val="0"/>
        <w:spacing w:line="360" w:lineRule="auto"/>
        <w:ind w:firstLine="420"/>
        <w:rPr>
          <w:color w:val="auto"/>
          <w:szCs w:val="21"/>
          <w:highlight w:val="none"/>
          <w:u w:val="single"/>
        </w:rPr>
      </w:pPr>
      <w:r>
        <w:rPr>
          <w:rFonts w:hint="eastAsia"/>
          <w:color w:val="auto"/>
          <w:szCs w:val="21"/>
          <w:highlight w:val="none"/>
          <w:u w:val="single"/>
        </w:rPr>
        <w:t xml:space="preserve">（10）审核施工分包人资质条件；  </w:t>
      </w:r>
    </w:p>
    <w:p w14:paraId="5D8C5491">
      <w:pPr>
        <w:adjustRightInd w:val="0"/>
        <w:snapToGrid w:val="0"/>
        <w:spacing w:line="360" w:lineRule="auto"/>
        <w:ind w:firstLine="420"/>
        <w:rPr>
          <w:color w:val="auto"/>
          <w:szCs w:val="21"/>
          <w:highlight w:val="none"/>
          <w:u w:val="single"/>
        </w:rPr>
      </w:pPr>
      <w:r>
        <w:rPr>
          <w:rFonts w:hint="eastAsia"/>
          <w:color w:val="auto"/>
          <w:szCs w:val="21"/>
          <w:highlight w:val="none"/>
          <w:u w:val="single"/>
        </w:rPr>
        <w:t>（11）查验施工承包人的施工测量放线成果；</w:t>
      </w:r>
    </w:p>
    <w:p w14:paraId="3057044C">
      <w:pPr>
        <w:adjustRightInd w:val="0"/>
        <w:snapToGrid w:val="0"/>
        <w:spacing w:line="360" w:lineRule="auto"/>
        <w:ind w:firstLine="420"/>
        <w:rPr>
          <w:color w:val="auto"/>
          <w:szCs w:val="21"/>
          <w:highlight w:val="none"/>
          <w:u w:val="single"/>
        </w:rPr>
      </w:pPr>
      <w:r>
        <w:rPr>
          <w:rFonts w:hint="eastAsia"/>
          <w:color w:val="auto"/>
          <w:szCs w:val="21"/>
          <w:highlight w:val="none"/>
          <w:u w:val="single"/>
        </w:rPr>
        <w:t>（12）审查工程开工条件，对条件具备的签发开工令；</w:t>
      </w:r>
    </w:p>
    <w:p w14:paraId="2E83B4FE">
      <w:pPr>
        <w:adjustRightInd w:val="0"/>
        <w:snapToGrid w:val="0"/>
        <w:spacing w:line="360" w:lineRule="auto"/>
        <w:ind w:firstLine="420"/>
        <w:rPr>
          <w:color w:val="auto"/>
          <w:szCs w:val="21"/>
          <w:highlight w:val="none"/>
          <w:u w:val="single"/>
        </w:rPr>
      </w:pPr>
      <w:r>
        <w:rPr>
          <w:rFonts w:hint="eastAsia"/>
          <w:color w:val="auto"/>
          <w:szCs w:val="21"/>
          <w:highlight w:val="none"/>
          <w:u w:val="single"/>
        </w:rPr>
        <w:t>（13）审查施工承包人报送的工程材料、构配件、设备质量证明文件的有效性和符合性，并按规定对用于工程的材料采取平行检验或见证取样方式进行抽检；</w:t>
      </w:r>
    </w:p>
    <w:p w14:paraId="1A7240C4">
      <w:pPr>
        <w:adjustRightInd w:val="0"/>
        <w:snapToGrid w:val="0"/>
        <w:spacing w:line="360" w:lineRule="auto"/>
        <w:ind w:firstLine="420"/>
        <w:rPr>
          <w:color w:val="auto"/>
          <w:szCs w:val="21"/>
          <w:highlight w:val="none"/>
          <w:u w:val="single"/>
        </w:rPr>
      </w:pPr>
      <w:r>
        <w:rPr>
          <w:rFonts w:hint="eastAsia"/>
          <w:color w:val="auto"/>
          <w:szCs w:val="21"/>
          <w:highlight w:val="none"/>
          <w:u w:val="single"/>
        </w:rPr>
        <w:t>（14）</w:t>
      </w:r>
      <w:bookmarkStart w:id="1710" w:name="OLE_LINK28"/>
      <w:r>
        <w:rPr>
          <w:rFonts w:hint="eastAsia"/>
          <w:color w:val="auto"/>
          <w:szCs w:val="21"/>
          <w:highlight w:val="none"/>
          <w:u w:val="single"/>
        </w:rPr>
        <w:t>审核施工承包人提交的工程款支付申请，签发或出具工程款支付证书，并报</w:t>
      </w:r>
      <w:r>
        <w:rPr>
          <w:rFonts w:hint="eastAsia"/>
          <w:color w:val="auto"/>
          <w:szCs w:val="21"/>
          <w:highlight w:val="none"/>
          <w:u w:val="single"/>
          <w:lang w:val="en-US" w:eastAsia="zh-CN"/>
        </w:rPr>
        <w:t>发包人</w:t>
      </w:r>
      <w:r>
        <w:rPr>
          <w:rFonts w:hint="eastAsia"/>
          <w:color w:val="auto"/>
          <w:szCs w:val="21"/>
          <w:highlight w:val="none"/>
          <w:u w:val="single"/>
        </w:rPr>
        <w:t>审核、批准</w:t>
      </w:r>
      <w:bookmarkEnd w:id="1710"/>
      <w:r>
        <w:rPr>
          <w:rFonts w:hint="eastAsia"/>
          <w:color w:val="auto"/>
          <w:szCs w:val="21"/>
          <w:highlight w:val="none"/>
          <w:u w:val="single"/>
        </w:rPr>
        <w:t>；</w:t>
      </w:r>
    </w:p>
    <w:p w14:paraId="1BD2DE38">
      <w:pPr>
        <w:adjustRightInd w:val="0"/>
        <w:snapToGrid w:val="0"/>
        <w:spacing w:line="360" w:lineRule="auto"/>
        <w:ind w:firstLine="420"/>
        <w:rPr>
          <w:color w:val="auto"/>
          <w:szCs w:val="21"/>
          <w:highlight w:val="none"/>
          <w:u w:val="single"/>
        </w:rPr>
      </w:pPr>
      <w:r>
        <w:rPr>
          <w:rFonts w:hint="eastAsia"/>
          <w:color w:val="auto"/>
          <w:szCs w:val="21"/>
          <w:highlight w:val="none"/>
          <w:u w:val="single"/>
        </w:rPr>
        <w:t>（15）在巡视、旁站和检验过程中，发现工程质量、施工安全存在事故隐患的，要求施工承包人整改并报发包人 ；</w:t>
      </w:r>
    </w:p>
    <w:p w14:paraId="0A6EB78B">
      <w:pPr>
        <w:adjustRightInd w:val="0"/>
        <w:snapToGrid w:val="0"/>
        <w:spacing w:line="360" w:lineRule="auto"/>
        <w:ind w:firstLine="420"/>
        <w:rPr>
          <w:color w:val="auto"/>
          <w:szCs w:val="21"/>
          <w:highlight w:val="none"/>
          <w:u w:val="single"/>
        </w:rPr>
      </w:pPr>
      <w:r>
        <w:rPr>
          <w:rFonts w:hint="eastAsia"/>
          <w:color w:val="auto"/>
          <w:szCs w:val="21"/>
          <w:highlight w:val="none"/>
          <w:u w:val="single"/>
        </w:rPr>
        <w:t>（16）经发包人同意，签发工程暂停令和复工令；</w:t>
      </w:r>
    </w:p>
    <w:p w14:paraId="16799499">
      <w:pPr>
        <w:adjustRightInd w:val="0"/>
        <w:snapToGrid w:val="0"/>
        <w:spacing w:line="360" w:lineRule="auto"/>
        <w:ind w:firstLine="420"/>
        <w:rPr>
          <w:color w:val="auto"/>
          <w:szCs w:val="21"/>
          <w:highlight w:val="none"/>
          <w:u w:val="single"/>
        </w:rPr>
      </w:pPr>
      <w:r>
        <w:rPr>
          <w:rFonts w:hint="eastAsia"/>
          <w:color w:val="auto"/>
          <w:szCs w:val="21"/>
          <w:highlight w:val="none"/>
          <w:u w:val="single"/>
        </w:rPr>
        <w:t>（17）审查施工承包人提交的采用新材料、新工艺、新技术、新设备的论证材料及相关验收标准；</w:t>
      </w:r>
    </w:p>
    <w:p w14:paraId="77DA8E50">
      <w:pPr>
        <w:adjustRightInd w:val="0"/>
        <w:snapToGrid w:val="0"/>
        <w:spacing w:line="360" w:lineRule="auto"/>
        <w:ind w:firstLine="420"/>
        <w:rPr>
          <w:color w:val="auto"/>
          <w:szCs w:val="21"/>
          <w:highlight w:val="none"/>
          <w:u w:val="single"/>
        </w:rPr>
      </w:pPr>
      <w:r>
        <w:rPr>
          <w:rFonts w:hint="eastAsia"/>
          <w:color w:val="auto"/>
          <w:szCs w:val="21"/>
          <w:highlight w:val="none"/>
          <w:u w:val="single"/>
        </w:rPr>
        <w:t>（18）验收隐蔽工程、分部分项工程；</w:t>
      </w:r>
    </w:p>
    <w:p w14:paraId="64B8C061">
      <w:pPr>
        <w:adjustRightInd w:val="0"/>
        <w:snapToGrid w:val="0"/>
        <w:spacing w:line="360" w:lineRule="auto"/>
        <w:ind w:firstLine="420"/>
        <w:rPr>
          <w:color w:val="auto"/>
          <w:szCs w:val="21"/>
          <w:highlight w:val="none"/>
          <w:u w:val="single"/>
        </w:rPr>
      </w:pPr>
      <w:r>
        <w:rPr>
          <w:rFonts w:hint="eastAsia"/>
          <w:color w:val="auto"/>
          <w:szCs w:val="21"/>
          <w:highlight w:val="none"/>
          <w:u w:val="single"/>
        </w:rPr>
        <w:t>（19）审查施工承包人提交的工程变更申请，协调处理施工进度调整、费用索赔、合同争议等事项；</w:t>
      </w:r>
    </w:p>
    <w:p w14:paraId="61E82D86">
      <w:pPr>
        <w:adjustRightInd w:val="0"/>
        <w:snapToGrid w:val="0"/>
        <w:spacing w:line="360" w:lineRule="auto"/>
        <w:ind w:firstLine="420"/>
        <w:rPr>
          <w:color w:val="auto"/>
          <w:szCs w:val="21"/>
          <w:highlight w:val="none"/>
          <w:u w:val="single"/>
        </w:rPr>
      </w:pPr>
      <w:r>
        <w:rPr>
          <w:rFonts w:hint="eastAsia"/>
          <w:color w:val="auto"/>
          <w:szCs w:val="21"/>
          <w:highlight w:val="none"/>
          <w:u w:val="single"/>
        </w:rPr>
        <w:t>（20）审查施工承包人提交的竣工验收申请，编写工程质量评估报告；</w:t>
      </w:r>
    </w:p>
    <w:p w14:paraId="1776B946">
      <w:pPr>
        <w:adjustRightInd w:val="0"/>
        <w:snapToGrid w:val="0"/>
        <w:spacing w:line="360" w:lineRule="auto"/>
        <w:ind w:firstLine="420"/>
        <w:rPr>
          <w:color w:val="auto"/>
          <w:szCs w:val="21"/>
          <w:highlight w:val="none"/>
          <w:u w:val="single"/>
        </w:rPr>
      </w:pPr>
      <w:r>
        <w:rPr>
          <w:rFonts w:hint="eastAsia"/>
          <w:color w:val="auto"/>
          <w:szCs w:val="21"/>
          <w:highlight w:val="none"/>
          <w:u w:val="single"/>
        </w:rPr>
        <w:t>（21）参加工程竣工验收，签署竣工验收意见；</w:t>
      </w:r>
    </w:p>
    <w:p w14:paraId="26E5C4B9">
      <w:pPr>
        <w:adjustRightInd w:val="0"/>
        <w:snapToGrid w:val="0"/>
        <w:spacing w:line="360" w:lineRule="auto"/>
        <w:ind w:firstLine="420"/>
        <w:rPr>
          <w:color w:val="auto"/>
          <w:szCs w:val="21"/>
          <w:highlight w:val="none"/>
          <w:u w:val="single"/>
        </w:rPr>
      </w:pPr>
      <w:r>
        <w:rPr>
          <w:rFonts w:hint="eastAsia"/>
          <w:color w:val="auto"/>
          <w:szCs w:val="21"/>
          <w:highlight w:val="none"/>
          <w:u w:val="single"/>
        </w:rPr>
        <w:t>（22）审查施工承包人提交的竣工结算申请并报发包人；</w:t>
      </w:r>
    </w:p>
    <w:p w14:paraId="11573C75">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color w:val="auto"/>
          <w:szCs w:val="21"/>
          <w:highlight w:val="none"/>
          <w:u w:val="single"/>
        </w:rPr>
        <w:t>（23）编制、整理工程监理归档文件并报发包人</w:t>
      </w:r>
      <w:r>
        <w:rPr>
          <w:rFonts w:hint="eastAsia"/>
          <w:color w:val="auto"/>
          <w:szCs w:val="21"/>
          <w:highlight w:val="none"/>
        </w:rPr>
        <w:t>；</w:t>
      </w:r>
    </w:p>
    <w:p w14:paraId="4297FB11">
      <w:pPr>
        <w:adjustRightInd w:val="0"/>
        <w:snapToGrid w:val="0"/>
        <w:spacing w:line="360" w:lineRule="auto"/>
        <w:ind w:firstLine="420"/>
        <w:rPr>
          <w:rFonts w:ascii="宋体" w:hAnsi="宋体" w:cs="宋体"/>
          <w:color w:val="auto"/>
          <w:kern w:val="0"/>
          <w:szCs w:val="21"/>
          <w:highlight w:val="none"/>
          <w:u w:val="single"/>
          <w:lang w:bidi="ar"/>
        </w:rPr>
      </w:pPr>
      <w:r>
        <w:rPr>
          <w:rFonts w:hint="eastAsia" w:ascii="宋体" w:hAnsi="宋体" w:cs="宋体"/>
          <w:color w:val="auto"/>
          <w:kern w:val="0"/>
          <w:szCs w:val="21"/>
          <w:highlight w:val="none"/>
          <w:lang w:bidi="ar"/>
        </w:rPr>
        <w:t>工程师（监理人）</w:t>
      </w:r>
      <w:r>
        <w:rPr>
          <w:rFonts w:ascii="宋体" w:hAnsi="宋体" w:cs="宋体"/>
          <w:color w:val="auto"/>
          <w:kern w:val="0"/>
          <w:szCs w:val="21"/>
          <w:highlight w:val="none"/>
          <w:lang w:bidi="ar"/>
        </w:rPr>
        <w:t>权限：</w:t>
      </w:r>
      <w:r>
        <w:rPr>
          <w:rFonts w:ascii="宋体" w:hAnsi="宋体" w:cs="宋体"/>
          <w:color w:val="auto"/>
          <w:kern w:val="0"/>
          <w:szCs w:val="21"/>
          <w:highlight w:val="none"/>
          <w:u w:val="single"/>
          <w:lang w:bidi="ar"/>
        </w:rPr>
        <w:t xml:space="preserve"> </w:t>
      </w:r>
    </w:p>
    <w:p w14:paraId="50FC567A">
      <w:pPr>
        <w:adjustRightInd w:val="0"/>
        <w:snapToGrid w:val="0"/>
        <w:spacing w:line="360" w:lineRule="auto"/>
        <w:ind w:firstLine="420"/>
        <w:rPr>
          <w:color w:val="auto"/>
          <w:szCs w:val="21"/>
          <w:highlight w:val="none"/>
          <w:u w:val="single"/>
        </w:rPr>
      </w:pPr>
      <w:r>
        <w:rPr>
          <w:rFonts w:hint="eastAsia"/>
          <w:color w:val="auto"/>
          <w:szCs w:val="21"/>
          <w:highlight w:val="none"/>
          <w:u w:val="single"/>
        </w:rPr>
        <w:t>（1）全面负责项目监理工作（含安全），负责项目的协调沟通及组织管理工作；</w:t>
      </w:r>
    </w:p>
    <w:p w14:paraId="7D6D81A1">
      <w:pPr>
        <w:adjustRightInd w:val="0"/>
        <w:snapToGrid w:val="0"/>
        <w:spacing w:line="360" w:lineRule="auto"/>
        <w:ind w:firstLine="420"/>
        <w:rPr>
          <w:color w:val="auto"/>
          <w:szCs w:val="21"/>
          <w:highlight w:val="none"/>
          <w:u w:val="single"/>
        </w:rPr>
      </w:pPr>
      <w:r>
        <w:rPr>
          <w:rFonts w:hint="eastAsia"/>
          <w:color w:val="auto"/>
          <w:szCs w:val="21"/>
          <w:highlight w:val="none"/>
          <w:u w:val="single"/>
        </w:rPr>
        <w:t>（2）主持编写监理规划、安全监理方案，审批监理实施细则；</w:t>
      </w:r>
    </w:p>
    <w:p w14:paraId="4C0111BF">
      <w:pPr>
        <w:adjustRightInd w:val="0"/>
        <w:snapToGrid w:val="0"/>
        <w:spacing w:line="360" w:lineRule="auto"/>
        <w:ind w:firstLine="420"/>
        <w:rPr>
          <w:color w:val="auto"/>
          <w:szCs w:val="21"/>
          <w:highlight w:val="none"/>
          <w:u w:val="single"/>
        </w:rPr>
      </w:pPr>
      <w:r>
        <w:rPr>
          <w:rFonts w:hint="eastAsia"/>
          <w:color w:val="auto"/>
          <w:szCs w:val="21"/>
          <w:highlight w:val="none"/>
          <w:u w:val="single"/>
        </w:rPr>
        <w:t>（3）审查施工单位的人员资质，质保体系，确认分包单位，审批各项施工组织设计、施工方案；</w:t>
      </w:r>
    </w:p>
    <w:p w14:paraId="349856E4">
      <w:pPr>
        <w:adjustRightInd w:val="0"/>
        <w:snapToGrid w:val="0"/>
        <w:spacing w:line="360" w:lineRule="auto"/>
        <w:ind w:firstLine="420"/>
        <w:rPr>
          <w:color w:val="auto"/>
          <w:szCs w:val="21"/>
          <w:highlight w:val="none"/>
          <w:u w:val="single"/>
        </w:rPr>
      </w:pPr>
      <w:r>
        <w:rPr>
          <w:rFonts w:hint="eastAsia"/>
          <w:color w:val="auto"/>
          <w:szCs w:val="21"/>
          <w:highlight w:val="none"/>
          <w:u w:val="single"/>
        </w:rPr>
        <w:t>（4）签发开工报告，停工令和复工令，报建设单位；</w:t>
      </w:r>
    </w:p>
    <w:p w14:paraId="04A4E036">
      <w:pPr>
        <w:adjustRightInd w:val="0"/>
        <w:snapToGrid w:val="0"/>
        <w:spacing w:line="360" w:lineRule="auto"/>
        <w:ind w:firstLine="420"/>
        <w:rPr>
          <w:color w:val="auto"/>
          <w:szCs w:val="21"/>
          <w:highlight w:val="none"/>
          <w:u w:val="single"/>
        </w:rPr>
      </w:pPr>
      <w:r>
        <w:rPr>
          <w:rFonts w:hint="eastAsia"/>
          <w:color w:val="auto"/>
          <w:szCs w:val="21"/>
          <w:highlight w:val="none"/>
          <w:u w:val="single"/>
        </w:rPr>
        <w:t>（5）组织图纸会审，参加设计交底，核准并签发设计变更，审批现场签证；</w:t>
      </w:r>
    </w:p>
    <w:p w14:paraId="1F382A4C">
      <w:pPr>
        <w:adjustRightInd w:val="0"/>
        <w:snapToGrid w:val="0"/>
        <w:spacing w:line="360" w:lineRule="auto"/>
        <w:ind w:firstLine="420"/>
        <w:rPr>
          <w:color w:val="auto"/>
          <w:szCs w:val="21"/>
          <w:highlight w:val="none"/>
          <w:u w:val="single"/>
        </w:rPr>
      </w:pPr>
      <w:r>
        <w:rPr>
          <w:rFonts w:hint="eastAsia"/>
          <w:color w:val="auto"/>
          <w:szCs w:val="21"/>
          <w:highlight w:val="none"/>
          <w:u w:val="single"/>
        </w:rPr>
        <w:t>（6）审核签认子分部、分部和单位工程质量验收资料；</w:t>
      </w:r>
    </w:p>
    <w:p w14:paraId="18A60BF8">
      <w:pPr>
        <w:adjustRightInd w:val="0"/>
        <w:snapToGrid w:val="0"/>
        <w:spacing w:line="360" w:lineRule="auto"/>
        <w:ind w:firstLine="420"/>
        <w:rPr>
          <w:color w:val="auto"/>
          <w:szCs w:val="21"/>
          <w:highlight w:val="none"/>
          <w:u w:val="single"/>
        </w:rPr>
      </w:pPr>
      <w:r>
        <w:rPr>
          <w:rFonts w:hint="eastAsia"/>
          <w:color w:val="auto"/>
          <w:szCs w:val="21"/>
          <w:highlight w:val="none"/>
          <w:u w:val="single"/>
        </w:rPr>
        <w:t>（7）审核进度结算和竣工结算，签发工程款支付证书；</w:t>
      </w:r>
    </w:p>
    <w:p w14:paraId="049D5CFA">
      <w:pPr>
        <w:adjustRightInd w:val="0"/>
        <w:snapToGrid w:val="0"/>
        <w:spacing w:line="360" w:lineRule="auto"/>
        <w:ind w:firstLine="420"/>
        <w:rPr>
          <w:color w:val="auto"/>
          <w:szCs w:val="21"/>
          <w:highlight w:val="none"/>
          <w:u w:val="single"/>
        </w:rPr>
      </w:pPr>
      <w:r>
        <w:rPr>
          <w:rFonts w:hint="eastAsia"/>
          <w:color w:val="auto"/>
          <w:szCs w:val="21"/>
          <w:highlight w:val="none"/>
          <w:u w:val="single"/>
        </w:rPr>
        <w:t>（8）主持监理会议，签发监理文件和指令；</w:t>
      </w:r>
    </w:p>
    <w:p w14:paraId="6572F8E0">
      <w:pPr>
        <w:adjustRightInd w:val="0"/>
        <w:snapToGrid w:val="0"/>
        <w:spacing w:line="360" w:lineRule="auto"/>
        <w:ind w:firstLine="420"/>
        <w:rPr>
          <w:color w:val="auto"/>
          <w:szCs w:val="21"/>
          <w:highlight w:val="none"/>
          <w:u w:val="single"/>
        </w:rPr>
      </w:pPr>
      <w:r>
        <w:rPr>
          <w:rFonts w:hint="eastAsia"/>
          <w:color w:val="auto"/>
          <w:szCs w:val="21"/>
          <w:highlight w:val="none"/>
          <w:u w:val="single"/>
        </w:rPr>
        <w:t>（9）主持或参与工程质量、安全事故的调查；</w:t>
      </w:r>
    </w:p>
    <w:p w14:paraId="0B0F159D">
      <w:pPr>
        <w:adjustRightInd w:val="0"/>
        <w:snapToGrid w:val="0"/>
        <w:spacing w:line="360" w:lineRule="auto"/>
        <w:ind w:firstLine="420"/>
        <w:rPr>
          <w:color w:val="auto"/>
          <w:szCs w:val="21"/>
          <w:highlight w:val="none"/>
          <w:u w:val="single"/>
        </w:rPr>
      </w:pPr>
      <w:r>
        <w:rPr>
          <w:rFonts w:hint="eastAsia"/>
          <w:color w:val="auto"/>
          <w:szCs w:val="21"/>
          <w:highlight w:val="none"/>
          <w:u w:val="single"/>
        </w:rPr>
        <w:t>（10）调解建设单位和施工单位的合同争议，处理索赔，审批工程延期；</w:t>
      </w:r>
    </w:p>
    <w:p w14:paraId="3A232513">
      <w:pPr>
        <w:adjustRightInd w:val="0"/>
        <w:snapToGrid w:val="0"/>
        <w:spacing w:line="360" w:lineRule="auto"/>
        <w:ind w:firstLine="420"/>
        <w:rPr>
          <w:color w:val="auto"/>
          <w:szCs w:val="21"/>
          <w:highlight w:val="none"/>
          <w:u w:val="single"/>
        </w:rPr>
      </w:pPr>
      <w:r>
        <w:rPr>
          <w:rFonts w:hint="eastAsia"/>
          <w:color w:val="auto"/>
          <w:szCs w:val="21"/>
          <w:highlight w:val="none"/>
          <w:u w:val="single"/>
        </w:rPr>
        <w:t>（11）组织编写监理月报，阶段性报告，专题报告和项目监理工作总结，填写安全监理月报；</w:t>
      </w:r>
    </w:p>
    <w:p w14:paraId="2A0E6113">
      <w:pPr>
        <w:adjustRightInd w:val="0"/>
        <w:snapToGrid w:val="0"/>
        <w:spacing w:line="360" w:lineRule="auto"/>
        <w:ind w:firstLine="420"/>
        <w:rPr>
          <w:color w:val="auto"/>
          <w:szCs w:val="21"/>
          <w:highlight w:val="none"/>
          <w:u w:val="single"/>
        </w:rPr>
      </w:pPr>
      <w:r>
        <w:rPr>
          <w:rFonts w:hint="eastAsia"/>
          <w:color w:val="auto"/>
          <w:szCs w:val="21"/>
          <w:highlight w:val="none"/>
          <w:u w:val="single"/>
        </w:rPr>
        <w:t>（12）审查施工单位的竣工申请，组织监理预验收，参与竣工验收工作；</w:t>
      </w:r>
    </w:p>
    <w:p w14:paraId="66B0178B">
      <w:pPr>
        <w:adjustRightInd w:val="0"/>
        <w:snapToGrid w:val="0"/>
        <w:spacing w:line="360" w:lineRule="auto"/>
        <w:ind w:firstLine="420"/>
        <w:rPr>
          <w:color w:val="auto"/>
          <w:szCs w:val="21"/>
          <w:highlight w:val="none"/>
          <w:u w:val="single"/>
        </w:rPr>
      </w:pPr>
      <w:r>
        <w:rPr>
          <w:rFonts w:hint="eastAsia"/>
          <w:color w:val="auto"/>
          <w:szCs w:val="21"/>
          <w:highlight w:val="none"/>
          <w:u w:val="single"/>
        </w:rPr>
        <w:t>（13）负责项目监理部体系运作工作，主持项目监理资料整理归档工作；</w:t>
      </w:r>
    </w:p>
    <w:p w14:paraId="0A6EF655">
      <w:pPr>
        <w:widowControl/>
        <w:adjustRightInd w:val="0"/>
        <w:snapToGrid w:val="0"/>
        <w:spacing w:line="360" w:lineRule="auto"/>
        <w:ind w:firstLine="420"/>
        <w:rPr>
          <w:rFonts w:ascii="宋体" w:hAnsi="宋体" w:cs="宋体"/>
          <w:color w:val="auto"/>
          <w:kern w:val="0"/>
          <w:szCs w:val="21"/>
          <w:highlight w:val="none"/>
          <w:lang w:bidi="ar"/>
        </w:rPr>
      </w:pPr>
      <w:r>
        <w:rPr>
          <w:rFonts w:hint="eastAsia"/>
          <w:color w:val="auto"/>
          <w:szCs w:val="21"/>
          <w:highlight w:val="none"/>
          <w:u w:val="single"/>
        </w:rPr>
        <w:t>（14）项目监理人员的调配权，可建议施工单位撤换不称职人员</w:t>
      </w:r>
      <w:r>
        <w:rPr>
          <w:rFonts w:hint="eastAsia"/>
          <w:color w:val="auto"/>
          <w:szCs w:val="21"/>
          <w:highlight w:val="none"/>
        </w:rPr>
        <w:t>。</w:t>
      </w:r>
    </w:p>
    <w:p w14:paraId="70272E0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本合同工程为强制监理项目，采用</w:t>
      </w:r>
      <w:r>
        <w:rPr>
          <w:rFonts w:hint="eastAsia" w:ascii="宋体" w:hAnsi="宋体" w:cs="宋体"/>
          <w:color w:val="auto"/>
          <w:szCs w:val="21"/>
          <w:highlight w:val="none"/>
          <w:lang w:bidi="ar"/>
        </w:rPr>
        <w:t>委托监理人进行工程监督管理的方式。通用合同条件中凡涉及工程师的义务及职责，均为监理人的义务及职责，与《</w:t>
      </w:r>
      <w:r>
        <w:rPr>
          <w:rFonts w:ascii="宋体" w:hAnsi="宋体" w:cs="宋体"/>
          <w:color w:val="auto"/>
          <w:szCs w:val="21"/>
          <w:highlight w:val="none"/>
          <w:lang w:bidi="ar"/>
        </w:rPr>
        <w:t>建设工程监理规范</w:t>
      </w:r>
      <w:r>
        <w:rPr>
          <w:rFonts w:hint="eastAsia" w:ascii="宋体" w:hAnsi="宋体" w:cs="宋体"/>
          <w:color w:val="auto"/>
          <w:szCs w:val="21"/>
          <w:highlight w:val="none"/>
          <w:lang w:bidi="ar"/>
        </w:rPr>
        <w:t>》</w:t>
      </w:r>
      <w:r>
        <w:rPr>
          <w:rFonts w:ascii="宋体" w:hAnsi="宋体" w:cs="宋体"/>
          <w:color w:val="auto"/>
          <w:szCs w:val="21"/>
          <w:highlight w:val="none"/>
          <w:lang w:bidi="ar"/>
        </w:rPr>
        <w:t>（GB/T50319—2013）</w:t>
      </w:r>
      <w:r>
        <w:rPr>
          <w:rFonts w:hint="eastAsia" w:ascii="宋体" w:hAnsi="宋体" w:cs="宋体"/>
          <w:color w:val="auto"/>
          <w:szCs w:val="21"/>
          <w:highlight w:val="none"/>
          <w:lang w:bidi="ar"/>
        </w:rPr>
        <w:t>的</w:t>
      </w:r>
      <w:r>
        <w:rPr>
          <w:rFonts w:hint="eastAsia" w:ascii="宋体" w:hAnsi="宋体" w:cs="宋体"/>
          <w:color w:val="auto"/>
          <w:kern w:val="0"/>
          <w:szCs w:val="21"/>
          <w:highlight w:val="none"/>
          <w:lang w:bidi="ar"/>
        </w:rPr>
        <w:t>相关规定存在不一致的，以</w:t>
      </w:r>
      <w:r>
        <w:rPr>
          <w:rFonts w:hint="eastAsia" w:ascii="宋体" w:hAnsi="宋体" w:cs="宋体"/>
          <w:color w:val="auto"/>
          <w:szCs w:val="21"/>
          <w:highlight w:val="none"/>
          <w:lang w:bidi="ar"/>
        </w:rPr>
        <w:t>《</w:t>
      </w:r>
      <w:r>
        <w:rPr>
          <w:rFonts w:ascii="宋体" w:hAnsi="宋体" w:cs="宋体"/>
          <w:color w:val="auto"/>
          <w:szCs w:val="21"/>
          <w:highlight w:val="none"/>
          <w:lang w:bidi="ar"/>
        </w:rPr>
        <w:t>建设工程监理规范</w:t>
      </w:r>
      <w:r>
        <w:rPr>
          <w:rFonts w:hint="eastAsia" w:ascii="宋体" w:hAnsi="宋体" w:cs="宋体"/>
          <w:color w:val="auto"/>
          <w:szCs w:val="21"/>
          <w:highlight w:val="none"/>
          <w:lang w:bidi="ar"/>
        </w:rPr>
        <w:t>》</w:t>
      </w:r>
      <w:r>
        <w:rPr>
          <w:rFonts w:ascii="宋体" w:hAnsi="宋体" w:cs="宋体"/>
          <w:color w:val="auto"/>
          <w:szCs w:val="21"/>
          <w:highlight w:val="none"/>
          <w:lang w:bidi="ar"/>
        </w:rPr>
        <w:t>（GB/T50319—2013）</w:t>
      </w:r>
      <w:r>
        <w:rPr>
          <w:rFonts w:hint="eastAsia" w:ascii="宋体" w:hAnsi="宋体" w:cs="宋体"/>
          <w:color w:val="auto"/>
          <w:kern w:val="0"/>
          <w:szCs w:val="21"/>
          <w:highlight w:val="none"/>
          <w:lang w:bidi="ar"/>
        </w:rPr>
        <w:t>为准</w:t>
      </w:r>
      <w:r>
        <w:rPr>
          <w:rFonts w:hint="eastAsia" w:ascii="宋体" w:hAnsi="宋体" w:cs="宋体"/>
          <w:color w:val="auto"/>
          <w:szCs w:val="21"/>
          <w:highlight w:val="none"/>
          <w:lang w:bidi="ar"/>
        </w:rPr>
        <w:t>。</w:t>
      </w:r>
    </w:p>
    <w:p w14:paraId="00606C60">
      <w:pPr>
        <w:widowControl/>
        <w:adjustRightInd w:val="0"/>
        <w:snapToGrid w:val="0"/>
        <w:spacing w:after="120" w:afterLines="50"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增加总监理工程师：</w:t>
      </w:r>
    </w:p>
    <w:p w14:paraId="5AB41D9E">
      <w:pPr>
        <w:widowControl/>
        <w:adjustRightInd w:val="0"/>
        <w:snapToGrid w:val="0"/>
        <w:spacing w:after="120" w:afterLines="50"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姓    名：</w:t>
      </w:r>
      <w:r>
        <w:rPr>
          <w:rFonts w:hint="eastAsia" w:ascii="宋体" w:hAnsi="MingLiU_HKSCS" w:cs="MingLiU_HKSCS"/>
          <w:color w:val="auto"/>
          <w:kern w:val="0"/>
          <w:szCs w:val="21"/>
          <w:highlight w:val="none"/>
          <w:u w:val="single"/>
          <w:lang w:bidi="ar"/>
        </w:rPr>
        <w:t xml:space="preserve">                                </w:t>
      </w:r>
      <w:r>
        <w:rPr>
          <w:rFonts w:hint="eastAsia" w:ascii="宋体" w:hAnsi="宋体" w:cs="宋体"/>
          <w:color w:val="auto"/>
          <w:kern w:val="0"/>
          <w:szCs w:val="21"/>
          <w:highlight w:val="none"/>
          <w:lang w:bidi="ar"/>
        </w:rPr>
        <w:t>；</w:t>
      </w:r>
    </w:p>
    <w:p w14:paraId="3CC04B11">
      <w:pPr>
        <w:widowControl/>
        <w:adjustRightInd w:val="0"/>
        <w:snapToGrid w:val="0"/>
        <w:spacing w:after="120" w:afterLines="50"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职    务：</w:t>
      </w:r>
      <w:r>
        <w:rPr>
          <w:rFonts w:hint="eastAsia" w:ascii="宋体" w:hAnsi="MingLiU_HKSCS" w:cs="MingLiU_HKSCS"/>
          <w:color w:val="auto"/>
          <w:kern w:val="0"/>
          <w:szCs w:val="21"/>
          <w:highlight w:val="none"/>
          <w:u w:val="single"/>
          <w:lang w:bidi="ar"/>
        </w:rPr>
        <w:t xml:space="preserve">                                </w:t>
      </w:r>
      <w:r>
        <w:rPr>
          <w:rFonts w:hint="eastAsia" w:ascii="宋体" w:hAnsi="宋体" w:cs="宋体"/>
          <w:color w:val="auto"/>
          <w:kern w:val="0"/>
          <w:szCs w:val="21"/>
          <w:highlight w:val="none"/>
          <w:lang w:bidi="ar"/>
        </w:rPr>
        <w:t>；</w:t>
      </w:r>
    </w:p>
    <w:p w14:paraId="23D76F98">
      <w:pPr>
        <w:widowControl/>
        <w:adjustRightInd w:val="0"/>
        <w:snapToGrid w:val="0"/>
        <w:spacing w:after="120" w:afterLines="50"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监理工程师执业资格证书号：</w:t>
      </w:r>
      <w:r>
        <w:rPr>
          <w:rFonts w:hint="eastAsia" w:ascii="宋体" w:hAnsi="MingLiU_HKSCS" w:cs="MingLiU_HKSCS"/>
          <w:color w:val="auto"/>
          <w:kern w:val="0"/>
          <w:szCs w:val="21"/>
          <w:highlight w:val="none"/>
          <w:u w:val="single"/>
          <w:lang w:bidi="ar"/>
        </w:rPr>
        <w:t xml:space="preserve">                       </w:t>
      </w:r>
      <w:r>
        <w:rPr>
          <w:rFonts w:hint="eastAsia" w:ascii="宋体" w:hAnsi="宋体" w:cs="宋体"/>
          <w:color w:val="auto"/>
          <w:kern w:val="0"/>
          <w:szCs w:val="21"/>
          <w:highlight w:val="none"/>
          <w:lang w:bidi="ar"/>
        </w:rPr>
        <w:t>；</w:t>
      </w:r>
    </w:p>
    <w:p w14:paraId="7C2C9995">
      <w:pPr>
        <w:widowControl/>
        <w:adjustRightInd w:val="0"/>
        <w:snapToGrid w:val="0"/>
        <w:spacing w:after="120" w:afterLines="50"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联系方式：</w:t>
      </w:r>
      <w:r>
        <w:rPr>
          <w:rFonts w:hint="eastAsia" w:ascii="宋体" w:hAnsi="MingLiU_HKSCS" w:cs="MingLiU_HKSCS"/>
          <w:color w:val="auto"/>
          <w:kern w:val="0"/>
          <w:szCs w:val="21"/>
          <w:highlight w:val="none"/>
          <w:u w:val="single"/>
          <w:lang w:bidi="ar"/>
        </w:rPr>
        <w:t xml:space="preserve">                       </w:t>
      </w:r>
      <w:r>
        <w:rPr>
          <w:rFonts w:hint="eastAsia" w:ascii="宋体" w:hAnsi="宋体" w:cs="宋体"/>
          <w:color w:val="auto"/>
          <w:kern w:val="0"/>
          <w:szCs w:val="21"/>
          <w:highlight w:val="none"/>
          <w:lang w:bidi="ar"/>
        </w:rPr>
        <w:t>；</w:t>
      </w:r>
    </w:p>
    <w:p w14:paraId="3650FB7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关于监理人的其他约定：见发包人与监理人就本合同工程订立的监理合同。</w:t>
      </w:r>
    </w:p>
    <w:p w14:paraId="0C29DB3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3.6 商定或确定</w:t>
      </w:r>
    </w:p>
    <w:p w14:paraId="1AAB05A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w:t>
      </w:r>
      <w:r>
        <w:rPr>
          <w:rFonts w:ascii="宋体" w:hAnsi="宋体" w:cs="宋体"/>
          <w:color w:val="auto"/>
          <w:kern w:val="0"/>
          <w:szCs w:val="21"/>
          <w:highlight w:val="none"/>
          <w:lang w:bidi="ar"/>
        </w:rPr>
        <w:t xml:space="preserve">.6.2 </w:t>
      </w:r>
      <w:r>
        <w:rPr>
          <w:rFonts w:hint="eastAsia" w:ascii="宋体" w:hAnsi="宋体" w:cs="宋体"/>
          <w:color w:val="auto"/>
          <w:kern w:val="0"/>
          <w:szCs w:val="21"/>
          <w:highlight w:val="none"/>
          <w:lang w:bidi="ar"/>
        </w:rPr>
        <w:t>关于商定时间限制的具体约定：</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双方协商</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w:t>
      </w:r>
    </w:p>
    <w:p w14:paraId="442EC7F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w:t>
      </w:r>
      <w:r>
        <w:rPr>
          <w:rFonts w:ascii="宋体" w:hAnsi="宋体" w:cs="宋体"/>
          <w:color w:val="auto"/>
          <w:kern w:val="0"/>
          <w:szCs w:val="21"/>
          <w:highlight w:val="none"/>
          <w:lang w:bidi="ar"/>
        </w:rPr>
        <w:t xml:space="preserve">.6.3 </w:t>
      </w:r>
      <w:r>
        <w:rPr>
          <w:rFonts w:hint="eastAsia" w:ascii="宋体" w:hAnsi="宋体" w:cs="宋体"/>
          <w:color w:val="auto"/>
          <w:kern w:val="0"/>
          <w:szCs w:val="21"/>
          <w:highlight w:val="none"/>
          <w:lang w:bidi="ar"/>
        </w:rPr>
        <w:t>关于商定或确定效力的具体约定：</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双方协商</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w:t>
      </w:r>
    </w:p>
    <w:p w14:paraId="1453A6FA">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3.7 会议</w:t>
      </w:r>
    </w:p>
    <w:p w14:paraId="3FEB500D">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ascii="宋体" w:hAnsi="宋体" w:cs="宋体"/>
          <w:color w:val="auto"/>
          <w:kern w:val="0"/>
          <w:szCs w:val="21"/>
          <w:highlight w:val="none"/>
          <w:lang w:bidi="ar"/>
        </w:rPr>
        <w:t xml:space="preserve">.7.1 </w:t>
      </w:r>
      <w:r>
        <w:rPr>
          <w:rFonts w:hint="eastAsia" w:ascii="宋体" w:hAnsi="宋体" w:cs="宋体"/>
          <w:color w:val="auto"/>
          <w:kern w:val="0"/>
          <w:szCs w:val="21"/>
          <w:highlight w:val="none"/>
          <w:lang w:bidi="ar"/>
        </w:rPr>
        <w:t>关于召开会议的具体约定：</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双方协商</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w:t>
      </w:r>
    </w:p>
    <w:p w14:paraId="7A92EA77">
      <w:pPr>
        <w:adjustRightInd w:val="0"/>
        <w:snapToGrid w:val="0"/>
        <w:spacing w:line="360" w:lineRule="auto"/>
        <w:ind w:firstLine="42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ascii="宋体" w:hAnsi="宋体" w:cs="宋体"/>
          <w:color w:val="auto"/>
          <w:kern w:val="0"/>
          <w:szCs w:val="21"/>
          <w:highlight w:val="none"/>
          <w:lang w:bidi="ar"/>
        </w:rPr>
        <w:t xml:space="preserve">.7.2 </w:t>
      </w:r>
      <w:r>
        <w:rPr>
          <w:rFonts w:hint="eastAsia" w:ascii="宋体" w:hAnsi="宋体" w:cs="宋体"/>
          <w:color w:val="auto"/>
          <w:kern w:val="0"/>
          <w:szCs w:val="21"/>
          <w:highlight w:val="none"/>
          <w:lang w:bidi="ar"/>
        </w:rPr>
        <w:t>关于保存和提供会议纪要的具体约定：</w:t>
      </w:r>
    </w:p>
    <w:p w14:paraId="683A2D90">
      <w:pPr>
        <w:adjustRightInd w:val="0"/>
        <w:snapToGrid w:val="0"/>
        <w:spacing w:line="360" w:lineRule="auto"/>
        <w:ind w:firstLine="420"/>
        <w:rPr>
          <w:color w:val="auto"/>
          <w:szCs w:val="21"/>
          <w:highlight w:val="none"/>
          <w:u w:val="single"/>
        </w:rPr>
      </w:pPr>
      <w:r>
        <w:rPr>
          <w:rFonts w:hint="eastAsia"/>
          <w:color w:val="auto"/>
          <w:szCs w:val="21"/>
          <w:highlight w:val="none"/>
          <w:u w:val="single"/>
        </w:rPr>
        <w:t>（1）会议纪要的提供方：会议发起方。</w:t>
      </w:r>
    </w:p>
    <w:p w14:paraId="47EFA04B">
      <w:pPr>
        <w:adjustRightInd w:val="0"/>
        <w:snapToGrid w:val="0"/>
        <w:spacing w:line="360" w:lineRule="auto"/>
        <w:ind w:firstLine="420"/>
        <w:rPr>
          <w:color w:val="auto"/>
          <w:szCs w:val="21"/>
          <w:highlight w:val="none"/>
          <w:u w:val="single"/>
        </w:rPr>
      </w:pPr>
      <w:r>
        <w:rPr>
          <w:rFonts w:hint="eastAsia"/>
          <w:color w:val="auto"/>
          <w:szCs w:val="21"/>
          <w:highlight w:val="none"/>
          <w:u w:val="single"/>
        </w:rPr>
        <w:t>（2）会议纪要的提供时间：会议结束后24小时以内。</w:t>
      </w:r>
    </w:p>
    <w:p w14:paraId="30EC72C0">
      <w:pPr>
        <w:adjustRightInd w:val="0"/>
        <w:snapToGrid w:val="0"/>
        <w:spacing w:line="360" w:lineRule="auto"/>
        <w:ind w:firstLine="420"/>
        <w:rPr>
          <w:color w:val="auto"/>
          <w:szCs w:val="21"/>
          <w:highlight w:val="none"/>
          <w:u w:val="single"/>
        </w:rPr>
      </w:pPr>
      <w:r>
        <w:rPr>
          <w:rFonts w:hint="eastAsia"/>
          <w:color w:val="auto"/>
          <w:szCs w:val="21"/>
          <w:highlight w:val="none"/>
          <w:u w:val="single"/>
        </w:rPr>
        <w:t>（3）会议纪要的接收人：出席会议人员、各方负责人。</w:t>
      </w:r>
    </w:p>
    <w:p w14:paraId="1FCF40AF">
      <w:pPr>
        <w:widowControl/>
        <w:adjustRightInd w:val="0"/>
        <w:snapToGrid w:val="0"/>
        <w:spacing w:line="360" w:lineRule="auto"/>
        <w:ind w:firstLine="420"/>
        <w:rPr>
          <w:rFonts w:ascii="宋体" w:hAnsi="宋体" w:cs="宋体"/>
          <w:color w:val="auto"/>
          <w:kern w:val="0"/>
          <w:highlight w:val="none"/>
        </w:rPr>
      </w:pPr>
      <w:r>
        <w:rPr>
          <w:rFonts w:hint="eastAsia"/>
          <w:color w:val="auto"/>
          <w:szCs w:val="21"/>
          <w:highlight w:val="none"/>
          <w:u w:val="single"/>
        </w:rPr>
        <w:t>（4）发包人提供的会议纪要提供后48小时以内未予提出书面意见，视同认可会议纪要。</w:t>
      </w:r>
    </w:p>
    <w:p w14:paraId="4101E3D3">
      <w:pPr>
        <w:widowControl/>
        <w:adjustRightInd w:val="0"/>
        <w:snapToGrid w:val="0"/>
        <w:spacing w:after="120" w:afterLines="50" w:line="360" w:lineRule="auto"/>
        <w:outlineLvl w:val="1"/>
        <w:rPr>
          <w:rFonts w:ascii="宋体" w:hAnsi="宋体" w:cs="Times"/>
          <w:color w:val="auto"/>
          <w:kern w:val="0"/>
          <w:highlight w:val="none"/>
        </w:rPr>
      </w:pPr>
      <w:bookmarkStart w:id="1711" w:name="_Toc20171877"/>
      <w:bookmarkEnd w:id="1711"/>
      <w:bookmarkStart w:id="1712" w:name="_Toc179885400"/>
      <w:r>
        <w:rPr>
          <w:rFonts w:hint="eastAsia" w:ascii="宋体" w:hAnsi="宋体" w:cs="Times"/>
          <w:color w:val="auto"/>
          <w:kern w:val="0"/>
          <w:szCs w:val="21"/>
          <w:highlight w:val="none"/>
          <w:lang w:bidi="ar"/>
        </w:rPr>
        <w:t>第4条 承包人</w:t>
      </w:r>
      <w:bookmarkEnd w:id="1712"/>
    </w:p>
    <w:p w14:paraId="12AE53FA">
      <w:pPr>
        <w:widowControl/>
        <w:adjustRightInd w:val="0"/>
        <w:snapToGrid w:val="0"/>
        <w:spacing w:after="120" w:afterLines="50" w:line="360" w:lineRule="auto"/>
        <w:ind w:firstLine="420" w:firstLineChars="200"/>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4.1 承包人的一般义务</w:t>
      </w:r>
    </w:p>
    <w:p w14:paraId="5664445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承包人应履行的其他义务：</w:t>
      </w:r>
    </w:p>
    <w:p w14:paraId="7C03B7E5">
      <w:pPr>
        <w:adjustRightInd w:val="0"/>
        <w:snapToGrid w:val="0"/>
        <w:spacing w:line="360" w:lineRule="auto"/>
        <w:ind w:firstLine="420"/>
        <w:rPr>
          <w:color w:val="auto"/>
          <w:szCs w:val="21"/>
          <w:highlight w:val="none"/>
          <w:u w:val="single"/>
        </w:rPr>
      </w:pPr>
      <w:r>
        <w:rPr>
          <w:rFonts w:hint="eastAsia"/>
          <w:color w:val="auto"/>
          <w:szCs w:val="21"/>
          <w:highlight w:val="none"/>
          <w:u w:val="single"/>
        </w:rPr>
        <w:t>以下义务由承包人履行，并承担费用：</w:t>
      </w:r>
    </w:p>
    <w:p w14:paraId="4C038300">
      <w:pPr>
        <w:numPr>
          <w:ilvl w:val="0"/>
          <w:numId w:val="6"/>
        </w:numPr>
        <w:adjustRightInd w:val="0"/>
        <w:snapToGrid w:val="0"/>
        <w:spacing w:line="360" w:lineRule="auto"/>
        <w:ind w:firstLine="420"/>
        <w:rPr>
          <w:rFonts w:hint="eastAsia"/>
          <w:color w:val="auto"/>
          <w:szCs w:val="21"/>
          <w:highlight w:val="none"/>
          <w:u w:val="single"/>
        </w:rPr>
      </w:pPr>
      <w:r>
        <w:rPr>
          <w:rFonts w:hint="eastAsia"/>
          <w:color w:val="auto"/>
          <w:szCs w:val="21"/>
          <w:highlight w:val="none"/>
          <w:u w:val="single"/>
        </w:rPr>
        <w:t>承包人须向发包人的管理团队提供现场办公室6间，临时宿舍</w:t>
      </w:r>
      <w:r>
        <w:rPr>
          <w:rFonts w:hint="eastAsia"/>
          <w:color w:val="auto"/>
          <w:szCs w:val="21"/>
          <w:highlight w:val="none"/>
          <w:u w:val="single"/>
          <w:lang w:val="en-US" w:eastAsia="zh-CN"/>
        </w:rPr>
        <w:t>4</w:t>
      </w:r>
      <w:r>
        <w:rPr>
          <w:rFonts w:hint="eastAsia"/>
          <w:color w:val="auto"/>
          <w:szCs w:val="21"/>
          <w:highlight w:val="none"/>
          <w:u w:val="single"/>
        </w:rPr>
        <w:t>间，并配备正常的办公设施（电脑除外）和生活条件，并负责卫生保洁服务。</w:t>
      </w:r>
    </w:p>
    <w:p w14:paraId="14BF40E7">
      <w:pPr>
        <w:numPr>
          <w:ilvl w:val="0"/>
          <w:numId w:val="0"/>
        </w:numPr>
        <w:adjustRightInd w:val="0"/>
        <w:snapToGrid w:val="0"/>
        <w:spacing w:line="360" w:lineRule="auto"/>
        <w:ind w:firstLine="420" w:firstLineChars="200"/>
        <w:rPr>
          <w:color w:val="auto"/>
          <w:szCs w:val="21"/>
          <w:highlight w:val="none"/>
          <w:u w:val="single"/>
        </w:rPr>
      </w:pPr>
      <w:r>
        <w:rPr>
          <w:color w:val="auto"/>
          <w:szCs w:val="21"/>
          <w:highlight w:val="none"/>
          <w:u w:val="single"/>
        </w:rPr>
        <w:t>2</w:t>
      </w:r>
      <w:r>
        <w:rPr>
          <w:rFonts w:hint="eastAsia"/>
          <w:color w:val="auto"/>
          <w:szCs w:val="21"/>
          <w:highlight w:val="none"/>
          <w:u w:val="single"/>
        </w:rPr>
        <w:t>）承包人应当按照国家及省、市的有关规定和本合同的有关约定加强其参与本合同工程建设人员（包括农民工）的管理。</w:t>
      </w:r>
    </w:p>
    <w:p w14:paraId="324B5A9E">
      <w:pPr>
        <w:adjustRightInd w:val="0"/>
        <w:snapToGrid w:val="0"/>
        <w:spacing w:line="360" w:lineRule="auto"/>
        <w:ind w:firstLine="420"/>
        <w:rPr>
          <w:color w:val="auto"/>
          <w:szCs w:val="21"/>
          <w:highlight w:val="none"/>
          <w:u w:val="single"/>
        </w:rPr>
      </w:pPr>
      <w:r>
        <w:rPr>
          <w:rFonts w:hint="eastAsia"/>
          <w:color w:val="auto"/>
          <w:szCs w:val="21"/>
          <w:highlight w:val="none"/>
          <w:u w:val="single"/>
        </w:rPr>
        <w:t>①承包人应按照规定，对项目经理、现场管理人员和作业工人实行建筑施工实名制管理，并负责所有专业承包企业和劳务分包企业实行建筑施工实名制管理制度。发包人或发包人的管理团队将不定期抽查承包人及其所管辖的专业单位和分包人实行建筑施工实名制管理制度的情况，如发现有冒名顶替或人不到场而代为刷卡等弄虚作假现象的，由承包人按本合同约定承担违约责任。</w:t>
      </w:r>
    </w:p>
    <w:p w14:paraId="2AFAD448">
      <w:pPr>
        <w:adjustRightInd w:val="0"/>
        <w:snapToGrid w:val="0"/>
        <w:spacing w:line="360" w:lineRule="auto"/>
        <w:ind w:firstLine="420"/>
        <w:rPr>
          <w:color w:val="auto"/>
          <w:szCs w:val="21"/>
          <w:highlight w:val="none"/>
          <w:u w:val="single"/>
        </w:rPr>
      </w:pPr>
      <w:r>
        <w:rPr>
          <w:rFonts w:hint="eastAsia"/>
          <w:color w:val="auto"/>
          <w:szCs w:val="21"/>
          <w:highlight w:val="none"/>
          <w:u w:val="single"/>
        </w:rPr>
        <w:t>②承包人须贯彻落实政府颁布的关于工人工资支付、用工实名制管理、工资分账分付等有关文件的要求，按时、按实名制和工人工资分账分付平台要求足额发放工人工资；承包人发放工人工资的情况应按月报送发包人（报送资料包括工人工资发放签收表、银行转账发放记录凭证等）。</w:t>
      </w:r>
    </w:p>
    <w:p w14:paraId="4A2CAC7E">
      <w:pPr>
        <w:adjustRightInd w:val="0"/>
        <w:snapToGrid w:val="0"/>
        <w:spacing w:line="360" w:lineRule="auto"/>
        <w:ind w:firstLine="420"/>
        <w:rPr>
          <w:color w:val="auto"/>
          <w:szCs w:val="21"/>
          <w:highlight w:val="none"/>
          <w:u w:val="single"/>
        </w:rPr>
      </w:pPr>
      <w:r>
        <w:rPr>
          <w:rFonts w:hint="eastAsia"/>
          <w:color w:val="auto"/>
          <w:szCs w:val="21"/>
          <w:highlight w:val="none"/>
          <w:u w:val="single"/>
        </w:rPr>
        <w:t>③承包人应当根据劳动合同约定的农民工工资标准，按照依法签订的劳动合同约定的日期按月支付工资，并不得低于工程所在地最低工资标准。</w:t>
      </w:r>
    </w:p>
    <w:p w14:paraId="5524E497">
      <w:pPr>
        <w:adjustRightInd w:val="0"/>
        <w:snapToGrid w:val="0"/>
        <w:spacing w:line="360" w:lineRule="auto"/>
        <w:ind w:firstLine="420"/>
        <w:rPr>
          <w:color w:val="auto"/>
          <w:szCs w:val="21"/>
          <w:highlight w:val="none"/>
          <w:u w:val="single"/>
        </w:rPr>
      </w:pPr>
      <w:r>
        <w:rPr>
          <w:rFonts w:hint="eastAsia"/>
          <w:color w:val="auto"/>
          <w:szCs w:val="21"/>
          <w:highlight w:val="none"/>
          <w:u w:val="single"/>
        </w:rPr>
        <w:t>④承包人应每月编制农民工工资支付表，如实记录支付时间、支付对象、支付金额等工资支付情况，并于每月底在其现场管理机构办公场所显眼位置公示，自觉接受发包人或发包人的管理团队等单位的检查监督。</w:t>
      </w:r>
    </w:p>
    <w:p w14:paraId="7BEE224D">
      <w:pPr>
        <w:adjustRightInd w:val="0"/>
        <w:snapToGrid w:val="0"/>
        <w:spacing w:line="360" w:lineRule="auto"/>
        <w:ind w:firstLine="420"/>
        <w:rPr>
          <w:color w:val="auto"/>
          <w:szCs w:val="21"/>
          <w:highlight w:val="none"/>
          <w:u w:val="single"/>
        </w:rPr>
      </w:pPr>
      <w:r>
        <w:rPr>
          <w:rFonts w:hint="eastAsia"/>
          <w:color w:val="auto"/>
          <w:szCs w:val="21"/>
          <w:highlight w:val="none"/>
          <w:u w:val="single"/>
        </w:rPr>
        <w:t>⑤承包人应对其专业分包或劳务分包人工资支付进行监督，督促其依法支付农民工工资。</w:t>
      </w:r>
    </w:p>
    <w:p w14:paraId="0E828A8B">
      <w:pPr>
        <w:adjustRightInd w:val="0"/>
        <w:snapToGrid w:val="0"/>
        <w:spacing w:line="360" w:lineRule="auto"/>
        <w:ind w:firstLine="420"/>
        <w:rPr>
          <w:color w:val="auto"/>
          <w:szCs w:val="21"/>
          <w:highlight w:val="none"/>
          <w:u w:val="single"/>
        </w:rPr>
      </w:pPr>
      <w:r>
        <w:rPr>
          <w:rFonts w:hint="eastAsia"/>
          <w:color w:val="auto"/>
          <w:szCs w:val="21"/>
          <w:highlight w:val="none"/>
          <w:u w:val="single"/>
        </w:rPr>
        <w:t>⑥承包人不按合同及有关规定按时、足额支付专业分包、材料设备供应商或劳务分包人及农民工工资而被投诉或上访属实的，发包人或发包人的管理团队将严格按照合同约定追究其违约责任；若因此造成劳资纠纷或由此引起社会不稳定因素（发生停工、集体上访、媒体曝光、聚集围阻发包人办公地点甚至政府办公部门等过激行为）造成不良社会影响的，发包人或发包人的管理团队有权在承包人的工程款中扣除并先行支付相关费用以解决劳资纠纷，直至解除合同。必要时，发包人将立即终止与承包人的合同，上报省、市主管部门建议取消其参加省、市重大项目的投标资格，并由发包人或发包人的管理团队予以公告。如属恶意煽动并造成社会不良影响的，发包人或发包人的管理团队将提请司法部门追究其法律责任。</w:t>
      </w:r>
    </w:p>
    <w:p w14:paraId="254317B6">
      <w:pPr>
        <w:adjustRightInd w:val="0"/>
        <w:snapToGrid w:val="0"/>
        <w:spacing w:line="360" w:lineRule="auto"/>
        <w:ind w:firstLine="420"/>
        <w:rPr>
          <w:color w:val="auto"/>
          <w:szCs w:val="21"/>
          <w:highlight w:val="none"/>
          <w:u w:val="single"/>
        </w:rPr>
      </w:pPr>
      <w:r>
        <w:rPr>
          <w:rFonts w:hint="eastAsia"/>
          <w:color w:val="auto"/>
          <w:szCs w:val="21"/>
          <w:highlight w:val="none"/>
          <w:u w:val="single"/>
        </w:rPr>
        <w:t>⑦由于承包人或其管理的分包人、劳务合作单位拖欠农民工工资，致使发包人被投诉或起诉并被判令先行垫付农民工工资的，发包人或发包人的管理团队除追究承包人的违约责任外，还将在工程结算时双倍扣回发包人先行垫付的农民工工资金额作为补偿。</w:t>
      </w:r>
    </w:p>
    <w:p w14:paraId="5E1C01FE">
      <w:pPr>
        <w:adjustRightInd w:val="0"/>
        <w:snapToGrid w:val="0"/>
        <w:spacing w:line="360" w:lineRule="auto"/>
        <w:ind w:firstLine="420"/>
        <w:rPr>
          <w:color w:val="auto"/>
          <w:szCs w:val="21"/>
          <w:highlight w:val="none"/>
          <w:u w:val="single"/>
        </w:rPr>
      </w:pPr>
      <w:r>
        <w:rPr>
          <w:rFonts w:hint="eastAsia"/>
          <w:color w:val="auto"/>
          <w:szCs w:val="21"/>
          <w:highlight w:val="none"/>
          <w:u w:val="single"/>
        </w:rPr>
        <w:t>⑧承包人必须以高度负责的态度，对存在的可能引发劳资纠纷的各种因素进行排查，及时化解、处理可能发生劳资纠纷的不稳定因素；尤其是对恶意煽动农民工集体上访、集聚围阻的行为，要及时发现并敢于揭露、制止。</w:t>
      </w:r>
    </w:p>
    <w:p w14:paraId="463523EE">
      <w:pPr>
        <w:adjustRightInd w:val="0"/>
        <w:snapToGrid w:val="0"/>
        <w:spacing w:line="360" w:lineRule="auto"/>
        <w:ind w:firstLine="420"/>
        <w:rPr>
          <w:color w:val="auto"/>
          <w:szCs w:val="21"/>
          <w:highlight w:val="none"/>
          <w:u w:val="single"/>
        </w:rPr>
      </w:pPr>
      <w:r>
        <w:rPr>
          <w:rFonts w:hint="eastAsia"/>
          <w:color w:val="auto"/>
          <w:szCs w:val="21"/>
          <w:highlight w:val="none"/>
          <w:u w:val="single"/>
        </w:rPr>
        <w:t>⑨承包人应在工程开工前，开立工人工资支付专用账户。如因承包人未按规定开立工人工资支付专用账户，导致本工程施工许可证未能如期办理，或出现因拖欠、克扣工人工资造成群体事件或其他不良行为的，发包人或发包人的管理团队除追究承包人的违约责任外，还将在工程结算时双倍扣回发包人先行垫付的农民工工资金额作为补偿。</w:t>
      </w:r>
    </w:p>
    <w:p w14:paraId="2A688070">
      <w:pPr>
        <w:widowControl/>
        <w:numPr>
          <w:ilvl w:val="0"/>
          <w:numId w:val="7"/>
        </w:numPr>
        <w:adjustRightInd w:val="0"/>
        <w:snapToGrid w:val="0"/>
        <w:spacing w:line="360" w:lineRule="auto"/>
        <w:rPr>
          <w:color w:val="auto"/>
          <w:szCs w:val="21"/>
          <w:highlight w:val="none"/>
          <w:u w:val="single"/>
        </w:rPr>
      </w:pPr>
      <w:r>
        <w:rPr>
          <w:rFonts w:hint="eastAsia"/>
          <w:color w:val="auto"/>
          <w:szCs w:val="21"/>
          <w:highlight w:val="none"/>
          <w:u w:val="single"/>
        </w:rPr>
        <w:t>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环境与生态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63F19C36">
      <w:pPr>
        <w:widowControl/>
        <w:numPr>
          <w:ilvl w:val="0"/>
          <w:numId w:val="7"/>
        </w:numPr>
        <w:adjustRightInd w:val="0"/>
        <w:snapToGrid w:val="0"/>
        <w:spacing w:line="360" w:lineRule="auto"/>
        <w:jc w:val="left"/>
        <w:rPr>
          <w:color w:val="auto"/>
          <w:szCs w:val="21"/>
          <w:highlight w:val="none"/>
          <w:u w:val="single"/>
        </w:rPr>
      </w:pPr>
      <w:r>
        <w:rPr>
          <w:rFonts w:hint="eastAsia"/>
          <w:color w:val="auto"/>
          <w:szCs w:val="21"/>
          <w:highlight w:val="none"/>
          <w:u w:val="single"/>
        </w:rPr>
        <w:t>承包人提交的竣工资料的内容：工程施工技术资料、工程质量保证资料、工程检验评定资料、竣工图及其他应交资料，应符合《建设工程文件归档整理规范》（</w:t>
      </w:r>
      <w:r>
        <w:rPr>
          <w:color w:val="auto"/>
          <w:szCs w:val="21"/>
          <w:highlight w:val="none"/>
          <w:u w:val="single"/>
        </w:rPr>
        <w:t>GB/T50328-2014</w:t>
      </w:r>
      <w:r>
        <w:rPr>
          <w:rFonts w:hint="eastAsia"/>
          <w:color w:val="auto"/>
          <w:szCs w:val="21"/>
          <w:highlight w:val="none"/>
          <w:u w:val="single"/>
        </w:rPr>
        <w:t>）和</w:t>
      </w:r>
      <w:r>
        <w:rPr>
          <w:rFonts w:hint="eastAsia"/>
          <w:color w:val="auto"/>
          <w:szCs w:val="21"/>
          <w:highlight w:val="none"/>
          <w:u w:val="single"/>
          <w:lang w:eastAsia="zh-CN"/>
        </w:rPr>
        <w:t>广州</w:t>
      </w:r>
      <w:r>
        <w:rPr>
          <w:rFonts w:hint="eastAsia"/>
          <w:color w:val="auto"/>
          <w:szCs w:val="21"/>
          <w:highlight w:val="none"/>
          <w:u w:val="single"/>
        </w:rPr>
        <w:t>市有关文件规定。</w:t>
      </w:r>
    </w:p>
    <w:p w14:paraId="36E11F1C">
      <w:pPr>
        <w:adjustRightInd w:val="0"/>
        <w:snapToGrid w:val="0"/>
        <w:spacing w:line="360" w:lineRule="auto"/>
        <w:ind w:firstLine="420"/>
        <w:rPr>
          <w:color w:val="auto"/>
          <w:szCs w:val="21"/>
          <w:highlight w:val="none"/>
          <w:u w:val="single"/>
        </w:rPr>
      </w:pPr>
      <w:r>
        <w:rPr>
          <w:rFonts w:hint="eastAsia"/>
          <w:color w:val="auto"/>
          <w:szCs w:val="21"/>
          <w:highlight w:val="none"/>
          <w:u w:val="single"/>
        </w:rPr>
        <w:t>承包人为保证工期和质量而采取的相关措施（包括夜间施工、自行发电、自行供水等）所发生费用由承包人承担。</w:t>
      </w:r>
    </w:p>
    <w:p w14:paraId="7B7E70F8">
      <w:pPr>
        <w:adjustRightInd w:val="0"/>
        <w:snapToGrid w:val="0"/>
        <w:spacing w:line="360" w:lineRule="auto"/>
        <w:ind w:firstLine="420"/>
        <w:rPr>
          <w:color w:val="auto"/>
          <w:szCs w:val="21"/>
          <w:highlight w:val="none"/>
          <w:u w:val="single"/>
        </w:rPr>
      </w:pPr>
      <w:r>
        <w:rPr>
          <w:color w:val="auto"/>
          <w:szCs w:val="21"/>
          <w:highlight w:val="none"/>
          <w:u w:val="single"/>
        </w:rPr>
        <w:t>3</w:t>
      </w:r>
      <w:r>
        <w:rPr>
          <w:rFonts w:hint="eastAsia"/>
          <w:color w:val="auto"/>
          <w:szCs w:val="21"/>
          <w:highlight w:val="none"/>
          <w:u w:val="single"/>
        </w:rPr>
        <w:t>）承包人应按照政府有关部门要求设置工地视频监管或现场装备实时监测系统的要求，安装配备并承担费用。</w:t>
      </w:r>
    </w:p>
    <w:p w14:paraId="4A693D96">
      <w:pPr>
        <w:adjustRightInd w:val="0"/>
        <w:snapToGrid w:val="0"/>
        <w:spacing w:line="360" w:lineRule="auto"/>
        <w:ind w:firstLine="420"/>
        <w:rPr>
          <w:color w:val="auto"/>
          <w:szCs w:val="21"/>
          <w:highlight w:val="none"/>
          <w:u w:val="single"/>
        </w:rPr>
      </w:pPr>
      <w:r>
        <w:rPr>
          <w:rFonts w:hint="eastAsia"/>
          <w:color w:val="auto"/>
          <w:szCs w:val="21"/>
          <w:highlight w:val="none"/>
          <w:u w:val="single"/>
        </w:rPr>
        <w:t>4）</w:t>
      </w:r>
      <w:r>
        <w:rPr>
          <w:color w:val="auto"/>
          <w:szCs w:val="21"/>
          <w:highlight w:val="none"/>
          <w:u w:val="single"/>
        </w:rPr>
        <w:t>承包人负责在工程施工、竣工及保修的整个过程中施工现场全部人员的安全，并承担由此引起的一切经济赔偿和责任。</w:t>
      </w:r>
    </w:p>
    <w:p w14:paraId="68840148">
      <w:pPr>
        <w:adjustRightInd w:val="0"/>
        <w:snapToGrid w:val="0"/>
        <w:spacing w:line="360" w:lineRule="auto"/>
        <w:ind w:firstLine="420"/>
        <w:rPr>
          <w:color w:val="auto"/>
          <w:szCs w:val="21"/>
          <w:highlight w:val="none"/>
          <w:u w:val="single"/>
        </w:rPr>
      </w:pPr>
      <w:r>
        <w:rPr>
          <w:rFonts w:hint="eastAsia"/>
          <w:color w:val="auto"/>
          <w:szCs w:val="21"/>
          <w:highlight w:val="none"/>
          <w:u w:val="single"/>
        </w:rPr>
        <w:t>5）</w:t>
      </w:r>
      <w:r>
        <w:rPr>
          <w:color w:val="auto"/>
          <w:szCs w:val="21"/>
          <w:highlight w:val="none"/>
          <w:u w:val="single"/>
        </w:rPr>
        <w:t>承包人应遵守工程建设安全生产有关管理规定，建立健全安全防护和文明施工的制度，完善安全防护和文明施工条件，严格按安全文明施工的相关规定组织施工，采取必要的安全防护措施，消除事故隐患，并随时接受有关部门依法实施的监督检查。由于承包人违反安全生产有关规定或安全措施不力造成事故的责任和因此发生的费用，由承包人承担。</w:t>
      </w:r>
    </w:p>
    <w:p w14:paraId="6C001727">
      <w:pPr>
        <w:ind w:firstLine="420" w:firstLineChars="200"/>
        <w:rPr>
          <w:color w:val="auto"/>
          <w:szCs w:val="21"/>
          <w:highlight w:val="none"/>
          <w:u w:val="single"/>
        </w:rPr>
      </w:pPr>
      <w:r>
        <w:rPr>
          <w:rFonts w:hint="eastAsia"/>
          <w:color w:val="auto"/>
          <w:szCs w:val="21"/>
          <w:highlight w:val="none"/>
          <w:u w:val="single"/>
        </w:rPr>
        <w:t>6）承包人无条件接受发包人委托的第三方项目管理单位的管理。管理范围及权限详见附件。</w:t>
      </w:r>
    </w:p>
    <w:p w14:paraId="6A04E00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4.2 履约担保</w:t>
      </w:r>
    </w:p>
    <w:p w14:paraId="1E98649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承包人提供履约担保的方式、金额、期限：</w:t>
      </w:r>
    </w:p>
    <w:p w14:paraId="4D802037">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（1）承包人是否提供履约担保：</w:t>
      </w:r>
      <w:r>
        <w:rPr>
          <w:rFonts w:hint="eastAsia" w:ascii="宋体" w:hAnsi="宋体" w:cs="宋体"/>
          <w:color w:val="auto"/>
          <w:kern w:val="0"/>
          <w:szCs w:val="21"/>
          <w:highlight w:val="none"/>
          <w:u w:val="single"/>
          <w:lang w:bidi="ar"/>
        </w:rPr>
        <w:t>提供</w:t>
      </w:r>
      <w:r>
        <w:rPr>
          <w:rFonts w:hint="eastAsia" w:ascii="宋体" w:hAnsi="宋体" w:cs="宋体"/>
          <w:color w:val="auto"/>
          <w:kern w:val="0"/>
          <w:szCs w:val="21"/>
          <w:highlight w:val="none"/>
          <w:lang w:bidi="ar"/>
        </w:rPr>
        <w:t>。</w:t>
      </w:r>
    </w:p>
    <w:p w14:paraId="6017FC38">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s="宋体"/>
          <w:color w:val="auto"/>
          <w:kern w:val="0"/>
          <w:szCs w:val="21"/>
          <w:highlight w:val="none"/>
          <w:lang w:bidi="ar"/>
        </w:rPr>
        <w:t>（2）履约担保的方式：</w:t>
      </w:r>
      <w:r>
        <w:rPr>
          <w:rFonts w:hint="eastAsia" w:ascii="宋体" w:hAnsi="宋体"/>
          <w:color w:val="auto"/>
          <w:kern w:val="0"/>
          <w:szCs w:val="21"/>
          <w:highlight w:val="none"/>
        </w:rPr>
        <w:t>现金或履约保函或现金</w:t>
      </w:r>
      <w:r>
        <w:rPr>
          <w:rFonts w:ascii="宋体" w:hAnsi="宋体"/>
          <w:color w:val="auto"/>
          <w:kern w:val="0"/>
          <w:szCs w:val="21"/>
          <w:highlight w:val="none"/>
        </w:rPr>
        <w:t>+履约保函的组合，履约保函包括银行保函、保证保险和担保保函，其示范文本详见合同附件。承包人提交的履约保函应严格执行其示范文本，不得对示范文本中的实质性内容进行修改。</w:t>
      </w:r>
    </w:p>
    <w:p w14:paraId="66A3CC0B">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olor w:val="auto"/>
          <w:kern w:val="0"/>
          <w:szCs w:val="21"/>
          <w:highlight w:val="none"/>
        </w:rPr>
        <w:t>（3）具体要求：履约保函的开立人应当是具有相应资格的银行，其信用资质、履约能力、担保能力、赔付流程、安全保密等应符合履约保函业务条件。履约保函应合法合规，符合招投标行政监督部门、行业主管部门和金融监管部门的相关规定，满足招标文件约定要求。履约保函为纸质保函的，纸质保函应注明在</w:t>
      </w:r>
      <w:r>
        <w:rPr>
          <w:rFonts w:hint="eastAsia" w:ascii="宋体" w:hAnsi="宋体"/>
          <w:color w:val="auto"/>
          <w:kern w:val="0"/>
          <w:szCs w:val="21"/>
          <w:highlight w:val="none"/>
          <w:lang w:val="en-US" w:eastAsia="zh-CN"/>
        </w:rPr>
        <w:t>广州</w:t>
      </w:r>
      <w:r>
        <w:rPr>
          <w:rFonts w:hint="eastAsia" w:ascii="宋体" w:hAnsi="宋体"/>
          <w:color w:val="auto"/>
          <w:kern w:val="0"/>
          <w:szCs w:val="21"/>
          <w:highlight w:val="none"/>
        </w:rPr>
        <w:t>市辖区范围内的核验地址和核验方式，并确保该纸质保函能在开立人在</w:t>
      </w:r>
      <w:r>
        <w:rPr>
          <w:rFonts w:hint="eastAsia" w:ascii="宋体" w:hAnsi="宋体"/>
          <w:color w:val="auto"/>
          <w:kern w:val="0"/>
          <w:szCs w:val="21"/>
          <w:highlight w:val="none"/>
          <w:lang w:val="en-US" w:eastAsia="zh-CN"/>
        </w:rPr>
        <w:t>广州市</w:t>
      </w:r>
      <w:r>
        <w:rPr>
          <w:rFonts w:hint="eastAsia" w:ascii="宋体" w:hAnsi="宋体"/>
          <w:color w:val="auto"/>
          <w:kern w:val="0"/>
          <w:szCs w:val="21"/>
          <w:highlight w:val="none"/>
        </w:rPr>
        <w:t>的总部或者分支机构进行核验。承包人对所提交的履约保函的真实性、合法性、有效性负责</w:t>
      </w:r>
      <w:r>
        <w:rPr>
          <w:rFonts w:hint="eastAsia" w:ascii="宋体" w:hAnsi="宋体" w:cs="宋体"/>
          <w:color w:val="auto"/>
          <w:kern w:val="0"/>
          <w:szCs w:val="21"/>
          <w:highlight w:val="none"/>
          <w:lang w:bidi="ar"/>
        </w:rPr>
        <w:t>。</w:t>
      </w:r>
    </w:p>
    <w:p w14:paraId="1D0796C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履约保函应该是</w:t>
      </w:r>
      <w:r>
        <w:rPr>
          <w:rFonts w:hint="eastAsia"/>
          <w:color w:val="auto"/>
          <w:szCs w:val="21"/>
          <w:highlight w:val="none"/>
          <w:u w:val="single"/>
        </w:rPr>
        <w:t>发包人认可的无条件见索即付的</w:t>
      </w:r>
      <w:r>
        <w:rPr>
          <w:rFonts w:hint="eastAsia"/>
          <w:color w:val="auto"/>
          <w:szCs w:val="21"/>
          <w:highlight w:val="none"/>
          <w:u w:val="single"/>
        </w:rPr>
        <w:t>银行</w:t>
      </w:r>
      <w:r>
        <w:rPr>
          <w:rFonts w:hint="eastAsia"/>
          <w:color w:val="auto"/>
          <w:szCs w:val="21"/>
          <w:highlight w:val="none"/>
          <w:u w:val="single"/>
        </w:rPr>
        <w:t>履约保函；</w:t>
      </w:r>
    </w:p>
    <w:p w14:paraId="2C6017D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（4）履约担保的金额：</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同预付款金额</w:t>
      </w:r>
      <w:r>
        <w:rPr>
          <w:rFonts w:hint="eastAsia" w:ascii="宋体" w:hAnsi="宋体" w:cs="宋体"/>
          <w:color w:val="auto"/>
          <w:kern w:val="0"/>
          <w:szCs w:val="21"/>
          <w:highlight w:val="none"/>
          <w:lang w:bidi="ar"/>
        </w:rPr>
        <w:t>。</w:t>
      </w:r>
    </w:p>
    <w:p w14:paraId="4750FAB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（5）</w:t>
      </w:r>
      <w:bookmarkStart w:id="1713" w:name="OLE_LINK32"/>
      <w:r>
        <w:rPr>
          <w:rFonts w:hint="eastAsia" w:ascii="宋体" w:hAnsi="宋体" w:cs="宋体"/>
          <w:color w:val="auto"/>
          <w:kern w:val="0"/>
          <w:szCs w:val="21"/>
          <w:highlight w:val="none"/>
          <w:lang w:bidi="ar"/>
        </w:rPr>
        <w:t>履约担保的提交时间：</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u w:val="single"/>
          <w:lang w:val="en-US" w:eastAsia="zh-CN" w:bidi="ar"/>
        </w:rPr>
        <w:t>合同签订后，预付款支付前</w:t>
      </w:r>
      <w:r>
        <w:rPr>
          <w:rFonts w:hint="eastAsia" w:ascii="宋体" w:hAnsi="宋体" w:cs="宋体"/>
          <w:color w:val="auto"/>
          <w:kern w:val="0"/>
          <w:szCs w:val="21"/>
          <w:highlight w:val="none"/>
          <w:u w:val="single"/>
          <w:lang w:bidi="ar"/>
        </w:rPr>
        <w:t xml:space="preserve"> </w:t>
      </w:r>
      <w:bookmarkEnd w:id="1713"/>
      <w:r>
        <w:rPr>
          <w:rFonts w:hint="eastAsia" w:ascii="宋体" w:hAnsi="宋体" w:cs="宋体"/>
          <w:color w:val="auto"/>
          <w:kern w:val="0"/>
          <w:szCs w:val="21"/>
          <w:highlight w:val="none"/>
          <w:lang w:bidi="ar"/>
        </w:rPr>
        <w:t>。</w:t>
      </w:r>
    </w:p>
    <w:p w14:paraId="13FF4B5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（6）履约担保的期限：</w:t>
      </w:r>
      <w:r>
        <w:rPr>
          <w:color w:val="auto"/>
          <w:szCs w:val="21"/>
          <w:highlight w:val="none"/>
          <w:u w:val="single"/>
        </w:rPr>
        <w:t>自履约保函签发之日起至</w:t>
      </w:r>
      <w:r>
        <w:rPr>
          <w:rFonts w:hint="eastAsia"/>
          <w:color w:val="auto"/>
          <w:szCs w:val="21"/>
          <w:highlight w:val="none"/>
          <w:u w:val="single"/>
        </w:rPr>
        <w:t>五方</w:t>
      </w:r>
      <w:r>
        <w:rPr>
          <w:color w:val="auto"/>
          <w:szCs w:val="21"/>
          <w:highlight w:val="none"/>
          <w:u w:val="single"/>
        </w:rPr>
        <w:t>验收</w:t>
      </w:r>
      <w:r>
        <w:rPr>
          <w:rFonts w:hint="eastAsia"/>
          <w:color w:val="auto"/>
          <w:szCs w:val="21"/>
          <w:highlight w:val="none"/>
          <w:u w:val="single"/>
        </w:rPr>
        <w:t>合格</w:t>
      </w:r>
      <w:r>
        <w:rPr>
          <w:color w:val="auto"/>
          <w:szCs w:val="21"/>
          <w:highlight w:val="none"/>
          <w:u w:val="single"/>
        </w:rPr>
        <w:t>后 30 日止</w:t>
      </w:r>
      <w:r>
        <w:rPr>
          <w:rFonts w:hint="eastAsia"/>
          <w:color w:val="auto"/>
          <w:szCs w:val="21"/>
          <w:highlight w:val="none"/>
          <w:u w:val="single"/>
        </w:rPr>
        <w:t>，履约保函到期后，无息退回</w:t>
      </w:r>
      <w:r>
        <w:rPr>
          <w:rFonts w:hint="eastAsia" w:ascii="宋体" w:hAnsi="宋体" w:cs="宋体"/>
          <w:color w:val="auto"/>
          <w:kern w:val="0"/>
          <w:szCs w:val="21"/>
          <w:highlight w:val="none"/>
          <w:lang w:bidi="ar"/>
        </w:rPr>
        <w:t>。</w:t>
      </w:r>
    </w:p>
    <w:p w14:paraId="7E06BD7D">
      <w:pPr>
        <w:adjustRightInd w:val="0"/>
        <w:snapToGrid w:val="0"/>
        <w:spacing w:line="360" w:lineRule="auto"/>
        <w:ind w:firstLine="42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（7）履约担保的退还和延期：</w:t>
      </w:r>
    </w:p>
    <w:p w14:paraId="5701F163">
      <w:pPr>
        <w:adjustRightInd w:val="0"/>
        <w:snapToGrid w:val="0"/>
        <w:spacing w:line="360" w:lineRule="auto"/>
        <w:ind w:firstLine="420"/>
        <w:rPr>
          <w:color w:val="auto"/>
          <w:szCs w:val="21"/>
          <w:highlight w:val="none"/>
          <w:u w:val="single"/>
        </w:rPr>
      </w:pPr>
      <w:r>
        <w:rPr>
          <w:rFonts w:hint="eastAsia"/>
          <w:color w:val="auto"/>
          <w:szCs w:val="21"/>
          <w:highlight w:val="none"/>
          <w:u w:val="single"/>
        </w:rPr>
        <w:t>A.因工期延误，导致项目无法在保函有效期内竣工时，发包人可以根据实际情况判断是否要求承包人对保函进行延期。如发包人要求承包人对保函进行延期，则承包人不得拒绝；</w:t>
      </w:r>
    </w:p>
    <w:p w14:paraId="727A9291">
      <w:pPr>
        <w:adjustRightInd w:val="0"/>
        <w:snapToGrid w:val="0"/>
        <w:spacing w:line="360" w:lineRule="auto"/>
        <w:ind w:firstLine="420"/>
        <w:rPr>
          <w:color w:val="auto"/>
          <w:szCs w:val="21"/>
          <w:highlight w:val="none"/>
          <w:u w:val="single"/>
        </w:rPr>
      </w:pPr>
      <w:r>
        <w:rPr>
          <w:rFonts w:hint="eastAsia"/>
          <w:color w:val="auto"/>
          <w:szCs w:val="21"/>
          <w:highlight w:val="none"/>
          <w:u w:val="single"/>
        </w:rPr>
        <w:t>B.</w:t>
      </w:r>
      <w:r>
        <w:rPr>
          <w:rFonts w:hint="eastAsia"/>
          <w:color w:val="auto"/>
          <w:szCs w:val="21"/>
          <w:highlight w:val="none"/>
          <w:u w:val="single"/>
        </w:rPr>
        <w:t>因</w:t>
      </w:r>
      <w:r>
        <w:rPr>
          <w:rFonts w:hint="eastAsia"/>
          <w:color w:val="auto"/>
          <w:szCs w:val="21"/>
          <w:highlight w:val="none"/>
          <w:u w:val="single"/>
          <w:lang w:val="en-US" w:eastAsia="zh-CN"/>
        </w:rPr>
        <w:t>承包人原因导致的</w:t>
      </w:r>
      <w:r>
        <w:rPr>
          <w:rFonts w:hint="eastAsia"/>
          <w:color w:val="auto"/>
          <w:szCs w:val="21"/>
          <w:highlight w:val="none"/>
          <w:u w:val="single"/>
        </w:rPr>
        <w:t>保函延期所产生的必要费用，由承包人承担。</w:t>
      </w:r>
    </w:p>
    <w:p w14:paraId="4D3B09A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4.3 工程总承包项目经理</w:t>
      </w:r>
    </w:p>
    <w:p w14:paraId="2ED5903A">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4.3.1 工程总承包项目经理姓名：</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w:t>
      </w:r>
    </w:p>
    <w:p w14:paraId="2CB3768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执业资格或职称类型：</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w:t>
      </w:r>
    </w:p>
    <w:p w14:paraId="4503D27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执业资格证或职称证号码：</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w:t>
      </w:r>
    </w:p>
    <w:p w14:paraId="716DC58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承包人应在本合同订立前提交与总承包项目经理签订的劳动合同及为总承包项目经理缴纳社会保险的证明，承包人未在限期内提交的，发包人有权要求更换总承包项目经理或</w:t>
      </w:r>
      <w:r>
        <w:rPr>
          <w:rFonts w:hint="eastAsia"/>
          <w:color w:val="auto"/>
          <w:szCs w:val="21"/>
          <w:highlight w:val="none"/>
          <w:u w:val="single"/>
        </w:rPr>
        <w:t>责令限期提交劳动合同并补缴社会保险</w:t>
      </w:r>
      <w:r>
        <w:rPr>
          <w:rFonts w:hint="eastAsia" w:ascii="宋体" w:hAnsi="宋体" w:cs="宋体"/>
          <w:color w:val="auto"/>
          <w:kern w:val="0"/>
          <w:szCs w:val="21"/>
          <w:highlight w:val="none"/>
          <w:lang w:bidi="ar"/>
        </w:rPr>
        <w:t>。</w:t>
      </w:r>
    </w:p>
    <w:p w14:paraId="67B45AE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4.3.2 工程总承包项目经理每月在现场的时间要求：</w:t>
      </w:r>
      <w:r>
        <w:rPr>
          <w:rFonts w:hint="eastAsia"/>
          <w:color w:val="auto"/>
          <w:szCs w:val="21"/>
          <w:highlight w:val="none"/>
          <w:u w:val="single"/>
        </w:rPr>
        <w:t>项目经理</w:t>
      </w:r>
      <w:bookmarkStart w:id="1714" w:name="OLE_LINK1"/>
      <w:r>
        <w:rPr>
          <w:rFonts w:hint="eastAsia"/>
          <w:color w:val="auto"/>
          <w:szCs w:val="21"/>
          <w:highlight w:val="none"/>
          <w:u w:val="single"/>
        </w:rPr>
        <w:t>须保证驻工地每周天数不少于五天(每月不少于22天，国家法定节假日除外)</w:t>
      </w:r>
      <w:bookmarkEnd w:id="1714"/>
      <w:r>
        <w:rPr>
          <w:rFonts w:hint="eastAsia"/>
          <w:color w:val="auto"/>
          <w:szCs w:val="21"/>
          <w:highlight w:val="none"/>
          <w:u w:val="single"/>
        </w:rPr>
        <w:t>，如遇特殊情况需要离开施工现场时</w:t>
      </w:r>
      <w:r>
        <w:rPr>
          <w:rFonts w:hint="eastAsia" w:ascii="宋体" w:hAnsi="宋体" w:cs="宋体"/>
          <w:color w:val="auto"/>
          <w:kern w:val="0"/>
          <w:szCs w:val="21"/>
          <w:highlight w:val="none"/>
          <w:u w:val="single"/>
          <w:lang w:bidi="ar"/>
        </w:rPr>
        <w:t>，</w:t>
      </w:r>
      <w:r>
        <w:rPr>
          <w:rFonts w:hint="eastAsia"/>
          <w:color w:val="auto"/>
          <w:szCs w:val="21"/>
          <w:highlight w:val="none"/>
          <w:u w:val="single"/>
        </w:rPr>
        <w:t>需要向发包人申报，经发包人认可后方可离开（为本项目实施而出差等视为在现场）。</w:t>
      </w:r>
    </w:p>
    <w:p w14:paraId="367390A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工程总承包项目经理未经批准擅自离开施工现场的违约责任：</w:t>
      </w:r>
      <w:r>
        <w:rPr>
          <w:rFonts w:hint="eastAsia"/>
          <w:color w:val="auto"/>
          <w:szCs w:val="21"/>
          <w:highlight w:val="none"/>
          <w:u w:val="single"/>
        </w:rPr>
        <w:t>每少一天承担</w:t>
      </w:r>
      <w:r>
        <w:rPr>
          <w:color w:val="auto"/>
          <w:szCs w:val="21"/>
          <w:highlight w:val="none"/>
          <w:u w:val="single"/>
        </w:rPr>
        <w:t>5000</w:t>
      </w:r>
      <w:r>
        <w:rPr>
          <w:rFonts w:hint="eastAsia"/>
          <w:color w:val="auto"/>
          <w:szCs w:val="21"/>
          <w:highlight w:val="none"/>
          <w:u w:val="single"/>
        </w:rPr>
        <w:t>元的违约金，发包人或发包人的管理团队有权要求承包人进行整改；项目经理的月到位率连续两个月不足50%的，则承包人按前述违约金的标准承担违约责任外，发包人还有权单方解除合同</w:t>
      </w:r>
      <w:r>
        <w:rPr>
          <w:rFonts w:hint="eastAsia"/>
          <w:color w:val="auto"/>
          <w:szCs w:val="21"/>
          <w:highlight w:val="none"/>
        </w:rPr>
        <w:t>。</w:t>
      </w:r>
    </w:p>
    <w:p w14:paraId="0249B0B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4.3.3 承包人对工程总承包项目经理的授权范围:</w:t>
      </w:r>
      <w:r>
        <w:rPr>
          <w:rFonts w:hint="eastAsia"/>
          <w:color w:val="auto"/>
          <w:szCs w:val="21"/>
          <w:highlight w:val="none"/>
          <w:u w:val="single"/>
        </w:rPr>
        <w:t>承包人授予项目经理履行合同约定职责所需的全部权力，代表承包人履行合同约定的职责、行使合同明文规定或必然隐含的权力，对承包人负责。项目经理在承包人授予职权范围内的工作，承包人均予认可</w:t>
      </w:r>
      <w:r>
        <w:rPr>
          <w:rFonts w:hint="eastAsia"/>
          <w:color w:val="auto"/>
          <w:szCs w:val="21"/>
          <w:highlight w:val="none"/>
        </w:rPr>
        <w:t>。</w:t>
      </w:r>
    </w:p>
    <w:p w14:paraId="20A32E3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4.3.4 承包人擅自更换工程总承包项目经理的违约责任：</w:t>
      </w:r>
      <w:r>
        <w:rPr>
          <w:rFonts w:hint="eastAsia"/>
          <w:color w:val="auto"/>
          <w:szCs w:val="21"/>
          <w:highlight w:val="none"/>
          <w:u w:val="single"/>
        </w:rPr>
        <w:t>未经发包人同意，承包人擅自更换项目经理，发包人或发包人的管理团队有权要求承包人在10天内予以更正，如承包人拒不改正的，承包人应承担承担10</w:t>
      </w:r>
      <w:r>
        <w:rPr>
          <w:rFonts w:hint="eastAsia"/>
          <w:color w:val="auto"/>
          <w:szCs w:val="21"/>
          <w:highlight w:val="none"/>
          <w:u w:val="single"/>
          <w:lang w:val="en-US" w:eastAsia="zh-CN"/>
        </w:rPr>
        <w:t>0</w:t>
      </w:r>
      <w:r>
        <w:rPr>
          <w:rFonts w:hint="eastAsia"/>
          <w:color w:val="auto"/>
          <w:szCs w:val="21"/>
          <w:highlight w:val="none"/>
          <w:u w:val="single"/>
        </w:rPr>
        <w:t>万元/次的违约金，同时发包人有权单方解除合同</w:t>
      </w:r>
      <w:r>
        <w:rPr>
          <w:rFonts w:hint="eastAsia"/>
          <w:color w:val="auto"/>
          <w:szCs w:val="21"/>
          <w:highlight w:val="none"/>
        </w:rPr>
        <w:t>。</w:t>
      </w:r>
    </w:p>
    <w:p w14:paraId="515E032A">
      <w:pPr>
        <w:adjustRightInd w:val="0"/>
        <w:snapToGrid w:val="0"/>
        <w:spacing w:line="360" w:lineRule="auto"/>
        <w:ind w:firstLine="420"/>
        <w:rPr>
          <w:color w:val="auto"/>
          <w:szCs w:val="21"/>
          <w:highlight w:val="none"/>
        </w:rPr>
      </w:pPr>
      <w:r>
        <w:rPr>
          <w:rFonts w:hint="eastAsia" w:ascii="宋体" w:hAnsi="宋体" w:cs="宋体"/>
          <w:color w:val="auto"/>
          <w:kern w:val="0"/>
          <w:szCs w:val="21"/>
          <w:highlight w:val="none"/>
          <w:lang w:bidi="ar"/>
        </w:rPr>
        <w:t>4.3.5 承包人无正当理由拒绝更换工程总承包项目经理的违约责任:</w:t>
      </w:r>
      <w:r>
        <w:rPr>
          <w:rFonts w:hint="eastAsia"/>
          <w:color w:val="auto"/>
          <w:szCs w:val="21"/>
          <w:highlight w:val="none"/>
          <w:u w:val="single"/>
        </w:rPr>
        <w:t>发包人或发包人的管理团队有权要求承包人纠正，在接到发包人要求纠正的书面通知10天仍不纠正的，如承包人拒不纠正的，承包人应承担承担</w:t>
      </w:r>
      <w:r>
        <w:rPr>
          <w:rFonts w:hint="eastAsia"/>
          <w:color w:val="auto"/>
          <w:szCs w:val="21"/>
          <w:highlight w:val="none"/>
          <w:u w:val="single"/>
          <w:lang w:val="en-US" w:eastAsia="zh-CN"/>
        </w:rPr>
        <w:t>100</w:t>
      </w:r>
      <w:r>
        <w:rPr>
          <w:rFonts w:hint="eastAsia"/>
          <w:color w:val="auto"/>
          <w:szCs w:val="21"/>
          <w:highlight w:val="none"/>
          <w:u w:val="single"/>
        </w:rPr>
        <w:t>万元/次的违约金，同时发包人有权单方解除合同</w:t>
      </w:r>
      <w:r>
        <w:rPr>
          <w:color w:val="auto"/>
          <w:szCs w:val="21"/>
          <w:highlight w:val="none"/>
        </w:rPr>
        <w:t>。</w:t>
      </w:r>
    </w:p>
    <w:p w14:paraId="142E75B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4.4 承包人人员</w:t>
      </w:r>
    </w:p>
    <w:p w14:paraId="6C72711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4.4.1 人员安排</w:t>
      </w:r>
    </w:p>
    <w:p w14:paraId="674BAEB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承包人提交项目管理机构及施工现场人员安排的报告的期限：</w:t>
      </w:r>
      <w:r>
        <w:rPr>
          <w:rFonts w:hint="eastAsia" w:ascii="宋体" w:hAnsi="宋体" w:cs="宋体"/>
          <w:color w:val="auto"/>
          <w:kern w:val="0"/>
          <w:szCs w:val="21"/>
          <w:highlight w:val="none"/>
          <w:u w:val="single"/>
          <w:lang w:bidi="ar"/>
        </w:rPr>
        <w:t>合同订立后</w:t>
      </w:r>
      <w:r>
        <w:rPr>
          <w:rFonts w:ascii="宋体" w:hAnsi="宋体" w:cs="宋体"/>
          <w:color w:val="auto"/>
          <w:kern w:val="0"/>
          <w:szCs w:val="21"/>
          <w:highlight w:val="none"/>
          <w:u w:val="single"/>
          <w:lang w:bidi="ar"/>
        </w:rPr>
        <w:t>7天内。</w:t>
      </w:r>
    </w:p>
    <w:p w14:paraId="70CDE58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承包人提交关键人员信息及注册执业资格等证明其具备担任关键人员能力的相关文件的期限：</w:t>
      </w:r>
      <w:r>
        <w:rPr>
          <w:rFonts w:hint="eastAsia" w:ascii="宋体" w:hAnsi="宋体" w:cs="宋体"/>
          <w:color w:val="auto"/>
          <w:kern w:val="0"/>
          <w:szCs w:val="21"/>
          <w:highlight w:val="none"/>
          <w:u w:val="single"/>
          <w:lang w:bidi="ar"/>
        </w:rPr>
        <w:t>合同订立后</w:t>
      </w:r>
      <w:r>
        <w:rPr>
          <w:rFonts w:ascii="宋体" w:hAnsi="宋体" w:cs="宋体"/>
          <w:color w:val="auto"/>
          <w:kern w:val="0"/>
          <w:szCs w:val="21"/>
          <w:highlight w:val="none"/>
          <w:u w:val="single"/>
          <w:lang w:bidi="ar"/>
        </w:rPr>
        <w:t>7天内。</w:t>
      </w:r>
    </w:p>
    <w:p w14:paraId="71AE42A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4.4.2 关键人员更换</w:t>
      </w:r>
    </w:p>
    <w:p w14:paraId="3679729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承包人擅自更换关键人员的违约责任：</w:t>
      </w:r>
      <w:r>
        <w:rPr>
          <w:rFonts w:hint="eastAsia"/>
          <w:color w:val="auto"/>
          <w:szCs w:val="21"/>
          <w:highlight w:val="none"/>
          <w:u w:val="single"/>
        </w:rPr>
        <w:t>未经发包人同意，承包人擅自更换技术负责人、施工负责人、施工员、专职安全员、质量员，承包人应按</w:t>
      </w:r>
      <w:r>
        <w:rPr>
          <w:rFonts w:hint="eastAsia"/>
          <w:color w:val="auto"/>
          <w:szCs w:val="21"/>
          <w:highlight w:val="none"/>
          <w:u w:val="single"/>
          <w:lang w:val="en-US" w:eastAsia="zh-CN"/>
        </w:rPr>
        <w:t>50</w:t>
      </w:r>
      <w:r>
        <w:rPr>
          <w:rFonts w:hint="eastAsia"/>
          <w:color w:val="auto"/>
          <w:szCs w:val="21"/>
          <w:highlight w:val="none"/>
          <w:u w:val="single"/>
        </w:rPr>
        <w:t>万元/次的标准承担违约金，同时发包人或发包人的管理团队有权要求承包人在10天内予以更正。经发包人或发包人的管理团队书面提醒后，仍不整改，发包人有权单方解除合同，由此造成的损失由承包人承担</w:t>
      </w:r>
      <w:r>
        <w:rPr>
          <w:rFonts w:hint="eastAsia"/>
          <w:color w:val="auto"/>
          <w:szCs w:val="21"/>
          <w:highlight w:val="none"/>
        </w:rPr>
        <w:t>。</w:t>
      </w:r>
    </w:p>
    <w:p w14:paraId="2AC28948">
      <w:pPr>
        <w:widowControl/>
        <w:adjustRightInd w:val="0"/>
        <w:snapToGrid w:val="0"/>
        <w:spacing w:line="360" w:lineRule="auto"/>
        <w:ind w:firstLine="420"/>
        <w:rPr>
          <w:rFonts w:ascii="宋体" w:hAnsi="宋体" w:cs="宋体"/>
          <w:color w:val="auto"/>
          <w:kern w:val="0"/>
          <w:highlight w:val="none"/>
        </w:rPr>
      </w:pPr>
      <w:r>
        <w:rPr>
          <w:rFonts w:hint="eastAsia" w:ascii="宋体" w:hAnsi="宋体" w:cs="宋体"/>
          <w:color w:val="auto"/>
          <w:kern w:val="0"/>
          <w:szCs w:val="21"/>
          <w:highlight w:val="none"/>
          <w:lang w:bidi="ar"/>
        </w:rPr>
        <w:t>承包人无正当理由拒绝撤换关键人员的违约责任：</w:t>
      </w:r>
      <w:bookmarkStart w:id="1715" w:name="_Hlk58838700"/>
      <w:r>
        <w:rPr>
          <w:rFonts w:hint="eastAsia"/>
          <w:color w:val="auto"/>
          <w:szCs w:val="21"/>
          <w:highlight w:val="none"/>
          <w:u w:val="single"/>
        </w:rPr>
        <w:t>发包人要求承包人更换其认为不称职的技术负责人、施工负责人、施工员、专职安全员、质量员，承包人未遵照执行的，承包人应按</w:t>
      </w:r>
      <w:r>
        <w:rPr>
          <w:rFonts w:hint="eastAsia"/>
          <w:color w:val="auto"/>
          <w:szCs w:val="21"/>
          <w:highlight w:val="none"/>
          <w:u w:val="single"/>
          <w:lang w:val="en-US" w:eastAsia="zh-CN"/>
        </w:rPr>
        <w:t>50</w:t>
      </w:r>
      <w:r>
        <w:rPr>
          <w:rFonts w:hint="eastAsia"/>
          <w:color w:val="auto"/>
          <w:szCs w:val="21"/>
          <w:highlight w:val="none"/>
          <w:u w:val="single"/>
        </w:rPr>
        <w:t>万元/次的标准承担违约金，同时发包人或发包人的管理团队有权要求承包人在10天内予以更正。经发包人书面提醒后，仍不整改，发包人有权单方解除合同，由此造成的损失由承包人承担</w:t>
      </w:r>
      <w:r>
        <w:rPr>
          <w:rFonts w:hint="eastAsia"/>
          <w:color w:val="auto"/>
          <w:szCs w:val="21"/>
          <w:highlight w:val="none"/>
        </w:rPr>
        <w:t>。</w:t>
      </w:r>
      <w:bookmarkEnd w:id="1715"/>
    </w:p>
    <w:p w14:paraId="3685BB4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4.4.3 现场管理关键人员在岗要求</w:t>
      </w:r>
    </w:p>
    <w:p w14:paraId="3581860A">
      <w:pPr>
        <w:widowControl/>
        <w:adjustRightInd w:val="0"/>
        <w:snapToGrid w:val="0"/>
        <w:spacing w:line="360" w:lineRule="auto"/>
        <w:ind w:firstLine="420"/>
        <w:rPr>
          <w:rFonts w:ascii="宋体" w:hAnsi="宋体" w:cs="宋体"/>
          <w:color w:val="auto"/>
          <w:kern w:val="0"/>
          <w:highlight w:val="none"/>
        </w:rPr>
      </w:pPr>
      <w:r>
        <w:rPr>
          <w:rFonts w:hint="eastAsia" w:ascii="宋体" w:hAnsi="宋体" w:cs="宋体"/>
          <w:color w:val="auto"/>
          <w:kern w:val="0"/>
          <w:szCs w:val="21"/>
          <w:highlight w:val="none"/>
          <w:lang w:bidi="ar"/>
        </w:rPr>
        <w:t>承包人现场管理关键人员离开施工现场的批准要求：</w:t>
      </w:r>
      <w:r>
        <w:rPr>
          <w:rFonts w:hint="eastAsia"/>
          <w:color w:val="auto"/>
          <w:szCs w:val="21"/>
          <w:highlight w:val="none"/>
          <w:u w:val="single"/>
        </w:rPr>
        <w:t>技术负责人、施工负责人、施工员、专职安全员、质量员离开现场，需报发包人批准</w:t>
      </w:r>
      <w:r>
        <w:rPr>
          <w:rFonts w:hint="eastAsia"/>
          <w:color w:val="auto"/>
          <w:szCs w:val="21"/>
          <w:highlight w:val="none"/>
          <w:u w:val="single"/>
          <w:lang w:eastAsia="zh-CN"/>
        </w:rPr>
        <w:t>，</w:t>
      </w:r>
      <w:r>
        <w:rPr>
          <w:rFonts w:hint="eastAsia"/>
          <w:color w:val="auto"/>
          <w:szCs w:val="21"/>
          <w:highlight w:val="none"/>
          <w:u w:val="single"/>
        </w:rPr>
        <w:t>须保证驻工地每周天数不少于五天(每月不少于22天，国家法定节假日除外)</w:t>
      </w:r>
      <w:r>
        <w:rPr>
          <w:rFonts w:hint="eastAsia"/>
          <w:color w:val="auto"/>
          <w:szCs w:val="21"/>
          <w:highlight w:val="none"/>
        </w:rPr>
        <w:t>。</w:t>
      </w:r>
    </w:p>
    <w:p w14:paraId="741091E7">
      <w:pPr>
        <w:widowControl/>
        <w:adjustRightInd w:val="0"/>
        <w:snapToGrid w:val="0"/>
        <w:spacing w:line="360" w:lineRule="auto"/>
        <w:ind w:firstLine="420"/>
        <w:rPr>
          <w:rFonts w:ascii="宋体" w:hAnsi="宋体" w:cs="宋体"/>
          <w:color w:val="auto"/>
          <w:kern w:val="0"/>
          <w:highlight w:val="none"/>
        </w:rPr>
      </w:pPr>
      <w:r>
        <w:rPr>
          <w:rFonts w:hint="eastAsia" w:ascii="宋体" w:hAnsi="宋体" w:cs="宋体"/>
          <w:color w:val="auto"/>
          <w:kern w:val="0"/>
          <w:szCs w:val="21"/>
          <w:highlight w:val="none"/>
          <w:lang w:bidi="ar"/>
        </w:rPr>
        <w:t>承包人现场管理关键人员擅自离开施工现场的违约责任：</w:t>
      </w:r>
      <w:r>
        <w:rPr>
          <w:rFonts w:hint="eastAsia"/>
          <w:color w:val="auto"/>
          <w:szCs w:val="21"/>
          <w:highlight w:val="none"/>
          <w:u w:val="single"/>
        </w:rPr>
        <w:t>按3000元/天（不足一天按一天计算）的标准承担违约金，同时发包或发包人的管理团队人有权要求承包人予以更正。关键人员月到位率不足50%的，则承包人按前述违约金的标准承担违约责任外，发包人有权单方解除合同，由此造成的损失由承包人承担</w:t>
      </w:r>
      <w:r>
        <w:rPr>
          <w:rFonts w:hint="eastAsia"/>
          <w:color w:val="auto"/>
          <w:szCs w:val="21"/>
          <w:highlight w:val="none"/>
        </w:rPr>
        <w:t>。</w:t>
      </w:r>
      <w:bookmarkStart w:id="1716" w:name="_Hlk528927718"/>
      <w:bookmarkEnd w:id="1716"/>
    </w:p>
    <w:p w14:paraId="32F99245">
      <w:pPr>
        <w:widowControl/>
        <w:adjustRightInd w:val="0"/>
        <w:snapToGrid w:val="0"/>
        <w:spacing w:after="120" w:afterLines="50" w:line="360" w:lineRule="auto"/>
        <w:ind w:firstLine="420" w:firstLineChars="200"/>
        <w:jc w:val="left"/>
        <w:rPr>
          <w:rFonts w:ascii="宋体" w:hAnsi="宋体" w:cs="宋体"/>
          <w:color w:val="auto"/>
          <w:kern w:val="0"/>
          <w:highlight w:val="none"/>
        </w:rPr>
      </w:pPr>
      <w:r>
        <w:rPr>
          <w:rFonts w:ascii="宋体" w:hAnsi="宋体" w:cs="宋体"/>
          <w:color w:val="auto"/>
          <w:kern w:val="0"/>
          <w:szCs w:val="21"/>
          <w:highlight w:val="none"/>
          <w:lang w:bidi="ar"/>
        </w:rPr>
        <w:t xml:space="preserve">4.4.4 </w:t>
      </w:r>
      <w:r>
        <w:rPr>
          <w:rFonts w:hint="eastAsia" w:ascii="宋体" w:hAnsi="宋体" w:cs="宋体"/>
          <w:color w:val="auto"/>
          <w:kern w:val="0"/>
          <w:szCs w:val="21"/>
          <w:highlight w:val="none"/>
          <w:lang w:bidi="ar"/>
        </w:rPr>
        <w:t>发包人有权书面通知承包人更换其认为不称职</w:t>
      </w:r>
      <w:r>
        <w:rPr>
          <w:rFonts w:ascii="宋体" w:hAnsi="宋体" w:cs="宋体"/>
          <w:color w:val="auto"/>
          <w:kern w:val="0"/>
          <w:szCs w:val="21"/>
          <w:highlight w:val="none"/>
          <w:lang w:bidi="ar"/>
        </w:rPr>
        <w:t>/不履职的工程总承包项目经理、设计负责人、施工负责人或施工技术负责人，通知中应当载明要求更换的理由。承包人应在接到更换通知后7天内向发包人提出书面的整改报告。发包人收到整改报告后仍要求更换的，承包人应在接到第二次更换通知的14天内进行更换，并将新任命人员的注册执业资格、职称证书、管理经验等资料书面报送发包人审核批准。继任人员继续履行合同约定的职责。</w:t>
      </w:r>
    </w:p>
    <w:p w14:paraId="32336336">
      <w:pPr>
        <w:widowControl/>
        <w:adjustRightInd w:val="0"/>
        <w:snapToGrid w:val="0"/>
        <w:spacing w:after="120" w:afterLines="50"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若总承包项目经理、设计负责人、施工负责人或施工技术负责人出现下列情形需更换的，承包人应向发包人发出通知，经发包人领导班子集体决策同意后予以批准，并将变更信息推送给行业主管部门：</w:t>
      </w:r>
    </w:p>
    <w:p w14:paraId="5DCA24BF">
      <w:pPr>
        <w:widowControl/>
        <w:adjustRightInd w:val="0"/>
        <w:snapToGrid w:val="0"/>
        <w:spacing w:after="120" w:afterLines="50"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1）死亡；</w:t>
      </w:r>
    </w:p>
    <w:p w14:paraId="5C722AF1">
      <w:pPr>
        <w:widowControl/>
        <w:adjustRightInd w:val="0"/>
        <w:snapToGrid w:val="0"/>
        <w:spacing w:after="120" w:afterLines="50"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2）非承包人原因导致工期延长，而致使项目经理和技术负责人达到法定退休年龄且确需退休；</w:t>
      </w:r>
    </w:p>
    <w:p w14:paraId="52A1A470">
      <w:pPr>
        <w:widowControl/>
        <w:adjustRightInd w:val="0"/>
        <w:snapToGrid w:val="0"/>
        <w:spacing w:after="120" w:afterLines="50"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3）按《职工非因工伤残或因病丧失劳动能力程度鉴定标准（试行）》规定鉴定为完全丧失劳动能力和大部分丧失劳动能力；</w:t>
      </w:r>
    </w:p>
    <w:p w14:paraId="46439626">
      <w:pPr>
        <w:widowControl/>
        <w:adjustRightInd w:val="0"/>
        <w:snapToGrid w:val="0"/>
        <w:spacing w:after="120" w:afterLines="50"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4）非承包人原因导致中标3个月不能开工；</w:t>
      </w:r>
    </w:p>
    <w:p w14:paraId="67D81D2B">
      <w:pPr>
        <w:widowControl/>
        <w:adjustRightInd w:val="0"/>
        <w:snapToGrid w:val="0"/>
        <w:spacing w:after="120" w:afterLines="50"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5）被公安或者司法机关限制人身自由；</w:t>
      </w:r>
    </w:p>
    <w:p w14:paraId="51C1F33D">
      <w:pPr>
        <w:widowControl/>
        <w:adjustRightInd w:val="0"/>
        <w:snapToGrid w:val="0"/>
        <w:spacing w:after="120" w:afterLines="50"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6）被取消职称或者执业资格，不满足项目管理要求；</w:t>
      </w:r>
    </w:p>
    <w:p w14:paraId="50FA5BB0">
      <w:pPr>
        <w:widowControl/>
        <w:adjustRightInd w:val="0"/>
        <w:snapToGrid w:val="0"/>
        <w:spacing w:after="120" w:afterLines="50"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7）非承包人原因导致确需变更的其它情形。</w:t>
      </w:r>
    </w:p>
    <w:p w14:paraId="4D5BD81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4.5 分包</w:t>
      </w:r>
    </w:p>
    <w:p w14:paraId="23DE736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4.5.1 一般约定</w:t>
      </w:r>
    </w:p>
    <w:p w14:paraId="1C39BCF5">
      <w:pPr>
        <w:adjustRightInd w:val="0"/>
        <w:snapToGrid w:val="0"/>
        <w:spacing w:line="360" w:lineRule="auto"/>
        <w:ind w:firstLine="420"/>
        <w:rPr>
          <w:color w:val="auto"/>
          <w:szCs w:val="21"/>
          <w:highlight w:val="none"/>
          <w:u w:val="single"/>
        </w:rPr>
      </w:pPr>
      <w:r>
        <w:rPr>
          <w:rFonts w:hint="eastAsia" w:ascii="宋体" w:hAnsi="宋体" w:cs="宋体"/>
          <w:color w:val="auto"/>
          <w:kern w:val="0"/>
          <w:szCs w:val="21"/>
          <w:highlight w:val="none"/>
          <w:lang w:bidi="ar"/>
        </w:rPr>
        <w:t>禁止分包的工程包括：</w:t>
      </w:r>
      <w:r>
        <w:rPr>
          <w:rFonts w:hint="eastAsia"/>
          <w:color w:val="auto"/>
          <w:szCs w:val="21"/>
          <w:highlight w:val="none"/>
          <w:u w:val="single"/>
        </w:rPr>
        <w:t>a.承包人违反相关法律法规的规定将中标项目整体或肢解项目转包给第三方施工的，如该违约行为在施工过程中被发包人或发包人的管理团队查实的，发包人有权要求承包人撤销该非法转包或直接单方解除合同，承包人应向发包人承担总承包范围内合同价款20%的违约金，并承担发包人的实际损失；如该违约行为在工程结算或结算完成后被发包人或发包人的管理团队查实的，承包人应按总承包范围工程结算价的20%，向发包人承担违约责任，并承担发包人的实际损失。</w:t>
      </w:r>
    </w:p>
    <w:p w14:paraId="43B8C1B6">
      <w:pPr>
        <w:adjustRightInd w:val="0"/>
        <w:snapToGrid w:val="0"/>
        <w:spacing w:line="360" w:lineRule="auto"/>
        <w:ind w:firstLine="420"/>
        <w:rPr>
          <w:color w:val="auto"/>
          <w:szCs w:val="21"/>
          <w:highlight w:val="none"/>
          <w:u w:val="single"/>
        </w:rPr>
      </w:pPr>
      <w:r>
        <w:rPr>
          <w:rFonts w:hint="eastAsia"/>
          <w:color w:val="auto"/>
          <w:szCs w:val="21"/>
          <w:highlight w:val="none"/>
          <w:u w:val="single"/>
        </w:rPr>
        <w:t>b.承包人违反本合同的约定擅自将专业分包项目分包给第三方施工的，如该违约行为在施工过程中被发包人或发包人的管理团队查实的，发包人有权要求承包人撤销该擅自分包或直接单方解除合同，承包人应向发包人承担该专业分包项目合同价款20%的违约金，并承担发包人的实际损失；如该违约行为在工程结算或结算完成后被发包人或发包人的管理团队查实的，承包人应按该专业分包项目结算价的20%，向发包人承担违约责任，并承担发包人的实际损失。</w:t>
      </w:r>
    </w:p>
    <w:p w14:paraId="567B6C4D">
      <w:pPr>
        <w:widowControl/>
        <w:spacing w:line="360" w:lineRule="auto"/>
        <w:ind w:firstLine="420" w:firstLineChars="200"/>
        <w:rPr>
          <w:rFonts w:ascii="宋体" w:hAnsi="宋体" w:cs="宋体"/>
          <w:color w:val="auto"/>
          <w:kern w:val="0"/>
          <w:highlight w:val="none"/>
        </w:rPr>
      </w:pPr>
      <w:r>
        <w:rPr>
          <w:rFonts w:hint="eastAsia"/>
          <w:color w:val="auto"/>
          <w:szCs w:val="21"/>
          <w:highlight w:val="none"/>
          <w:u w:val="single"/>
        </w:rPr>
        <w:t>以上条款中的实际损失包括但不限于：发包人遭受相关部门的处罚、因实际施工第三方产生的诉讼或仲裁导致发包人对外承担的全部责任、发包人的维权费用律师费、交通费、保全保险费、保全费、诉讼费等。</w:t>
      </w:r>
    </w:p>
    <w:p w14:paraId="6700698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4.5.2 分包的确定</w:t>
      </w:r>
    </w:p>
    <w:p w14:paraId="706FDEF8">
      <w:pPr>
        <w:widowControl/>
        <w:adjustRightInd w:val="0"/>
        <w:snapToGrid w:val="0"/>
        <w:spacing w:line="360" w:lineRule="auto"/>
        <w:ind w:firstLine="420"/>
        <w:rPr>
          <w:rFonts w:ascii="宋体" w:hAnsi="宋体" w:cs="宋体"/>
          <w:color w:val="auto"/>
          <w:kern w:val="0"/>
          <w:highlight w:val="none"/>
        </w:rPr>
      </w:pPr>
      <w:r>
        <w:rPr>
          <w:rFonts w:hint="eastAsia" w:ascii="宋体" w:hAnsi="宋体" w:cs="宋体"/>
          <w:color w:val="auto"/>
          <w:kern w:val="0"/>
          <w:szCs w:val="21"/>
          <w:highlight w:val="none"/>
          <w:lang w:bidi="ar"/>
        </w:rPr>
        <w:t>允许分包的工程包括：</w:t>
      </w:r>
      <w:r>
        <w:rPr>
          <w:rFonts w:hint="eastAsia"/>
          <w:color w:val="auto"/>
          <w:szCs w:val="21"/>
          <w:highlight w:val="none"/>
          <w:u w:val="single"/>
        </w:rPr>
        <w:t>主体工程及法律规定禁止分包的工作事项之外的部分，经发包人批准后可进行专业分包</w:t>
      </w:r>
      <w:r>
        <w:rPr>
          <w:color w:val="auto"/>
          <w:szCs w:val="21"/>
          <w:highlight w:val="none"/>
        </w:rPr>
        <w:t>。</w:t>
      </w:r>
    </w:p>
    <w:p w14:paraId="62AC44E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其他关于分包的约定：</w:t>
      </w:r>
    </w:p>
    <w:p w14:paraId="0E6707F5">
      <w:pPr>
        <w:numPr>
          <w:ilvl w:val="0"/>
          <w:numId w:val="8"/>
        </w:numPr>
        <w:adjustRightInd w:val="0"/>
        <w:snapToGrid w:val="0"/>
        <w:spacing w:line="360" w:lineRule="auto"/>
        <w:ind w:firstLine="420"/>
        <w:rPr>
          <w:color w:val="auto"/>
          <w:szCs w:val="21"/>
          <w:highlight w:val="none"/>
          <w:u w:val="single"/>
        </w:rPr>
      </w:pPr>
      <w:r>
        <w:rPr>
          <w:rFonts w:hint="eastAsia"/>
          <w:color w:val="auto"/>
          <w:szCs w:val="21"/>
          <w:highlight w:val="none"/>
          <w:u w:val="single"/>
        </w:rPr>
        <w:t>承包人违背招标文件对专业分包规定，以及违反本合同对专业分包范围约定的，擅自分包或自行施工、采购的，发包人有权单方解除本合同，所造成的损失由承包人承担。如该分包项目已经施工或已经完成，发包人有权要求立即停工并恢复原状。承包人应自行承担实际施工人、供应商的全部损失。</w:t>
      </w:r>
    </w:p>
    <w:p w14:paraId="28B2F1D8">
      <w:pPr>
        <w:spacing w:line="360" w:lineRule="auto"/>
        <w:ind w:firstLine="420"/>
        <w:rPr>
          <w:color w:val="auto"/>
          <w:szCs w:val="21"/>
          <w:highlight w:val="none"/>
          <w:u w:val="single"/>
        </w:rPr>
      </w:pPr>
      <w:r>
        <w:rPr>
          <w:rFonts w:hint="eastAsia"/>
          <w:color w:val="auto"/>
          <w:szCs w:val="21"/>
          <w:highlight w:val="none"/>
          <w:u w:val="single"/>
        </w:rPr>
        <w:t>（</w:t>
      </w:r>
      <w:r>
        <w:rPr>
          <w:color w:val="auto"/>
          <w:szCs w:val="21"/>
          <w:highlight w:val="none"/>
          <w:u w:val="single"/>
        </w:rPr>
        <w:t>2</w:t>
      </w:r>
      <w:r>
        <w:rPr>
          <w:rFonts w:hint="eastAsia"/>
          <w:color w:val="auto"/>
          <w:szCs w:val="21"/>
          <w:highlight w:val="none"/>
          <w:u w:val="single"/>
        </w:rPr>
        <w:t>）合同包含的专业暂估项目</w:t>
      </w:r>
    </w:p>
    <w:p w14:paraId="7B238569">
      <w:pPr>
        <w:numPr>
          <w:ilvl w:val="0"/>
          <w:numId w:val="9"/>
        </w:numPr>
        <w:spacing w:line="360" w:lineRule="auto"/>
        <w:rPr>
          <w:rFonts w:hAnsi="Calibri"/>
          <w:color w:val="auto"/>
          <w:szCs w:val="21"/>
          <w:highlight w:val="none"/>
          <w:u w:val="single"/>
        </w:rPr>
      </w:pPr>
      <w:r>
        <w:rPr>
          <w:rFonts w:hint="eastAsia"/>
          <w:color w:val="auto"/>
          <w:szCs w:val="21"/>
          <w:highlight w:val="none"/>
          <w:u w:val="single"/>
        </w:rPr>
        <w:t>由发包人作为采购人。</w:t>
      </w:r>
    </w:p>
    <w:p w14:paraId="5CF3B9AB">
      <w:pPr>
        <w:numPr>
          <w:ilvl w:val="0"/>
          <w:numId w:val="9"/>
        </w:numPr>
        <w:spacing w:line="360" w:lineRule="auto"/>
        <w:rPr>
          <w:color w:val="auto"/>
          <w:szCs w:val="21"/>
          <w:highlight w:val="none"/>
          <w:u w:val="single"/>
        </w:rPr>
      </w:pPr>
      <w:r>
        <w:rPr>
          <w:rFonts w:hint="eastAsia"/>
          <w:color w:val="auto"/>
          <w:szCs w:val="21"/>
          <w:highlight w:val="none"/>
          <w:u w:val="single"/>
        </w:rPr>
        <w:t>对于依法招标的项目，承包人接受发包人聘请的招标代理单位完成专业暂估项目的招标工作。</w:t>
      </w:r>
    </w:p>
    <w:p w14:paraId="42099F99">
      <w:pPr>
        <w:numPr>
          <w:ilvl w:val="0"/>
          <w:numId w:val="9"/>
        </w:numPr>
        <w:spacing w:line="360" w:lineRule="auto"/>
        <w:rPr>
          <w:rFonts w:hAnsi="Calibri"/>
          <w:color w:val="auto"/>
          <w:szCs w:val="21"/>
          <w:highlight w:val="none"/>
          <w:u w:val="single"/>
        </w:rPr>
      </w:pPr>
      <w:r>
        <w:rPr>
          <w:rFonts w:hint="eastAsia"/>
          <w:color w:val="auto"/>
          <w:szCs w:val="21"/>
          <w:highlight w:val="none"/>
          <w:u w:val="single"/>
        </w:rPr>
        <w:t>发包人有权委派评标代表，评标委员会应当由五人以上单数构成，承包人自愿放弃委派评标代表的权利，发包人评标代表应当由发包人委派。</w:t>
      </w:r>
    </w:p>
    <w:p w14:paraId="64751D42">
      <w:pPr>
        <w:numPr>
          <w:ilvl w:val="0"/>
          <w:numId w:val="9"/>
        </w:numPr>
        <w:spacing w:line="360" w:lineRule="auto"/>
        <w:rPr>
          <w:rFonts w:hAnsi="Calibri"/>
          <w:color w:val="auto"/>
          <w:szCs w:val="21"/>
          <w:highlight w:val="none"/>
          <w:u w:val="single"/>
        </w:rPr>
      </w:pPr>
      <w:r>
        <w:rPr>
          <w:rFonts w:hint="eastAsia"/>
          <w:color w:val="auto"/>
          <w:szCs w:val="21"/>
          <w:highlight w:val="none"/>
          <w:u w:val="single"/>
        </w:rPr>
        <w:t>承包人违背招标文件对专业分包规定，以及违反本合同对专业分包范围约定的，擅自分包或自行施工、采购的，发包人有权单方解除本合同，所造成的损失由承包人承担。如该分包项目已经施工或已经完成，发包人有权要求立即停工并恢复原状。承包人应自行承担实际施工人、供应商的全部损失。</w:t>
      </w:r>
    </w:p>
    <w:p w14:paraId="40094F56">
      <w:pPr>
        <w:numPr>
          <w:ilvl w:val="0"/>
          <w:numId w:val="9"/>
        </w:numPr>
        <w:spacing w:line="360" w:lineRule="auto"/>
        <w:rPr>
          <w:color w:val="auto"/>
          <w:szCs w:val="21"/>
          <w:highlight w:val="none"/>
          <w:u w:val="single"/>
        </w:rPr>
      </w:pPr>
      <w:r>
        <w:rPr>
          <w:rFonts w:hint="eastAsia"/>
          <w:color w:val="auto"/>
          <w:szCs w:val="21"/>
          <w:highlight w:val="none"/>
          <w:u w:val="single"/>
        </w:rPr>
        <w:t>承包人、分包人以及发包人可三方共同签订工程分包施工合同</w:t>
      </w:r>
      <w:r>
        <w:rPr>
          <w:rFonts w:hint="eastAsia"/>
          <w:color w:val="auto"/>
          <w:szCs w:val="21"/>
          <w:highlight w:val="none"/>
          <w:u w:val="single"/>
        </w:rPr>
        <w:t>（如发包人要求签订三方合同，总承包人拒绝，需要向发包人承担违约金，违约金额为分包中标价的10%，如由于承包人拒签合同的行为导致工程停工、延误，发包人有权解除本合同）。</w:t>
      </w:r>
    </w:p>
    <w:p w14:paraId="61376192">
      <w:pPr>
        <w:numPr>
          <w:ilvl w:val="0"/>
          <w:numId w:val="9"/>
        </w:numPr>
        <w:spacing w:line="360" w:lineRule="auto"/>
        <w:rPr>
          <w:color w:val="auto"/>
          <w:szCs w:val="21"/>
          <w:highlight w:val="none"/>
          <w:u w:val="single"/>
        </w:rPr>
      </w:pPr>
      <w:r>
        <w:rPr>
          <w:rFonts w:hint="eastAsia"/>
          <w:color w:val="auto"/>
          <w:szCs w:val="21"/>
          <w:highlight w:val="none"/>
          <w:u w:val="single"/>
        </w:rPr>
        <w:t>专业工程暂估价合同价款由发包人直接支付给分包单位，分包单位向发包人开具发票，具体支付方式在分包合同中约定。承包人需配合完成相应手续</w:t>
      </w:r>
      <w:r>
        <w:rPr>
          <w:rFonts w:hint="eastAsia"/>
          <w:color w:val="auto"/>
          <w:szCs w:val="21"/>
          <w:highlight w:val="none"/>
          <w:u w:val="single"/>
        </w:rPr>
        <w:t>。</w:t>
      </w:r>
    </w:p>
    <w:p w14:paraId="50EC6A18">
      <w:pPr>
        <w:adjustRightInd w:val="0"/>
        <w:snapToGrid w:val="0"/>
        <w:spacing w:line="360" w:lineRule="auto"/>
        <w:ind w:firstLine="420"/>
        <w:rPr>
          <w:color w:val="auto"/>
          <w:szCs w:val="21"/>
          <w:highlight w:val="none"/>
          <w:u w:val="single"/>
        </w:rPr>
      </w:pPr>
      <w:r>
        <w:rPr>
          <w:rFonts w:hint="eastAsia"/>
          <w:color w:val="auto"/>
          <w:szCs w:val="21"/>
          <w:highlight w:val="none"/>
          <w:u w:val="single"/>
        </w:rPr>
        <w:t>(3)</w:t>
      </w:r>
      <w:r>
        <w:rPr>
          <w:rFonts w:hint="eastAsia"/>
          <w:color w:val="auto"/>
          <w:szCs w:val="21"/>
          <w:highlight w:val="none"/>
          <w:u w:val="single"/>
        </w:rPr>
        <w:tab/>
      </w:r>
      <w:r>
        <w:rPr>
          <w:rFonts w:hint="eastAsia"/>
          <w:color w:val="auto"/>
          <w:szCs w:val="21"/>
          <w:highlight w:val="none"/>
          <w:u w:val="single"/>
        </w:rPr>
        <w:t>发包方直接发包工程</w:t>
      </w:r>
    </w:p>
    <w:p w14:paraId="7C2C69D8">
      <w:pPr>
        <w:adjustRightInd w:val="0"/>
        <w:snapToGrid w:val="0"/>
        <w:spacing w:line="360" w:lineRule="auto"/>
        <w:ind w:firstLine="420"/>
        <w:rPr>
          <w:color w:val="auto"/>
          <w:szCs w:val="21"/>
          <w:highlight w:val="none"/>
          <w:u w:val="single"/>
        </w:rPr>
      </w:pPr>
      <w:r>
        <w:rPr>
          <w:color w:val="auto"/>
          <w:szCs w:val="21"/>
          <w:highlight w:val="none"/>
          <w:u w:val="single"/>
        </w:rPr>
        <w:t xml:space="preserve"> </w:t>
      </w:r>
      <w:r>
        <w:rPr>
          <w:rFonts w:hint="eastAsia"/>
          <w:color w:val="auto"/>
          <w:szCs w:val="21"/>
          <w:highlight w:val="none"/>
          <w:u w:val="single"/>
        </w:rPr>
        <w:t>由发包人作为招标人选择专项供应商或专业分包人的方式进行招标，发包人依法组织招标工作并接受有管辖权的建设工程招标投标行政监督部门的监督(如需）。</w:t>
      </w:r>
    </w:p>
    <w:p w14:paraId="4FD3C626">
      <w:pPr>
        <w:adjustRightInd w:val="0"/>
        <w:snapToGrid w:val="0"/>
        <w:spacing w:line="360" w:lineRule="auto"/>
        <w:ind w:firstLine="420"/>
        <w:rPr>
          <w:color w:val="auto"/>
          <w:szCs w:val="21"/>
          <w:highlight w:val="none"/>
          <w:u w:val="single"/>
        </w:rPr>
      </w:pPr>
      <w:r>
        <w:rPr>
          <w:rFonts w:hint="eastAsia"/>
          <w:color w:val="auto"/>
          <w:szCs w:val="21"/>
          <w:highlight w:val="none"/>
          <w:u w:val="single"/>
        </w:rPr>
        <w:t>（4）对于合同包含的专业暂估项目及发包方直接发包工程，承包人向发包人收取总承包服务及配合费用，专业工程费率按</w:t>
      </w:r>
      <w:r>
        <w:rPr>
          <w:color w:val="auto"/>
          <w:szCs w:val="21"/>
          <w:highlight w:val="none"/>
          <w:u w:val="single"/>
        </w:rPr>
        <w:t>2</w:t>
      </w:r>
      <w:r>
        <w:rPr>
          <w:rFonts w:hint="eastAsia"/>
          <w:color w:val="auto"/>
          <w:szCs w:val="21"/>
          <w:highlight w:val="none"/>
          <w:u w:val="single"/>
        </w:rPr>
        <w:t>%，物流设备费及信息费率按0.2%计取。上述总包管理服务及配合费已包含在合同价款中，承包人在投标时已经充分考虑配合服务内容及潜在的配合付出，</w:t>
      </w:r>
      <w:r>
        <w:rPr>
          <w:rFonts w:hint="eastAsia"/>
          <w:color w:val="auto"/>
          <w:szCs w:val="21"/>
          <w:highlight w:val="none"/>
          <w:u w:val="single"/>
        </w:rPr>
        <w:t>一旦中标该服务</w:t>
      </w:r>
      <w:r>
        <w:rPr>
          <w:rFonts w:hint="eastAsia"/>
          <w:color w:val="auto"/>
          <w:szCs w:val="21"/>
          <w:highlight w:val="none"/>
          <w:u w:val="single"/>
          <w:lang w:val="en-US" w:eastAsia="zh-CN"/>
        </w:rPr>
        <w:t>及配合</w:t>
      </w:r>
      <w:r>
        <w:rPr>
          <w:rFonts w:hint="eastAsia"/>
          <w:color w:val="auto"/>
          <w:szCs w:val="21"/>
          <w:highlight w:val="none"/>
          <w:u w:val="single"/>
        </w:rPr>
        <w:t>费除结算金额变化</w:t>
      </w:r>
      <w:r>
        <w:rPr>
          <w:rFonts w:hint="eastAsia"/>
          <w:color w:val="auto"/>
          <w:szCs w:val="21"/>
          <w:highlight w:val="none"/>
          <w:u w:val="single"/>
          <w:lang w:val="en-US" w:eastAsia="zh-CN"/>
        </w:rPr>
        <w:t>外</w:t>
      </w:r>
      <w:r>
        <w:rPr>
          <w:rFonts w:hint="eastAsia"/>
          <w:color w:val="auto"/>
          <w:szCs w:val="21"/>
          <w:highlight w:val="none"/>
          <w:u w:val="single"/>
        </w:rPr>
        <w:t>不以任何原因而改变</w:t>
      </w:r>
      <w:r>
        <w:rPr>
          <w:rFonts w:hint="eastAsia"/>
          <w:color w:val="auto"/>
          <w:szCs w:val="21"/>
          <w:highlight w:val="none"/>
          <w:u w:val="single"/>
        </w:rPr>
        <w:t>；承包人不得以任何理由再向分包人（及发包人）收取其他费用，包括且不限于管理服务、照管服务、施工配合、运输费、垃圾清运费。</w:t>
      </w:r>
    </w:p>
    <w:p w14:paraId="06762710">
      <w:pPr>
        <w:adjustRightInd w:val="0"/>
        <w:snapToGrid w:val="0"/>
        <w:spacing w:line="360" w:lineRule="auto"/>
        <w:ind w:firstLine="420"/>
        <w:rPr>
          <w:color w:val="auto"/>
          <w:szCs w:val="21"/>
          <w:highlight w:val="none"/>
          <w:u w:val="single"/>
        </w:rPr>
      </w:pPr>
      <w:r>
        <w:rPr>
          <w:rFonts w:hint="eastAsia"/>
          <w:color w:val="auto"/>
          <w:szCs w:val="21"/>
          <w:highlight w:val="none"/>
          <w:u w:val="single"/>
        </w:rPr>
        <w:t>该费用包括但不限于以下内容：</w:t>
      </w:r>
    </w:p>
    <w:p w14:paraId="2547E2FF">
      <w:pPr>
        <w:adjustRightInd w:val="0"/>
        <w:snapToGrid w:val="0"/>
        <w:spacing w:line="360" w:lineRule="auto"/>
        <w:ind w:firstLine="420"/>
        <w:rPr>
          <w:color w:val="auto"/>
          <w:szCs w:val="21"/>
          <w:highlight w:val="none"/>
          <w:u w:val="single"/>
        </w:rPr>
      </w:pPr>
      <w:r>
        <w:rPr>
          <w:rFonts w:hint="eastAsia"/>
          <w:color w:val="auto"/>
          <w:szCs w:val="21"/>
          <w:highlight w:val="none"/>
          <w:u w:val="single"/>
        </w:rPr>
        <w:t>a)</w:t>
      </w:r>
      <w:r>
        <w:rPr>
          <w:color w:val="auto"/>
          <w:szCs w:val="21"/>
          <w:highlight w:val="none"/>
          <w:u w:val="single"/>
        </w:rPr>
        <w:t xml:space="preserve"> </w:t>
      </w:r>
      <w:r>
        <w:rPr>
          <w:rFonts w:hint="eastAsia"/>
          <w:color w:val="auto"/>
          <w:szCs w:val="21"/>
          <w:highlight w:val="none"/>
          <w:u w:val="single"/>
        </w:rPr>
        <w:t>承包人承担总包责任所发生的费用</w:t>
      </w:r>
    </w:p>
    <w:p w14:paraId="2EC1A88E">
      <w:pPr>
        <w:adjustRightInd w:val="0"/>
        <w:snapToGrid w:val="0"/>
        <w:spacing w:line="360" w:lineRule="auto"/>
        <w:ind w:firstLine="420"/>
        <w:rPr>
          <w:color w:val="auto"/>
          <w:szCs w:val="21"/>
          <w:highlight w:val="none"/>
          <w:u w:val="single"/>
        </w:rPr>
      </w:pPr>
      <w:r>
        <w:rPr>
          <w:rFonts w:hint="eastAsia"/>
          <w:color w:val="auto"/>
          <w:szCs w:val="21"/>
          <w:highlight w:val="none"/>
          <w:u w:val="single"/>
        </w:rPr>
        <w:t>承包人需对专业工程及发包人直接发包工程提供协调配合管理服务、为政府部门或公共事业单位提供以下可能位于现场范围内的项目的照管服务：各类水管管线、电力供应干线、煤气管线、电话线等的接驳，接至施工现场的各种管线的施工等，相应费用已经在其他项目清单的总承包服务费中单独开列，即使未单列，将被视为已包括在其他项目中，本合同签订后不再调整。</w:t>
      </w:r>
    </w:p>
    <w:p w14:paraId="22FC1109">
      <w:pPr>
        <w:adjustRightInd w:val="0"/>
        <w:snapToGrid w:val="0"/>
        <w:spacing w:line="360" w:lineRule="auto"/>
        <w:ind w:firstLine="420"/>
        <w:rPr>
          <w:color w:val="auto"/>
          <w:szCs w:val="21"/>
          <w:highlight w:val="none"/>
          <w:u w:val="single"/>
        </w:rPr>
      </w:pPr>
      <w:r>
        <w:rPr>
          <w:rFonts w:hint="eastAsia"/>
          <w:color w:val="auto"/>
          <w:szCs w:val="21"/>
          <w:highlight w:val="none"/>
          <w:u w:val="single"/>
        </w:rPr>
        <w:t>b)</w:t>
      </w:r>
      <w:r>
        <w:rPr>
          <w:color w:val="auto"/>
          <w:szCs w:val="21"/>
          <w:highlight w:val="none"/>
          <w:u w:val="single"/>
        </w:rPr>
        <w:t xml:space="preserve"> </w:t>
      </w:r>
      <w:r>
        <w:rPr>
          <w:rFonts w:hint="eastAsia"/>
          <w:color w:val="auto"/>
          <w:szCs w:val="21"/>
          <w:highlight w:val="none"/>
          <w:u w:val="single"/>
        </w:rPr>
        <w:t>分包工程施工完毕，土建工程的收尾和修复以及使用承包人的施工所用水电管线等费用。（水电费不包含在总承包服务配合费中，建议用装表计量，按照实际用量，按当地政府发布的市场价格结算；或按分包合同中人工及机械台班的直接费1.5％记取由分包人支付，如合同无法区分人工及机械台班费用，则按合同总价20%计算）。</w:t>
      </w:r>
    </w:p>
    <w:p w14:paraId="200E02B8">
      <w:pPr>
        <w:adjustRightInd w:val="0"/>
        <w:snapToGrid w:val="0"/>
        <w:spacing w:line="360" w:lineRule="auto"/>
        <w:ind w:firstLine="420"/>
        <w:rPr>
          <w:color w:val="auto"/>
          <w:szCs w:val="21"/>
          <w:highlight w:val="none"/>
          <w:u w:val="single"/>
        </w:rPr>
      </w:pPr>
      <w:r>
        <w:rPr>
          <w:rFonts w:hint="eastAsia"/>
          <w:color w:val="auto"/>
          <w:szCs w:val="21"/>
          <w:highlight w:val="none"/>
          <w:u w:val="single"/>
        </w:rPr>
        <w:t>承包人提供材料堆放场地及施工场地，并作出诸如装卸、起吊、安排场地等一些必要的协助。（总包如向工程分包人提供在工地内能独立使用的办公以及生活的房屋及材料仓库，其费用不包含在总承包服务配合费中，有双方自行协商）</w:t>
      </w:r>
    </w:p>
    <w:p w14:paraId="171A71DF">
      <w:pPr>
        <w:adjustRightInd w:val="0"/>
        <w:snapToGrid w:val="0"/>
        <w:spacing w:line="360" w:lineRule="auto"/>
        <w:ind w:firstLine="420"/>
        <w:rPr>
          <w:color w:val="auto"/>
          <w:szCs w:val="21"/>
          <w:highlight w:val="none"/>
          <w:u w:val="single"/>
        </w:rPr>
      </w:pPr>
      <w:r>
        <w:rPr>
          <w:rFonts w:hint="eastAsia"/>
          <w:color w:val="auto"/>
          <w:szCs w:val="21"/>
          <w:highlight w:val="none"/>
          <w:u w:val="single"/>
        </w:rPr>
        <w:t>提供专业工程及发包人直接发包工程分包人施工与照明用电、施工用水，并供应其调试所需的负荷。</w:t>
      </w:r>
    </w:p>
    <w:p w14:paraId="5D13A62E">
      <w:pPr>
        <w:adjustRightInd w:val="0"/>
        <w:snapToGrid w:val="0"/>
        <w:spacing w:line="360" w:lineRule="auto"/>
        <w:ind w:firstLine="420"/>
        <w:rPr>
          <w:color w:val="auto"/>
          <w:szCs w:val="21"/>
          <w:highlight w:val="none"/>
          <w:u w:val="single"/>
        </w:rPr>
      </w:pPr>
      <w:r>
        <w:rPr>
          <w:rFonts w:hint="eastAsia"/>
          <w:color w:val="auto"/>
          <w:szCs w:val="21"/>
          <w:highlight w:val="none"/>
          <w:u w:val="single"/>
        </w:rPr>
        <w:t>c)</w:t>
      </w:r>
      <w:r>
        <w:rPr>
          <w:color w:val="auto"/>
          <w:szCs w:val="21"/>
          <w:highlight w:val="none"/>
          <w:u w:val="single"/>
        </w:rPr>
        <w:t xml:space="preserve"> </w:t>
      </w:r>
      <w:r>
        <w:rPr>
          <w:rFonts w:hint="eastAsia"/>
          <w:color w:val="auto"/>
          <w:szCs w:val="21"/>
          <w:highlight w:val="none"/>
          <w:u w:val="single"/>
        </w:rPr>
        <w:t>分包人使用承包人现场临时工程及在用的脚手架、塔吊、施工电梯等费用；</w:t>
      </w:r>
    </w:p>
    <w:p w14:paraId="5CFA4D31">
      <w:pPr>
        <w:adjustRightInd w:val="0"/>
        <w:snapToGrid w:val="0"/>
        <w:spacing w:line="360" w:lineRule="auto"/>
        <w:ind w:firstLine="420"/>
        <w:rPr>
          <w:color w:val="auto"/>
          <w:szCs w:val="21"/>
          <w:highlight w:val="none"/>
          <w:u w:val="single"/>
        </w:rPr>
      </w:pPr>
      <w:r>
        <w:rPr>
          <w:rFonts w:hint="eastAsia"/>
          <w:color w:val="auto"/>
          <w:szCs w:val="21"/>
          <w:highlight w:val="none"/>
          <w:u w:val="single"/>
        </w:rPr>
        <w:t>d)</w:t>
      </w:r>
      <w:r>
        <w:rPr>
          <w:color w:val="auto"/>
          <w:szCs w:val="21"/>
          <w:highlight w:val="none"/>
          <w:u w:val="single"/>
        </w:rPr>
        <w:t xml:space="preserve"> </w:t>
      </w:r>
      <w:r>
        <w:rPr>
          <w:rFonts w:hint="eastAsia"/>
          <w:color w:val="auto"/>
          <w:szCs w:val="21"/>
          <w:highlight w:val="none"/>
          <w:u w:val="single"/>
        </w:rPr>
        <w:t>承包人提供满足分包人正常施工的施工道路，分包人到总包单位搭伙、使用总包单位的卫生间等；</w:t>
      </w:r>
    </w:p>
    <w:p w14:paraId="1838EA9A">
      <w:pPr>
        <w:adjustRightInd w:val="0"/>
        <w:snapToGrid w:val="0"/>
        <w:spacing w:line="360" w:lineRule="auto"/>
        <w:ind w:firstLine="420"/>
        <w:rPr>
          <w:color w:val="auto"/>
          <w:szCs w:val="21"/>
          <w:highlight w:val="none"/>
          <w:u w:val="single"/>
        </w:rPr>
      </w:pPr>
      <w:r>
        <w:rPr>
          <w:rFonts w:hint="eastAsia"/>
          <w:color w:val="auto"/>
          <w:szCs w:val="21"/>
          <w:highlight w:val="none"/>
          <w:u w:val="single"/>
        </w:rPr>
        <w:t>e)</w:t>
      </w:r>
      <w:r>
        <w:rPr>
          <w:color w:val="auto"/>
          <w:szCs w:val="21"/>
          <w:highlight w:val="none"/>
          <w:u w:val="single"/>
        </w:rPr>
        <w:t xml:space="preserve"> </w:t>
      </w:r>
      <w:r>
        <w:rPr>
          <w:rFonts w:hint="eastAsia"/>
          <w:color w:val="auto"/>
          <w:szCs w:val="21"/>
          <w:highlight w:val="none"/>
          <w:u w:val="single"/>
        </w:rPr>
        <w:t>预留洞口、安装管道口、楼地面墙面凿洞、槽等的后塞及修补等，以及整个工程的安全保卫等；</w:t>
      </w:r>
    </w:p>
    <w:p w14:paraId="66095F25">
      <w:pPr>
        <w:adjustRightInd w:val="0"/>
        <w:snapToGrid w:val="0"/>
        <w:spacing w:line="360" w:lineRule="auto"/>
        <w:ind w:firstLine="420"/>
        <w:rPr>
          <w:color w:val="auto"/>
          <w:szCs w:val="21"/>
          <w:highlight w:val="none"/>
          <w:u w:val="single"/>
        </w:rPr>
      </w:pPr>
      <w:r>
        <w:rPr>
          <w:rFonts w:hint="eastAsia"/>
          <w:color w:val="auto"/>
          <w:szCs w:val="21"/>
          <w:highlight w:val="none"/>
          <w:u w:val="single"/>
        </w:rPr>
        <w:t>在浇筑混凝土前，根据现有图纸预留各分包单位所需的配件、预埋套筒、管子槽、孔洞、榫眼等。并在分包单位安装完成后，以适当的材料填实，修补，包含线缆与孔洞间的缝隙、管道、设备，框架等与建筑结构之间的缝隙空间等一切间隙。</w:t>
      </w:r>
    </w:p>
    <w:p w14:paraId="4A381D5D">
      <w:pPr>
        <w:adjustRightInd w:val="0"/>
        <w:snapToGrid w:val="0"/>
        <w:spacing w:line="360" w:lineRule="auto"/>
        <w:ind w:firstLine="420"/>
        <w:rPr>
          <w:color w:val="auto"/>
          <w:szCs w:val="21"/>
          <w:highlight w:val="none"/>
          <w:u w:val="single"/>
        </w:rPr>
      </w:pPr>
      <w:r>
        <w:rPr>
          <w:rFonts w:hint="eastAsia"/>
          <w:color w:val="auto"/>
          <w:szCs w:val="21"/>
          <w:highlight w:val="none"/>
          <w:u w:val="single"/>
        </w:rPr>
        <w:t>f)</w:t>
      </w:r>
      <w:r>
        <w:rPr>
          <w:color w:val="auto"/>
          <w:szCs w:val="21"/>
          <w:highlight w:val="none"/>
          <w:u w:val="single"/>
        </w:rPr>
        <w:t xml:space="preserve"> </w:t>
      </w:r>
      <w:r>
        <w:rPr>
          <w:rFonts w:hint="eastAsia"/>
          <w:color w:val="auto"/>
          <w:szCs w:val="21"/>
          <w:highlight w:val="none"/>
          <w:u w:val="single"/>
        </w:rPr>
        <w:t>为分包人提供标高、轴线、定位、隐蔽工程指引等；</w:t>
      </w:r>
    </w:p>
    <w:p w14:paraId="55BF55AD">
      <w:pPr>
        <w:adjustRightInd w:val="0"/>
        <w:snapToGrid w:val="0"/>
        <w:spacing w:line="360" w:lineRule="auto"/>
        <w:ind w:firstLine="420"/>
        <w:rPr>
          <w:color w:val="auto"/>
          <w:szCs w:val="21"/>
          <w:highlight w:val="none"/>
          <w:u w:val="single"/>
        </w:rPr>
      </w:pPr>
      <w:r>
        <w:rPr>
          <w:rFonts w:hint="eastAsia"/>
          <w:color w:val="auto"/>
          <w:szCs w:val="21"/>
          <w:highlight w:val="none"/>
          <w:u w:val="single"/>
        </w:rPr>
        <w:t>g)</w:t>
      </w:r>
      <w:r>
        <w:rPr>
          <w:color w:val="auto"/>
          <w:szCs w:val="21"/>
          <w:highlight w:val="none"/>
          <w:u w:val="single"/>
        </w:rPr>
        <w:t xml:space="preserve"> </w:t>
      </w:r>
      <w:r>
        <w:rPr>
          <w:rFonts w:hint="eastAsia"/>
          <w:color w:val="auto"/>
          <w:szCs w:val="21"/>
          <w:highlight w:val="none"/>
          <w:u w:val="single"/>
        </w:rPr>
        <w:t>分包人的工程资料收集整理和移交；</w:t>
      </w:r>
    </w:p>
    <w:p w14:paraId="096C26F8">
      <w:pPr>
        <w:adjustRightInd w:val="0"/>
        <w:snapToGrid w:val="0"/>
        <w:spacing w:line="360" w:lineRule="auto"/>
        <w:ind w:firstLine="420"/>
        <w:rPr>
          <w:color w:val="auto"/>
          <w:szCs w:val="21"/>
          <w:highlight w:val="none"/>
          <w:u w:val="single"/>
        </w:rPr>
      </w:pPr>
      <w:r>
        <w:rPr>
          <w:rFonts w:hint="eastAsia"/>
          <w:color w:val="auto"/>
          <w:szCs w:val="21"/>
          <w:highlight w:val="none"/>
          <w:u w:val="single"/>
        </w:rPr>
        <w:t>h)</w:t>
      </w:r>
      <w:r>
        <w:rPr>
          <w:color w:val="auto"/>
          <w:szCs w:val="21"/>
          <w:highlight w:val="none"/>
          <w:u w:val="single"/>
        </w:rPr>
        <w:t xml:space="preserve"> </w:t>
      </w:r>
      <w:r>
        <w:rPr>
          <w:rFonts w:hint="eastAsia"/>
          <w:color w:val="auto"/>
          <w:szCs w:val="21"/>
          <w:highlight w:val="none"/>
          <w:u w:val="single"/>
        </w:rPr>
        <w:t>工程质量的检验和验收；</w:t>
      </w:r>
    </w:p>
    <w:p w14:paraId="75A1D1CA">
      <w:pPr>
        <w:adjustRightInd w:val="0"/>
        <w:snapToGrid w:val="0"/>
        <w:spacing w:line="360" w:lineRule="auto"/>
        <w:ind w:firstLine="420"/>
        <w:rPr>
          <w:color w:val="auto"/>
          <w:szCs w:val="21"/>
          <w:highlight w:val="none"/>
          <w:u w:val="single"/>
        </w:rPr>
      </w:pPr>
      <w:r>
        <w:rPr>
          <w:rFonts w:hint="eastAsia"/>
          <w:color w:val="auto"/>
          <w:szCs w:val="21"/>
          <w:highlight w:val="none"/>
          <w:u w:val="single"/>
        </w:rPr>
        <w:t>工程完成时，进行全面的清理工作，本工程所有的建筑垃圾（含分包工程内容）全部由总承包人负责清运，所涉及的费用由投标人在措施费中单列自报。</w:t>
      </w:r>
    </w:p>
    <w:p w14:paraId="17C79766">
      <w:pPr>
        <w:adjustRightInd w:val="0"/>
        <w:snapToGrid w:val="0"/>
        <w:spacing w:line="360" w:lineRule="auto"/>
        <w:ind w:firstLine="420"/>
        <w:rPr>
          <w:color w:val="auto"/>
          <w:szCs w:val="21"/>
          <w:highlight w:val="none"/>
          <w:u w:val="single"/>
        </w:rPr>
      </w:pPr>
      <w:r>
        <w:rPr>
          <w:rFonts w:hint="eastAsia"/>
          <w:color w:val="auto"/>
          <w:szCs w:val="21"/>
          <w:highlight w:val="none"/>
          <w:u w:val="single"/>
        </w:rPr>
        <w:t>保证分包工程在施工期间有足够的工作面，保证其按时开工和连续施工，并承担因承包人原因使分包工程不能按时开工和配合不及时造成的工期延误责任（因发包人原因不能开工和连续施工，发包人承担全部责任）。</w:t>
      </w:r>
    </w:p>
    <w:p w14:paraId="60A024D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4.5.5 分包合同价款支付</w:t>
      </w:r>
    </w:p>
    <w:p w14:paraId="3B5A77C3">
      <w:pPr>
        <w:widowControl/>
        <w:adjustRightInd w:val="0"/>
        <w:snapToGrid w:val="0"/>
        <w:spacing w:line="360" w:lineRule="auto"/>
        <w:ind w:firstLine="420"/>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关于分包合同价款支付的约定：</w:t>
      </w:r>
      <w:r>
        <w:rPr>
          <w:rFonts w:hint="eastAsia"/>
          <w:color w:val="auto"/>
          <w:szCs w:val="21"/>
          <w:highlight w:val="none"/>
          <w:u w:val="single"/>
          <w:lang w:val="en-US" w:eastAsia="zh-CN"/>
        </w:rPr>
        <w:t>支付方式必须于发包人支付承包人的支付方式一致</w:t>
      </w:r>
      <w:r>
        <w:rPr>
          <w:rFonts w:hint="eastAsia" w:ascii="宋体" w:hAnsi="宋体" w:cs="宋体"/>
          <w:color w:val="auto"/>
          <w:kern w:val="0"/>
          <w:szCs w:val="21"/>
          <w:highlight w:val="none"/>
          <w:lang w:bidi="ar"/>
        </w:rPr>
        <w:t>。</w:t>
      </w:r>
    </w:p>
    <w:p w14:paraId="1E5CBC4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4.6 联合体</w:t>
      </w:r>
    </w:p>
    <w:p w14:paraId="0E5A6E67">
      <w:pPr>
        <w:adjustRightInd w:val="0"/>
        <w:snapToGrid w:val="0"/>
        <w:spacing w:line="360" w:lineRule="auto"/>
        <w:ind w:firstLine="420"/>
        <w:rPr>
          <w:color w:val="auto"/>
          <w:szCs w:val="21"/>
          <w:highlight w:val="none"/>
        </w:rPr>
      </w:pPr>
      <w:r>
        <w:rPr>
          <w:rFonts w:hint="eastAsia" w:ascii="宋体" w:hAnsi="宋体" w:cs="宋体"/>
          <w:color w:val="auto"/>
          <w:kern w:val="0"/>
          <w:szCs w:val="21"/>
          <w:highlight w:val="none"/>
          <w:lang w:bidi="ar"/>
        </w:rPr>
        <w:t>4</w:t>
      </w:r>
      <w:r>
        <w:rPr>
          <w:rFonts w:ascii="宋体" w:hAnsi="宋体" w:cs="宋体"/>
          <w:color w:val="auto"/>
          <w:kern w:val="0"/>
          <w:szCs w:val="21"/>
          <w:highlight w:val="none"/>
          <w:lang w:bidi="ar"/>
        </w:rPr>
        <w:t xml:space="preserve">.6.2 </w:t>
      </w:r>
      <w:r>
        <w:rPr>
          <w:rFonts w:hint="eastAsia" w:ascii="宋体" w:hAnsi="宋体" w:cs="宋体"/>
          <w:color w:val="auto"/>
          <w:kern w:val="0"/>
          <w:szCs w:val="21"/>
          <w:highlight w:val="none"/>
          <w:lang w:bidi="ar"/>
        </w:rPr>
        <w:t>联合体各成员的分工、费用收取、发票开具等事项：</w:t>
      </w:r>
      <w:r>
        <w:rPr>
          <w:rFonts w:hint="eastAsia"/>
          <w:color w:val="auto"/>
          <w:szCs w:val="21"/>
          <w:highlight w:val="none"/>
          <w:u w:val="single"/>
        </w:rPr>
        <w:t>发包方向联合体</w:t>
      </w:r>
      <w:r>
        <w:rPr>
          <w:rFonts w:hint="eastAsia"/>
          <w:color w:val="auto"/>
          <w:szCs w:val="21"/>
          <w:highlight w:val="none"/>
          <w:u w:val="single"/>
          <w:lang w:eastAsia="zh-CN"/>
        </w:rPr>
        <w:t>主办方</w:t>
      </w:r>
      <w:r>
        <w:rPr>
          <w:rFonts w:hint="eastAsia"/>
          <w:color w:val="auto"/>
          <w:szCs w:val="21"/>
          <w:highlight w:val="none"/>
          <w:u w:val="single"/>
        </w:rPr>
        <w:t>支付，</w:t>
      </w:r>
      <w:r>
        <w:rPr>
          <w:rFonts w:hint="eastAsia"/>
          <w:color w:val="auto"/>
          <w:szCs w:val="21"/>
          <w:highlight w:val="none"/>
          <w:u w:val="single"/>
          <w:lang w:eastAsia="zh-CN"/>
        </w:rPr>
        <w:t>主办方</w:t>
      </w:r>
      <w:r>
        <w:rPr>
          <w:rFonts w:hint="eastAsia"/>
          <w:color w:val="auto"/>
          <w:szCs w:val="21"/>
          <w:highlight w:val="none"/>
          <w:u w:val="single"/>
        </w:rPr>
        <w:t>向发包方开具发票，再由</w:t>
      </w:r>
      <w:r>
        <w:rPr>
          <w:rFonts w:hint="eastAsia"/>
          <w:color w:val="auto"/>
          <w:szCs w:val="21"/>
          <w:highlight w:val="none"/>
          <w:u w:val="single"/>
          <w:lang w:eastAsia="zh-CN"/>
        </w:rPr>
        <w:t>主办方</w:t>
      </w:r>
      <w:r>
        <w:rPr>
          <w:rFonts w:hint="eastAsia"/>
          <w:color w:val="auto"/>
          <w:szCs w:val="21"/>
          <w:highlight w:val="none"/>
          <w:u w:val="single"/>
        </w:rPr>
        <w:t>向成员方支付，成员方向</w:t>
      </w:r>
      <w:r>
        <w:rPr>
          <w:rFonts w:hint="eastAsia"/>
          <w:color w:val="auto"/>
          <w:szCs w:val="21"/>
          <w:highlight w:val="none"/>
          <w:u w:val="single"/>
          <w:lang w:eastAsia="zh-CN"/>
        </w:rPr>
        <w:t>主办方</w:t>
      </w:r>
      <w:r>
        <w:rPr>
          <w:rFonts w:hint="eastAsia"/>
          <w:color w:val="auto"/>
          <w:szCs w:val="21"/>
          <w:highlight w:val="none"/>
          <w:u w:val="single"/>
        </w:rPr>
        <w:t>开具发票</w:t>
      </w:r>
      <w:r>
        <w:rPr>
          <w:rFonts w:hint="eastAsia"/>
          <w:color w:val="auto"/>
          <w:szCs w:val="21"/>
          <w:highlight w:val="none"/>
        </w:rPr>
        <w:t>。</w:t>
      </w:r>
    </w:p>
    <w:p w14:paraId="22D88F8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4.7 承包人现场查勘</w:t>
      </w:r>
    </w:p>
    <w:p w14:paraId="756D0C5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w:t>
      </w:r>
      <w:r>
        <w:rPr>
          <w:rFonts w:ascii="宋体" w:hAnsi="宋体" w:cs="宋体"/>
          <w:color w:val="auto"/>
          <w:kern w:val="0"/>
          <w:szCs w:val="21"/>
          <w:highlight w:val="none"/>
          <w:lang w:bidi="ar"/>
        </w:rPr>
        <w:t xml:space="preserve">.7.1 </w:t>
      </w:r>
      <w:r>
        <w:rPr>
          <w:rFonts w:hint="eastAsia" w:ascii="宋体" w:hAnsi="宋体" w:cs="宋体"/>
          <w:color w:val="auto"/>
          <w:kern w:val="0"/>
          <w:szCs w:val="21"/>
          <w:highlight w:val="none"/>
          <w:lang w:bidi="ar"/>
        </w:rPr>
        <w:t>双方当事人对现场查勘的责任承担的约定：</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由承包人承担</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w:t>
      </w:r>
    </w:p>
    <w:p w14:paraId="3AC16D7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4.8 不可预见的困难</w:t>
      </w:r>
    </w:p>
    <w:p w14:paraId="3B2E6DC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不可预见的困难包括：</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地质条件（溶洞、文物、±零下与地勘报告出现差异、个别区域桩基施工中地下出现裂隙导致混凝土流失等问题）。</w:t>
      </w:r>
    </w:p>
    <w:p w14:paraId="36400AF1">
      <w:pPr>
        <w:widowControl/>
        <w:adjustRightInd w:val="0"/>
        <w:snapToGrid w:val="0"/>
        <w:spacing w:after="120" w:afterLines="50" w:line="360" w:lineRule="auto"/>
        <w:ind w:firstLine="420" w:firstLineChars="200"/>
        <w:rPr>
          <w:rFonts w:ascii="宋体" w:hAnsi="宋体" w:cs="宋体"/>
          <w:color w:val="auto"/>
          <w:kern w:val="0"/>
          <w:highlight w:val="none"/>
        </w:rPr>
      </w:pPr>
      <w:r>
        <w:rPr>
          <w:rFonts w:ascii="宋体" w:hAnsi="宋体" w:cs="宋体"/>
          <w:color w:val="auto"/>
          <w:kern w:val="0"/>
          <w:szCs w:val="21"/>
          <w:highlight w:val="none"/>
          <w:lang w:bidi="ar"/>
        </w:rPr>
        <w:t xml:space="preserve">4.9 </w:t>
      </w:r>
      <w:r>
        <w:rPr>
          <w:rFonts w:hint="eastAsia" w:ascii="宋体" w:hAnsi="宋体" w:cs="宋体"/>
          <w:color w:val="auto"/>
          <w:kern w:val="0"/>
          <w:szCs w:val="21"/>
          <w:highlight w:val="none"/>
          <w:lang w:bidi="ar"/>
        </w:rPr>
        <w:t>工程质量管理</w:t>
      </w:r>
    </w:p>
    <w:p w14:paraId="7D85D789">
      <w:pPr>
        <w:widowControl/>
        <w:adjustRightInd w:val="0"/>
        <w:snapToGrid w:val="0"/>
        <w:spacing w:after="120" w:afterLines="50" w:line="360" w:lineRule="auto"/>
        <w:ind w:firstLine="420" w:firstLineChars="200"/>
        <w:rPr>
          <w:rFonts w:ascii="宋体" w:hAnsi="宋体" w:cs="宋体"/>
          <w:color w:val="auto"/>
          <w:kern w:val="0"/>
          <w:highlight w:val="none"/>
          <w:u w:val="single"/>
        </w:rPr>
      </w:pPr>
      <w:r>
        <w:rPr>
          <w:rFonts w:hint="eastAsia" w:ascii="宋体" w:hAnsi="宋体" w:cs="宋体"/>
          <w:color w:val="auto"/>
          <w:kern w:val="0"/>
          <w:szCs w:val="21"/>
          <w:highlight w:val="none"/>
          <w:lang w:bidi="ar"/>
        </w:rPr>
        <w:t>工程质量的特殊标准或要求：</w:t>
      </w:r>
      <w:r>
        <w:rPr>
          <w:rFonts w:hint="eastAsia" w:ascii="宋体" w:hAnsi="宋体" w:cs="宋体"/>
          <w:color w:val="auto"/>
          <w:kern w:val="0"/>
          <w:szCs w:val="21"/>
          <w:highlight w:val="none"/>
          <w:u w:val="single"/>
          <w:lang w:bidi="ar"/>
        </w:rPr>
        <w:t>在工程建设中，参建各方应严格执行以下规定（包括但不限于）：</w:t>
      </w:r>
    </w:p>
    <w:p w14:paraId="600DF059">
      <w:pPr>
        <w:widowControl/>
        <w:adjustRightInd w:val="0"/>
        <w:snapToGrid w:val="0"/>
        <w:spacing w:after="120" w:afterLines="50" w:line="360" w:lineRule="auto"/>
        <w:ind w:firstLine="420" w:firstLineChars="200"/>
        <w:rPr>
          <w:rFonts w:ascii="宋体" w:hAnsi="宋体" w:cs="宋体"/>
          <w:color w:val="auto"/>
          <w:kern w:val="0"/>
          <w:highlight w:val="none"/>
          <w:u w:val="single"/>
        </w:rPr>
      </w:pPr>
      <w:r>
        <w:rPr>
          <w:rFonts w:hint="eastAsia" w:ascii="宋体" w:hAnsi="宋体" w:cs="宋体"/>
          <w:color w:val="auto"/>
          <w:kern w:val="0"/>
          <w:szCs w:val="21"/>
          <w:highlight w:val="none"/>
          <w:u w:val="single"/>
          <w:lang w:bidi="ar"/>
        </w:rPr>
        <w:t>（</w:t>
      </w:r>
      <w:r>
        <w:rPr>
          <w:rFonts w:ascii="宋体" w:hAnsi="宋体" w:cs="宋体"/>
          <w:color w:val="auto"/>
          <w:kern w:val="0"/>
          <w:szCs w:val="21"/>
          <w:highlight w:val="none"/>
          <w:u w:val="single"/>
          <w:lang w:bidi="ar"/>
        </w:rPr>
        <w:t>1）《建筑工程施工质量验收统一标准》（GB50300-2013）；</w:t>
      </w:r>
    </w:p>
    <w:p w14:paraId="75C516EA">
      <w:pPr>
        <w:widowControl/>
        <w:adjustRightInd w:val="0"/>
        <w:snapToGrid w:val="0"/>
        <w:spacing w:after="120" w:afterLines="50" w:line="360" w:lineRule="auto"/>
        <w:ind w:firstLine="420" w:firstLineChars="200"/>
        <w:rPr>
          <w:rFonts w:ascii="宋体" w:hAnsi="宋体" w:cs="宋体"/>
          <w:color w:val="auto"/>
          <w:kern w:val="0"/>
          <w:highlight w:val="none"/>
          <w:u w:val="single"/>
        </w:rPr>
      </w:pPr>
      <w:r>
        <w:rPr>
          <w:rFonts w:hint="eastAsia" w:ascii="宋体" w:hAnsi="宋体" w:cs="宋体"/>
          <w:color w:val="auto"/>
          <w:kern w:val="0"/>
          <w:szCs w:val="21"/>
          <w:highlight w:val="none"/>
          <w:u w:val="single"/>
          <w:lang w:bidi="ar"/>
        </w:rPr>
        <w:t>（</w:t>
      </w:r>
      <w:r>
        <w:rPr>
          <w:rFonts w:ascii="宋体" w:hAnsi="宋体" w:cs="宋体"/>
          <w:color w:val="auto"/>
          <w:kern w:val="0"/>
          <w:szCs w:val="21"/>
          <w:highlight w:val="none"/>
          <w:u w:val="single"/>
          <w:lang w:bidi="ar"/>
        </w:rPr>
        <w:t>2）《住房城乡建设部关于印发工程质量安全提升行动方案的通知》（</w:t>
      </w:r>
      <w:r>
        <w:rPr>
          <w:rFonts w:hint="eastAsia" w:ascii="宋体" w:hAnsi="宋体" w:cs="宋体"/>
          <w:color w:val="auto"/>
          <w:kern w:val="0"/>
          <w:szCs w:val="21"/>
          <w:highlight w:val="none"/>
          <w:u w:val="single"/>
          <w:lang w:bidi="ar"/>
        </w:rPr>
        <w:t>建质〔</w:t>
      </w:r>
      <w:r>
        <w:rPr>
          <w:rFonts w:ascii="宋体" w:hAnsi="宋体" w:cs="宋体"/>
          <w:color w:val="auto"/>
          <w:kern w:val="0"/>
          <w:szCs w:val="21"/>
          <w:highlight w:val="none"/>
          <w:u w:val="single"/>
          <w:lang w:bidi="ar"/>
        </w:rPr>
        <w:t>2017〕57）；</w:t>
      </w:r>
    </w:p>
    <w:p w14:paraId="1FBF0601">
      <w:pPr>
        <w:widowControl/>
        <w:adjustRightInd w:val="0"/>
        <w:snapToGrid w:val="0"/>
        <w:spacing w:after="120" w:afterLines="50" w:line="360" w:lineRule="auto"/>
        <w:ind w:firstLine="420" w:firstLineChars="200"/>
        <w:rPr>
          <w:rFonts w:ascii="宋体" w:hAnsi="宋体" w:cs="宋体"/>
          <w:color w:val="auto"/>
          <w:kern w:val="0"/>
          <w:highlight w:val="none"/>
          <w:u w:val="single"/>
        </w:rPr>
      </w:pPr>
      <w:r>
        <w:rPr>
          <w:rFonts w:hint="eastAsia" w:ascii="宋体" w:hAnsi="宋体" w:cs="宋体"/>
          <w:color w:val="auto"/>
          <w:kern w:val="0"/>
          <w:szCs w:val="21"/>
          <w:highlight w:val="none"/>
          <w:u w:val="single"/>
          <w:lang w:bidi="ar"/>
        </w:rPr>
        <w:t>（</w:t>
      </w:r>
      <w:r>
        <w:rPr>
          <w:rFonts w:ascii="宋体" w:hAnsi="宋体" w:cs="宋体"/>
          <w:color w:val="auto"/>
          <w:kern w:val="0"/>
          <w:szCs w:val="21"/>
          <w:highlight w:val="none"/>
          <w:u w:val="single"/>
          <w:lang w:bidi="ar"/>
        </w:rPr>
        <w:t>3）《房屋建筑和市政基础设施工程竣工验收规定》（</w:t>
      </w:r>
      <w:r>
        <w:rPr>
          <w:rFonts w:hint="eastAsia" w:ascii="宋体" w:hAnsi="宋体" w:cs="宋体"/>
          <w:color w:val="auto"/>
          <w:kern w:val="0"/>
          <w:szCs w:val="21"/>
          <w:highlight w:val="none"/>
          <w:u w:val="single"/>
          <w:lang w:bidi="ar"/>
        </w:rPr>
        <w:t>建质〔</w:t>
      </w:r>
      <w:r>
        <w:rPr>
          <w:rFonts w:ascii="宋体" w:hAnsi="宋体" w:cs="宋体"/>
          <w:color w:val="auto"/>
          <w:kern w:val="0"/>
          <w:szCs w:val="21"/>
          <w:highlight w:val="none"/>
          <w:u w:val="single"/>
          <w:lang w:bidi="ar"/>
        </w:rPr>
        <w:t>2013〕171）；</w:t>
      </w:r>
    </w:p>
    <w:p w14:paraId="784A3703">
      <w:pPr>
        <w:widowControl/>
        <w:adjustRightInd w:val="0"/>
        <w:snapToGrid w:val="0"/>
        <w:spacing w:after="120" w:afterLines="50" w:line="360" w:lineRule="auto"/>
        <w:ind w:firstLine="420" w:firstLineChars="200"/>
        <w:rPr>
          <w:rFonts w:ascii="宋体" w:hAnsi="宋体" w:cs="宋体"/>
          <w:color w:val="auto"/>
          <w:kern w:val="0"/>
          <w:highlight w:val="none"/>
          <w:u w:val="single"/>
        </w:rPr>
      </w:pPr>
      <w:r>
        <w:rPr>
          <w:rFonts w:hint="eastAsia" w:ascii="宋体" w:hAnsi="宋体" w:cs="宋体"/>
          <w:color w:val="auto"/>
          <w:kern w:val="0"/>
          <w:szCs w:val="21"/>
          <w:highlight w:val="none"/>
          <w:u w:val="single"/>
          <w:lang w:bidi="ar"/>
        </w:rPr>
        <w:t>（</w:t>
      </w:r>
      <w:r>
        <w:rPr>
          <w:rFonts w:ascii="宋体" w:hAnsi="宋体" w:cs="宋体"/>
          <w:color w:val="auto"/>
          <w:kern w:val="0"/>
          <w:szCs w:val="21"/>
          <w:highlight w:val="none"/>
          <w:u w:val="single"/>
          <w:lang w:bidi="ar"/>
        </w:rPr>
        <w:t>4）《建设部关于贯彻执行建筑工程勘察设计及施工质量验收规范若干问题的通知》（建标〔2002〕212号）；</w:t>
      </w:r>
    </w:p>
    <w:p w14:paraId="6243C52E">
      <w:pPr>
        <w:widowControl/>
        <w:adjustRightInd w:val="0"/>
        <w:snapToGrid w:val="0"/>
        <w:spacing w:after="120" w:afterLines="50" w:line="360" w:lineRule="auto"/>
        <w:ind w:firstLine="420" w:firstLineChars="200"/>
        <w:rPr>
          <w:rFonts w:ascii="宋体" w:hAnsi="宋体" w:cs="宋体"/>
          <w:color w:val="auto"/>
          <w:kern w:val="0"/>
          <w:highlight w:val="none"/>
          <w:u w:val="single"/>
        </w:rPr>
      </w:pPr>
      <w:r>
        <w:rPr>
          <w:rFonts w:hint="eastAsia" w:ascii="宋体" w:hAnsi="宋体" w:cs="宋体"/>
          <w:color w:val="auto"/>
          <w:kern w:val="0"/>
          <w:szCs w:val="21"/>
          <w:highlight w:val="none"/>
          <w:u w:val="single"/>
          <w:lang w:bidi="ar"/>
        </w:rPr>
        <w:t>（</w:t>
      </w:r>
      <w:r>
        <w:rPr>
          <w:rFonts w:hint="eastAsia" w:ascii="宋体" w:hAnsi="宋体" w:cs="宋体"/>
          <w:color w:val="auto"/>
          <w:kern w:val="0"/>
          <w:szCs w:val="21"/>
          <w:highlight w:val="none"/>
          <w:u w:val="single"/>
          <w:lang w:val="en-US" w:eastAsia="zh-CN" w:bidi="ar"/>
        </w:rPr>
        <w:t>5</w:t>
      </w:r>
      <w:r>
        <w:rPr>
          <w:rFonts w:ascii="宋体" w:hAnsi="宋体" w:cs="宋体"/>
          <w:color w:val="auto"/>
          <w:kern w:val="0"/>
          <w:szCs w:val="21"/>
          <w:highlight w:val="none"/>
          <w:u w:val="single"/>
          <w:lang w:bidi="ar"/>
        </w:rPr>
        <w:t>）国家和本市现行有关建设工程质量验收标准、规范和要求；</w:t>
      </w:r>
    </w:p>
    <w:p w14:paraId="7580204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u w:val="single"/>
          <w:lang w:bidi="ar"/>
        </w:rPr>
        <w:t>承包人、监理人和发包人在工程建设中，应严格执行国家及</w:t>
      </w:r>
      <w:r>
        <w:rPr>
          <w:rFonts w:hint="eastAsia" w:ascii="宋体" w:hAnsi="宋体" w:cs="宋体"/>
          <w:color w:val="auto"/>
          <w:kern w:val="0"/>
          <w:szCs w:val="21"/>
          <w:highlight w:val="none"/>
          <w:u w:val="single"/>
          <w:lang w:val="en-US" w:eastAsia="zh-CN" w:bidi="ar"/>
        </w:rPr>
        <w:t>广州</w:t>
      </w:r>
      <w:r>
        <w:rPr>
          <w:rFonts w:hint="eastAsia" w:ascii="宋体" w:hAnsi="宋体" w:cs="宋体"/>
          <w:color w:val="auto"/>
          <w:kern w:val="0"/>
          <w:szCs w:val="21"/>
          <w:highlight w:val="none"/>
          <w:u w:val="single"/>
          <w:lang w:bidi="ar"/>
        </w:rPr>
        <w:t>市现行标准，如上述标准及规范要求有出入则以较严格者为准。</w:t>
      </w:r>
    </w:p>
    <w:p w14:paraId="77C6CB82">
      <w:pPr>
        <w:widowControl/>
        <w:adjustRightInd w:val="0"/>
        <w:snapToGrid w:val="0"/>
        <w:spacing w:after="120" w:afterLines="50" w:line="360" w:lineRule="auto"/>
        <w:outlineLvl w:val="1"/>
        <w:rPr>
          <w:rFonts w:ascii="宋体" w:hAnsi="宋体" w:cs="Times"/>
          <w:color w:val="auto"/>
          <w:kern w:val="0"/>
          <w:highlight w:val="none"/>
        </w:rPr>
      </w:pPr>
      <w:bookmarkStart w:id="1717" w:name="_Toc20171878"/>
      <w:bookmarkEnd w:id="1717"/>
      <w:bookmarkStart w:id="1718" w:name="_Toc179885401"/>
      <w:r>
        <w:rPr>
          <w:rFonts w:hint="eastAsia" w:ascii="宋体" w:hAnsi="宋体" w:cs="Times"/>
          <w:color w:val="auto"/>
          <w:kern w:val="0"/>
          <w:szCs w:val="21"/>
          <w:highlight w:val="none"/>
          <w:lang w:bidi="ar"/>
        </w:rPr>
        <w:t>第5条 设计</w:t>
      </w:r>
      <w:bookmarkEnd w:id="1718"/>
      <w:r>
        <w:rPr>
          <w:rFonts w:hint="eastAsia" w:ascii="宋体" w:hAnsi="宋体" w:cs="Times"/>
          <w:color w:val="auto"/>
          <w:kern w:val="0"/>
          <w:szCs w:val="21"/>
          <w:highlight w:val="none"/>
          <w:lang w:bidi="ar"/>
        </w:rPr>
        <w:t xml:space="preserve"> </w:t>
      </w:r>
    </w:p>
    <w:p w14:paraId="2B3D5F5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 xml:space="preserve">5.2 </w:t>
      </w:r>
      <w:r>
        <w:rPr>
          <w:rFonts w:hint="eastAsia" w:ascii="宋体" w:hAnsi="宋体" w:cs="宋体"/>
          <w:color w:val="auto"/>
          <w:szCs w:val="21"/>
          <w:highlight w:val="none"/>
          <w:lang w:bidi="ar"/>
        </w:rPr>
        <w:t>承包人文件</w:t>
      </w:r>
      <w:r>
        <w:rPr>
          <w:rFonts w:hint="eastAsia" w:ascii="宋体" w:hAnsi="宋体" w:cs="宋体"/>
          <w:color w:val="auto"/>
          <w:kern w:val="0"/>
          <w:szCs w:val="21"/>
          <w:highlight w:val="none"/>
          <w:lang w:bidi="ar"/>
        </w:rPr>
        <w:t>审查</w:t>
      </w:r>
    </w:p>
    <w:p w14:paraId="6543371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5.2.1</w:t>
      </w:r>
      <w:r>
        <w:rPr>
          <w:rFonts w:ascii="宋体" w:hAnsi="宋体" w:cs="宋体"/>
          <w:color w:val="auto"/>
          <w:kern w:val="0"/>
          <w:szCs w:val="21"/>
          <w:highlight w:val="none"/>
          <w:lang w:bidi="ar"/>
        </w:rPr>
        <w:t xml:space="preserve"> </w:t>
      </w:r>
      <w:r>
        <w:rPr>
          <w:rFonts w:hint="eastAsia" w:ascii="宋体" w:hAnsi="宋体" w:cs="宋体"/>
          <w:color w:val="auto"/>
          <w:szCs w:val="21"/>
          <w:highlight w:val="none"/>
          <w:lang w:bidi="ar"/>
        </w:rPr>
        <w:t>承包人</w:t>
      </w:r>
      <w:r>
        <w:rPr>
          <w:rFonts w:hint="eastAsia" w:ascii="宋体" w:hAnsi="宋体" w:cs="宋体"/>
          <w:color w:val="auto"/>
          <w:kern w:val="0"/>
          <w:szCs w:val="21"/>
          <w:highlight w:val="none"/>
          <w:lang w:bidi="ar"/>
        </w:rPr>
        <w:t>文件审查的期限：</w:t>
      </w:r>
      <w:r>
        <w:rPr>
          <w:rFonts w:hint="eastAsia" w:ascii="宋体" w:hAnsi="宋体" w:cs="宋体"/>
          <w:color w:val="auto"/>
          <w:kern w:val="0"/>
          <w:szCs w:val="21"/>
          <w:highlight w:val="none"/>
          <w:u w:val="single"/>
          <w:lang w:bidi="ar"/>
        </w:rPr>
        <w:t>自监理人收到承包人文件以及承包人的通知之日起，发包人对承包人文件审查期不超过14天</w:t>
      </w:r>
      <w:r>
        <w:rPr>
          <w:rFonts w:hint="eastAsia" w:ascii="宋体" w:hAnsi="宋体" w:cs="宋体"/>
          <w:color w:val="auto"/>
          <w:kern w:val="0"/>
          <w:szCs w:val="21"/>
          <w:highlight w:val="none"/>
          <w:lang w:bidi="ar"/>
        </w:rPr>
        <w:t>。</w:t>
      </w:r>
    </w:p>
    <w:p w14:paraId="662FA743">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5.2.</w:t>
      </w:r>
      <w:r>
        <w:rPr>
          <w:rFonts w:ascii="宋体" w:hAnsi="宋体" w:cs="宋体"/>
          <w:color w:val="auto"/>
          <w:kern w:val="0"/>
          <w:szCs w:val="21"/>
          <w:highlight w:val="none"/>
          <w:lang w:bidi="ar"/>
        </w:rPr>
        <w:t xml:space="preserve">2 </w:t>
      </w:r>
      <w:r>
        <w:rPr>
          <w:rFonts w:hint="eastAsia" w:ascii="宋体" w:hAnsi="宋体" w:cs="宋体"/>
          <w:color w:val="auto"/>
          <w:kern w:val="0"/>
          <w:szCs w:val="21"/>
          <w:highlight w:val="none"/>
          <w:lang w:bidi="ar"/>
        </w:rPr>
        <w:t>审查会议的审查形式和时间安排为：</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双方商定</w:t>
      </w:r>
      <w:r>
        <w:rPr>
          <w:rFonts w:hint="eastAsia"/>
          <w:color w:val="auto"/>
          <w:szCs w:val="21"/>
          <w:highlight w:val="none"/>
        </w:rPr>
        <w:t>，</w:t>
      </w:r>
      <w:r>
        <w:rPr>
          <w:rFonts w:hint="eastAsia" w:ascii="宋体" w:hAnsi="宋体" w:cs="宋体"/>
          <w:color w:val="auto"/>
          <w:kern w:val="0"/>
          <w:szCs w:val="21"/>
          <w:highlight w:val="none"/>
          <w:lang w:bidi="ar"/>
        </w:rPr>
        <w:t>，审查会议的相关费用由</w:t>
      </w:r>
      <w:r>
        <w:rPr>
          <w:rFonts w:hint="eastAsia" w:ascii="宋体" w:hAnsi="宋体" w:cs="宋体"/>
          <w:color w:val="auto"/>
          <w:kern w:val="0"/>
          <w:szCs w:val="21"/>
          <w:highlight w:val="none"/>
          <w:u w:val="single"/>
          <w:lang w:bidi="ar"/>
        </w:rPr>
        <w:t xml:space="preserve">    承包人</w:t>
      </w:r>
      <w:r>
        <w:rPr>
          <w:rFonts w:hint="eastAsia" w:ascii="宋体" w:hAnsi="宋体" w:cs="宋体"/>
          <w:color w:val="auto"/>
          <w:kern w:val="0"/>
          <w:szCs w:val="21"/>
          <w:highlight w:val="none"/>
          <w:lang w:bidi="ar"/>
        </w:rPr>
        <w:t>（施工图设计审图费用除外）承担。</w:t>
      </w:r>
    </w:p>
    <w:p w14:paraId="55E4CB61">
      <w:pPr>
        <w:widowControl/>
        <w:adjustRightInd w:val="0"/>
        <w:snapToGrid w:val="0"/>
        <w:spacing w:after="120" w:afterLines="50" w:line="360" w:lineRule="auto"/>
        <w:ind w:firstLine="420" w:firstLineChars="200"/>
        <w:rPr>
          <w:color w:val="auto"/>
          <w:highlight w:val="none"/>
          <w:lang w:bidi="ar"/>
        </w:rPr>
      </w:pPr>
      <w:r>
        <w:rPr>
          <w:rFonts w:ascii="宋体" w:hAnsi="宋体" w:cs="宋体"/>
          <w:color w:val="auto"/>
          <w:kern w:val="0"/>
          <w:szCs w:val="21"/>
          <w:highlight w:val="none"/>
          <w:lang w:bidi="ar"/>
        </w:rPr>
        <w:t>5.2.3</w:t>
      </w:r>
      <w:r>
        <w:rPr>
          <w:color w:val="auto"/>
          <w:highlight w:val="none"/>
          <w:lang w:bidi="ar"/>
        </w:rPr>
        <w:t xml:space="preserve"> </w:t>
      </w:r>
      <w:r>
        <w:rPr>
          <w:rFonts w:hint="eastAsia"/>
          <w:color w:val="auto"/>
          <w:highlight w:val="none"/>
          <w:lang w:bidi="ar"/>
        </w:rPr>
        <w:t>关于第三方审查单位的约定：</w:t>
      </w:r>
      <w:r>
        <w:rPr>
          <w:color w:val="auto"/>
          <w:highlight w:val="none"/>
          <w:u w:val="single"/>
          <w:lang w:bidi="ar"/>
        </w:rPr>
        <w:t xml:space="preserve">  </w:t>
      </w:r>
      <w:r>
        <w:rPr>
          <w:rFonts w:hint="eastAsia"/>
          <w:color w:val="auto"/>
          <w:szCs w:val="21"/>
          <w:highlight w:val="none"/>
          <w:u w:val="single"/>
        </w:rPr>
        <w:t>双方商定</w:t>
      </w:r>
      <w:r>
        <w:rPr>
          <w:rFonts w:hint="eastAsia"/>
          <w:color w:val="auto"/>
          <w:szCs w:val="21"/>
          <w:highlight w:val="none"/>
        </w:rPr>
        <w:t>。</w:t>
      </w:r>
    </w:p>
    <w:p w14:paraId="5109A0E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5.3 培训</w:t>
      </w:r>
    </w:p>
    <w:p w14:paraId="1CF4929A">
      <w:pPr>
        <w:adjustRightInd w:val="0"/>
        <w:snapToGrid w:val="0"/>
        <w:spacing w:line="360" w:lineRule="auto"/>
        <w:ind w:firstLine="420"/>
        <w:rPr>
          <w:color w:val="auto"/>
          <w:szCs w:val="21"/>
          <w:highlight w:val="none"/>
          <w:u w:val="single"/>
        </w:rPr>
      </w:pPr>
      <w:r>
        <w:rPr>
          <w:rFonts w:hint="eastAsia"/>
          <w:color w:val="auto"/>
          <w:szCs w:val="21"/>
          <w:highlight w:val="none"/>
        </w:rPr>
        <w:t>培训的时长为</w:t>
      </w:r>
      <w:r>
        <w:rPr>
          <w:rFonts w:hint="eastAsia"/>
          <w:color w:val="auto"/>
          <w:szCs w:val="21"/>
          <w:highlight w:val="none"/>
          <w:u w:val="single"/>
        </w:rPr>
        <w:t xml:space="preserve"> </w:t>
      </w:r>
      <w:r>
        <w:rPr>
          <w:color w:val="auto"/>
          <w:szCs w:val="21"/>
          <w:highlight w:val="none"/>
          <w:u w:val="single"/>
        </w:rPr>
        <w:t xml:space="preserve"> /  </w:t>
      </w:r>
      <w:r>
        <w:rPr>
          <w:rFonts w:hint="eastAsia"/>
          <w:color w:val="auto"/>
          <w:szCs w:val="21"/>
          <w:highlight w:val="none"/>
        </w:rPr>
        <w:t>，承包人应为培训提供的人员、设施和其它必要条件为</w:t>
      </w:r>
      <w:r>
        <w:rPr>
          <w:rFonts w:hint="eastAsia"/>
          <w:color w:val="auto"/>
          <w:szCs w:val="21"/>
          <w:highlight w:val="none"/>
          <w:u w:val="single"/>
        </w:rPr>
        <w:t>承包人负责对设备现场人员进行培训，基本使操作人员达到：</w:t>
      </w:r>
    </w:p>
    <w:p w14:paraId="64A00AEF">
      <w:pPr>
        <w:adjustRightInd w:val="0"/>
        <w:snapToGrid w:val="0"/>
        <w:spacing w:line="360" w:lineRule="auto"/>
        <w:ind w:firstLine="420"/>
        <w:rPr>
          <w:color w:val="auto"/>
          <w:szCs w:val="21"/>
          <w:highlight w:val="none"/>
          <w:u w:val="single"/>
        </w:rPr>
      </w:pPr>
      <w:r>
        <w:rPr>
          <w:rFonts w:hint="eastAsia"/>
          <w:color w:val="auto"/>
          <w:szCs w:val="21"/>
          <w:highlight w:val="none"/>
          <w:u w:val="single"/>
        </w:rPr>
        <w:t>1)能独立进行设备的操作使用；</w:t>
      </w:r>
    </w:p>
    <w:p w14:paraId="1EE78B11">
      <w:pPr>
        <w:adjustRightInd w:val="0"/>
        <w:snapToGrid w:val="0"/>
        <w:spacing w:line="360" w:lineRule="auto"/>
        <w:ind w:firstLine="420"/>
        <w:rPr>
          <w:color w:val="auto"/>
          <w:szCs w:val="21"/>
          <w:highlight w:val="none"/>
          <w:u w:val="single"/>
        </w:rPr>
      </w:pPr>
      <w:r>
        <w:rPr>
          <w:rFonts w:hint="eastAsia"/>
          <w:color w:val="auto"/>
          <w:szCs w:val="21"/>
          <w:highlight w:val="none"/>
          <w:u w:val="single"/>
        </w:rPr>
        <w:t>2)能独立进行设备的日常维护和常见故障的解决。</w:t>
      </w:r>
    </w:p>
    <w:p w14:paraId="64E56B86">
      <w:pPr>
        <w:widowControl/>
        <w:adjustRightInd w:val="0"/>
        <w:snapToGrid w:val="0"/>
        <w:spacing w:line="360" w:lineRule="auto"/>
        <w:ind w:firstLine="420"/>
        <w:rPr>
          <w:rFonts w:ascii="宋体" w:hAnsi="宋体" w:cs="宋体"/>
          <w:color w:val="auto"/>
          <w:kern w:val="0"/>
          <w:highlight w:val="none"/>
        </w:rPr>
      </w:pPr>
      <w:r>
        <w:rPr>
          <w:rFonts w:hint="eastAsia"/>
          <w:color w:val="auto"/>
          <w:szCs w:val="21"/>
          <w:highlight w:val="none"/>
          <w:u w:val="single"/>
        </w:rPr>
        <w:t>培训费用已包含在总价款内</w:t>
      </w:r>
      <w:r>
        <w:rPr>
          <w:rFonts w:hint="eastAsia"/>
          <w:color w:val="auto"/>
          <w:szCs w:val="21"/>
          <w:highlight w:val="none"/>
        </w:rPr>
        <w:t>。</w:t>
      </w:r>
    </w:p>
    <w:p w14:paraId="74D2CFB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5.4 竣工文件</w:t>
      </w:r>
    </w:p>
    <w:p w14:paraId="2795173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5.4.1 承包人提交的竣工文件的内容：工程施工技术资料、工程质量保证资料、工程检验评定资料、竣工图及其他应交资料。</w:t>
      </w:r>
    </w:p>
    <w:p w14:paraId="3FCE3E0A">
      <w:pPr>
        <w:widowControl/>
        <w:adjustRightInd w:val="0"/>
        <w:snapToGrid w:val="0"/>
        <w:spacing w:after="120" w:afterLines="50"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承包人需要提交的竣工文件套数：完整竣工文件一式</w:t>
      </w:r>
      <w:r>
        <w:rPr>
          <w:rFonts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套（含纸质版竣工图四套，电子版竣工图二套）。</w:t>
      </w:r>
      <w:r>
        <w:rPr>
          <w:rFonts w:hint="eastAsia"/>
          <w:color w:val="auto"/>
          <w:szCs w:val="21"/>
          <w:highlight w:val="none"/>
          <w:u w:val="single"/>
        </w:rPr>
        <w:t>除提交竣工文件包括但不限于竣工验收申请报告2份，竣工验收单4份，工程移交证书4份、</w:t>
      </w:r>
      <w:r>
        <w:rPr>
          <w:rFonts w:hint="eastAsia"/>
          <w:color w:val="auto"/>
          <w:szCs w:val="21"/>
          <w:highlight w:val="none"/>
        </w:rPr>
        <w:t>各类验收记录</w:t>
      </w:r>
      <w:r>
        <w:rPr>
          <w:rFonts w:hint="eastAsia"/>
          <w:color w:val="auto"/>
          <w:szCs w:val="21"/>
          <w:highlight w:val="none"/>
          <w:u w:val="single"/>
        </w:rPr>
        <w:t>4份外，还应按照</w:t>
      </w:r>
      <w:r>
        <w:rPr>
          <w:rFonts w:hint="eastAsia" w:ascii="宋体" w:hAnsi="宋体" w:cs="宋体"/>
          <w:color w:val="auto"/>
          <w:kern w:val="0"/>
          <w:szCs w:val="21"/>
          <w:highlight w:val="none"/>
          <w:lang w:bidi="ar"/>
        </w:rPr>
        <w:t>《建设工程文件归档整理规范》（</w:t>
      </w:r>
      <w:r>
        <w:rPr>
          <w:rFonts w:ascii="宋体" w:hAnsi="宋体" w:cs="宋体"/>
          <w:color w:val="auto"/>
          <w:kern w:val="0"/>
          <w:szCs w:val="21"/>
          <w:highlight w:val="none"/>
          <w:lang w:bidi="ar"/>
        </w:rPr>
        <w:t>GB/T50328-2014）和</w:t>
      </w:r>
      <w:r>
        <w:rPr>
          <w:rFonts w:hint="eastAsia" w:ascii="宋体" w:hAnsi="宋体" w:cs="宋体"/>
          <w:color w:val="auto"/>
          <w:kern w:val="0"/>
          <w:szCs w:val="21"/>
          <w:highlight w:val="none"/>
          <w:lang w:val="en-US" w:eastAsia="zh-CN" w:bidi="ar"/>
        </w:rPr>
        <w:t>广州</w:t>
      </w:r>
      <w:r>
        <w:rPr>
          <w:rFonts w:ascii="宋体" w:hAnsi="宋体" w:cs="宋体"/>
          <w:color w:val="auto"/>
          <w:kern w:val="0"/>
          <w:szCs w:val="21"/>
          <w:highlight w:val="none"/>
          <w:lang w:bidi="ar"/>
        </w:rPr>
        <w:t>市有关文件规定</w:t>
      </w:r>
      <w:r>
        <w:rPr>
          <w:rFonts w:hint="eastAsia"/>
          <w:color w:val="auto"/>
          <w:szCs w:val="21"/>
          <w:highlight w:val="none"/>
          <w:u w:val="single"/>
        </w:rPr>
        <w:t>提供具体竣工资料</w:t>
      </w:r>
      <w:r>
        <w:rPr>
          <w:rFonts w:hint="eastAsia"/>
          <w:color w:val="auto"/>
          <w:szCs w:val="21"/>
          <w:highlight w:val="none"/>
        </w:rPr>
        <w:t>。</w:t>
      </w:r>
    </w:p>
    <w:p w14:paraId="2769E84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承包人提交的竣工文件的费用承担：</w:t>
      </w:r>
      <w:r>
        <w:rPr>
          <w:rFonts w:hint="eastAsia" w:ascii="宋体" w:hAnsi="宋体" w:cs="宋体"/>
          <w:color w:val="auto"/>
          <w:kern w:val="0"/>
          <w:szCs w:val="21"/>
          <w:highlight w:val="none"/>
          <w:u w:val="single"/>
          <w:lang w:bidi="ar"/>
        </w:rPr>
        <w:t>由承包人承担。</w:t>
      </w:r>
    </w:p>
    <w:p w14:paraId="6BBB3EA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承包人提交的竣工文件移交时间：工程竣工验收合格后</w:t>
      </w:r>
      <w:r>
        <w:rPr>
          <w:rFonts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u w:val="single"/>
          <w:lang w:bidi="ar"/>
        </w:rPr>
        <w:t xml:space="preserve">   </w:t>
      </w:r>
      <w:r>
        <w:rPr>
          <w:rFonts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个月内移交给发包人。</w:t>
      </w:r>
    </w:p>
    <w:p w14:paraId="37C88319">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承包人提交的竣工文件形式要求：完整的书面文件及电子文档。</w:t>
      </w:r>
    </w:p>
    <w:p w14:paraId="6045C33F">
      <w:pPr>
        <w:widowControl/>
        <w:adjustRightInd w:val="0"/>
        <w:snapToGrid w:val="0"/>
        <w:spacing w:after="120" w:afterLines="50" w:line="360" w:lineRule="auto"/>
        <w:ind w:firstLine="420" w:firstLineChars="200"/>
        <w:rPr>
          <w:color w:val="auto"/>
          <w:highlight w:val="none"/>
          <w:lang w:bidi="ar"/>
        </w:rPr>
      </w:pPr>
      <w:r>
        <w:rPr>
          <w:rFonts w:ascii="宋体" w:hAnsi="宋体" w:cs="宋体"/>
          <w:color w:val="auto"/>
          <w:kern w:val="0"/>
          <w:szCs w:val="21"/>
          <w:highlight w:val="none"/>
          <w:lang w:bidi="ar"/>
        </w:rPr>
        <w:t>5.4.3</w:t>
      </w:r>
      <w:r>
        <w:rPr>
          <w:color w:val="auto"/>
          <w:highlight w:val="none"/>
          <w:lang w:bidi="ar"/>
        </w:rPr>
        <w:t xml:space="preserve"> </w:t>
      </w:r>
      <w:r>
        <w:rPr>
          <w:rFonts w:hint="eastAsia"/>
          <w:color w:val="auto"/>
          <w:highlight w:val="none"/>
          <w:lang w:bidi="ar"/>
        </w:rPr>
        <w:t>关于竣工文件的其他约定：</w:t>
      </w:r>
      <w:r>
        <w:rPr>
          <w:color w:val="auto"/>
          <w:highlight w:val="none"/>
          <w:u w:val="single"/>
          <w:lang w:bidi="ar"/>
        </w:rPr>
        <w:t xml:space="preserve">    </w:t>
      </w:r>
      <w:r>
        <w:rPr>
          <w:rFonts w:hint="eastAsia"/>
          <w:color w:val="auto"/>
          <w:szCs w:val="21"/>
          <w:highlight w:val="none"/>
          <w:u w:val="single"/>
        </w:rPr>
        <w:t>双方商定</w:t>
      </w:r>
      <w:r>
        <w:rPr>
          <w:rFonts w:hint="eastAsia"/>
          <w:color w:val="auto"/>
          <w:szCs w:val="21"/>
          <w:highlight w:val="none"/>
        </w:rPr>
        <w:t>。</w:t>
      </w:r>
      <w:r>
        <w:rPr>
          <w:rFonts w:hint="eastAsia"/>
          <w:color w:val="auto"/>
          <w:highlight w:val="none"/>
          <w:lang w:bidi="ar"/>
        </w:rPr>
        <w:t>。</w:t>
      </w:r>
    </w:p>
    <w:p w14:paraId="558140C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5.5 操作和维修手册</w:t>
      </w:r>
    </w:p>
    <w:p w14:paraId="3C04ED1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5.5.</w:t>
      </w:r>
      <w:r>
        <w:rPr>
          <w:rFonts w:ascii="宋体" w:hAnsi="宋体" w:cs="宋体"/>
          <w:color w:val="auto"/>
          <w:kern w:val="0"/>
          <w:szCs w:val="21"/>
          <w:highlight w:val="none"/>
          <w:lang w:bidi="ar"/>
        </w:rPr>
        <w:t>3</w:t>
      </w:r>
      <w:r>
        <w:rPr>
          <w:rFonts w:hint="eastAsia" w:ascii="宋体" w:hAnsi="宋体" w:cs="宋体"/>
          <w:color w:val="auto"/>
          <w:kern w:val="0"/>
          <w:szCs w:val="21"/>
          <w:highlight w:val="none"/>
          <w:lang w:bidi="ar"/>
        </w:rPr>
        <w:t xml:space="preserve"> 对最终操作和维修手册的约定：</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双方另行商定</w:t>
      </w:r>
      <w:r>
        <w:rPr>
          <w:rFonts w:hint="eastAsia"/>
          <w:color w:val="auto"/>
          <w:szCs w:val="21"/>
          <w:highlight w:val="none"/>
        </w:rPr>
        <w:t>。</w:t>
      </w:r>
    </w:p>
    <w:p w14:paraId="4A60E1B3">
      <w:pPr>
        <w:widowControl/>
        <w:adjustRightInd w:val="0"/>
        <w:snapToGrid w:val="0"/>
        <w:spacing w:after="120" w:afterLines="50" w:line="360" w:lineRule="auto"/>
        <w:outlineLvl w:val="1"/>
        <w:rPr>
          <w:rFonts w:ascii="宋体" w:hAnsi="宋体" w:cs="Times"/>
          <w:color w:val="auto"/>
          <w:kern w:val="0"/>
          <w:highlight w:val="none"/>
        </w:rPr>
      </w:pPr>
      <w:bookmarkStart w:id="1719" w:name="_Toc20171879"/>
      <w:bookmarkEnd w:id="1719"/>
      <w:bookmarkStart w:id="1720" w:name="_Toc179885402"/>
      <w:r>
        <w:rPr>
          <w:rFonts w:hint="eastAsia" w:ascii="宋体" w:hAnsi="宋体" w:cs="Times"/>
          <w:color w:val="auto"/>
          <w:kern w:val="0"/>
          <w:szCs w:val="21"/>
          <w:highlight w:val="none"/>
          <w:lang w:bidi="ar"/>
        </w:rPr>
        <w:t>第6条 材料、工程设备</w:t>
      </w:r>
      <w:bookmarkEnd w:id="1720"/>
    </w:p>
    <w:p w14:paraId="30AEF82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6.1 实施方法</w:t>
      </w:r>
    </w:p>
    <w:p w14:paraId="597640C5">
      <w:pPr>
        <w:widowControl/>
        <w:adjustRightInd w:val="0"/>
        <w:snapToGrid w:val="0"/>
        <w:spacing w:line="360" w:lineRule="auto"/>
        <w:ind w:firstLine="420"/>
        <w:rPr>
          <w:rFonts w:ascii="宋体" w:hAnsi="宋体" w:cs="宋体"/>
          <w:color w:val="auto"/>
          <w:kern w:val="0"/>
          <w:highlight w:val="none"/>
        </w:rPr>
      </w:pPr>
      <w:r>
        <w:rPr>
          <w:rFonts w:hint="eastAsia" w:ascii="宋体" w:hAnsi="宋体" w:cs="宋体"/>
          <w:color w:val="auto"/>
          <w:kern w:val="0"/>
          <w:szCs w:val="21"/>
          <w:highlight w:val="none"/>
          <w:lang w:bidi="ar"/>
        </w:rPr>
        <w:t>双方当事人约定的实施方法、设备、设施和材料：</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发包人另行发包的工程等。在发包人接收工程前，承包人有义务对发包人提供的工程物资及工程成品进行保护，不得破坏，未经发包人批准不得运出现场</w:t>
      </w:r>
      <w:r>
        <w:rPr>
          <w:rFonts w:hint="eastAsia"/>
          <w:color w:val="auto"/>
          <w:szCs w:val="21"/>
          <w:highlight w:val="none"/>
        </w:rPr>
        <w:t>。</w:t>
      </w:r>
    </w:p>
    <w:p w14:paraId="3B0A39D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6.2 材料和工程设备</w:t>
      </w:r>
    </w:p>
    <w:p w14:paraId="11C02682">
      <w:pPr>
        <w:widowControl/>
        <w:adjustRightInd w:val="0"/>
        <w:snapToGrid w:val="0"/>
        <w:spacing w:after="120" w:afterLines="50" w:line="360" w:lineRule="auto"/>
        <w:ind w:firstLine="420" w:firstLineChars="200"/>
        <w:rPr>
          <w:rFonts w:ascii="宋体" w:hAnsi="宋体" w:cs="宋体"/>
          <w:color w:val="auto"/>
          <w:kern w:val="0"/>
          <w:highlight w:val="none"/>
        </w:rPr>
      </w:pPr>
      <w:r>
        <w:rPr>
          <w:rFonts w:ascii="宋体" w:hAnsi="宋体" w:cs="宋体"/>
          <w:color w:val="auto"/>
          <w:kern w:val="0"/>
          <w:szCs w:val="21"/>
          <w:highlight w:val="none"/>
          <w:lang w:bidi="ar"/>
        </w:rPr>
        <w:t xml:space="preserve">6.2.1 </w:t>
      </w:r>
      <w:r>
        <w:rPr>
          <w:rFonts w:hint="eastAsia" w:ascii="宋体" w:hAnsi="宋体" w:cs="宋体"/>
          <w:color w:val="auto"/>
          <w:kern w:val="0"/>
          <w:szCs w:val="21"/>
          <w:highlight w:val="none"/>
          <w:lang w:bidi="ar"/>
        </w:rPr>
        <w:t>发包人提供的材料和工程设备</w:t>
      </w:r>
    </w:p>
    <w:p w14:paraId="7B158D1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发包人提供的材料和工程设备验收后，由</w:t>
      </w:r>
      <w:r>
        <w:rPr>
          <w:rFonts w:hint="eastAsia" w:ascii="宋体" w:hAnsi="宋体" w:cs="宋体"/>
          <w:color w:val="auto"/>
          <w:kern w:val="0"/>
          <w:szCs w:val="21"/>
          <w:highlight w:val="none"/>
          <w:u w:val="single"/>
          <w:lang w:bidi="ar"/>
        </w:rPr>
        <w:t>承包人</w:t>
      </w:r>
      <w:r>
        <w:rPr>
          <w:rFonts w:hint="eastAsia" w:ascii="宋体" w:hAnsi="宋体" w:cs="宋体"/>
          <w:color w:val="auto"/>
          <w:kern w:val="0"/>
          <w:szCs w:val="21"/>
          <w:highlight w:val="none"/>
          <w:lang w:bidi="ar"/>
        </w:rPr>
        <w:t>负责接收、运输和保管。</w:t>
      </w:r>
    </w:p>
    <w:p w14:paraId="25A8676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发包人按约定的内容提供材料设备并对提供的材料设备质量负责，承包人按施工规范和检测规范对一切进场材料进行质量检验，承包人有权退回检验不合格的材料；承包人对投入使用的材料质量负责。</w:t>
      </w:r>
    </w:p>
    <w:p w14:paraId="7F1C43A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6.2.2 承包人提供的材料和工程设备</w:t>
      </w:r>
    </w:p>
    <w:p w14:paraId="65B8751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材料和工程设备的类别、估算数量：</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详见承包人投标工程量清单</w:t>
      </w:r>
      <w:r>
        <w:rPr>
          <w:rFonts w:hint="eastAsia"/>
          <w:color w:val="auto"/>
          <w:szCs w:val="21"/>
          <w:highlight w:val="none"/>
        </w:rPr>
        <w:t>。</w:t>
      </w:r>
    </w:p>
    <w:p w14:paraId="1DDD58B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竣工后试验的生产性材料的类别或（和）清单：</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双方另行商定。</w:t>
      </w:r>
    </w:p>
    <w:p w14:paraId="2BE1CFAB">
      <w:pPr>
        <w:adjustRightInd w:val="0"/>
        <w:snapToGrid w:val="0"/>
        <w:spacing w:line="324" w:lineRule="auto"/>
        <w:ind w:firstLine="420" w:firstLineChars="200"/>
        <w:rPr>
          <w:color w:val="auto"/>
          <w:szCs w:val="21"/>
          <w:highlight w:val="none"/>
        </w:rPr>
      </w:pPr>
      <w:r>
        <w:rPr>
          <w:rFonts w:hint="eastAsia"/>
          <w:color w:val="auto"/>
          <w:szCs w:val="21"/>
          <w:highlight w:val="none"/>
        </w:rPr>
        <w:t>承包人提供的材料/工程设备品牌变更管理：在项目实施过程中，如承包人拟提供的原材料</w:t>
      </w:r>
      <w:r>
        <w:rPr>
          <w:color w:val="auto"/>
          <w:szCs w:val="21"/>
          <w:highlight w:val="none"/>
        </w:rPr>
        <w:t>/</w:t>
      </w:r>
      <w:r>
        <w:rPr>
          <w:rFonts w:hint="eastAsia"/>
          <w:color w:val="auto"/>
          <w:szCs w:val="21"/>
          <w:highlight w:val="none"/>
        </w:rPr>
        <w:t>工程设备品牌与投标文件不符，需进行品牌变更的，应在施工前办理有关的材料</w:t>
      </w:r>
      <w:r>
        <w:rPr>
          <w:color w:val="auto"/>
          <w:szCs w:val="21"/>
          <w:highlight w:val="none"/>
        </w:rPr>
        <w:t>/</w:t>
      </w:r>
      <w:r>
        <w:rPr>
          <w:rFonts w:hint="eastAsia"/>
          <w:color w:val="auto"/>
          <w:szCs w:val="21"/>
          <w:highlight w:val="none"/>
        </w:rPr>
        <w:t>工程设备变更手续并经审批同意后实施。原则上不得先施工后审批。除遇不可抗力或不可预计因素外，因材料</w:t>
      </w:r>
      <w:r>
        <w:rPr>
          <w:color w:val="auto"/>
          <w:szCs w:val="21"/>
          <w:highlight w:val="none"/>
        </w:rPr>
        <w:t>/</w:t>
      </w:r>
      <w:r>
        <w:rPr>
          <w:rFonts w:hint="eastAsia"/>
          <w:color w:val="auto"/>
          <w:szCs w:val="21"/>
          <w:highlight w:val="none"/>
        </w:rPr>
        <w:t>工程设备品牌变更引起的造价核增，在最终结算时不予调增，因材料</w:t>
      </w:r>
      <w:r>
        <w:rPr>
          <w:color w:val="auto"/>
          <w:szCs w:val="21"/>
          <w:highlight w:val="none"/>
        </w:rPr>
        <w:t>/</w:t>
      </w:r>
      <w:r>
        <w:rPr>
          <w:rFonts w:hint="eastAsia"/>
          <w:color w:val="auto"/>
          <w:szCs w:val="21"/>
          <w:highlight w:val="none"/>
        </w:rPr>
        <w:t>设备品牌变更引起的造价核减，在最终结算时应进行相应的扣减。承包人自行采购的材料和工程设备须不低于发包人对其约定的要求。若承包人选择发包人推荐的品牌以外的同档次或以上标准的品牌，承包人须报发包人审定后方能使用，品牌调整后材料、设备的单价若高于承包人报价的将不予调整，若低于承包人报价的按发包人认质核价确定的单价调整。若因非承包人原因导致材料、设备技术要求发生重大变更的，则按发包人相关变更办法执行。</w:t>
      </w:r>
    </w:p>
    <w:p w14:paraId="2832FCE0">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p>
    <w:p w14:paraId="562C464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6.2.3材料和工程设备的保管</w:t>
      </w:r>
    </w:p>
    <w:p w14:paraId="194FD75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发包人供应的材料和工程设备的保管费用由</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承包人</w:t>
      </w:r>
      <w:r>
        <w:rPr>
          <w:rFonts w:hint="eastAsia" w:ascii="宋体" w:hAnsi="宋体" w:cs="宋体"/>
          <w:color w:val="auto"/>
          <w:kern w:val="0"/>
          <w:szCs w:val="21"/>
          <w:highlight w:val="none"/>
          <w:lang w:bidi="ar"/>
        </w:rPr>
        <w:t>承担。</w:t>
      </w:r>
    </w:p>
    <w:p w14:paraId="1A7D099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承包人提交保管、维护方案的时间：材料和工程设备到货</w:t>
      </w:r>
      <w:r>
        <w:rPr>
          <w:rFonts w:hint="eastAsia"/>
          <w:color w:val="auto"/>
          <w:szCs w:val="21"/>
          <w:highlight w:val="none"/>
          <w:u w:val="single"/>
        </w:rPr>
        <w:t>双方另行商定</w:t>
      </w:r>
    </w:p>
    <w:p w14:paraId="7FD3AC1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发包人提供的库房、堆场、设施和设备：</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双方商定</w:t>
      </w:r>
      <w:r>
        <w:rPr>
          <w:rFonts w:hint="eastAsia"/>
          <w:color w:val="auto"/>
          <w:szCs w:val="21"/>
          <w:highlight w:val="none"/>
        </w:rPr>
        <w:t>。</w:t>
      </w:r>
    </w:p>
    <w:p w14:paraId="2BEE002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6.3 样品</w:t>
      </w:r>
    </w:p>
    <w:p w14:paraId="325D42F5">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w:t>
      </w:r>
      <w:r>
        <w:rPr>
          <w:rFonts w:ascii="宋体" w:hAnsi="宋体" w:cs="宋体"/>
          <w:color w:val="auto"/>
          <w:kern w:val="0"/>
          <w:szCs w:val="21"/>
          <w:highlight w:val="none"/>
          <w:lang w:bidi="ar"/>
        </w:rPr>
        <w:t xml:space="preserve">.3.1 </w:t>
      </w:r>
      <w:r>
        <w:rPr>
          <w:rFonts w:hint="eastAsia" w:ascii="宋体" w:hAnsi="宋体" w:cs="宋体"/>
          <w:color w:val="auto"/>
          <w:kern w:val="0"/>
          <w:szCs w:val="21"/>
          <w:highlight w:val="none"/>
          <w:lang w:bidi="ar"/>
        </w:rPr>
        <w:t>样品的报送与封存</w:t>
      </w:r>
    </w:p>
    <w:p w14:paraId="4F927BC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需要承包人报送样品的材料或工程设备，样品的种类、名称、规格、数量要求：</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双方另行商定</w:t>
      </w:r>
      <w:r>
        <w:rPr>
          <w:rFonts w:hint="eastAsia"/>
          <w:color w:val="auto"/>
          <w:szCs w:val="21"/>
          <w:highlight w:val="none"/>
        </w:rPr>
        <w:t>。</w:t>
      </w:r>
    </w:p>
    <w:p w14:paraId="62ED18B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6.4 质量检查</w:t>
      </w:r>
    </w:p>
    <w:p w14:paraId="230AF7CE">
      <w:pPr>
        <w:widowControl/>
        <w:adjustRightInd w:val="0"/>
        <w:snapToGrid w:val="0"/>
        <w:spacing w:after="120" w:afterLines="50" w:line="360" w:lineRule="auto"/>
        <w:ind w:firstLine="420" w:firstLineChars="200"/>
        <w:rPr>
          <w:rFonts w:ascii="宋体" w:hAnsi="宋体" w:cs="宋体"/>
          <w:color w:val="auto"/>
          <w:kern w:val="0"/>
          <w:highlight w:val="none"/>
        </w:rPr>
      </w:pPr>
      <w:r>
        <w:rPr>
          <w:rFonts w:ascii="宋体" w:hAnsi="宋体" w:cs="宋体"/>
          <w:color w:val="auto"/>
          <w:kern w:val="0"/>
          <w:szCs w:val="21"/>
          <w:highlight w:val="none"/>
          <w:lang w:bidi="ar"/>
        </w:rPr>
        <w:t xml:space="preserve">6.4.1 </w:t>
      </w:r>
      <w:r>
        <w:rPr>
          <w:rFonts w:hint="eastAsia" w:ascii="宋体" w:hAnsi="宋体" w:cs="宋体"/>
          <w:color w:val="auto"/>
          <w:kern w:val="0"/>
          <w:szCs w:val="21"/>
          <w:highlight w:val="none"/>
          <w:lang w:bidi="ar"/>
        </w:rPr>
        <w:t>工程质量要求</w:t>
      </w:r>
    </w:p>
    <w:p w14:paraId="4A01CBDE">
      <w:pPr>
        <w:widowControl/>
        <w:adjustRightInd w:val="0"/>
        <w:snapToGrid w:val="0"/>
        <w:spacing w:line="360" w:lineRule="auto"/>
        <w:ind w:firstLine="420"/>
        <w:rPr>
          <w:rFonts w:ascii="宋体" w:hAnsi="宋体" w:cs="宋体"/>
          <w:color w:val="auto"/>
          <w:kern w:val="0"/>
          <w:szCs w:val="21"/>
          <w:highlight w:val="none"/>
          <w:lang w:bidi="ar"/>
        </w:rPr>
      </w:pPr>
      <w:r>
        <w:rPr>
          <w:rFonts w:hint="eastAsia"/>
          <w:color w:val="auto"/>
          <w:szCs w:val="21"/>
          <w:highlight w:val="none"/>
        </w:rPr>
        <w:t>工程质量的特殊标准或要求：</w:t>
      </w:r>
      <w:r>
        <w:rPr>
          <w:rFonts w:hint="eastAsia"/>
          <w:color w:val="auto"/>
          <w:szCs w:val="21"/>
          <w:highlight w:val="none"/>
          <w:u w:val="single"/>
        </w:rPr>
        <w:t>承包人承诺本工程质量达到“一次性验收合格”标准，房屋建筑结构安全，布局满足使用和生产的要求；各单体实现通水、通电、通气（如需要），各单机试运行正常，符合国家现行技术标准</w:t>
      </w:r>
      <w:r>
        <w:rPr>
          <w:rFonts w:hint="eastAsia" w:ascii="宋体" w:hAnsi="宋体" w:cs="宋体"/>
          <w:color w:val="auto"/>
          <w:kern w:val="0"/>
          <w:szCs w:val="21"/>
          <w:highlight w:val="none"/>
          <w:u w:val="single"/>
          <w:lang w:bidi="ar"/>
        </w:rPr>
        <w:t>和</w:t>
      </w:r>
      <w:r>
        <w:rPr>
          <w:rFonts w:hint="eastAsia" w:ascii="宋体" w:hAnsi="宋体" w:cs="宋体"/>
          <w:color w:val="auto"/>
          <w:kern w:val="0"/>
          <w:szCs w:val="21"/>
          <w:highlight w:val="none"/>
          <w:u w:val="single"/>
          <w:lang w:val="en-US" w:eastAsia="zh-CN" w:bidi="ar"/>
        </w:rPr>
        <w:t>广州</w:t>
      </w:r>
      <w:r>
        <w:rPr>
          <w:rFonts w:hint="eastAsia" w:ascii="宋体" w:hAnsi="宋体" w:cs="宋体"/>
          <w:color w:val="auto"/>
          <w:kern w:val="0"/>
          <w:szCs w:val="21"/>
          <w:highlight w:val="none"/>
          <w:u w:val="single"/>
          <w:lang w:bidi="ar"/>
        </w:rPr>
        <w:t>市现行有关施工质量验收规范要求</w:t>
      </w:r>
      <w:r>
        <w:rPr>
          <w:rFonts w:hint="eastAsia"/>
          <w:color w:val="auto"/>
          <w:szCs w:val="21"/>
          <w:highlight w:val="none"/>
        </w:rPr>
        <w:t>。</w:t>
      </w:r>
    </w:p>
    <w:p w14:paraId="55692FA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6.4.2 质量检查</w:t>
      </w:r>
    </w:p>
    <w:p w14:paraId="0FB461A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除通用合同条件已列明的质量检查的地点外，发包人有权进行质量检查的其他地点：</w:t>
      </w:r>
      <w:r>
        <w:rPr>
          <w:rFonts w:hint="eastAsia"/>
          <w:color w:val="auto"/>
          <w:szCs w:val="21"/>
          <w:highlight w:val="none"/>
          <w:u w:val="single"/>
        </w:rPr>
        <w:t>工程实施范围内的全部区域</w:t>
      </w:r>
      <w:r>
        <w:rPr>
          <w:rFonts w:hint="eastAsia"/>
          <w:color w:val="auto"/>
          <w:szCs w:val="21"/>
          <w:highlight w:val="none"/>
        </w:rPr>
        <w:t>。</w:t>
      </w:r>
    </w:p>
    <w:p w14:paraId="1D98271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6.4.3 隐蔽工程检查</w:t>
      </w:r>
    </w:p>
    <w:p w14:paraId="04252BD6">
      <w:pPr>
        <w:widowControl/>
        <w:adjustRightInd w:val="0"/>
        <w:snapToGrid w:val="0"/>
        <w:spacing w:line="360" w:lineRule="auto"/>
        <w:ind w:firstLine="420"/>
        <w:rPr>
          <w:rFonts w:ascii="宋体" w:hAnsi="宋体" w:cs="宋体"/>
          <w:color w:val="auto"/>
          <w:kern w:val="0"/>
          <w:highlight w:val="none"/>
        </w:rPr>
      </w:pPr>
      <w:r>
        <w:rPr>
          <w:rFonts w:hint="eastAsia" w:ascii="宋体" w:hAnsi="宋体" w:cs="宋体"/>
          <w:color w:val="auto"/>
          <w:kern w:val="0"/>
          <w:szCs w:val="21"/>
          <w:highlight w:val="none"/>
          <w:lang w:bidi="ar"/>
        </w:rPr>
        <w:t>关于隐蔽工程和中间验收的特别约定：</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按照国家建设管理规范执行</w:t>
      </w:r>
      <w:r>
        <w:rPr>
          <w:rFonts w:hint="eastAsia"/>
          <w:color w:val="auto"/>
          <w:szCs w:val="21"/>
          <w:highlight w:val="none"/>
        </w:rPr>
        <w:t>。</w:t>
      </w:r>
    </w:p>
    <w:p w14:paraId="37FCDE3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6.5 由承包人试验和检验</w:t>
      </w:r>
    </w:p>
    <w:p w14:paraId="06B1E3CB">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w:t>
      </w:r>
      <w:r>
        <w:rPr>
          <w:rFonts w:ascii="宋体" w:hAnsi="宋体" w:cs="宋体"/>
          <w:color w:val="auto"/>
          <w:kern w:val="0"/>
          <w:szCs w:val="21"/>
          <w:highlight w:val="none"/>
          <w:lang w:bidi="ar"/>
        </w:rPr>
        <w:t xml:space="preserve">.5.1 </w:t>
      </w:r>
      <w:r>
        <w:rPr>
          <w:rFonts w:hint="eastAsia" w:ascii="宋体" w:hAnsi="宋体" w:cs="宋体"/>
          <w:color w:val="auto"/>
          <w:kern w:val="0"/>
          <w:szCs w:val="21"/>
          <w:highlight w:val="none"/>
          <w:lang w:bidi="ar"/>
        </w:rPr>
        <w:t>试验设备与试验人员</w:t>
      </w:r>
    </w:p>
    <w:p w14:paraId="50AE2A78">
      <w:pPr>
        <w:adjustRightInd w:val="0"/>
        <w:snapToGrid w:val="0"/>
        <w:spacing w:line="360" w:lineRule="auto"/>
        <w:ind w:firstLine="420"/>
        <w:rPr>
          <w:color w:val="auto"/>
          <w:szCs w:val="21"/>
          <w:highlight w:val="none"/>
        </w:rPr>
      </w:pPr>
      <w:r>
        <w:rPr>
          <w:rFonts w:hint="eastAsia" w:ascii="宋体" w:hAnsi="宋体" w:cs="宋体"/>
          <w:color w:val="auto"/>
          <w:kern w:val="0"/>
          <w:szCs w:val="21"/>
          <w:highlight w:val="none"/>
          <w:lang w:bidi="ar"/>
        </w:rPr>
        <w:t>试验的内容、时间和地点：</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双方另行商定</w:t>
      </w:r>
      <w:r>
        <w:rPr>
          <w:rFonts w:hint="eastAsia"/>
          <w:color w:val="auto"/>
          <w:szCs w:val="21"/>
          <w:highlight w:val="none"/>
        </w:rPr>
        <w:t>。</w:t>
      </w:r>
    </w:p>
    <w:p w14:paraId="0E5A0894">
      <w:pPr>
        <w:widowControl/>
        <w:adjustRightInd w:val="0"/>
        <w:snapToGrid w:val="0"/>
        <w:spacing w:line="360" w:lineRule="auto"/>
        <w:ind w:firstLine="420"/>
        <w:rPr>
          <w:rFonts w:hint="eastAsia"/>
          <w:color w:val="auto"/>
          <w:szCs w:val="21"/>
          <w:highlight w:val="none"/>
        </w:rPr>
      </w:pPr>
      <w:r>
        <w:rPr>
          <w:rFonts w:hint="eastAsia" w:ascii="宋体" w:hAnsi="宋体" w:cs="宋体"/>
          <w:color w:val="auto"/>
          <w:kern w:val="0"/>
          <w:szCs w:val="21"/>
          <w:highlight w:val="none"/>
          <w:lang w:bidi="ar"/>
        </w:rPr>
        <w:t>试验所需要的试验设备、取样装置、试验场所和试验条件：</w:t>
      </w:r>
      <w:r>
        <w:rPr>
          <w:rFonts w:hint="eastAsia"/>
          <w:color w:val="auto"/>
          <w:szCs w:val="21"/>
          <w:highlight w:val="none"/>
          <w:u w:val="single"/>
        </w:rPr>
        <w:t>双方另行商定</w:t>
      </w:r>
      <w:r>
        <w:rPr>
          <w:rFonts w:hint="eastAsia"/>
          <w:color w:val="auto"/>
          <w:szCs w:val="21"/>
          <w:highlight w:val="none"/>
        </w:rPr>
        <w:t>。</w:t>
      </w:r>
    </w:p>
    <w:p w14:paraId="45F8D38D">
      <w:pPr>
        <w:widowControl/>
        <w:adjustRightInd w:val="0"/>
        <w:snapToGrid w:val="0"/>
        <w:spacing w:after="120" w:afterLines="50" w:line="360" w:lineRule="auto"/>
        <w:ind w:firstLine="420" w:firstLineChars="200"/>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本款补充</w:t>
      </w:r>
      <w:r>
        <w:rPr>
          <w:rFonts w:ascii="宋体" w:hAnsi="宋体" w:cs="宋体"/>
          <w:color w:val="auto"/>
          <w:kern w:val="0"/>
          <w:szCs w:val="21"/>
          <w:highlight w:val="none"/>
          <w:lang w:bidi="ar"/>
        </w:rPr>
        <w:t>6.5.5</w:t>
      </w:r>
    </w:p>
    <w:p w14:paraId="4DF3385D">
      <w:pPr>
        <w:widowControl/>
        <w:adjustRightInd w:val="0"/>
        <w:snapToGrid w:val="0"/>
        <w:spacing w:after="120" w:afterLines="50" w:line="360" w:lineRule="auto"/>
        <w:ind w:firstLine="420" w:firstLineChars="200"/>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6.5.5一般检验试验</w:t>
      </w:r>
    </w:p>
    <w:p w14:paraId="18511C2B">
      <w:pPr>
        <w:widowControl/>
        <w:adjustRightInd w:val="0"/>
        <w:snapToGrid w:val="0"/>
        <w:spacing w:after="120" w:afterLines="50" w:line="360" w:lineRule="auto"/>
        <w:ind w:firstLine="420" w:firstLineChars="200"/>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根据《建设工程质量检测管理办法》（建设部令第141号）、关于实施《建设工程质量检测管理办法》有关问题的通知（建质〔2009〕25号）和有关施工规范、验收标准及施工图的规定或要求，对工程材料、构件、建筑安装物、半成品、成品进行的一般质量鉴定、检测和试验，由发包人委托的第三方检测试验机构实施，所发生的鉴定、检测和试验费用由发包人承担</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不包含消防检测、空气质量检测等</w:t>
      </w:r>
      <w:r>
        <w:rPr>
          <w:rFonts w:hint="eastAsia" w:ascii="宋体" w:hAnsi="宋体" w:cs="宋体"/>
          <w:color w:val="auto"/>
          <w:kern w:val="0"/>
          <w:szCs w:val="21"/>
          <w:highlight w:val="none"/>
          <w:lang w:bidi="ar"/>
        </w:rPr>
        <w:t>。</w:t>
      </w:r>
    </w:p>
    <w:p w14:paraId="550A3545">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根据有关施工规范、验收标准及施工图的规定或要求，所做的上述检测试验所需的试件取样、制作、送检，试件制作需要提供的材料以及检测、试验的配合工作由承包人负责完成并承担由此产生的所有相关费用。</w:t>
      </w:r>
    </w:p>
    <w:p w14:paraId="4418ED98">
      <w:pPr>
        <w:widowControl/>
        <w:adjustRightInd w:val="0"/>
        <w:snapToGrid w:val="0"/>
        <w:spacing w:after="120" w:afterLines="50" w:line="360" w:lineRule="auto"/>
        <w:outlineLvl w:val="1"/>
        <w:rPr>
          <w:rFonts w:ascii="宋体" w:hAnsi="宋体" w:cs="Times"/>
          <w:b/>
          <w:color w:val="auto"/>
          <w:kern w:val="0"/>
          <w:highlight w:val="none"/>
        </w:rPr>
      </w:pPr>
      <w:bookmarkStart w:id="1721" w:name="_Toc20171880"/>
      <w:bookmarkEnd w:id="1721"/>
      <w:bookmarkStart w:id="1722" w:name="_Toc179885403"/>
      <w:r>
        <w:rPr>
          <w:rFonts w:hint="eastAsia" w:ascii="宋体" w:hAnsi="宋体" w:cs="Times"/>
          <w:b/>
          <w:color w:val="auto"/>
          <w:kern w:val="0"/>
          <w:szCs w:val="21"/>
          <w:highlight w:val="none"/>
          <w:lang w:bidi="ar"/>
        </w:rPr>
        <w:t>第7条 施工</w:t>
      </w:r>
      <w:bookmarkEnd w:id="1722"/>
    </w:p>
    <w:p w14:paraId="5AAC440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7.1 交通运输</w:t>
      </w:r>
    </w:p>
    <w:p w14:paraId="78DEEB6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7.1.1 出入现场的权利</w:t>
      </w:r>
    </w:p>
    <w:p w14:paraId="548B8CC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关于出入现场的权利的约定：</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按照项目施工现场管理制度要求执行</w:t>
      </w:r>
      <w:r>
        <w:rPr>
          <w:color w:val="auto"/>
          <w:szCs w:val="21"/>
          <w:highlight w:val="none"/>
        </w:rPr>
        <w:t>。</w:t>
      </w:r>
    </w:p>
    <w:p w14:paraId="34F840FA">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7.1.2 场外交通</w:t>
      </w:r>
    </w:p>
    <w:p w14:paraId="7BA80F2C">
      <w:pPr>
        <w:widowControl/>
        <w:adjustRightInd w:val="0"/>
        <w:snapToGrid w:val="0"/>
        <w:spacing w:line="360" w:lineRule="auto"/>
        <w:ind w:firstLine="420"/>
        <w:rPr>
          <w:rFonts w:ascii="宋体" w:hAnsi="宋体" w:cs="宋体"/>
          <w:color w:val="auto"/>
          <w:kern w:val="0"/>
          <w:highlight w:val="none"/>
        </w:rPr>
      </w:pPr>
      <w:r>
        <w:rPr>
          <w:rFonts w:hint="eastAsia" w:ascii="宋体" w:hAnsi="宋体" w:cs="宋体"/>
          <w:color w:val="auto"/>
          <w:kern w:val="0"/>
          <w:szCs w:val="21"/>
          <w:highlight w:val="none"/>
          <w:lang w:bidi="ar"/>
        </w:rPr>
        <w:t>关于场外交通的特别约定：</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执行建设项目所在地行政主管部门的相关规定</w:t>
      </w:r>
      <w:r>
        <w:rPr>
          <w:rFonts w:hint="eastAsia"/>
          <w:color w:val="auto"/>
          <w:szCs w:val="21"/>
          <w:highlight w:val="none"/>
        </w:rPr>
        <w:t>。</w:t>
      </w:r>
    </w:p>
    <w:p w14:paraId="7BEF331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7.1.3 场内交通</w:t>
      </w:r>
    </w:p>
    <w:p w14:paraId="2C9BFB12">
      <w:pPr>
        <w:adjustRightInd w:val="0"/>
        <w:snapToGrid w:val="0"/>
        <w:spacing w:line="360" w:lineRule="auto"/>
        <w:ind w:firstLine="420"/>
        <w:rPr>
          <w:color w:val="auto"/>
          <w:szCs w:val="21"/>
          <w:highlight w:val="none"/>
        </w:rPr>
      </w:pPr>
      <w:r>
        <w:rPr>
          <w:rFonts w:hint="eastAsia" w:ascii="宋体" w:hAnsi="宋体" w:cs="宋体"/>
          <w:color w:val="auto"/>
          <w:kern w:val="0"/>
          <w:szCs w:val="21"/>
          <w:highlight w:val="none"/>
          <w:lang w:bidi="ar"/>
        </w:rPr>
        <w:t>关于场内交通的特别约定：</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按照项目施工现场管理制度要求执行</w:t>
      </w:r>
      <w:r>
        <w:rPr>
          <w:rFonts w:hint="eastAsia"/>
          <w:color w:val="auto"/>
          <w:szCs w:val="21"/>
          <w:highlight w:val="none"/>
        </w:rPr>
        <w:t>。</w:t>
      </w:r>
    </w:p>
    <w:p w14:paraId="01C30BC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关于场内交通与场外交通边界的约定：</w:t>
      </w:r>
      <w:r>
        <w:rPr>
          <w:rFonts w:hint="eastAsia" w:ascii="宋体" w:hAnsi="宋体" w:cs="宋体"/>
          <w:color w:val="auto"/>
          <w:kern w:val="0"/>
          <w:szCs w:val="21"/>
          <w:highlight w:val="none"/>
          <w:u w:val="single"/>
          <w:lang w:bidi="ar"/>
        </w:rPr>
        <w:t>以合同工程用地红线为界，用地红线范围内为场内交通（场外道路穿越场内的除外），用地红线外为场外交通</w:t>
      </w:r>
      <w:r>
        <w:rPr>
          <w:rFonts w:hint="eastAsia" w:ascii="宋体" w:hAnsi="宋体" w:cs="宋体"/>
          <w:color w:val="auto"/>
          <w:kern w:val="0"/>
          <w:szCs w:val="21"/>
          <w:highlight w:val="none"/>
          <w:lang w:bidi="ar"/>
        </w:rPr>
        <w:t>。</w:t>
      </w:r>
    </w:p>
    <w:p w14:paraId="0D3E227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关于发包人向承包人免费提供满足工程施工需要的场内道路和交通设施的约定：以施工场地移交时的现状为准。</w:t>
      </w:r>
    </w:p>
    <w:p w14:paraId="48CAD61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7.1.4 超大件和超重件的运输</w:t>
      </w:r>
    </w:p>
    <w:p w14:paraId="7A85564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运输超大件或超重件所需的道路和桥梁临时加固改造费用和其他有关费用由</w:t>
      </w:r>
      <w:r>
        <w:rPr>
          <w:rFonts w:hint="eastAsia" w:ascii="宋体" w:hAnsi="宋体" w:cs="宋体"/>
          <w:color w:val="auto"/>
          <w:kern w:val="0"/>
          <w:szCs w:val="21"/>
          <w:highlight w:val="none"/>
          <w:u w:val="single"/>
          <w:lang w:bidi="ar"/>
        </w:rPr>
        <w:t xml:space="preserve">  </w:t>
      </w:r>
      <w:r>
        <w:rPr>
          <w:color w:val="auto"/>
          <w:szCs w:val="21"/>
          <w:highlight w:val="none"/>
          <w:u w:val="single"/>
        </w:rPr>
        <w:t>合同范围责任方</w:t>
      </w:r>
      <w:r>
        <w:rPr>
          <w:rFonts w:hint="eastAsia" w:ascii="宋体" w:hAnsi="宋体" w:cs="宋体"/>
          <w:color w:val="auto"/>
          <w:kern w:val="0"/>
          <w:szCs w:val="21"/>
          <w:highlight w:val="none"/>
          <w:lang w:bidi="ar"/>
        </w:rPr>
        <w:t>承担。</w:t>
      </w:r>
    </w:p>
    <w:p w14:paraId="55629A5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7.2 施工设备和临时设施</w:t>
      </w:r>
    </w:p>
    <w:p w14:paraId="7E9C004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7.2.1 承包人提供的施工设备和临时设施</w:t>
      </w:r>
    </w:p>
    <w:p w14:paraId="5253C15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临时设施的费用和临时占地手续和费用承担的特别约定：</w:t>
      </w:r>
      <w:r>
        <w:rPr>
          <w:rFonts w:hint="eastAsia" w:ascii="宋体" w:hAnsi="宋体" w:cs="宋体"/>
          <w:color w:val="auto"/>
          <w:kern w:val="0"/>
          <w:szCs w:val="21"/>
          <w:highlight w:val="none"/>
          <w:u w:val="single"/>
          <w:lang w:bidi="ar"/>
        </w:rPr>
        <w:t>由承包人承担</w:t>
      </w:r>
      <w:r>
        <w:rPr>
          <w:rFonts w:hint="eastAsia" w:ascii="宋体" w:hAnsi="宋体" w:cs="宋体"/>
          <w:color w:val="auto"/>
          <w:kern w:val="0"/>
          <w:szCs w:val="21"/>
          <w:highlight w:val="none"/>
          <w:lang w:bidi="ar"/>
        </w:rPr>
        <w:t>。</w:t>
      </w:r>
    </w:p>
    <w:p w14:paraId="6D55267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7.2.2 发包人提供的施工设备和临时设施</w:t>
      </w:r>
    </w:p>
    <w:p w14:paraId="6F0FC13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发包人提供的施工设备或临时设施范围：</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临时用水、临时用电接驳点</w:t>
      </w:r>
      <w:r>
        <w:rPr>
          <w:rFonts w:hint="eastAsia"/>
          <w:color w:val="auto"/>
          <w:szCs w:val="21"/>
          <w:highlight w:val="none"/>
        </w:rPr>
        <w:t>。</w:t>
      </w:r>
    </w:p>
    <w:p w14:paraId="1A10C72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7.3现场合作</w:t>
      </w:r>
    </w:p>
    <w:p w14:paraId="7CF4FCC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关于现场合作费用的特别约定：</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已包含在合同价款内</w:t>
      </w:r>
      <w:r>
        <w:rPr>
          <w:rFonts w:hint="eastAsia"/>
          <w:color w:val="auto"/>
          <w:szCs w:val="21"/>
          <w:highlight w:val="none"/>
        </w:rPr>
        <w:t>。</w:t>
      </w:r>
    </w:p>
    <w:p w14:paraId="5FA8F4E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7.4 测量放线</w:t>
      </w:r>
    </w:p>
    <w:p w14:paraId="707E2FF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7</w:t>
      </w:r>
      <w:r>
        <w:rPr>
          <w:rFonts w:ascii="宋体" w:hAnsi="宋体" w:cs="宋体"/>
          <w:color w:val="auto"/>
          <w:kern w:val="0"/>
          <w:szCs w:val="21"/>
          <w:highlight w:val="none"/>
          <w:lang w:bidi="ar"/>
        </w:rPr>
        <w:t xml:space="preserve">.4.1 </w:t>
      </w:r>
      <w:r>
        <w:rPr>
          <w:rFonts w:hint="eastAsia" w:ascii="宋体" w:hAnsi="宋体" w:cs="宋体"/>
          <w:color w:val="auto"/>
          <w:kern w:val="0"/>
          <w:szCs w:val="21"/>
          <w:highlight w:val="none"/>
          <w:lang w:bidi="ar"/>
        </w:rPr>
        <w:t>关于测量放线的特别约定的技术规范：</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执行通用条款</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。施工控制网资料的告知期限：</w:t>
      </w:r>
      <w:r>
        <w:rPr>
          <w:rFonts w:hint="eastAsia"/>
          <w:color w:val="auto"/>
          <w:szCs w:val="21"/>
          <w:highlight w:val="none"/>
          <w:u w:val="single"/>
        </w:rPr>
        <w:t>双方另行商定</w:t>
      </w:r>
      <w:r>
        <w:rPr>
          <w:rFonts w:hint="eastAsia"/>
          <w:color w:val="auto"/>
          <w:szCs w:val="21"/>
          <w:highlight w:val="none"/>
        </w:rPr>
        <w:t>。</w:t>
      </w:r>
    </w:p>
    <w:p w14:paraId="492C965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7.5 现场劳动用工</w:t>
      </w:r>
    </w:p>
    <w:p w14:paraId="1E8F18F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7.5.2 合同当事人对建筑工人工资清偿事宜和违约责任的约定：</w:t>
      </w:r>
      <w:r>
        <w:rPr>
          <w:rFonts w:hint="eastAsia" w:ascii="宋体" w:hAnsi="宋体" w:cs="宋体"/>
          <w:color w:val="auto"/>
          <w:kern w:val="0"/>
          <w:szCs w:val="21"/>
          <w:highlight w:val="none"/>
          <w:u w:val="single"/>
          <w:lang w:bidi="ar"/>
        </w:rPr>
        <w:t>详见合同附件9</w:t>
      </w:r>
      <w:r>
        <w:rPr>
          <w:rFonts w:ascii="宋体" w:hAnsi="宋体" w:cs="宋体"/>
          <w:color w:val="auto"/>
          <w:kern w:val="0"/>
          <w:szCs w:val="21"/>
          <w:highlight w:val="none"/>
          <w:u w:val="single"/>
          <w:lang w:bidi="ar"/>
        </w:rPr>
        <w:t>《保障建筑工人工资支付协议》</w:t>
      </w:r>
      <w:r>
        <w:rPr>
          <w:rFonts w:hint="eastAsia" w:ascii="宋体" w:hAnsi="宋体" w:cs="宋体"/>
          <w:color w:val="auto"/>
          <w:kern w:val="0"/>
          <w:szCs w:val="21"/>
          <w:highlight w:val="none"/>
          <w:lang w:bidi="ar"/>
        </w:rPr>
        <w:t>。</w:t>
      </w:r>
    </w:p>
    <w:p w14:paraId="3E22981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7.6 安全文明施工</w:t>
      </w:r>
    </w:p>
    <w:p w14:paraId="7AE9252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7.6.1 安全生产要求</w:t>
      </w:r>
    </w:p>
    <w:p w14:paraId="7FFEFFED">
      <w:pPr>
        <w:widowControl/>
        <w:adjustRightInd w:val="0"/>
        <w:snapToGrid w:val="0"/>
        <w:spacing w:after="120" w:afterLines="50" w:line="360" w:lineRule="auto"/>
        <w:ind w:firstLine="420" w:firstLineChars="200"/>
        <w:rPr>
          <w:rFonts w:ascii="宋体" w:hAnsi="宋体" w:cs="宋体"/>
          <w:color w:val="auto"/>
          <w:kern w:val="0"/>
          <w:highlight w:val="none"/>
          <w:u w:val="single"/>
        </w:rPr>
      </w:pPr>
      <w:r>
        <w:rPr>
          <w:rFonts w:hint="eastAsia" w:ascii="宋体" w:hAnsi="宋体" w:cs="宋体"/>
          <w:color w:val="auto"/>
          <w:kern w:val="0"/>
          <w:szCs w:val="21"/>
          <w:highlight w:val="none"/>
          <w:lang w:bidi="ar"/>
        </w:rPr>
        <w:t>合同当事人对安全施工的要求：</w:t>
      </w:r>
      <w:r>
        <w:rPr>
          <w:rFonts w:hint="eastAsia" w:ascii="宋体" w:hAnsi="宋体" w:cs="宋体"/>
          <w:color w:val="auto"/>
          <w:kern w:val="0"/>
          <w:szCs w:val="21"/>
          <w:highlight w:val="none"/>
          <w:u w:val="single"/>
          <w:lang w:bidi="ar"/>
        </w:rPr>
        <w:t>达到《建筑施工安全检查标准》（</w:t>
      </w:r>
      <w:r>
        <w:rPr>
          <w:rFonts w:ascii="宋体" w:hAnsi="宋体" w:cs="宋体"/>
          <w:color w:val="auto"/>
          <w:kern w:val="0"/>
          <w:szCs w:val="21"/>
          <w:highlight w:val="none"/>
          <w:u w:val="single"/>
          <w:lang w:bidi="ar"/>
        </w:rPr>
        <w:t>JGJ59-2011）的要求。</w:t>
      </w:r>
    </w:p>
    <w:p w14:paraId="65659943">
      <w:pPr>
        <w:widowControl/>
        <w:adjustRightInd w:val="0"/>
        <w:snapToGrid w:val="0"/>
        <w:spacing w:after="120" w:afterLines="50" w:line="360" w:lineRule="auto"/>
        <w:ind w:firstLine="420" w:firstLineChars="200"/>
        <w:rPr>
          <w:rFonts w:ascii="宋体" w:hAnsi="宋体" w:cs="宋体"/>
          <w:color w:val="auto"/>
          <w:kern w:val="0"/>
          <w:highlight w:val="none"/>
          <w:u w:val="single"/>
        </w:rPr>
      </w:pPr>
      <w:r>
        <w:rPr>
          <w:rFonts w:hint="eastAsia" w:ascii="宋体" w:hAnsi="宋体" w:cs="宋体"/>
          <w:color w:val="auto"/>
          <w:kern w:val="0"/>
          <w:szCs w:val="21"/>
          <w:highlight w:val="none"/>
          <w:u w:val="single"/>
          <w:lang w:bidi="ar"/>
        </w:rPr>
        <w:t>（</w:t>
      </w:r>
      <w:r>
        <w:rPr>
          <w:rFonts w:ascii="宋体" w:hAnsi="宋体" w:cs="宋体"/>
          <w:color w:val="auto"/>
          <w:kern w:val="0"/>
          <w:szCs w:val="21"/>
          <w:highlight w:val="none"/>
          <w:u w:val="single"/>
          <w:lang w:bidi="ar"/>
        </w:rPr>
        <w:t>1）按现行安全文明施工费计取及使用管理的政策文件规定及发包人制订的安全管理制度执行。</w:t>
      </w:r>
    </w:p>
    <w:p w14:paraId="12159DE2">
      <w:pPr>
        <w:widowControl/>
        <w:adjustRightInd w:val="0"/>
        <w:snapToGrid w:val="0"/>
        <w:spacing w:after="120" w:afterLines="50" w:line="360" w:lineRule="auto"/>
        <w:ind w:firstLine="420" w:firstLineChars="200"/>
        <w:rPr>
          <w:rFonts w:ascii="宋体" w:hAnsi="宋体" w:cs="宋体"/>
          <w:color w:val="auto"/>
          <w:kern w:val="0"/>
          <w:highlight w:val="none"/>
          <w:u w:val="single"/>
        </w:rPr>
      </w:pPr>
      <w:r>
        <w:rPr>
          <w:rFonts w:hint="eastAsia" w:ascii="宋体" w:hAnsi="宋体" w:cs="宋体"/>
          <w:color w:val="auto"/>
          <w:kern w:val="0"/>
          <w:szCs w:val="21"/>
          <w:highlight w:val="none"/>
          <w:u w:val="single"/>
          <w:lang w:bidi="ar"/>
        </w:rPr>
        <w:t>（</w:t>
      </w:r>
      <w:r>
        <w:rPr>
          <w:rFonts w:ascii="宋体" w:hAnsi="宋体" w:cs="宋体"/>
          <w:color w:val="auto"/>
          <w:kern w:val="0"/>
          <w:szCs w:val="21"/>
          <w:highlight w:val="none"/>
          <w:u w:val="single"/>
          <w:lang w:bidi="ar"/>
        </w:rPr>
        <w:t>2）承包人的原因造成事故，由此产生的法律责任和事故责任及费用由承包人全部承担。</w:t>
      </w:r>
    </w:p>
    <w:p w14:paraId="1BAE7560">
      <w:pPr>
        <w:widowControl/>
        <w:adjustRightInd w:val="0"/>
        <w:snapToGrid w:val="0"/>
        <w:spacing w:after="120" w:afterLines="50" w:line="360" w:lineRule="auto"/>
        <w:ind w:firstLine="420" w:firstLineChars="200"/>
        <w:rPr>
          <w:rFonts w:ascii="宋体" w:hAnsi="宋体" w:cs="宋体"/>
          <w:color w:val="auto"/>
          <w:kern w:val="0"/>
          <w:highlight w:val="none"/>
          <w:u w:val="single"/>
        </w:rPr>
      </w:pPr>
      <w:r>
        <w:rPr>
          <w:rFonts w:hint="eastAsia" w:ascii="宋体" w:hAnsi="宋体" w:cs="宋体"/>
          <w:color w:val="auto"/>
          <w:kern w:val="0"/>
          <w:szCs w:val="21"/>
          <w:highlight w:val="none"/>
          <w:u w:val="single"/>
          <w:lang w:bidi="ar"/>
        </w:rPr>
        <w:t>（</w:t>
      </w:r>
      <w:r>
        <w:rPr>
          <w:rFonts w:ascii="宋体" w:hAnsi="宋体" w:cs="宋体"/>
          <w:color w:val="auto"/>
          <w:kern w:val="0"/>
          <w:szCs w:val="21"/>
          <w:highlight w:val="none"/>
          <w:u w:val="single"/>
          <w:lang w:bidi="ar"/>
        </w:rPr>
        <w:t>3）承包人向发包人做出安全承诺，并签订《安全生产目标责任书》和《安全承诺书》。</w:t>
      </w:r>
    </w:p>
    <w:p w14:paraId="7B7C3E34">
      <w:pPr>
        <w:widowControl/>
        <w:adjustRightInd w:val="0"/>
        <w:snapToGrid w:val="0"/>
        <w:spacing w:after="120" w:afterLines="50" w:line="360" w:lineRule="auto"/>
        <w:ind w:firstLine="420" w:firstLineChars="200"/>
        <w:rPr>
          <w:rFonts w:ascii="宋体" w:hAnsi="宋体" w:cs="宋体"/>
          <w:color w:val="auto"/>
          <w:kern w:val="0"/>
          <w:highlight w:val="none"/>
          <w:u w:val="single"/>
        </w:rPr>
      </w:pPr>
      <w:r>
        <w:rPr>
          <w:rFonts w:hint="eastAsia" w:ascii="宋体" w:hAnsi="宋体" w:cs="宋体"/>
          <w:color w:val="auto"/>
          <w:kern w:val="0"/>
          <w:szCs w:val="21"/>
          <w:highlight w:val="none"/>
          <w:u w:val="single"/>
          <w:lang w:bidi="ar"/>
        </w:rPr>
        <w:t>（</w:t>
      </w:r>
      <w:r>
        <w:rPr>
          <w:rFonts w:ascii="宋体" w:hAnsi="宋体" w:cs="宋体"/>
          <w:color w:val="auto"/>
          <w:kern w:val="0"/>
          <w:szCs w:val="21"/>
          <w:highlight w:val="none"/>
          <w:u w:val="single"/>
          <w:lang w:bidi="ar"/>
        </w:rPr>
        <w:t>4）承包人在施工过程中，必须严格执行安全生产法的相关规定和强制性安全标准，制定切实可靠的安全技术措施。</w:t>
      </w:r>
    </w:p>
    <w:p w14:paraId="54F1E28F">
      <w:pPr>
        <w:widowControl/>
        <w:adjustRightInd w:val="0"/>
        <w:snapToGrid w:val="0"/>
        <w:spacing w:after="120" w:afterLines="50" w:line="360" w:lineRule="auto"/>
        <w:ind w:firstLine="420" w:firstLineChars="200"/>
        <w:rPr>
          <w:rFonts w:ascii="宋体" w:hAnsi="宋体" w:cs="宋体"/>
          <w:color w:val="auto"/>
          <w:kern w:val="0"/>
          <w:szCs w:val="21"/>
          <w:highlight w:val="none"/>
          <w:u w:val="single"/>
          <w:lang w:bidi="ar"/>
        </w:rPr>
      </w:pPr>
      <w:r>
        <w:rPr>
          <w:rFonts w:hint="eastAsia" w:ascii="宋体" w:hAnsi="宋体" w:cs="宋体"/>
          <w:color w:val="auto"/>
          <w:kern w:val="0"/>
          <w:szCs w:val="21"/>
          <w:highlight w:val="none"/>
          <w:u w:val="single"/>
          <w:lang w:bidi="ar"/>
        </w:rPr>
        <w:t>（</w:t>
      </w:r>
      <w:r>
        <w:rPr>
          <w:rFonts w:ascii="宋体" w:hAnsi="宋体" w:cs="宋体"/>
          <w:color w:val="auto"/>
          <w:kern w:val="0"/>
          <w:szCs w:val="21"/>
          <w:highlight w:val="none"/>
          <w:u w:val="single"/>
          <w:lang w:bidi="ar"/>
        </w:rPr>
        <w:t>5）接受发包人安全监督和管理，在施工中违反安全管理规定和操作规程、违章作业的，承担违约责任。</w:t>
      </w:r>
    </w:p>
    <w:p w14:paraId="35A6A1A7">
      <w:pPr>
        <w:widowControl/>
        <w:adjustRightInd w:val="0"/>
        <w:snapToGrid w:val="0"/>
        <w:spacing w:after="120" w:afterLines="50" w:line="360" w:lineRule="auto"/>
        <w:ind w:firstLine="420" w:firstLineChars="200"/>
        <w:rPr>
          <w:rFonts w:ascii="宋体" w:hAnsi="宋体" w:cs="宋体"/>
          <w:color w:val="auto"/>
          <w:kern w:val="0"/>
          <w:szCs w:val="21"/>
          <w:highlight w:val="none"/>
          <w:u w:val="single"/>
          <w:lang w:bidi="ar"/>
        </w:rPr>
      </w:pPr>
      <w:r>
        <w:rPr>
          <w:rFonts w:hint="eastAsia"/>
          <w:color w:val="auto"/>
          <w:szCs w:val="21"/>
          <w:highlight w:val="none"/>
        </w:rPr>
        <w:t>合同当事人对安全施工的要求：重伤及以上零事故，轻伤事故控制率在5‰内。</w:t>
      </w:r>
    </w:p>
    <w:p w14:paraId="31F0B43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 xml:space="preserve">7.6.3 文明施工 </w:t>
      </w:r>
    </w:p>
    <w:p w14:paraId="2DABB36B">
      <w:pPr>
        <w:widowControl/>
        <w:adjustRightInd w:val="0"/>
        <w:snapToGrid w:val="0"/>
        <w:spacing w:after="120" w:afterLines="50" w:line="360" w:lineRule="auto"/>
        <w:ind w:firstLine="420" w:firstLineChars="200"/>
        <w:rPr>
          <w:color w:val="auto"/>
          <w:szCs w:val="21"/>
          <w:highlight w:val="none"/>
        </w:rPr>
      </w:pPr>
      <w:r>
        <w:rPr>
          <w:rFonts w:hint="eastAsia"/>
          <w:color w:val="auto"/>
          <w:szCs w:val="21"/>
          <w:highlight w:val="none"/>
        </w:rPr>
        <w:t>合同当事人对文明施工的要求：</w:t>
      </w:r>
      <w:r>
        <w:rPr>
          <w:rFonts w:hint="eastAsia"/>
          <w:color w:val="auto"/>
          <w:szCs w:val="21"/>
          <w:highlight w:val="none"/>
          <w:u w:val="single"/>
        </w:rPr>
        <w:t>执行项目所在地的安全文明施工规定，建筑工地安全文明施工达到</w:t>
      </w:r>
      <w:r>
        <w:rPr>
          <w:rFonts w:hint="eastAsia"/>
          <w:color w:val="auto"/>
          <w:szCs w:val="21"/>
          <w:highlight w:val="none"/>
        </w:rPr>
        <w:t>住建部门季度考评评分85分及以上。</w:t>
      </w:r>
    </w:p>
    <w:p w14:paraId="78CE1553">
      <w:pPr>
        <w:adjustRightInd w:val="0"/>
        <w:snapToGrid w:val="0"/>
        <w:spacing w:line="360" w:lineRule="auto"/>
        <w:ind w:firstLine="420"/>
        <w:rPr>
          <w:color w:val="auto"/>
          <w:szCs w:val="21"/>
          <w:highlight w:val="none"/>
        </w:rPr>
      </w:pPr>
      <w:r>
        <w:rPr>
          <w:rFonts w:hint="eastAsia"/>
          <w:color w:val="auto"/>
          <w:szCs w:val="21"/>
          <w:highlight w:val="none"/>
        </w:rPr>
        <w:t>7.6.5 安全生产责任</w:t>
      </w:r>
    </w:p>
    <w:p w14:paraId="20E72535">
      <w:pPr>
        <w:adjustRightInd w:val="0"/>
        <w:snapToGrid w:val="0"/>
        <w:spacing w:line="360" w:lineRule="auto"/>
        <w:ind w:firstLine="420"/>
        <w:rPr>
          <w:color w:val="auto"/>
          <w:szCs w:val="21"/>
          <w:highlight w:val="none"/>
        </w:rPr>
      </w:pPr>
      <w:r>
        <w:rPr>
          <w:rFonts w:hint="eastAsia"/>
          <w:color w:val="auto"/>
          <w:szCs w:val="21"/>
          <w:highlight w:val="none"/>
        </w:rPr>
        <w:t>本工程承包人承诺重伤及以上“零”事故，轻伤事故控制率在5‰内。如承包人在施工期发生工程安全事故将构成安全承诺违约。每发生一次，发包人将按以下原则从应支付的工程款中扣除承包人的工程安全违约金：</w:t>
      </w:r>
    </w:p>
    <w:p w14:paraId="60A444CD">
      <w:pPr>
        <w:adjustRightInd w:val="0"/>
        <w:snapToGrid w:val="0"/>
        <w:spacing w:line="360" w:lineRule="auto"/>
        <w:ind w:firstLine="420"/>
        <w:rPr>
          <w:color w:val="auto"/>
          <w:szCs w:val="21"/>
          <w:highlight w:val="none"/>
        </w:rPr>
      </w:pPr>
      <w:r>
        <w:rPr>
          <w:rFonts w:hint="eastAsia"/>
          <w:color w:val="auto"/>
          <w:szCs w:val="21"/>
          <w:highlight w:val="none"/>
        </w:rPr>
        <w:t>工程安全违约按其严重程度分六类：</w:t>
      </w:r>
    </w:p>
    <w:p w14:paraId="6F27FD9F">
      <w:pPr>
        <w:adjustRightInd w:val="0"/>
        <w:snapToGrid w:val="0"/>
        <w:spacing w:line="360" w:lineRule="auto"/>
        <w:ind w:firstLine="420"/>
        <w:rPr>
          <w:color w:val="auto"/>
          <w:szCs w:val="21"/>
          <w:highlight w:val="none"/>
        </w:rPr>
      </w:pPr>
      <w:r>
        <w:rPr>
          <w:rFonts w:hint="eastAsia"/>
          <w:color w:val="auto"/>
          <w:szCs w:val="21"/>
          <w:highlight w:val="none"/>
        </w:rPr>
        <w:t>（1）构成发生轻伤或者设备损坏，折合直接经济损失2万元及以上的工程安全违约条件的，从工程款中扣除2万元违约金；</w:t>
      </w:r>
    </w:p>
    <w:p w14:paraId="532E0CD8">
      <w:pPr>
        <w:adjustRightInd w:val="0"/>
        <w:snapToGrid w:val="0"/>
        <w:spacing w:line="360" w:lineRule="auto"/>
        <w:ind w:firstLine="420"/>
        <w:rPr>
          <w:color w:val="auto"/>
          <w:szCs w:val="21"/>
          <w:highlight w:val="none"/>
        </w:rPr>
      </w:pPr>
      <w:r>
        <w:rPr>
          <w:rFonts w:hint="eastAsia"/>
          <w:color w:val="auto"/>
          <w:szCs w:val="21"/>
          <w:highlight w:val="none"/>
        </w:rPr>
        <w:t>（2）构成未发生伤亡事故但造成严重不良社会影响的工程安全违约条件的，从工程款中扣除10万元违约金；</w:t>
      </w:r>
    </w:p>
    <w:p w14:paraId="523E3B49">
      <w:pPr>
        <w:adjustRightInd w:val="0"/>
        <w:snapToGrid w:val="0"/>
        <w:spacing w:line="360" w:lineRule="auto"/>
        <w:ind w:firstLine="420"/>
        <w:rPr>
          <w:color w:val="auto"/>
          <w:szCs w:val="21"/>
          <w:highlight w:val="none"/>
        </w:rPr>
      </w:pPr>
      <w:r>
        <w:rPr>
          <w:rFonts w:hint="eastAsia"/>
          <w:color w:val="auto"/>
          <w:szCs w:val="21"/>
          <w:highlight w:val="none"/>
        </w:rPr>
        <w:t>（3）构成发生一般事故工程安全违约条件的，从工程款中扣除</w:t>
      </w:r>
      <w:r>
        <w:rPr>
          <w:color w:val="auto"/>
          <w:szCs w:val="21"/>
          <w:highlight w:val="none"/>
        </w:rPr>
        <w:t>50</w:t>
      </w:r>
      <w:r>
        <w:rPr>
          <w:rFonts w:hint="eastAsia"/>
          <w:color w:val="auto"/>
          <w:szCs w:val="21"/>
          <w:highlight w:val="none"/>
        </w:rPr>
        <w:t>万元违约金，并承担相应损失；</w:t>
      </w:r>
    </w:p>
    <w:p w14:paraId="7FE2DA87">
      <w:pPr>
        <w:adjustRightInd w:val="0"/>
        <w:snapToGrid w:val="0"/>
        <w:spacing w:line="360" w:lineRule="auto"/>
        <w:ind w:firstLine="420"/>
        <w:rPr>
          <w:color w:val="auto"/>
          <w:szCs w:val="21"/>
          <w:highlight w:val="none"/>
        </w:rPr>
      </w:pPr>
      <w:r>
        <w:rPr>
          <w:rFonts w:hint="eastAsia"/>
          <w:color w:val="auto"/>
          <w:szCs w:val="21"/>
          <w:highlight w:val="none"/>
        </w:rPr>
        <w:t>（4）构成较大事故工程安全违约条件的，从工程款中扣除1</w:t>
      </w:r>
      <w:r>
        <w:rPr>
          <w:color w:val="auto"/>
          <w:szCs w:val="21"/>
          <w:highlight w:val="none"/>
        </w:rPr>
        <w:t>0</w:t>
      </w:r>
      <w:r>
        <w:rPr>
          <w:rFonts w:hint="eastAsia"/>
          <w:color w:val="auto"/>
          <w:szCs w:val="21"/>
          <w:highlight w:val="none"/>
        </w:rPr>
        <w:t>0万元违约金，并承担相应损失；</w:t>
      </w:r>
    </w:p>
    <w:p w14:paraId="7E07EE06">
      <w:pPr>
        <w:adjustRightInd w:val="0"/>
        <w:snapToGrid w:val="0"/>
        <w:spacing w:line="360" w:lineRule="auto"/>
        <w:ind w:firstLine="420"/>
        <w:rPr>
          <w:color w:val="auto"/>
          <w:szCs w:val="21"/>
          <w:highlight w:val="none"/>
        </w:rPr>
      </w:pPr>
      <w:r>
        <w:rPr>
          <w:rFonts w:hint="eastAsia"/>
          <w:color w:val="auto"/>
          <w:szCs w:val="21"/>
          <w:highlight w:val="none"/>
        </w:rPr>
        <w:t>（5）构成重大事故工程安全违约条件的，从工程款中扣除150万元违约金，并承担相应损失；</w:t>
      </w:r>
    </w:p>
    <w:p w14:paraId="1DF2AD06">
      <w:pPr>
        <w:adjustRightInd w:val="0"/>
        <w:snapToGrid w:val="0"/>
        <w:spacing w:line="360" w:lineRule="auto"/>
        <w:ind w:firstLine="420"/>
        <w:rPr>
          <w:color w:val="auto"/>
          <w:szCs w:val="21"/>
          <w:highlight w:val="none"/>
        </w:rPr>
      </w:pPr>
      <w:r>
        <w:rPr>
          <w:rFonts w:hint="eastAsia"/>
          <w:color w:val="auto"/>
          <w:szCs w:val="21"/>
          <w:highlight w:val="none"/>
        </w:rPr>
        <w:t>（6）构成特大事故工程安全违约条件的，从工程款中扣除200万元违约金，并承担相应损失。</w:t>
      </w:r>
    </w:p>
    <w:p w14:paraId="5034B152">
      <w:pPr>
        <w:adjustRightInd w:val="0"/>
        <w:snapToGrid w:val="0"/>
        <w:spacing w:line="360" w:lineRule="auto"/>
        <w:ind w:firstLine="420"/>
        <w:rPr>
          <w:color w:val="auto"/>
          <w:szCs w:val="21"/>
          <w:highlight w:val="none"/>
        </w:rPr>
      </w:pPr>
      <w:r>
        <w:rPr>
          <w:rFonts w:hint="eastAsia"/>
          <w:color w:val="auto"/>
          <w:szCs w:val="21"/>
          <w:highlight w:val="none"/>
        </w:rPr>
        <w:t>此外，发包人根据伤残鉴定报告，按照级别从工程款中扣除相应违约金：1~4级，违约金金额为60万元除以相应级别；4级以上，违约金金额为30万元除以相应级别。如发生人员死亡，发包人还需扣除承包方100万元*死亡人数的违约金。以上违约金均由发包人从应支付承包人的工程款中直接扣除。如前述违约金不足以弥补因此给发包人造成的损失的，承包人还应承担全部赔偿责任。</w:t>
      </w:r>
    </w:p>
    <w:p w14:paraId="089D3039">
      <w:pPr>
        <w:adjustRightInd w:val="0"/>
        <w:snapToGrid w:val="0"/>
        <w:spacing w:line="360" w:lineRule="auto"/>
        <w:ind w:firstLine="420"/>
        <w:rPr>
          <w:color w:val="auto"/>
          <w:szCs w:val="21"/>
          <w:highlight w:val="none"/>
        </w:rPr>
      </w:pPr>
      <w:r>
        <w:rPr>
          <w:rFonts w:hint="eastAsia"/>
          <w:color w:val="auto"/>
          <w:szCs w:val="21"/>
          <w:highlight w:val="none"/>
        </w:rPr>
        <w:t>因安全文明施工等原因造成停工（含区域停工）的，每次扣除工程款10万元，引起进度偏差的按照进度违约条款处理。</w:t>
      </w:r>
    </w:p>
    <w:p w14:paraId="02023C9C">
      <w:pPr>
        <w:widowControl/>
        <w:spacing w:line="360" w:lineRule="auto"/>
        <w:ind w:firstLine="420" w:firstLineChars="200"/>
        <w:rPr>
          <w:color w:val="auto"/>
          <w:szCs w:val="21"/>
          <w:highlight w:val="none"/>
        </w:rPr>
      </w:pPr>
      <w:r>
        <w:rPr>
          <w:rFonts w:hint="eastAsia"/>
          <w:color w:val="auto"/>
          <w:szCs w:val="21"/>
          <w:highlight w:val="none"/>
        </w:rPr>
        <w:t>以上条款中约定的承包人应承担的相应损失具体包括但不限于发包人对相关人员伤亡、财产损失进行的赔付；发包人因此受到的资质降级、政府处罚；发包人因该事故对外承担的全部责任；发包人的维权费用律师费、交通费、保全保险费、保全费、诉讼费等。</w:t>
      </w:r>
    </w:p>
    <w:p w14:paraId="20BB964D">
      <w:pPr>
        <w:widowControl/>
        <w:adjustRightInd w:val="0"/>
        <w:snapToGrid w:val="0"/>
        <w:spacing w:after="120" w:afterLines="50" w:line="360" w:lineRule="auto"/>
        <w:ind w:firstLine="420" w:firstLineChars="200"/>
        <w:rPr>
          <w:rFonts w:ascii="宋体" w:hAnsi="宋体" w:cs="宋体"/>
          <w:color w:val="auto"/>
          <w:kern w:val="0"/>
          <w:highlight w:val="none"/>
          <w:u w:val="single"/>
        </w:rPr>
      </w:pPr>
      <w:r>
        <w:rPr>
          <w:rFonts w:ascii="宋体" w:hAnsi="宋体" w:cs="宋体"/>
          <w:color w:val="auto"/>
          <w:kern w:val="0"/>
          <w:szCs w:val="21"/>
          <w:highlight w:val="none"/>
          <w:lang w:bidi="ar"/>
        </w:rPr>
        <w:t xml:space="preserve">7.8 环境保护 </w:t>
      </w:r>
    </w:p>
    <w:p w14:paraId="3B3E5E03">
      <w:pPr>
        <w:widowControl/>
        <w:adjustRightInd w:val="0"/>
        <w:snapToGrid w:val="0"/>
        <w:spacing w:after="120" w:afterLines="50" w:line="360" w:lineRule="auto"/>
        <w:ind w:firstLine="420" w:firstLineChars="200"/>
        <w:rPr>
          <w:rFonts w:ascii="宋体" w:hAnsi="宋体" w:cs="宋体"/>
          <w:color w:val="auto"/>
          <w:kern w:val="0"/>
          <w:highlight w:val="none"/>
          <w:u w:val="single"/>
        </w:rPr>
      </w:pPr>
      <w:bookmarkStart w:id="1723" w:name="OLE_LINK3"/>
      <w:r>
        <w:rPr>
          <w:rFonts w:hint="eastAsia" w:ascii="宋体" w:hAnsi="宋体" w:cs="宋体"/>
          <w:color w:val="auto"/>
          <w:kern w:val="0"/>
          <w:szCs w:val="21"/>
          <w:highlight w:val="none"/>
          <w:u w:val="single"/>
          <w:lang w:bidi="ar"/>
        </w:rPr>
        <w:t>本款补充</w:t>
      </w:r>
      <w:r>
        <w:rPr>
          <w:rFonts w:ascii="宋体" w:hAnsi="宋体" w:cs="宋体"/>
          <w:color w:val="auto"/>
          <w:kern w:val="0"/>
          <w:szCs w:val="21"/>
          <w:highlight w:val="none"/>
          <w:u w:val="single"/>
          <w:lang w:bidi="ar"/>
        </w:rPr>
        <w:t>7.8.4～7.8.11项：</w:t>
      </w:r>
    </w:p>
    <w:p w14:paraId="7F38D66F">
      <w:pPr>
        <w:widowControl/>
        <w:adjustRightInd w:val="0"/>
        <w:snapToGrid w:val="0"/>
        <w:spacing w:after="120" w:afterLines="50" w:line="360" w:lineRule="auto"/>
        <w:ind w:firstLine="420" w:firstLineChars="200"/>
        <w:jc w:val="left"/>
        <w:rPr>
          <w:rFonts w:ascii="宋体" w:hAnsi="宋体" w:cs="宋体"/>
          <w:color w:val="auto"/>
          <w:kern w:val="0"/>
          <w:highlight w:val="none"/>
          <w:u w:val="single"/>
        </w:rPr>
      </w:pPr>
      <w:r>
        <w:rPr>
          <w:rFonts w:ascii="宋体" w:hAnsi="宋体" w:cs="宋体"/>
          <w:color w:val="auto"/>
          <w:kern w:val="0"/>
          <w:szCs w:val="21"/>
          <w:highlight w:val="none"/>
          <w:u w:val="single"/>
          <w:lang w:bidi="ar"/>
        </w:rPr>
        <w:t xml:space="preserve">7.8.4 </w:t>
      </w:r>
      <w:r>
        <w:rPr>
          <w:rFonts w:hint="eastAsia" w:ascii="宋体" w:hAnsi="宋体" w:cs="宋体"/>
          <w:color w:val="auto"/>
          <w:kern w:val="0"/>
          <w:szCs w:val="21"/>
          <w:highlight w:val="none"/>
          <w:u w:val="single"/>
          <w:lang w:bidi="ar"/>
        </w:rPr>
        <w:t>承包人应严格按照项目环境影响评价文件批准书结合发包人报送的环境影响报告书的要求进行环境保护的相关工作。如行政主管部门有新标准，则按最新标准执行，执行新标准增加的费用由发包人承担。</w:t>
      </w:r>
    </w:p>
    <w:p w14:paraId="1F18072C">
      <w:pPr>
        <w:widowControl/>
        <w:adjustRightInd w:val="0"/>
        <w:snapToGrid w:val="0"/>
        <w:spacing w:after="120" w:afterLines="50" w:line="360" w:lineRule="auto"/>
        <w:ind w:firstLine="420" w:firstLineChars="200"/>
        <w:jc w:val="left"/>
        <w:rPr>
          <w:rFonts w:ascii="宋体" w:hAnsi="宋体" w:cs="宋体"/>
          <w:color w:val="auto"/>
          <w:kern w:val="0"/>
          <w:highlight w:val="none"/>
          <w:u w:val="single"/>
        </w:rPr>
      </w:pPr>
      <w:r>
        <w:rPr>
          <w:rFonts w:ascii="宋体" w:hAnsi="宋体" w:cs="宋体"/>
          <w:color w:val="auto"/>
          <w:kern w:val="0"/>
          <w:szCs w:val="21"/>
          <w:highlight w:val="none"/>
          <w:u w:val="single"/>
          <w:lang w:bidi="ar"/>
        </w:rPr>
        <w:t xml:space="preserve">7.8.5 </w:t>
      </w:r>
      <w:r>
        <w:rPr>
          <w:rFonts w:hint="eastAsia" w:ascii="宋体" w:hAnsi="宋体" w:cs="宋体"/>
          <w:color w:val="auto"/>
          <w:kern w:val="0"/>
          <w:szCs w:val="21"/>
          <w:highlight w:val="none"/>
          <w:u w:val="single"/>
          <w:lang w:bidi="ar"/>
        </w:rPr>
        <w:t>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bookmarkEnd w:id="1723"/>
    <w:p w14:paraId="7D205BD4">
      <w:pPr>
        <w:widowControl/>
        <w:adjustRightInd w:val="0"/>
        <w:snapToGrid w:val="0"/>
        <w:spacing w:after="120" w:afterLines="50" w:line="360" w:lineRule="auto"/>
        <w:ind w:firstLine="420" w:firstLineChars="200"/>
        <w:jc w:val="left"/>
        <w:rPr>
          <w:rFonts w:ascii="宋体" w:hAnsi="宋体" w:cs="宋体"/>
          <w:color w:val="auto"/>
          <w:kern w:val="0"/>
          <w:highlight w:val="none"/>
          <w:u w:val="single"/>
        </w:rPr>
      </w:pPr>
      <w:r>
        <w:rPr>
          <w:rFonts w:ascii="宋体" w:hAnsi="宋体" w:cs="宋体"/>
          <w:color w:val="auto"/>
          <w:kern w:val="0"/>
          <w:szCs w:val="21"/>
          <w:highlight w:val="none"/>
          <w:u w:val="single"/>
          <w:lang w:bidi="ar"/>
        </w:rPr>
        <w:t xml:space="preserve">7.8.6 </w:t>
      </w:r>
      <w:r>
        <w:rPr>
          <w:rFonts w:hint="eastAsia" w:ascii="宋体" w:hAnsi="宋体" w:cs="宋体"/>
          <w:color w:val="auto"/>
          <w:kern w:val="0"/>
          <w:szCs w:val="21"/>
          <w:highlight w:val="none"/>
          <w:u w:val="single"/>
          <w:lang w:bidi="ar"/>
        </w:rPr>
        <w:t>承包人应加强生态环境保护工作。施工期间，采取边坡防护，挡渣坝、排水沟、沉淀池、表土剥离和绿化恢复等水土保持措施减少水土流失量，绿化恢复宜采用适于当地生长的植物。</w:t>
      </w:r>
    </w:p>
    <w:p w14:paraId="640BB763">
      <w:pPr>
        <w:widowControl/>
        <w:adjustRightInd w:val="0"/>
        <w:snapToGrid w:val="0"/>
        <w:spacing w:after="120" w:afterLines="50" w:line="360" w:lineRule="auto"/>
        <w:ind w:firstLine="420" w:firstLineChars="200"/>
        <w:jc w:val="left"/>
        <w:rPr>
          <w:rFonts w:ascii="宋体" w:hAnsi="宋体" w:cs="宋体"/>
          <w:color w:val="auto"/>
          <w:kern w:val="0"/>
          <w:highlight w:val="none"/>
          <w:u w:val="single"/>
        </w:rPr>
      </w:pPr>
      <w:r>
        <w:rPr>
          <w:rFonts w:ascii="宋体" w:hAnsi="宋体" w:cs="宋体"/>
          <w:color w:val="auto"/>
          <w:kern w:val="0"/>
          <w:szCs w:val="21"/>
          <w:highlight w:val="none"/>
          <w:u w:val="single"/>
          <w:lang w:bidi="ar"/>
        </w:rPr>
        <w:t xml:space="preserve">7.8.7 </w:t>
      </w:r>
      <w:r>
        <w:rPr>
          <w:rFonts w:hint="eastAsia" w:ascii="宋体" w:hAnsi="宋体" w:cs="宋体"/>
          <w:color w:val="auto"/>
          <w:kern w:val="0"/>
          <w:szCs w:val="21"/>
          <w:highlight w:val="none"/>
          <w:u w:val="single"/>
          <w:lang w:bidi="ar"/>
        </w:rPr>
        <w:t>承包人应认真落实水污染防治措施。施工期间，加强机械设备维护，减少跑冒滴漏等现象；做好含油废水处理措施；施工场地生活污水经生化处理后达到《污水综合排放标准》（</w:t>
      </w:r>
      <w:r>
        <w:rPr>
          <w:rFonts w:ascii="宋体" w:hAnsi="宋体" w:cs="宋体"/>
          <w:color w:val="auto"/>
          <w:kern w:val="0"/>
          <w:szCs w:val="21"/>
          <w:highlight w:val="none"/>
          <w:u w:val="single"/>
          <w:lang w:bidi="ar"/>
        </w:rPr>
        <w:t>GB8978-1996）一级标准后排放。</w:t>
      </w:r>
    </w:p>
    <w:p w14:paraId="282385AC">
      <w:pPr>
        <w:widowControl/>
        <w:adjustRightInd w:val="0"/>
        <w:snapToGrid w:val="0"/>
        <w:spacing w:after="120" w:afterLines="50" w:line="360" w:lineRule="auto"/>
        <w:ind w:firstLine="420" w:firstLineChars="200"/>
        <w:jc w:val="left"/>
        <w:rPr>
          <w:rFonts w:ascii="宋体" w:hAnsi="宋体" w:cs="宋体"/>
          <w:color w:val="auto"/>
          <w:kern w:val="0"/>
          <w:highlight w:val="none"/>
          <w:u w:val="single"/>
        </w:rPr>
      </w:pPr>
      <w:r>
        <w:rPr>
          <w:rFonts w:ascii="宋体" w:hAnsi="宋体" w:cs="宋体"/>
          <w:color w:val="auto"/>
          <w:kern w:val="0"/>
          <w:szCs w:val="21"/>
          <w:highlight w:val="none"/>
          <w:u w:val="single"/>
          <w:lang w:bidi="ar"/>
        </w:rPr>
        <w:t xml:space="preserve">7.8.8 </w:t>
      </w:r>
      <w:r>
        <w:rPr>
          <w:rFonts w:hint="eastAsia" w:ascii="宋体" w:hAnsi="宋体" w:cs="宋体"/>
          <w:color w:val="auto"/>
          <w:kern w:val="0"/>
          <w:szCs w:val="21"/>
          <w:highlight w:val="none"/>
          <w:u w:val="single"/>
          <w:lang w:bidi="ar"/>
        </w:rPr>
        <w:t>承包人应重视大气污染物污染防治措施。施工期间，严格执行市政府“蓝天行动”方案等有关规定，通过洒水防尘，严格控制施工场地扬尘和运输扬尘污染。</w:t>
      </w:r>
    </w:p>
    <w:p w14:paraId="54BFBE0C">
      <w:pPr>
        <w:widowControl/>
        <w:adjustRightInd w:val="0"/>
        <w:snapToGrid w:val="0"/>
        <w:spacing w:after="120" w:afterLines="50" w:line="360" w:lineRule="auto"/>
        <w:ind w:firstLine="420" w:firstLineChars="200"/>
        <w:jc w:val="left"/>
        <w:rPr>
          <w:rFonts w:ascii="宋体" w:hAnsi="宋体" w:cs="宋体"/>
          <w:color w:val="auto"/>
          <w:kern w:val="0"/>
          <w:highlight w:val="none"/>
          <w:u w:val="single"/>
        </w:rPr>
      </w:pPr>
      <w:r>
        <w:rPr>
          <w:rFonts w:ascii="宋体" w:hAnsi="宋体" w:cs="宋体"/>
          <w:color w:val="auto"/>
          <w:kern w:val="0"/>
          <w:szCs w:val="21"/>
          <w:highlight w:val="none"/>
          <w:u w:val="single"/>
          <w:lang w:bidi="ar"/>
        </w:rPr>
        <w:t xml:space="preserve">7.8.9 </w:t>
      </w:r>
      <w:r>
        <w:rPr>
          <w:rFonts w:hint="eastAsia" w:ascii="宋体" w:hAnsi="宋体" w:cs="宋体"/>
          <w:color w:val="auto"/>
          <w:kern w:val="0"/>
          <w:szCs w:val="21"/>
          <w:highlight w:val="none"/>
          <w:u w:val="single"/>
          <w:lang w:bidi="ar"/>
        </w:rPr>
        <w:t>承包人应落实固体废物污染防治措施。施工期间，项目产生的弃方不可合理利用的，应运往指定的弃渣场内堆存；建筑垃圾运至指定的建筑垃圾消纳场处置；生活垃圾由当地环卫部门统一处置。</w:t>
      </w:r>
    </w:p>
    <w:p w14:paraId="6589185E">
      <w:pPr>
        <w:widowControl/>
        <w:adjustRightInd w:val="0"/>
        <w:snapToGrid w:val="0"/>
        <w:spacing w:after="120" w:afterLines="50" w:line="360" w:lineRule="auto"/>
        <w:ind w:firstLine="420" w:firstLineChars="200"/>
        <w:jc w:val="left"/>
        <w:rPr>
          <w:rFonts w:ascii="宋体" w:hAnsi="宋体" w:cs="宋体"/>
          <w:color w:val="auto"/>
          <w:kern w:val="0"/>
          <w:highlight w:val="none"/>
          <w:u w:val="single"/>
        </w:rPr>
      </w:pPr>
      <w:r>
        <w:rPr>
          <w:rFonts w:ascii="宋体" w:hAnsi="宋体" w:cs="宋体"/>
          <w:color w:val="auto"/>
          <w:kern w:val="0"/>
          <w:szCs w:val="21"/>
          <w:highlight w:val="none"/>
          <w:u w:val="single"/>
          <w:lang w:bidi="ar"/>
        </w:rPr>
        <w:t xml:space="preserve">7.8.10 </w:t>
      </w:r>
      <w:r>
        <w:rPr>
          <w:rFonts w:hint="eastAsia" w:ascii="宋体" w:hAnsi="宋体" w:cs="宋体"/>
          <w:color w:val="auto"/>
          <w:kern w:val="0"/>
          <w:szCs w:val="21"/>
          <w:highlight w:val="none"/>
          <w:u w:val="single"/>
          <w:lang w:bidi="ar"/>
        </w:rPr>
        <w:t>承包人应认真落实噪声污染防治措施。施工期间，优选低噪声设备，合理安排施工时间，严格控制夜间施工，昼、夜施工场界需满足《建筑施工场界环境噪声排放标准》（</w:t>
      </w:r>
      <w:r>
        <w:rPr>
          <w:rFonts w:ascii="宋体" w:hAnsi="宋体" w:cs="宋体"/>
          <w:color w:val="auto"/>
          <w:kern w:val="0"/>
          <w:szCs w:val="21"/>
          <w:highlight w:val="none"/>
          <w:u w:val="single"/>
          <w:lang w:bidi="ar"/>
        </w:rPr>
        <w:t>GB12523-2011）。</w:t>
      </w:r>
    </w:p>
    <w:p w14:paraId="164DF21A">
      <w:pPr>
        <w:widowControl/>
        <w:adjustRightInd w:val="0"/>
        <w:snapToGrid w:val="0"/>
        <w:spacing w:after="120" w:afterLines="50" w:line="360" w:lineRule="auto"/>
        <w:ind w:firstLine="420" w:firstLineChars="200"/>
        <w:rPr>
          <w:rFonts w:ascii="宋体" w:hAnsi="宋体" w:cs="宋体"/>
          <w:color w:val="auto"/>
          <w:kern w:val="0"/>
          <w:highlight w:val="none"/>
        </w:rPr>
      </w:pPr>
      <w:r>
        <w:rPr>
          <w:rFonts w:ascii="宋体" w:hAnsi="宋体" w:cs="宋体"/>
          <w:color w:val="auto"/>
          <w:kern w:val="0"/>
          <w:szCs w:val="21"/>
          <w:highlight w:val="none"/>
          <w:u w:val="single"/>
          <w:lang w:bidi="ar"/>
        </w:rPr>
        <w:t xml:space="preserve">7.8.11 </w:t>
      </w:r>
      <w:r>
        <w:rPr>
          <w:rFonts w:hint="eastAsia" w:ascii="宋体" w:hAnsi="宋体" w:cs="宋体"/>
          <w:color w:val="auto"/>
          <w:kern w:val="0"/>
          <w:szCs w:val="21"/>
          <w:highlight w:val="none"/>
          <w:u w:val="single"/>
          <w:lang w:bidi="ar"/>
        </w:rPr>
        <w:t>承包人自行负责办理有关施工场地交通、环卫和施工噪音管理等手续，并应按要求结合自身实际和</w:t>
      </w:r>
      <w:r>
        <w:rPr>
          <w:rFonts w:hint="eastAsia" w:ascii="宋体" w:hAnsi="宋体" w:cs="宋体"/>
          <w:color w:val="auto"/>
          <w:kern w:val="0"/>
          <w:szCs w:val="21"/>
          <w:highlight w:val="none"/>
          <w:u w:val="single"/>
          <w:lang w:eastAsia="zh-CN" w:bidi="ar"/>
        </w:rPr>
        <w:t>广州</w:t>
      </w:r>
      <w:r>
        <w:rPr>
          <w:rFonts w:hint="eastAsia" w:ascii="宋体" w:hAnsi="宋体" w:cs="宋体"/>
          <w:color w:val="auto"/>
          <w:kern w:val="0"/>
          <w:szCs w:val="21"/>
          <w:highlight w:val="none"/>
          <w:u w:val="single"/>
          <w:lang w:bidi="ar"/>
        </w:rPr>
        <w:t>市相关规定，考虑不低于以上标准的此类工作。</w:t>
      </w:r>
    </w:p>
    <w:p w14:paraId="37DD495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 xml:space="preserve">7.9 临时性公用设施 </w:t>
      </w:r>
    </w:p>
    <w:p w14:paraId="5D6F40B8">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关于临时性公用设施的特别约定：</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承包人进场后，发包人负责将临时用水、临时用电账户更换为承包人账户，由承包人直接向当地自来水公司和电力部门缴纳水、电费用</w:t>
      </w:r>
      <w:r>
        <w:rPr>
          <w:rFonts w:hint="eastAsia"/>
          <w:color w:val="auto"/>
          <w:szCs w:val="21"/>
          <w:highlight w:val="none"/>
        </w:rPr>
        <w:t>。</w:t>
      </w:r>
    </w:p>
    <w:p w14:paraId="740B560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7.10 现场安保</w:t>
      </w:r>
    </w:p>
    <w:p w14:paraId="4DC925C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承包人现场安保义务的特别约定：</w:t>
      </w:r>
      <w:r>
        <w:rPr>
          <w:rFonts w:hint="eastAsia" w:ascii="宋体" w:hAnsi="宋体" w:cs="宋体"/>
          <w:color w:val="auto"/>
          <w:kern w:val="0"/>
          <w:szCs w:val="21"/>
          <w:highlight w:val="none"/>
          <w:u w:val="single"/>
          <w:lang w:bidi="ar"/>
        </w:rPr>
        <w:t>承包人负责组建施工现场治安管理机构或联防组织；承包人负责编制施工场地治安管理计划和突发治安事件紧急预案。</w:t>
      </w:r>
      <w:bookmarkStart w:id="1724" w:name="OLE_LINK4"/>
      <w:r>
        <w:rPr>
          <w:rFonts w:hint="eastAsia" w:ascii="宋体" w:hAnsi="宋体" w:cs="宋体"/>
          <w:color w:val="auto"/>
          <w:kern w:val="0"/>
          <w:szCs w:val="21"/>
          <w:highlight w:val="none"/>
          <w:u w:val="single"/>
          <w:lang w:bidi="ar"/>
        </w:rPr>
        <w:t>其余</w:t>
      </w:r>
      <w:r>
        <w:rPr>
          <w:rFonts w:hint="eastAsia"/>
          <w:color w:val="auto"/>
          <w:szCs w:val="21"/>
          <w:highlight w:val="none"/>
          <w:u w:val="single"/>
        </w:rPr>
        <w:t>按通用合同条件</w:t>
      </w:r>
      <w:r>
        <w:rPr>
          <w:rFonts w:hint="eastAsia" w:ascii="宋体" w:hAnsi="宋体" w:cs="宋体"/>
          <w:color w:val="auto"/>
          <w:kern w:val="0"/>
          <w:szCs w:val="21"/>
          <w:highlight w:val="none"/>
          <w:lang w:bidi="ar"/>
        </w:rPr>
        <w:t>。</w:t>
      </w:r>
    </w:p>
    <w:bookmarkEnd w:id="1724"/>
    <w:p w14:paraId="6B0F2827">
      <w:pPr>
        <w:widowControl/>
        <w:adjustRightInd w:val="0"/>
        <w:snapToGrid w:val="0"/>
        <w:spacing w:after="120" w:afterLines="50" w:line="360" w:lineRule="auto"/>
        <w:outlineLvl w:val="1"/>
        <w:rPr>
          <w:rFonts w:ascii="宋体" w:hAnsi="宋体" w:cs="Times"/>
          <w:color w:val="auto"/>
          <w:kern w:val="0"/>
          <w:highlight w:val="none"/>
        </w:rPr>
      </w:pPr>
      <w:bookmarkStart w:id="1725" w:name="_Toc20171881"/>
      <w:bookmarkEnd w:id="1725"/>
      <w:bookmarkStart w:id="1726" w:name="_Toc179885404"/>
      <w:r>
        <w:rPr>
          <w:rFonts w:hint="eastAsia" w:ascii="宋体" w:hAnsi="宋体" w:cs="Times"/>
          <w:color w:val="auto"/>
          <w:kern w:val="0"/>
          <w:szCs w:val="21"/>
          <w:highlight w:val="none"/>
          <w:lang w:bidi="ar"/>
        </w:rPr>
        <w:t>第8条 工期和进度</w:t>
      </w:r>
      <w:bookmarkEnd w:id="1726"/>
    </w:p>
    <w:p w14:paraId="2353DF3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8.1 开始工作</w:t>
      </w:r>
    </w:p>
    <w:p w14:paraId="78630A07">
      <w:pPr>
        <w:adjustRightInd w:val="0"/>
        <w:snapToGrid w:val="0"/>
        <w:spacing w:line="360" w:lineRule="auto"/>
        <w:ind w:firstLine="42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8.1.1 开始准备工作：</w:t>
      </w:r>
    </w:p>
    <w:p w14:paraId="56E4BA23">
      <w:pPr>
        <w:adjustRightInd w:val="0"/>
        <w:snapToGrid w:val="0"/>
        <w:spacing w:line="360" w:lineRule="auto"/>
        <w:ind w:firstLine="420"/>
        <w:rPr>
          <w:color w:val="auto"/>
          <w:szCs w:val="21"/>
          <w:highlight w:val="none"/>
          <w:u w:val="single"/>
        </w:rPr>
      </w:pPr>
      <w:r>
        <w:rPr>
          <w:rFonts w:hint="eastAsia"/>
          <w:color w:val="auto"/>
          <w:szCs w:val="21"/>
          <w:highlight w:val="none"/>
          <w:u w:val="single"/>
        </w:rPr>
        <w:t>1)</w:t>
      </w:r>
      <w:r>
        <w:rPr>
          <w:color w:val="auto"/>
          <w:szCs w:val="21"/>
          <w:highlight w:val="none"/>
          <w:u w:val="single"/>
        </w:rPr>
        <w:t xml:space="preserve"> </w:t>
      </w:r>
      <w:r>
        <w:rPr>
          <w:rFonts w:hint="eastAsia"/>
          <w:color w:val="auto"/>
          <w:szCs w:val="21"/>
          <w:highlight w:val="none"/>
          <w:u w:val="single"/>
        </w:rPr>
        <w:t>成立组织机构，配备强有力的管理人员</w:t>
      </w:r>
    </w:p>
    <w:p w14:paraId="4E37169A">
      <w:pPr>
        <w:adjustRightInd w:val="0"/>
        <w:snapToGrid w:val="0"/>
        <w:spacing w:line="360" w:lineRule="auto"/>
        <w:ind w:firstLine="420"/>
        <w:rPr>
          <w:color w:val="auto"/>
          <w:szCs w:val="21"/>
          <w:highlight w:val="none"/>
          <w:u w:val="single"/>
        </w:rPr>
      </w:pPr>
      <w:r>
        <w:rPr>
          <w:rFonts w:hint="eastAsia"/>
          <w:color w:val="auto"/>
          <w:szCs w:val="21"/>
          <w:highlight w:val="none"/>
          <w:u w:val="single"/>
        </w:rPr>
        <w:t>2)</w:t>
      </w:r>
      <w:r>
        <w:rPr>
          <w:color w:val="auto"/>
          <w:szCs w:val="21"/>
          <w:highlight w:val="none"/>
          <w:u w:val="single"/>
        </w:rPr>
        <w:t xml:space="preserve"> </w:t>
      </w:r>
      <w:r>
        <w:rPr>
          <w:rFonts w:hint="eastAsia"/>
          <w:color w:val="auto"/>
          <w:szCs w:val="21"/>
          <w:highlight w:val="none"/>
          <w:u w:val="single"/>
        </w:rPr>
        <w:t>建立工程施工管理网络</w:t>
      </w:r>
    </w:p>
    <w:p w14:paraId="4D96485A">
      <w:pPr>
        <w:adjustRightInd w:val="0"/>
        <w:snapToGrid w:val="0"/>
        <w:spacing w:line="360" w:lineRule="auto"/>
        <w:ind w:firstLine="420"/>
        <w:rPr>
          <w:color w:val="auto"/>
          <w:szCs w:val="21"/>
          <w:highlight w:val="none"/>
          <w:u w:val="single"/>
        </w:rPr>
      </w:pPr>
      <w:r>
        <w:rPr>
          <w:rFonts w:hint="eastAsia"/>
          <w:color w:val="auto"/>
          <w:szCs w:val="21"/>
          <w:highlight w:val="none"/>
          <w:u w:val="single"/>
        </w:rPr>
        <w:t>3)</w:t>
      </w:r>
      <w:r>
        <w:rPr>
          <w:color w:val="auto"/>
          <w:szCs w:val="21"/>
          <w:highlight w:val="none"/>
          <w:u w:val="single"/>
        </w:rPr>
        <w:t xml:space="preserve"> </w:t>
      </w:r>
      <w:r>
        <w:rPr>
          <w:rFonts w:hint="eastAsia"/>
          <w:color w:val="auto"/>
          <w:szCs w:val="21"/>
          <w:highlight w:val="none"/>
          <w:u w:val="single"/>
        </w:rPr>
        <w:t>组织有关人员进行图纸会审</w:t>
      </w:r>
    </w:p>
    <w:p w14:paraId="2043F9AB">
      <w:pPr>
        <w:adjustRightInd w:val="0"/>
        <w:snapToGrid w:val="0"/>
        <w:spacing w:line="360" w:lineRule="auto"/>
        <w:ind w:firstLine="420"/>
        <w:rPr>
          <w:color w:val="auto"/>
          <w:szCs w:val="21"/>
          <w:highlight w:val="none"/>
          <w:u w:val="single"/>
        </w:rPr>
      </w:pPr>
      <w:r>
        <w:rPr>
          <w:rFonts w:hint="eastAsia"/>
          <w:color w:val="auto"/>
          <w:szCs w:val="21"/>
          <w:highlight w:val="none"/>
          <w:u w:val="single"/>
        </w:rPr>
        <w:t>4)</w:t>
      </w:r>
      <w:r>
        <w:rPr>
          <w:color w:val="auto"/>
          <w:szCs w:val="21"/>
          <w:highlight w:val="none"/>
          <w:u w:val="single"/>
        </w:rPr>
        <w:t xml:space="preserve"> </w:t>
      </w:r>
      <w:r>
        <w:rPr>
          <w:rFonts w:hint="eastAsia"/>
          <w:color w:val="auto"/>
          <w:szCs w:val="21"/>
          <w:highlight w:val="none"/>
          <w:u w:val="single"/>
        </w:rPr>
        <w:t>编制好施工材料综合计划</w:t>
      </w:r>
    </w:p>
    <w:p w14:paraId="6667BE74">
      <w:pPr>
        <w:adjustRightInd w:val="0"/>
        <w:snapToGrid w:val="0"/>
        <w:spacing w:line="360" w:lineRule="auto"/>
        <w:ind w:firstLine="420"/>
        <w:rPr>
          <w:color w:val="auto"/>
          <w:szCs w:val="21"/>
          <w:highlight w:val="none"/>
          <w:u w:val="single"/>
        </w:rPr>
      </w:pPr>
      <w:r>
        <w:rPr>
          <w:rFonts w:hint="eastAsia"/>
          <w:color w:val="auto"/>
          <w:szCs w:val="21"/>
          <w:highlight w:val="none"/>
          <w:u w:val="single"/>
        </w:rPr>
        <w:t>5)</w:t>
      </w:r>
      <w:r>
        <w:rPr>
          <w:color w:val="auto"/>
          <w:szCs w:val="21"/>
          <w:highlight w:val="none"/>
          <w:u w:val="single"/>
        </w:rPr>
        <w:t xml:space="preserve"> </w:t>
      </w:r>
      <w:r>
        <w:rPr>
          <w:rFonts w:hint="eastAsia"/>
          <w:color w:val="auto"/>
          <w:szCs w:val="21"/>
          <w:highlight w:val="none"/>
          <w:u w:val="single"/>
        </w:rPr>
        <w:t>做好技术交底工作</w:t>
      </w:r>
    </w:p>
    <w:p w14:paraId="57F1B7EE">
      <w:pPr>
        <w:adjustRightInd w:val="0"/>
        <w:snapToGrid w:val="0"/>
        <w:spacing w:line="360" w:lineRule="auto"/>
        <w:ind w:firstLine="420"/>
        <w:rPr>
          <w:color w:val="auto"/>
          <w:szCs w:val="21"/>
          <w:highlight w:val="none"/>
          <w:u w:val="single"/>
        </w:rPr>
      </w:pPr>
      <w:r>
        <w:rPr>
          <w:rFonts w:hint="eastAsia"/>
          <w:color w:val="auto"/>
          <w:szCs w:val="21"/>
          <w:highlight w:val="none"/>
          <w:u w:val="single"/>
        </w:rPr>
        <w:t>6)</w:t>
      </w:r>
      <w:r>
        <w:rPr>
          <w:color w:val="auto"/>
          <w:szCs w:val="21"/>
          <w:highlight w:val="none"/>
          <w:u w:val="single"/>
        </w:rPr>
        <w:t xml:space="preserve"> </w:t>
      </w:r>
      <w:r>
        <w:rPr>
          <w:rFonts w:hint="eastAsia"/>
          <w:color w:val="auto"/>
          <w:szCs w:val="21"/>
          <w:highlight w:val="none"/>
          <w:u w:val="single"/>
        </w:rPr>
        <w:t>搞好施工现场的布置，做好设备进场计划</w:t>
      </w:r>
    </w:p>
    <w:p w14:paraId="62C76BF7">
      <w:pPr>
        <w:adjustRightInd w:val="0"/>
        <w:snapToGrid w:val="0"/>
        <w:spacing w:line="360" w:lineRule="auto"/>
        <w:ind w:firstLine="420"/>
        <w:rPr>
          <w:color w:val="auto"/>
          <w:szCs w:val="21"/>
          <w:highlight w:val="none"/>
          <w:u w:val="single"/>
        </w:rPr>
      </w:pPr>
      <w:r>
        <w:rPr>
          <w:rFonts w:hint="eastAsia"/>
          <w:color w:val="auto"/>
          <w:szCs w:val="21"/>
          <w:highlight w:val="none"/>
          <w:u w:val="single"/>
        </w:rPr>
        <w:t>7)</w:t>
      </w:r>
      <w:r>
        <w:rPr>
          <w:color w:val="auto"/>
          <w:szCs w:val="21"/>
          <w:highlight w:val="none"/>
          <w:u w:val="single"/>
        </w:rPr>
        <w:t xml:space="preserve"> </w:t>
      </w:r>
      <w:r>
        <w:rPr>
          <w:rFonts w:hint="eastAsia"/>
          <w:color w:val="auto"/>
          <w:szCs w:val="21"/>
          <w:highlight w:val="none"/>
          <w:u w:val="single"/>
        </w:rPr>
        <w:t>编制好施工进度计划</w:t>
      </w:r>
    </w:p>
    <w:p w14:paraId="1A0DD8DA">
      <w:pPr>
        <w:adjustRightInd w:val="0"/>
        <w:snapToGrid w:val="0"/>
        <w:spacing w:line="360" w:lineRule="auto"/>
        <w:ind w:firstLine="420"/>
        <w:rPr>
          <w:color w:val="auto"/>
          <w:szCs w:val="21"/>
          <w:highlight w:val="none"/>
          <w:u w:val="single"/>
        </w:rPr>
      </w:pPr>
      <w:r>
        <w:rPr>
          <w:rFonts w:hint="eastAsia"/>
          <w:color w:val="auto"/>
          <w:szCs w:val="21"/>
          <w:highlight w:val="none"/>
          <w:u w:val="single"/>
        </w:rPr>
        <w:t>8)</w:t>
      </w:r>
      <w:r>
        <w:rPr>
          <w:color w:val="auto"/>
          <w:szCs w:val="21"/>
          <w:highlight w:val="none"/>
          <w:u w:val="single"/>
        </w:rPr>
        <w:t xml:space="preserve"> </w:t>
      </w:r>
      <w:r>
        <w:rPr>
          <w:rFonts w:hint="eastAsia"/>
          <w:color w:val="auto"/>
          <w:szCs w:val="21"/>
          <w:highlight w:val="none"/>
          <w:u w:val="single"/>
        </w:rPr>
        <w:t>确定施工程序、主要分项工程及工艺流程</w:t>
      </w:r>
    </w:p>
    <w:p w14:paraId="41807253">
      <w:pPr>
        <w:adjustRightInd w:val="0"/>
        <w:snapToGrid w:val="0"/>
        <w:spacing w:line="360" w:lineRule="auto"/>
        <w:ind w:firstLine="420"/>
        <w:rPr>
          <w:color w:val="auto"/>
          <w:szCs w:val="21"/>
          <w:highlight w:val="none"/>
          <w:u w:val="single"/>
        </w:rPr>
      </w:pPr>
      <w:r>
        <w:rPr>
          <w:rFonts w:hint="eastAsia"/>
          <w:color w:val="auto"/>
          <w:szCs w:val="21"/>
          <w:highlight w:val="none"/>
          <w:u w:val="single"/>
        </w:rPr>
        <w:t>9)</w:t>
      </w:r>
      <w:r>
        <w:rPr>
          <w:color w:val="auto"/>
          <w:szCs w:val="21"/>
          <w:highlight w:val="none"/>
          <w:u w:val="single"/>
        </w:rPr>
        <w:t xml:space="preserve"> </w:t>
      </w:r>
      <w:r>
        <w:rPr>
          <w:rFonts w:hint="eastAsia"/>
          <w:color w:val="auto"/>
          <w:szCs w:val="21"/>
          <w:highlight w:val="none"/>
          <w:u w:val="single"/>
        </w:rPr>
        <w:t>做好劳动定额用工，工程汇总</w:t>
      </w:r>
    </w:p>
    <w:p w14:paraId="2F7A8AEC">
      <w:pPr>
        <w:widowControl/>
        <w:adjustRightInd w:val="0"/>
        <w:snapToGrid w:val="0"/>
        <w:spacing w:line="360" w:lineRule="auto"/>
        <w:ind w:firstLine="420"/>
        <w:rPr>
          <w:rFonts w:ascii="宋体" w:hAnsi="宋体" w:cs="宋体"/>
          <w:color w:val="auto"/>
          <w:kern w:val="0"/>
          <w:highlight w:val="none"/>
        </w:rPr>
      </w:pPr>
      <w:r>
        <w:rPr>
          <w:rFonts w:hint="eastAsia"/>
          <w:color w:val="auto"/>
          <w:szCs w:val="21"/>
          <w:highlight w:val="none"/>
          <w:u w:val="single"/>
        </w:rPr>
        <w:t>10)</w:t>
      </w:r>
      <w:r>
        <w:rPr>
          <w:rFonts w:hint="eastAsia"/>
          <w:color w:val="auto"/>
          <w:szCs w:val="21"/>
          <w:highlight w:val="none"/>
          <w:u w:val="single"/>
        </w:rPr>
        <w:tab/>
      </w:r>
      <w:r>
        <w:rPr>
          <w:rFonts w:hint="eastAsia"/>
          <w:color w:val="auto"/>
          <w:szCs w:val="21"/>
          <w:highlight w:val="none"/>
          <w:u w:val="single"/>
        </w:rPr>
        <w:t>做好资金使用计划</w:t>
      </w:r>
      <w:r>
        <w:rPr>
          <w:rFonts w:hint="eastAsia"/>
          <w:color w:val="auto"/>
          <w:szCs w:val="21"/>
          <w:highlight w:val="none"/>
        </w:rPr>
        <w:t>。</w:t>
      </w:r>
    </w:p>
    <w:p w14:paraId="10F281E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8.1.2 发包人可在计划开始工作之日起84日后发出开始工作通知的特殊情形：</w:t>
      </w:r>
      <w:r>
        <w:rPr>
          <w:rFonts w:hint="eastAsia" w:ascii="宋体" w:hAnsi="宋体" w:cs="宋体"/>
          <w:color w:val="auto"/>
          <w:kern w:val="0"/>
          <w:szCs w:val="21"/>
          <w:highlight w:val="none"/>
          <w:u w:val="single"/>
          <w:lang w:bidi="ar"/>
        </w:rPr>
        <w:t xml:space="preserve">  /   </w:t>
      </w:r>
      <w:r>
        <w:rPr>
          <w:rFonts w:hint="eastAsia" w:ascii="宋体" w:hAnsi="宋体" w:cs="宋体"/>
          <w:color w:val="auto"/>
          <w:kern w:val="0"/>
          <w:szCs w:val="21"/>
          <w:highlight w:val="none"/>
          <w:lang w:bidi="ar"/>
        </w:rPr>
        <w:t>。</w:t>
      </w:r>
    </w:p>
    <w:p w14:paraId="6483529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8.2 竣工日期</w:t>
      </w:r>
    </w:p>
    <w:p w14:paraId="15CCD95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竣工日期的约定：</w:t>
      </w:r>
      <w:r>
        <w:rPr>
          <w:rFonts w:hint="eastAsia"/>
          <w:color w:val="auto"/>
          <w:szCs w:val="21"/>
          <w:highlight w:val="none"/>
          <w:u w:val="single"/>
        </w:rPr>
        <w:t>见协议书</w:t>
      </w:r>
      <w:r>
        <w:rPr>
          <w:rFonts w:hint="eastAsia"/>
          <w:color w:val="auto"/>
          <w:szCs w:val="21"/>
          <w:highlight w:val="none"/>
        </w:rPr>
        <w:t>。</w:t>
      </w:r>
    </w:p>
    <w:p w14:paraId="3D1DD88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8.3 项目实施计划</w:t>
      </w:r>
    </w:p>
    <w:p w14:paraId="6E73742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8.3.1 项目实施计划的内容</w:t>
      </w:r>
    </w:p>
    <w:p w14:paraId="7F729C0A">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项目实施计划的内容：</w:t>
      </w:r>
      <w:r>
        <w:rPr>
          <w:rFonts w:hint="eastAsia"/>
          <w:color w:val="auto"/>
          <w:szCs w:val="21"/>
          <w:highlight w:val="none"/>
          <w:u w:val="single"/>
        </w:rPr>
        <w:t>包括但不限于（1）设计、施工、安装、调试等阶段的详细计划和说明；（2）主要设备和材料的采购、生产、制造进度安排等</w:t>
      </w:r>
      <w:r>
        <w:rPr>
          <w:rFonts w:hint="eastAsia"/>
          <w:color w:val="auto"/>
          <w:szCs w:val="21"/>
          <w:highlight w:val="none"/>
        </w:rPr>
        <w:t>。</w:t>
      </w:r>
    </w:p>
    <w:p w14:paraId="19394B1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8.3.2 项目实施计划的提交和修改</w:t>
      </w:r>
    </w:p>
    <w:p w14:paraId="0C915151">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项目实施计划的提交及修改期限：</w:t>
      </w:r>
      <w:r>
        <w:rPr>
          <w:rFonts w:hint="eastAsia"/>
          <w:color w:val="auto"/>
          <w:szCs w:val="21"/>
          <w:highlight w:val="none"/>
          <w:u w:val="single"/>
        </w:rPr>
        <w:t>合同签订后7天内</w:t>
      </w:r>
      <w:r>
        <w:rPr>
          <w:rFonts w:hint="eastAsia"/>
          <w:color w:val="auto"/>
          <w:szCs w:val="21"/>
          <w:highlight w:val="none"/>
        </w:rPr>
        <w:t>。</w:t>
      </w:r>
    </w:p>
    <w:p w14:paraId="7B09672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8.4 项目进度计划</w:t>
      </w:r>
    </w:p>
    <w:p w14:paraId="48862FDE">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8.4.1监理人在收到进度计划后确认或提出修改意见的期限：</w:t>
      </w:r>
      <w:r>
        <w:rPr>
          <w:rFonts w:hint="eastAsia"/>
          <w:color w:val="auto"/>
          <w:szCs w:val="21"/>
          <w:highlight w:val="none"/>
          <w:u w:val="single"/>
        </w:rPr>
        <w:t>7天内予以确认或提出修改意见</w:t>
      </w:r>
      <w:r>
        <w:rPr>
          <w:rFonts w:hint="eastAsia"/>
          <w:color w:val="auto"/>
          <w:szCs w:val="21"/>
          <w:highlight w:val="none"/>
        </w:rPr>
        <w:t>。</w:t>
      </w:r>
    </w:p>
    <w:p w14:paraId="12A17CF3">
      <w:pPr>
        <w:adjustRightInd w:val="0"/>
        <w:snapToGrid w:val="0"/>
        <w:spacing w:line="360" w:lineRule="auto"/>
        <w:ind w:firstLine="420"/>
        <w:rPr>
          <w:color w:val="auto"/>
          <w:szCs w:val="21"/>
          <w:highlight w:val="none"/>
        </w:rPr>
      </w:pPr>
      <w:r>
        <w:rPr>
          <w:rFonts w:hint="eastAsia" w:ascii="宋体" w:hAnsi="宋体" w:cs="宋体"/>
          <w:color w:val="auto"/>
          <w:kern w:val="0"/>
          <w:szCs w:val="21"/>
          <w:highlight w:val="none"/>
          <w:lang w:bidi="ar"/>
        </w:rPr>
        <w:t>8.4.2 进度计划的具体要求：</w:t>
      </w:r>
      <w:r>
        <w:rPr>
          <w:rFonts w:hint="eastAsia"/>
          <w:color w:val="auto"/>
          <w:szCs w:val="21"/>
          <w:highlight w:val="none"/>
        </w:rPr>
        <w:t>里程碑及关键节点计划表、进度横道图以及网络图，以及设计、文件提交、施工、主要设备材料采购、安装、验收、调试上线各阶段的详细计划。</w:t>
      </w:r>
    </w:p>
    <w:p w14:paraId="7E350156">
      <w:pPr>
        <w:adjustRightInd w:val="0"/>
        <w:snapToGrid w:val="0"/>
        <w:spacing w:line="360" w:lineRule="auto"/>
        <w:ind w:firstLine="420"/>
        <w:rPr>
          <w:color w:val="auto"/>
          <w:szCs w:val="21"/>
          <w:highlight w:val="none"/>
        </w:rPr>
      </w:pPr>
      <w:r>
        <w:rPr>
          <w:rFonts w:hint="eastAsia"/>
          <w:color w:val="auto"/>
          <w:szCs w:val="21"/>
          <w:highlight w:val="none"/>
        </w:rPr>
        <w:t>关键路径及关键路径变化的确定原则：</w:t>
      </w:r>
      <w:r>
        <w:rPr>
          <w:rFonts w:hint="eastAsia"/>
          <w:color w:val="auto"/>
          <w:szCs w:val="21"/>
          <w:highlight w:val="none"/>
          <w:u w:val="single"/>
        </w:rPr>
        <w:t>进度计划批准后，其由关键工作组成的从网络起始节点到终止节点的路径就构成本项目关键路径。关键路径上各项工作时间之和即为本项目计划工期。当项目变更或其它外部原因导致关键路径发生变化，则由承包人重新调整进度计划并报发包人批准，按调整后的进度计划确定新的项目计划工期</w:t>
      </w:r>
      <w:r>
        <w:rPr>
          <w:rFonts w:hint="eastAsia"/>
          <w:color w:val="auto"/>
          <w:szCs w:val="21"/>
          <w:highlight w:val="none"/>
        </w:rPr>
        <w:t>。</w:t>
      </w:r>
    </w:p>
    <w:p w14:paraId="43A5851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color w:val="auto"/>
          <w:szCs w:val="21"/>
          <w:highlight w:val="none"/>
        </w:rPr>
        <w:t>承包人提交项目进度计划的份数和时间：</w:t>
      </w:r>
      <w:r>
        <w:rPr>
          <w:rFonts w:hint="eastAsia"/>
          <w:color w:val="auto"/>
          <w:szCs w:val="21"/>
          <w:highlight w:val="none"/>
          <w:u w:val="single"/>
        </w:rPr>
        <w:t>签订合同后14日内提供4份</w:t>
      </w:r>
    </w:p>
    <w:p w14:paraId="3CB1AFB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8.4.3 进度计划的修订</w:t>
      </w:r>
    </w:p>
    <w:p w14:paraId="7786795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承包人答复发包人修订项目进度计划通知的期限：</w:t>
      </w:r>
      <w:r>
        <w:rPr>
          <w:rFonts w:hint="eastAsia"/>
          <w:color w:val="auto"/>
          <w:szCs w:val="21"/>
          <w:highlight w:val="none"/>
          <w:u w:val="single"/>
        </w:rPr>
        <w:t>收到修订通知7日内</w:t>
      </w:r>
      <w:r>
        <w:rPr>
          <w:rFonts w:hint="eastAsia" w:ascii="宋体" w:hAnsi="宋体" w:cs="宋体"/>
          <w:color w:val="auto"/>
          <w:kern w:val="0"/>
          <w:szCs w:val="21"/>
          <w:highlight w:val="none"/>
          <w:lang w:bidi="ar"/>
        </w:rPr>
        <w:t>。</w:t>
      </w:r>
    </w:p>
    <w:p w14:paraId="07352F9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承包人提交修订项目进度计划申请报告的期限：</w:t>
      </w:r>
      <w:r>
        <w:rPr>
          <w:rFonts w:hint="eastAsia"/>
          <w:color w:val="auto"/>
          <w:szCs w:val="21"/>
          <w:highlight w:val="none"/>
          <w:u w:val="single"/>
        </w:rPr>
        <w:t>收到申请报告7日内</w:t>
      </w:r>
      <w:r>
        <w:rPr>
          <w:rFonts w:hint="eastAsia" w:ascii="宋体" w:hAnsi="宋体" w:cs="宋体"/>
          <w:color w:val="auto"/>
          <w:kern w:val="0"/>
          <w:szCs w:val="21"/>
          <w:highlight w:val="none"/>
          <w:lang w:bidi="ar"/>
        </w:rPr>
        <w:t>。</w:t>
      </w:r>
    </w:p>
    <w:p w14:paraId="7EEFA81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发包人批复修订项目进度计划申请报告的期限：</w:t>
      </w:r>
      <w:r>
        <w:rPr>
          <w:rFonts w:hint="eastAsia"/>
          <w:color w:val="auto"/>
          <w:szCs w:val="21"/>
          <w:highlight w:val="none"/>
          <w:u w:val="single"/>
        </w:rPr>
        <w:t>收到修订通知7日内</w:t>
      </w:r>
      <w:r>
        <w:rPr>
          <w:rFonts w:hint="eastAsia" w:ascii="宋体" w:hAnsi="宋体" w:cs="宋体"/>
          <w:color w:val="auto"/>
          <w:kern w:val="0"/>
          <w:szCs w:val="21"/>
          <w:highlight w:val="none"/>
          <w:lang w:bidi="ar"/>
        </w:rPr>
        <w:t>。</w:t>
      </w:r>
    </w:p>
    <w:p w14:paraId="54354F3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8.5 进度报告</w:t>
      </w:r>
    </w:p>
    <w:p w14:paraId="102C588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进度报告的具体要求：</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包含年度、季度和月度报告以及实际与计划进度对比分析等，具体遵照发包人委托的管理团队实施</w:t>
      </w:r>
      <w:r>
        <w:rPr>
          <w:rFonts w:hint="eastAsia" w:ascii="宋体" w:hAnsi="宋体" w:cs="宋体"/>
          <w:color w:val="auto"/>
          <w:kern w:val="0"/>
          <w:szCs w:val="21"/>
          <w:highlight w:val="none"/>
          <w:lang w:bidi="ar"/>
        </w:rPr>
        <w:t>。</w:t>
      </w:r>
    </w:p>
    <w:p w14:paraId="2C89C0C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8.7 工期延误</w:t>
      </w:r>
    </w:p>
    <w:p w14:paraId="7FE7D21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8.7.2 因承包人原因导致工期延误</w:t>
      </w:r>
    </w:p>
    <w:p w14:paraId="79490625">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bookmarkStart w:id="1727" w:name="_Hlk117688261"/>
      <w:r>
        <w:rPr>
          <w:rFonts w:hint="eastAsia"/>
          <w:color w:val="auto"/>
          <w:szCs w:val="21"/>
          <w:highlight w:val="none"/>
        </w:rPr>
        <w:t>因承包人原因使竣工日期延误，每延误1日的误期赔偿金额为合同协议书的合同价格的</w:t>
      </w:r>
      <w:r>
        <w:rPr>
          <w:color w:val="auto"/>
          <w:szCs w:val="21"/>
          <w:highlight w:val="none"/>
          <w:u w:val="single"/>
        </w:rPr>
        <w:t xml:space="preserve">  0.01 </w:t>
      </w:r>
      <w:r>
        <w:rPr>
          <w:rFonts w:hint="eastAsia"/>
          <w:color w:val="auto"/>
          <w:szCs w:val="21"/>
          <w:highlight w:val="none"/>
        </w:rPr>
        <w:t>%</w:t>
      </w:r>
      <w:bookmarkEnd w:id="1727"/>
      <w:r>
        <w:rPr>
          <w:rFonts w:hint="eastAsia"/>
          <w:color w:val="auto"/>
          <w:szCs w:val="21"/>
          <w:highlight w:val="none"/>
        </w:rPr>
        <w:t>。</w:t>
      </w:r>
    </w:p>
    <w:p w14:paraId="693EB8C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8.7.3 行政审批迟延</w:t>
      </w:r>
    </w:p>
    <w:p w14:paraId="7D04306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行政审批报送的职责分工：</w:t>
      </w:r>
      <w:r>
        <w:rPr>
          <w:rFonts w:hint="eastAsia" w:ascii="宋体" w:hAnsi="宋体" w:cs="宋体"/>
          <w:color w:val="auto"/>
          <w:kern w:val="0"/>
          <w:szCs w:val="21"/>
          <w:highlight w:val="none"/>
          <w:u w:val="single"/>
          <w:lang w:bidi="ar"/>
        </w:rPr>
        <w:t>由发包人报送，承包人配合提供相关资料</w:t>
      </w:r>
      <w:r>
        <w:rPr>
          <w:rFonts w:hint="eastAsia" w:ascii="宋体" w:hAnsi="宋体" w:cs="宋体"/>
          <w:color w:val="auto"/>
          <w:kern w:val="0"/>
          <w:szCs w:val="21"/>
          <w:highlight w:val="none"/>
          <w:lang w:bidi="ar"/>
        </w:rPr>
        <w:t>。</w:t>
      </w:r>
    </w:p>
    <w:p w14:paraId="20D828B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8.7.4 异常恶劣的气候条件</w:t>
      </w:r>
    </w:p>
    <w:p w14:paraId="6A45C42B">
      <w:pPr>
        <w:widowControl/>
        <w:adjustRightInd w:val="0"/>
        <w:snapToGrid w:val="0"/>
        <w:spacing w:line="360" w:lineRule="auto"/>
        <w:ind w:firstLine="420"/>
        <w:rPr>
          <w:rFonts w:ascii="宋体" w:hAnsi="宋体" w:cs="宋体"/>
          <w:color w:val="auto"/>
          <w:kern w:val="0"/>
          <w:highlight w:val="none"/>
        </w:rPr>
      </w:pPr>
      <w:r>
        <w:rPr>
          <w:rFonts w:hint="eastAsia" w:ascii="宋体" w:hAnsi="宋体" w:cs="宋体"/>
          <w:color w:val="auto"/>
          <w:kern w:val="0"/>
          <w:szCs w:val="21"/>
          <w:highlight w:val="none"/>
          <w:lang w:bidi="ar"/>
        </w:rPr>
        <w:t>双方约定视为异常恶劣的气候条件的情形：</w:t>
      </w:r>
      <w:r>
        <w:rPr>
          <w:rFonts w:hint="eastAsia"/>
          <w:color w:val="auto"/>
          <w:szCs w:val="21"/>
          <w:highlight w:val="none"/>
          <w:u w:val="single"/>
        </w:rPr>
        <w:t>对本项目而言，是指发生龙卷风、工地受淹、超过桥梁设计洪水位以及 30 年一遇的罕见气候现象（包括温度、降水、降雪、风等）、</w:t>
      </w:r>
      <w:r>
        <w:rPr>
          <w:color w:val="auto"/>
          <w:szCs w:val="21"/>
          <w:highlight w:val="none"/>
          <w:u w:val="single"/>
        </w:rPr>
        <w:t>地震、台风、冰雹 、洪水、地震、干旱、暴风雪、一个月中累计5天及以上大雨或暴雨</w:t>
      </w:r>
      <w:r>
        <w:rPr>
          <w:rFonts w:hint="eastAsia"/>
          <w:color w:val="auto"/>
          <w:szCs w:val="21"/>
          <w:highlight w:val="none"/>
          <w:u w:val="single"/>
        </w:rPr>
        <w:t>等引起延误的情况。异常恶劣的气候条件下承包人因采取合理的施工措施继续施工而增加的费用和延期的工期补偿原则：相关费用由承包人承担，可合理顺延工期。</w:t>
      </w:r>
    </w:p>
    <w:p w14:paraId="4A85B9F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8.8 工期提前</w:t>
      </w:r>
    </w:p>
    <w:p w14:paraId="4947C8F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8.8.2 承包人提前竣工的奖励：</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w:t>
      </w:r>
    </w:p>
    <w:p w14:paraId="74F8E545">
      <w:pPr>
        <w:widowControl/>
        <w:adjustRightInd w:val="0"/>
        <w:snapToGrid w:val="0"/>
        <w:spacing w:after="120" w:afterLines="50" w:line="360" w:lineRule="auto"/>
        <w:ind w:firstLine="420" w:firstLineChars="200"/>
        <w:rPr>
          <w:rFonts w:ascii="宋体" w:hAnsi="宋体" w:cs="Times"/>
          <w:color w:val="auto"/>
          <w:kern w:val="0"/>
          <w:highlight w:val="none"/>
        </w:rPr>
      </w:pPr>
      <w:bookmarkStart w:id="1728" w:name="_Toc20171882"/>
      <w:bookmarkEnd w:id="1728"/>
      <w:r>
        <w:rPr>
          <w:rFonts w:hint="eastAsia" w:ascii="宋体" w:hAnsi="宋体" w:cs="Times"/>
          <w:color w:val="auto"/>
          <w:kern w:val="0"/>
          <w:szCs w:val="21"/>
          <w:highlight w:val="none"/>
          <w:lang w:bidi="ar"/>
        </w:rPr>
        <w:t>第9条 竣工试验</w:t>
      </w:r>
    </w:p>
    <w:p w14:paraId="7913256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本合同工程是否包含竣工试验：</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u w:val="single"/>
          <w:lang w:val="en-US" w:eastAsia="zh-CN" w:bidi="ar"/>
        </w:rPr>
        <w:t xml:space="preserve">   </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u w:val="single"/>
          <w:lang w:val="en-US" w:eastAsia="zh-CN" w:bidi="ar"/>
        </w:rPr>
        <w:t xml:space="preserve"> </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w:t>
      </w:r>
    </w:p>
    <w:p w14:paraId="1174279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9.1 竣工试验的义务</w:t>
      </w:r>
    </w:p>
    <w:p w14:paraId="5ADD8A5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9.1.3 竣工试验的阶段、内容和顺序：</w:t>
      </w:r>
      <w:r>
        <w:rPr>
          <w:rFonts w:hint="eastAsia" w:ascii="宋体" w:hAnsi="宋体" w:cs="宋体"/>
          <w:color w:val="auto"/>
          <w:kern w:val="0"/>
          <w:szCs w:val="21"/>
          <w:highlight w:val="none"/>
          <w:u w:val="single"/>
          <w:lang w:bidi="ar"/>
        </w:rPr>
        <w:t xml:space="preserve">   /      </w:t>
      </w:r>
      <w:r>
        <w:rPr>
          <w:rFonts w:hint="eastAsia" w:ascii="宋体" w:hAnsi="宋体" w:cs="宋体"/>
          <w:color w:val="auto"/>
          <w:kern w:val="0"/>
          <w:szCs w:val="21"/>
          <w:highlight w:val="none"/>
          <w:lang w:bidi="ar"/>
        </w:rPr>
        <w:t>。</w:t>
      </w:r>
    </w:p>
    <w:p w14:paraId="4C3F97F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竣工试验的操作要求：</w:t>
      </w:r>
      <w:r>
        <w:rPr>
          <w:rFonts w:hint="eastAsia" w:ascii="宋体" w:hAnsi="宋体" w:cs="宋体"/>
          <w:color w:val="auto"/>
          <w:kern w:val="0"/>
          <w:szCs w:val="21"/>
          <w:highlight w:val="none"/>
          <w:u w:val="single"/>
          <w:lang w:bidi="ar"/>
        </w:rPr>
        <w:t xml:space="preserve">     /       </w:t>
      </w:r>
      <w:r>
        <w:rPr>
          <w:rFonts w:hint="eastAsia" w:ascii="宋体" w:hAnsi="宋体" w:cs="宋体"/>
          <w:color w:val="auto"/>
          <w:kern w:val="0"/>
          <w:szCs w:val="21"/>
          <w:highlight w:val="none"/>
          <w:lang w:bidi="ar"/>
        </w:rPr>
        <w:t>。</w:t>
      </w:r>
    </w:p>
    <w:p w14:paraId="25330F63">
      <w:pPr>
        <w:widowControl/>
        <w:adjustRightInd w:val="0"/>
        <w:snapToGrid w:val="0"/>
        <w:spacing w:after="120" w:afterLines="50" w:line="360" w:lineRule="auto"/>
        <w:outlineLvl w:val="1"/>
        <w:rPr>
          <w:rFonts w:ascii="宋体" w:hAnsi="宋体" w:cs="Times"/>
          <w:color w:val="auto"/>
          <w:kern w:val="0"/>
          <w:highlight w:val="none"/>
        </w:rPr>
      </w:pPr>
      <w:bookmarkStart w:id="1729" w:name="_Toc4784273"/>
      <w:bookmarkEnd w:id="1729"/>
      <w:bookmarkStart w:id="1730" w:name="_Toc4784272"/>
      <w:bookmarkEnd w:id="1730"/>
      <w:bookmarkStart w:id="1731" w:name="_Toc20171883"/>
      <w:bookmarkEnd w:id="1731"/>
      <w:bookmarkStart w:id="1732" w:name="_Toc179885405"/>
      <w:r>
        <w:rPr>
          <w:rFonts w:hint="eastAsia" w:ascii="宋体" w:hAnsi="宋体" w:cs="Times"/>
          <w:color w:val="auto"/>
          <w:kern w:val="0"/>
          <w:szCs w:val="21"/>
          <w:highlight w:val="none"/>
          <w:lang w:bidi="ar"/>
        </w:rPr>
        <w:t>第10条 验收和工程接收</w:t>
      </w:r>
      <w:bookmarkEnd w:id="1732"/>
    </w:p>
    <w:p w14:paraId="67D1B92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10.1 竣工验收</w:t>
      </w:r>
    </w:p>
    <w:p w14:paraId="368257E9">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10.1.2 关于竣工验收程序的约定：</w:t>
      </w:r>
      <w:bookmarkStart w:id="1733" w:name="OLE_LINK6"/>
      <w:r>
        <w:rPr>
          <w:rFonts w:hint="eastAsia"/>
          <w:color w:val="auto"/>
          <w:szCs w:val="21"/>
          <w:highlight w:val="none"/>
          <w:u w:val="single"/>
        </w:rPr>
        <w:t>执行通用合同条款</w:t>
      </w:r>
      <w:r>
        <w:rPr>
          <w:rFonts w:hint="eastAsia"/>
          <w:color w:val="auto"/>
          <w:szCs w:val="21"/>
          <w:highlight w:val="none"/>
        </w:rPr>
        <w:t>。</w:t>
      </w:r>
      <w:bookmarkEnd w:id="1733"/>
    </w:p>
    <w:p w14:paraId="7D5ECD4E">
      <w:pPr>
        <w:widowControl/>
        <w:adjustRightInd w:val="0"/>
        <w:snapToGrid w:val="0"/>
        <w:spacing w:line="360" w:lineRule="auto"/>
        <w:ind w:firstLine="420"/>
        <w:rPr>
          <w:rFonts w:ascii="宋体" w:hAnsi="宋体" w:cs="宋体"/>
          <w:color w:val="auto"/>
          <w:kern w:val="0"/>
          <w:highlight w:val="none"/>
        </w:rPr>
      </w:pPr>
      <w:r>
        <w:rPr>
          <w:rFonts w:hint="eastAsia" w:ascii="宋体" w:hAnsi="宋体" w:cs="宋体"/>
          <w:color w:val="auto"/>
          <w:kern w:val="0"/>
          <w:szCs w:val="21"/>
          <w:highlight w:val="none"/>
          <w:lang w:bidi="ar"/>
        </w:rPr>
        <w:t>发包人不按照合同约定组织竣工验收、颁发工程接受证书的违约金的计算方式：</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每逾期一天，以签约合同价为基数，按同期银行</w:t>
      </w:r>
      <w:r>
        <w:rPr>
          <w:rFonts w:hint="eastAsia"/>
          <w:color w:val="auto"/>
          <w:szCs w:val="21"/>
          <w:highlight w:val="none"/>
          <w:u w:val="single"/>
        </w:rPr>
        <w:t>活期</w:t>
      </w:r>
      <w:r>
        <w:rPr>
          <w:rFonts w:hint="eastAsia"/>
          <w:color w:val="auto"/>
          <w:szCs w:val="21"/>
          <w:highlight w:val="none"/>
          <w:u w:val="single"/>
        </w:rPr>
        <w:t>存款基准利率支付违约金</w:t>
      </w:r>
      <w:r>
        <w:rPr>
          <w:rFonts w:hint="eastAsia"/>
          <w:color w:val="auto"/>
          <w:szCs w:val="21"/>
          <w:highlight w:val="none"/>
        </w:rPr>
        <w:t>。发包人支付违约金的总额不得超过逾期所涉金额的百分之二十，违约金的支付不影响本合同的执行。</w:t>
      </w:r>
    </w:p>
    <w:p w14:paraId="64CCEBA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10.3 工程的接收</w:t>
      </w:r>
    </w:p>
    <w:p w14:paraId="23394CB1">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10.3.1 工程接收的先后顺序：</w:t>
      </w:r>
      <w:r>
        <w:rPr>
          <w:rFonts w:hint="eastAsia" w:ascii="宋体" w:hAnsi="宋体" w:cs="宋体"/>
          <w:color w:val="auto"/>
          <w:kern w:val="0"/>
          <w:szCs w:val="21"/>
          <w:highlight w:val="none"/>
          <w:u w:val="single"/>
          <w:lang w:bidi="ar"/>
        </w:rPr>
        <w:t xml:space="preserve"> 在竣工验收备案后一个月内移交工程。</w:t>
      </w:r>
    </w:p>
    <w:p w14:paraId="35879E33">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10.3.2</w:t>
      </w:r>
      <w:r>
        <w:rPr>
          <w:rFonts w:ascii="宋体" w:hAnsi="宋体" w:cs="宋体"/>
          <w:color w:val="auto"/>
          <w:kern w:val="0"/>
          <w:szCs w:val="21"/>
          <w:highlight w:val="none"/>
          <w:lang w:bidi="ar"/>
        </w:rPr>
        <w:t xml:space="preserve"> </w:t>
      </w:r>
      <w:r>
        <w:rPr>
          <w:rFonts w:hint="eastAsia" w:ascii="宋体" w:hAnsi="宋体" w:cs="宋体"/>
          <w:color w:val="auto"/>
          <w:kern w:val="0"/>
          <w:szCs w:val="21"/>
          <w:highlight w:val="none"/>
          <w:lang w:bidi="ar"/>
        </w:rPr>
        <w:t>接收工程时承包人需提交竣工验收资料的类别、内容、份数和提交时间：</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竣工验收报告的份数和提交时间：6份，竣工验收合格后2周内</w:t>
      </w:r>
      <w:r>
        <w:rPr>
          <w:rFonts w:hint="eastAsia"/>
          <w:color w:val="auto"/>
          <w:szCs w:val="21"/>
          <w:highlight w:val="none"/>
        </w:rPr>
        <w:t>。</w:t>
      </w:r>
    </w:p>
    <w:p w14:paraId="31F6CBB6">
      <w:pPr>
        <w:widowControl/>
        <w:adjustRightInd w:val="0"/>
        <w:snapToGrid w:val="0"/>
        <w:spacing w:after="120" w:afterLines="50" w:line="360" w:lineRule="auto"/>
        <w:ind w:firstLine="420" w:firstLineChars="200"/>
        <w:rPr>
          <w:color w:val="auto"/>
          <w:highlight w:val="none"/>
          <w:lang w:bidi="ar"/>
        </w:rPr>
      </w:pPr>
      <w:r>
        <w:rPr>
          <w:rFonts w:ascii="宋体" w:hAnsi="宋体"/>
          <w:color w:val="auto"/>
          <w:highlight w:val="none"/>
          <w:lang w:bidi="ar"/>
        </w:rPr>
        <w:t>10.3.3</w:t>
      </w:r>
      <w:r>
        <w:rPr>
          <w:color w:val="auto"/>
          <w:highlight w:val="none"/>
          <w:lang w:bidi="ar"/>
        </w:rPr>
        <w:t xml:space="preserve"> </w:t>
      </w:r>
      <w:r>
        <w:rPr>
          <w:rFonts w:hint="eastAsia"/>
          <w:color w:val="auto"/>
          <w:highlight w:val="none"/>
          <w:lang w:bidi="ar"/>
        </w:rPr>
        <w:t>发包人逾期接收工程的违约责任：</w:t>
      </w:r>
      <w:r>
        <w:rPr>
          <w:color w:val="auto"/>
          <w:highlight w:val="none"/>
          <w:u w:val="single"/>
          <w:lang w:bidi="ar"/>
        </w:rPr>
        <w:t xml:space="preserve">  </w:t>
      </w:r>
      <w:r>
        <w:rPr>
          <w:rFonts w:hint="eastAsia"/>
          <w:color w:val="auto"/>
          <w:szCs w:val="21"/>
          <w:highlight w:val="none"/>
          <w:u w:val="single"/>
        </w:rPr>
        <w:t>无</w:t>
      </w:r>
      <w:r>
        <w:rPr>
          <w:rFonts w:hint="eastAsia"/>
          <w:color w:val="auto"/>
          <w:szCs w:val="21"/>
          <w:highlight w:val="none"/>
        </w:rPr>
        <w:t>。</w:t>
      </w:r>
    </w:p>
    <w:p w14:paraId="24004A57">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10.3.4</w:t>
      </w:r>
      <w:r>
        <w:rPr>
          <w:rFonts w:ascii="宋体" w:hAnsi="宋体" w:cs="宋体"/>
          <w:color w:val="auto"/>
          <w:kern w:val="0"/>
          <w:szCs w:val="21"/>
          <w:highlight w:val="none"/>
          <w:lang w:bidi="ar"/>
        </w:rPr>
        <w:t xml:space="preserve"> </w:t>
      </w:r>
      <w:r>
        <w:rPr>
          <w:rFonts w:hint="eastAsia" w:ascii="宋体" w:hAnsi="宋体" w:cs="宋体"/>
          <w:color w:val="auto"/>
          <w:kern w:val="0"/>
          <w:szCs w:val="21"/>
          <w:highlight w:val="none"/>
          <w:lang w:bidi="ar"/>
        </w:rPr>
        <w:t>承包人无正当理由不移交工程的违约责任：</w:t>
      </w:r>
      <w:r>
        <w:rPr>
          <w:rFonts w:hint="eastAsia"/>
          <w:color w:val="auto"/>
          <w:szCs w:val="21"/>
          <w:highlight w:val="none"/>
          <w:u w:val="single"/>
        </w:rPr>
        <w:t>毎逾期一天，支付违约金叁万元</w:t>
      </w:r>
      <w:r>
        <w:rPr>
          <w:rFonts w:hint="eastAsia"/>
          <w:color w:val="auto"/>
          <w:szCs w:val="21"/>
          <w:highlight w:val="none"/>
        </w:rPr>
        <w:t>。</w:t>
      </w:r>
    </w:p>
    <w:p w14:paraId="4B56A6E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10.4 接收证书</w:t>
      </w:r>
    </w:p>
    <w:p w14:paraId="0868AEFF">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w:t>
      </w:r>
      <w:r>
        <w:rPr>
          <w:rFonts w:ascii="宋体" w:hAnsi="宋体" w:cs="宋体"/>
          <w:color w:val="auto"/>
          <w:kern w:val="0"/>
          <w:szCs w:val="21"/>
          <w:highlight w:val="none"/>
          <w:lang w:bidi="ar"/>
        </w:rPr>
        <w:t>4</w:t>
      </w:r>
      <w:r>
        <w:rPr>
          <w:rFonts w:hint="eastAsia" w:ascii="宋体" w:hAnsi="宋体" w:cs="宋体"/>
          <w:color w:val="auto"/>
          <w:kern w:val="0"/>
          <w:szCs w:val="21"/>
          <w:highlight w:val="none"/>
          <w:lang w:bidi="ar"/>
        </w:rPr>
        <w:t>.1 工程接收证书颁发时间：</w:t>
      </w:r>
      <w:r>
        <w:rPr>
          <w:rFonts w:hint="eastAsia"/>
          <w:color w:val="auto"/>
          <w:szCs w:val="21"/>
          <w:highlight w:val="none"/>
          <w:u w:val="single"/>
        </w:rPr>
        <w:t>工程接收后一周内</w:t>
      </w:r>
      <w:r>
        <w:rPr>
          <w:rFonts w:hint="eastAsia"/>
          <w:color w:val="auto"/>
          <w:szCs w:val="21"/>
          <w:highlight w:val="none"/>
        </w:rPr>
        <w:t>。</w:t>
      </w:r>
    </w:p>
    <w:p w14:paraId="6EC47ED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10.5 竣工退场</w:t>
      </w:r>
    </w:p>
    <w:p w14:paraId="690E103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10.5.1 竣工退场的相关约定：</w:t>
      </w:r>
      <w:r>
        <w:rPr>
          <w:rFonts w:hint="eastAsia"/>
          <w:color w:val="auto"/>
          <w:szCs w:val="21"/>
          <w:highlight w:val="none"/>
          <w:u w:val="single"/>
        </w:rPr>
        <w:t>工程竣工验收备案后一个月内，工完料清，全部退场</w:t>
      </w:r>
      <w:r>
        <w:rPr>
          <w:rFonts w:hint="eastAsia"/>
          <w:color w:val="auto"/>
          <w:szCs w:val="21"/>
          <w:highlight w:val="none"/>
        </w:rPr>
        <w:t>。</w:t>
      </w:r>
    </w:p>
    <w:p w14:paraId="3D4A36C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10.5.3 人员撤离</w:t>
      </w:r>
    </w:p>
    <w:p w14:paraId="6794434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监理人同意需在缺陷责任期内继续工作和使用的人员、施工设备和临时工程的内容：</w:t>
      </w:r>
      <w:r>
        <w:rPr>
          <w:rFonts w:hint="eastAsia" w:ascii="宋体" w:hAnsi="宋体" w:cs="宋体"/>
          <w:color w:val="auto"/>
          <w:kern w:val="0"/>
          <w:szCs w:val="21"/>
          <w:highlight w:val="none"/>
          <w:u w:val="single"/>
          <w:lang w:bidi="ar"/>
        </w:rPr>
        <w:t>承包人</w:t>
      </w:r>
      <w:bookmarkStart w:id="1734" w:name="OLE_LINK8"/>
      <w:r>
        <w:rPr>
          <w:rFonts w:hint="eastAsia" w:ascii="宋体" w:hAnsi="宋体" w:cs="宋体"/>
          <w:color w:val="auto"/>
          <w:kern w:val="0"/>
          <w:szCs w:val="21"/>
          <w:highlight w:val="none"/>
          <w:u w:val="single"/>
          <w:lang w:bidi="ar"/>
        </w:rPr>
        <w:t>提交缺陷责任期内继续工作和使用的人员、设备和临时工程清单</w:t>
      </w:r>
      <w:bookmarkEnd w:id="1734"/>
      <w:r>
        <w:rPr>
          <w:rFonts w:hint="eastAsia" w:ascii="宋体" w:hAnsi="宋体" w:cs="宋体"/>
          <w:color w:val="auto"/>
          <w:kern w:val="0"/>
          <w:szCs w:val="21"/>
          <w:highlight w:val="none"/>
          <w:u w:val="single"/>
          <w:lang w:bidi="ar"/>
        </w:rPr>
        <w:t>，征得发包人同意，未在清单内的人员和施工设备应全部撤离施工现场</w:t>
      </w:r>
      <w:r>
        <w:rPr>
          <w:rFonts w:hint="eastAsia" w:ascii="宋体" w:hAnsi="宋体" w:cs="宋体"/>
          <w:color w:val="auto"/>
          <w:kern w:val="0"/>
          <w:szCs w:val="21"/>
          <w:highlight w:val="none"/>
          <w:lang w:bidi="ar"/>
        </w:rPr>
        <w:t>。</w:t>
      </w:r>
    </w:p>
    <w:p w14:paraId="62A861E1">
      <w:pPr>
        <w:widowControl/>
        <w:adjustRightInd w:val="0"/>
        <w:snapToGrid w:val="0"/>
        <w:spacing w:after="120" w:afterLines="50" w:line="360" w:lineRule="auto"/>
        <w:outlineLvl w:val="1"/>
        <w:rPr>
          <w:rFonts w:ascii="宋体" w:hAnsi="宋体" w:cs="Times"/>
          <w:color w:val="auto"/>
          <w:kern w:val="0"/>
          <w:highlight w:val="none"/>
        </w:rPr>
      </w:pPr>
      <w:bookmarkStart w:id="1735" w:name="_Toc20171884"/>
      <w:bookmarkEnd w:id="1735"/>
      <w:bookmarkStart w:id="1736" w:name="_Toc179885406"/>
      <w:r>
        <w:rPr>
          <w:rFonts w:hint="eastAsia" w:ascii="宋体" w:hAnsi="宋体" w:cs="Times"/>
          <w:color w:val="auto"/>
          <w:kern w:val="0"/>
          <w:szCs w:val="21"/>
          <w:highlight w:val="none"/>
          <w:lang w:bidi="ar"/>
        </w:rPr>
        <w:t>第11条 缺陷责任与保修</w:t>
      </w:r>
      <w:bookmarkEnd w:id="1736"/>
    </w:p>
    <w:p w14:paraId="76FCC7DA">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11.2 缺陷责任期</w:t>
      </w:r>
    </w:p>
    <w:p w14:paraId="55D3C1A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缺陷责任期的期限：</w:t>
      </w:r>
      <w:r>
        <w:rPr>
          <w:rFonts w:hint="eastAsia"/>
          <w:color w:val="auto"/>
          <w:szCs w:val="21"/>
          <w:highlight w:val="none"/>
          <w:u w:val="single"/>
        </w:rPr>
        <w:t>自项目五方验收合格后2年</w:t>
      </w:r>
      <w:r>
        <w:rPr>
          <w:rFonts w:hint="eastAsia"/>
          <w:color w:val="auto"/>
          <w:szCs w:val="21"/>
          <w:highlight w:val="none"/>
        </w:rPr>
        <w:t>。</w:t>
      </w:r>
    </w:p>
    <w:p w14:paraId="545FE96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11.3 缺陷调查</w:t>
      </w:r>
    </w:p>
    <w:p w14:paraId="70C4B2C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11.3.</w:t>
      </w:r>
      <w:r>
        <w:rPr>
          <w:rFonts w:ascii="宋体" w:hAnsi="宋体" w:cs="宋体"/>
          <w:color w:val="auto"/>
          <w:kern w:val="0"/>
          <w:szCs w:val="21"/>
          <w:highlight w:val="none"/>
          <w:lang w:bidi="ar"/>
        </w:rPr>
        <w:t>4</w:t>
      </w:r>
      <w:r>
        <w:rPr>
          <w:rFonts w:hint="eastAsia" w:ascii="宋体" w:hAnsi="宋体" w:cs="宋体"/>
          <w:color w:val="auto"/>
          <w:kern w:val="0"/>
          <w:szCs w:val="21"/>
          <w:highlight w:val="none"/>
          <w:lang w:bidi="ar"/>
        </w:rPr>
        <w:t xml:space="preserve"> 修复通知</w:t>
      </w:r>
    </w:p>
    <w:p w14:paraId="6EF7C19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承包人收到保修通知并到达工程现场的合理时间：</w:t>
      </w:r>
      <w:r>
        <w:rPr>
          <w:rFonts w:hint="eastAsia" w:ascii="宋体" w:hAnsi="宋体" w:cs="宋体"/>
          <w:color w:val="auto"/>
          <w:kern w:val="0"/>
          <w:szCs w:val="21"/>
          <w:highlight w:val="none"/>
          <w:u w:val="single"/>
          <w:lang w:bidi="ar"/>
        </w:rPr>
        <w:t xml:space="preserve">  48小时内</w:t>
      </w:r>
      <w:r>
        <w:rPr>
          <w:rFonts w:hint="eastAsia" w:ascii="宋体" w:hAnsi="宋体" w:cs="宋体"/>
          <w:color w:val="auto"/>
          <w:kern w:val="0"/>
          <w:szCs w:val="21"/>
          <w:highlight w:val="none"/>
          <w:lang w:bidi="ar"/>
        </w:rPr>
        <w:t>。</w:t>
      </w:r>
    </w:p>
    <w:p w14:paraId="48B4D37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11.</w:t>
      </w:r>
      <w:r>
        <w:rPr>
          <w:rFonts w:ascii="宋体" w:hAnsi="宋体" w:cs="宋体"/>
          <w:color w:val="auto"/>
          <w:kern w:val="0"/>
          <w:szCs w:val="21"/>
          <w:highlight w:val="none"/>
          <w:lang w:bidi="ar"/>
        </w:rPr>
        <w:t>6</w:t>
      </w:r>
      <w:r>
        <w:rPr>
          <w:rFonts w:hint="eastAsia" w:ascii="宋体" w:hAnsi="宋体" w:cs="宋体"/>
          <w:color w:val="auto"/>
          <w:kern w:val="0"/>
          <w:szCs w:val="21"/>
          <w:highlight w:val="none"/>
          <w:lang w:bidi="ar"/>
        </w:rPr>
        <w:t xml:space="preserve"> 缺陷责任期终止证书</w:t>
      </w:r>
    </w:p>
    <w:p w14:paraId="2172400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承包人应于缺陷责任期届满后</w:t>
      </w:r>
      <w:r>
        <w:rPr>
          <w:rFonts w:hint="eastAsia" w:ascii="宋体" w:hAnsi="宋体" w:cs="宋体"/>
          <w:color w:val="auto"/>
          <w:kern w:val="0"/>
          <w:szCs w:val="21"/>
          <w:highlight w:val="none"/>
          <w:u w:val="single"/>
          <w:lang w:bidi="ar"/>
        </w:rPr>
        <w:t xml:space="preserve">  7  </w:t>
      </w:r>
      <w:r>
        <w:rPr>
          <w:rFonts w:hint="eastAsia" w:ascii="宋体" w:hAnsi="宋体" w:cs="宋体"/>
          <w:color w:val="auto"/>
          <w:kern w:val="0"/>
          <w:szCs w:val="21"/>
          <w:highlight w:val="none"/>
          <w:lang w:bidi="ar"/>
        </w:rPr>
        <w:t>天内向发包人发出缺陷责任期届满通知，发包人应在收到缺陷责任期满通知后</w:t>
      </w:r>
      <w:r>
        <w:rPr>
          <w:rFonts w:hint="eastAsia" w:ascii="宋体" w:hAnsi="宋体" w:cs="宋体"/>
          <w:color w:val="auto"/>
          <w:kern w:val="0"/>
          <w:szCs w:val="21"/>
          <w:highlight w:val="none"/>
          <w:u w:val="single"/>
          <w:lang w:bidi="ar"/>
        </w:rPr>
        <w:t xml:space="preserve"> 7 </w:t>
      </w:r>
      <w:r>
        <w:rPr>
          <w:rFonts w:hint="eastAsia" w:ascii="宋体" w:hAnsi="宋体" w:cs="宋体"/>
          <w:color w:val="auto"/>
          <w:kern w:val="0"/>
          <w:szCs w:val="21"/>
          <w:highlight w:val="none"/>
          <w:lang w:bidi="ar"/>
        </w:rPr>
        <w:t>天内核实承包人是否履行缺陷修复义务，承包人未能履行缺陷修复义务的，发包人有权扣除相应金额的维修费用。发包人应在收到缺陷责任期届满通知后</w:t>
      </w:r>
      <w:r>
        <w:rPr>
          <w:rFonts w:hint="eastAsia" w:ascii="宋体" w:hAnsi="宋体" w:cs="宋体"/>
          <w:color w:val="auto"/>
          <w:kern w:val="0"/>
          <w:szCs w:val="21"/>
          <w:highlight w:val="none"/>
          <w:u w:val="single"/>
          <w:lang w:bidi="ar"/>
        </w:rPr>
        <w:t xml:space="preserve"> 30 </w:t>
      </w:r>
      <w:r>
        <w:rPr>
          <w:rFonts w:hint="eastAsia" w:ascii="宋体" w:hAnsi="宋体" w:cs="宋体"/>
          <w:color w:val="auto"/>
          <w:kern w:val="0"/>
          <w:szCs w:val="21"/>
          <w:highlight w:val="none"/>
          <w:lang w:bidi="ar"/>
        </w:rPr>
        <w:t>天内，向承包人颁发缺陷责任期终止证书。</w:t>
      </w:r>
    </w:p>
    <w:p w14:paraId="2CB50EA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11.</w:t>
      </w:r>
      <w:r>
        <w:rPr>
          <w:rFonts w:ascii="宋体" w:hAnsi="宋体" w:cs="宋体"/>
          <w:color w:val="auto"/>
          <w:kern w:val="0"/>
          <w:szCs w:val="21"/>
          <w:highlight w:val="none"/>
          <w:lang w:bidi="ar"/>
        </w:rPr>
        <w:t>7</w:t>
      </w:r>
      <w:r>
        <w:rPr>
          <w:rFonts w:hint="eastAsia" w:ascii="宋体" w:hAnsi="宋体" w:cs="宋体"/>
          <w:color w:val="auto"/>
          <w:kern w:val="0"/>
          <w:szCs w:val="21"/>
          <w:highlight w:val="none"/>
          <w:lang w:bidi="ar"/>
        </w:rPr>
        <w:t xml:space="preserve"> 保修责任</w:t>
      </w:r>
    </w:p>
    <w:p w14:paraId="6F8949B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工程质量保修范围、期限和责任为：</w:t>
      </w:r>
      <w:r>
        <w:rPr>
          <w:rFonts w:hint="eastAsia"/>
          <w:color w:val="auto"/>
          <w:szCs w:val="21"/>
          <w:highlight w:val="none"/>
          <w:u w:val="single"/>
        </w:rPr>
        <w:t>本工程质量保修期间，承包人将做好工程回访工作，若发现施工造成的质量问题，将按发包人要求及时赴现场负责返修。承包人未能在发包人确定的日期内履行保修和维修义务的，发包人有权自行或委托第三方进行此项工作，费用由承包人承担。因此造成缺陷工程以及第三方财产和人身损害的，由承包人承担赔偿责任。发包人有权直接从质量保证金中扣除上述费用和赔偿金额，不足部分由承包人补足。详见附件《工程质量保修书》</w:t>
      </w:r>
      <w:r>
        <w:rPr>
          <w:rFonts w:hint="eastAsia"/>
          <w:color w:val="auto"/>
          <w:szCs w:val="21"/>
          <w:highlight w:val="none"/>
        </w:rPr>
        <w:t>。</w:t>
      </w:r>
    </w:p>
    <w:p w14:paraId="4455D01B">
      <w:pPr>
        <w:widowControl/>
        <w:adjustRightInd w:val="0"/>
        <w:snapToGrid w:val="0"/>
        <w:spacing w:after="120" w:afterLines="50" w:line="360" w:lineRule="auto"/>
        <w:outlineLvl w:val="1"/>
        <w:rPr>
          <w:rFonts w:ascii="宋体" w:hAnsi="宋体" w:cs="Times"/>
          <w:color w:val="auto"/>
          <w:kern w:val="0"/>
          <w:highlight w:val="none"/>
        </w:rPr>
      </w:pPr>
      <w:bookmarkStart w:id="1737" w:name="_Toc20171885"/>
      <w:bookmarkEnd w:id="1737"/>
      <w:bookmarkStart w:id="1738" w:name="_Toc179885407"/>
      <w:r>
        <w:rPr>
          <w:rFonts w:hint="eastAsia" w:ascii="宋体" w:hAnsi="宋体" w:cs="Times"/>
          <w:color w:val="auto"/>
          <w:kern w:val="0"/>
          <w:szCs w:val="21"/>
          <w:highlight w:val="none"/>
          <w:lang w:bidi="ar"/>
        </w:rPr>
        <w:t>第12条 竣工后试验</w:t>
      </w:r>
      <w:bookmarkEnd w:id="1738"/>
    </w:p>
    <w:p w14:paraId="358D66D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本合同工程是否包含竣工后试验：</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包含</w:t>
      </w:r>
      <w:r>
        <w:rPr>
          <w:rFonts w:hint="eastAsia"/>
          <w:color w:val="auto"/>
          <w:szCs w:val="21"/>
          <w:highlight w:val="none"/>
        </w:rPr>
        <w:t>。</w:t>
      </w:r>
    </w:p>
    <w:p w14:paraId="1652520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 xml:space="preserve">12.1 竣工后试验的程序 </w:t>
      </w:r>
    </w:p>
    <w:p w14:paraId="42AC365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12.1.</w:t>
      </w:r>
      <w:r>
        <w:rPr>
          <w:rFonts w:ascii="宋体" w:hAnsi="宋体" w:cs="宋体"/>
          <w:color w:val="auto"/>
          <w:kern w:val="0"/>
          <w:szCs w:val="21"/>
          <w:highlight w:val="none"/>
          <w:lang w:bidi="ar"/>
        </w:rPr>
        <w:t>2</w:t>
      </w:r>
      <w:r>
        <w:rPr>
          <w:rFonts w:hint="eastAsia" w:ascii="宋体" w:hAnsi="宋体" w:cs="宋体"/>
          <w:color w:val="auto"/>
          <w:kern w:val="0"/>
          <w:szCs w:val="21"/>
          <w:highlight w:val="none"/>
          <w:lang w:bidi="ar"/>
        </w:rPr>
        <w:t xml:space="preserve"> 竣工后试验全部电力、水、污水处理、燃料、消耗品和材料，以及全部其他仪器、协助、文件或其他信息、设备、工具、劳力，启动工程设备，并组织安排有适当资质、经验和能力的工作人员等必要条件的提供方：</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承包方</w:t>
      </w:r>
      <w:r>
        <w:rPr>
          <w:rFonts w:hint="eastAsia"/>
          <w:color w:val="auto"/>
          <w:szCs w:val="21"/>
          <w:highlight w:val="none"/>
        </w:rPr>
        <w:t>。</w:t>
      </w:r>
    </w:p>
    <w:p w14:paraId="4949DA11">
      <w:pPr>
        <w:widowControl/>
        <w:adjustRightInd w:val="0"/>
        <w:snapToGrid w:val="0"/>
        <w:spacing w:after="120" w:afterLines="50" w:line="360" w:lineRule="auto"/>
        <w:outlineLvl w:val="1"/>
        <w:rPr>
          <w:rFonts w:ascii="宋体" w:hAnsi="宋体" w:cs="Times"/>
          <w:color w:val="auto"/>
          <w:kern w:val="0"/>
          <w:highlight w:val="none"/>
        </w:rPr>
      </w:pPr>
      <w:bookmarkStart w:id="1739" w:name="_Toc20171886"/>
      <w:bookmarkEnd w:id="1739"/>
      <w:bookmarkStart w:id="1740" w:name="_Toc179885408"/>
      <w:r>
        <w:rPr>
          <w:rFonts w:hint="eastAsia" w:ascii="宋体" w:hAnsi="宋体" w:cs="Times"/>
          <w:color w:val="auto"/>
          <w:kern w:val="0"/>
          <w:szCs w:val="21"/>
          <w:highlight w:val="none"/>
          <w:lang w:bidi="ar"/>
        </w:rPr>
        <w:t>第13条 变更与调整</w:t>
      </w:r>
      <w:bookmarkEnd w:id="1740"/>
    </w:p>
    <w:p w14:paraId="16D0279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13.2 承包人的合理化建议</w:t>
      </w:r>
    </w:p>
    <w:p w14:paraId="75AB9E1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13.2.2监理人应在收到承包人提交的合理化建议后</w:t>
      </w:r>
      <w:r>
        <w:rPr>
          <w:rFonts w:hint="eastAsia" w:ascii="宋体" w:hAnsi="宋体" w:cs="宋体"/>
          <w:color w:val="auto"/>
          <w:kern w:val="0"/>
          <w:szCs w:val="21"/>
          <w:highlight w:val="none"/>
          <w:u w:val="single"/>
          <w:lang w:bidi="ar"/>
        </w:rPr>
        <w:t xml:space="preserve"> 7 </w:t>
      </w:r>
      <w:r>
        <w:rPr>
          <w:rFonts w:hint="eastAsia" w:ascii="宋体" w:hAnsi="宋体" w:cs="宋体"/>
          <w:color w:val="auto"/>
          <w:kern w:val="0"/>
          <w:szCs w:val="21"/>
          <w:highlight w:val="none"/>
          <w:lang w:bidi="ar"/>
        </w:rPr>
        <w:t>日内审查完毕并报送发包人，发现其中存在技术上的缺陷，应通知承包人修改。发包人应在收到监理人报送的合理化建议后</w:t>
      </w:r>
      <w:r>
        <w:rPr>
          <w:rFonts w:hint="eastAsia" w:ascii="宋体" w:hAnsi="宋体" w:cs="宋体"/>
          <w:color w:val="auto"/>
          <w:kern w:val="0"/>
          <w:szCs w:val="21"/>
          <w:highlight w:val="none"/>
          <w:u w:val="single"/>
          <w:lang w:bidi="ar"/>
        </w:rPr>
        <w:t xml:space="preserve"> 14</w:t>
      </w:r>
      <w:r>
        <w:rPr>
          <w:rFonts w:hint="eastAsia" w:ascii="宋体" w:hAnsi="宋体" w:cs="宋体"/>
          <w:color w:val="auto"/>
          <w:kern w:val="0"/>
          <w:szCs w:val="21"/>
          <w:highlight w:val="none"/>
          <w:lang w:bidi="ar"/>
        </w:rPr>
        <w:t>日内审批完毕。合理化建议经发包人批准的，监理人应及时发出变更指示，由此引起的合同价格调整按照</w:t>
      </w:r>
      <w:bookmarkStart w:id="1741" w:name="OLE_LINK10"/>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通用条款</w:t>
      </w:r>
      <w:r>
        <w:rPr>
          <w:color w:val="auto"/>
          <w:szCs w:val="21"/>
          <w:highlight w:val="none"/>
          <w:u w:val="single"/>
        </w:rPr>
        <w:t>1</w:t>
      </w:r>
      <w:bookmarkEnd w:id="1741"/>
      <w:r>
        <w:rPr>
          <w:rFonts w:hint="eastAsia"/>
          <w:color w:val="auto"/>
          <w:szCs w:val="21"/>
          <w:highlight w:val="none"/>
          <w:u w:val="single"/>
        </w:rPr>
        <w:t>3.3.3【变更估价】</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执行。发包人不同意变更的，监理人应书面通知承包人。</w:t>
      </w:r>
    </w:p>
    <w:p w14:paraId="58286426">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13.2.3承包人提出的合理化变更建议的利益分享约定：</w:t>
      </w:r>
      <w:r>
        <w:rPr>
          <w:rFonts w:hint="eastAsia" w:ascii="宋体" w:hAnsi="宋体" w:cs="宋体"/>
          <w:color w:val="auto"/>
          <w:kern w:val="0"/>
          <w:szCs w:val="21"/>
          <w:highlight w:val="none"/>
          <w:u w:val="single"/>
          <w:lang w:bidi="ar"/>
        </w:rPr>
        <w:t>/</w:t>
      </w:r>
      <w:r>
        <w:rPr>
          <w:rFonts w:hint="eastAsia" w:ascii="宋体" w:hAnsi="宋体" w:cs="宋体"/>
          <w:color w:val="auto"/>
          <w:kern w:val="0"/>
          <w:szCs w:val="21"/>
          <w:highlight w:val="none"/>
          <w:lang w:bidi="ar"/>
        </w:rPr>
        <w:t>。</w:t>
      </w:r>
    </w:p>
    <w:p w14:paraId="3CDDBA5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13.3 变更程序</w:t>
      </w:r>
    </w:p>
    <w:p w14:paraId="73827AB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13.3.2 变更执行</w:t>
      </w:r>
    </w:p>
    <w:p w14:paraId="6C327CD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13.3.3 变更估价</w:t>
      </w:r>
    </w:p>
    <w:p w14:paraId="4076C3F7">
      <w:pPr>
        <w:widowControl/>
        <w:adjustRightInd w:val="0"/>
        <w:snapToGrid w:val="0"/>
        <w:spacing w:after="120" w:afterLines="50" w:line="360" w:lineRule="auto"/>
        <w:ind w:firstLine="420" w:firstLineChars="200"/>
        <w:rPr>
          <w:rFonts w:ascii="宋体" w:hAnsi="宋体" w:cs="宋体"/>
          <w:color w:val="auto"/>
          <w:highlight w:val="none"/>
        </w:rPr>
      </w:pPr>
      <w:r>
        <w:rPr>
          <w:rFonts w:hint="eastAsia" w:ascii="宋体" w:hAnsi="宋体" w:cs="宋体"/>
          <w:color w:val="auto"/>
          <w:kern w:val="0"/>
          <w:szCs w:val="21"/>
          <w:highlight w:val="none"/>
          <w:lang w:bidi="ar"/>
        </w:rPr>
        <w:t>13.3.3.1</w:t>
      </w:r>
      <w:r>
        <w:rPr>
          <w:rFonts w:hint="eastAsia" w:ascii="宋体" w:hAnsi="宋体" w:cs="宋体"/>
          <w:color w:val="auto"/>
          <w:szCs w:val="21"/>
          <w:highlight w:val="none"/>
          <w:lang w:bidi="ar"/>
        </w:rPr>
        <w:t>变更估价原则</w:t>
      </w:r>
    </w:p>
    <w:p w14:paraId="6FDBD32D">
      <w:pPr>
        <w:adjustRightInd w:val="0"/>
        <w:snapToGrid w:val="0"/>
        <w:spacing w:line="360" w:lineRule="auto"/>
        <w:ind w:firstLine="420"/>
        <w:rPr>
          <w:color w:val="auto"/>
          <w:szCs w:val="21"/>
          <w:highlight w:val="none"/>
        </w:rPr>
      </w:pPr>
      <w:r>
        <w:rPr>
          <w:rFonts w:hint="eastAsia"/>
          <w:color w:val="auto"/>
          <w:szCs w:val="21"/>
          <w:highlight w:val="none"/>
        </w:rPr>
        <w:t>关于变更估价原则的约定：</w:t>
      </w:r>
    </w:p>
    <w:p w14:paraId="7B33A5B5">
      <w:pPr>
        <w:adjustRightInd w:val="0"/>
        <w:snapToGrid w:val="0"/>
        <w:spacing w:line="360" w:lineRule="auto"/>
        <w:ind w:firstLine="420"/>
        <w:rPr>
          <w:color w:val="auto"/>
          <w:szCs w:val="21"/>
          <w:highlight w:val="none"/>
          <w:u w:val="single"/>
        </w:rPr>
      </w:pPr>
      <w:r>
        <w:rPr>
          <w:rFonts w:hint="eastAsia"/>
          <w:color w:val="auto"/>
          <w:szCs w:val="21"/>
          <w:highlight w:val="none"/>
          <w:u w:val="single"/>
        </w:rPr>
        <w:t>1）合同履行过程中发生以下情形的，应按照本条约定进行变更，并调整合同价款：</w:t>
      </w:r>
    </w:p>
    <w:p w14:paraId="0AC100B1">
      <w:pPr>
        <w:adjustRightInd w:val="0"/>
        <w:snapToGrid w:val="0"/>
        <w:spacing w:line="360" w:lineRule="auto"/>
        <w:ind w:firstLine="420"/>
        <w:rPr>
          <w:color w:val="auto"/>
          <w:szCs w:val="21"/>
          <w:highlight w:val="none"/>
          <w:u w:val="single"/>
        </w:rPr>
      </w:pPr>
      <w:r>
        <w:rPr>
          <w:rFonts w:hint="eastAsia"/>
          <w:color w:val="auto"/>
          <w:szCs w:val="21"/>
          <w:highlight w:val="none"/>
          <w:u w:val="single"/>
        </w:rPr>
        <w:t>A</w:t>
      </w:r>
      <w:bookmarkStart w:id="1742" w:name="OLE_LINK11"/>
      <w:r>
        <w:rPr>
          <w:rFonts w:hint="eastAsia"/>
          <w:color w:val="auto"/>
          <w:szCs w:val="21"/>
          <w:highlight w:val="none"/>
          <w:u w:val="single"/>
        </w:rPr>
        <w:t>．发包人变更建设规模、建设标准、功能要求和发包人要求的；</w:t>
      </w:r>
    </w:p>
    <w:bookmarkEnd w:id="1742"/>
    <w:p w14:paraId="39E58CD8">
      <w:pPr>
        <w:adjustRightInd w:val="0"/>
        <w:snapToGrid w:val="0"/>
        <w:spacing w:line="360" w:lineRule="auto"/>
        <w:ind w:firstLine="420"/>
        <w:rPr>
          <w:color w:val="auto"/>
          <w:szCs w:val="21"/>
          <w:highlight w:val="none"/>
          <w:u w:val="single"/>
        </w:rPr>
      </w:pPr>
      <w:r>
        <w:rPr>
          <w:rFonts w:hint="eastAsia"/>
          <w:color w:val="auto"/>
          <w:szCs w:val="21"/>
          <w:highlight w:val="none"/>
          <w:u w:val="single"/>
        </w:rPr>
        <w:t>B．承包人复核发包人要求发现错误的，发包人作相应修改的；</w:t>
      </w:r>
    </w:p>
    <w:p w14:paraId="4049A0AE">
      <w:pPr>
        <w:adjustRightInd w:val="0"/>
        <w:snapToGrid w:val="0"/>
        <w:spacing w:line="360" w:lineRule="auto"/>
        <w:ind w:firstLine="420"/>
        <w:rPr>
          <w:color w:val="auto"/>
          <w:szCs w:val="21"/>
          <w:highlight w:val="none"/>
          <w:u w:val="single"/>
        </w:rPr>
      </w:pPr>
      <w:r>
        <w:rPr>
          <w:rFonts w:hint="eastAsia"/>
          <w:color w:val="auto"/>
          <w:szCs w:val="21"/>
          <w:highlight w:val="none"/>
          <w:u w:val="single"/>
        </w:rPr>
        <w:t>C．因国家的法律、法规、规章、政策和标准、规范发生变化引起的变更。</w:t>
      </w:r>
    </w:p>
    <w:p w14:paraId="6D355A13">
      <w:pPr>
        <w:adjustRightInd w:val="0"/>
        <w:snapToGrid w:val="0"/>
        <w:spacing w:line="360" w:lineRule="auto"/>
        <w:ind w:firstLine="420"/>
        <w:rPr>
          <w:color w:val="auto"/>
          <w:szCs w:val="21"/>
          <w:highlight w:val="none"/>
          <w:u w:val="single"/>
        </w:rPr>
      </w:pPr>
      <w:r>
        <w:rPr>
          <w:color w:val="auto"/>
          <w:szCs w:val="21"/>
          <w:highlight w:val="none"/>
          <w:u w:val="single"/>
        </w:rPr>
        <w:t>2</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变更的形式分三种，分别是设计变更、工程签证及工程洽商</w:t>
      </w:r>
    </w:p>
    <w:p w14:paraId="30798919">
      <w:pPr>
        <w:adjustRightInd w:val="0"/>
        <w:snapToGrid w:val="0"/>
        <w:spacing w:line="360" w:lineRule="auto"/>
        <w:ind w:firstLine="420"/>
        <w:rPr>
          <w:color w:val="auto"/>
          <w:szCs w:val="21"/>
          <w:highlight w:val="none"/>
          <w:u w:val="single"/>
        </w:rPr>
      </w:pPr>
      <w:r>
        <w:rPr>
          <w:rFonts w:hint="eastAsia"/>
          <w:color w:val="auto"/>
          <w:szCs w:val="21"/>
          <w:highlight w:val="none"/>
          <w:u w:val="single"/>
        </w:rPr>
        <w:t>A.设计变更：是对</w:t>
      </w:r>
      <w:r>
        <w:rPr>
          <w:rFonts w:hint="eastAsia"/>
          <w:color w:val="auto"/>
          <w:szCs w:val="21"/>
          <w:highlight w:val="none"/>
          <w:u w:val="single"/>
          <w:lang w:val="en-US" w:eastAsia="zh-CN"/>
        </w:rPr>
        <w:t>业主确认并经图审通过的施工图</w:t>
      </w:r>
      <w:r>
        <w:rPr>
          <w:rFonts w:hint="eastAsia"/>
          <w:color w:val="auto"/>
          <w:szCs w:val="21"/>
          <w:highlight w:val="none"/>
          <w:u w:val="single"/>
        </w:rPr>
        <w:t>进行的修正、补充或调整，并经发包人及发包人的管理团队认可后的变更。</w:t>
      </w:r>
      <w:r>
        <w:rPr>
          <w:rFonts w:hint="eastAsia"/>
          <w:color w:val="auto"/>
          <w:szCs w:val="21"/>
          <w:highlight w:val="none"/>
          <w:u w:val="single"/>
          <w:lang w:val="en-US" w:eastAsia="zh-CN"/>
        </w:rPr>
        <w:t>若因承包人原因产生设计变更，仅在合同价款内计取设计变更后的费用，设计变更产生的破坏，返工等不予计取；若因非承包人原因产生的设计变更，合同价款可相应调整。</w:t>
      </w:r>
    </w:p>
    <w:p w14:paraId="789D310C">
      <w:pPr>
        <w:adjustRightInd w:val="0"/>
        <w:snapToGrid w:val="0"/>
        <w:spacing w:line="360" w:lineRule="auto"/>
        <w:ind w:firstLine="420"/>
        <w:rPr>
          <w:color w:val="auto"/>
          <w:szCs w:val="21"/>
          <w:highlight w:val="none"/>
          <w:u w:val="single"/>
        </w:rPr>
      </w:pPr>
      <w:r>
        <w:rPr>
          <w:rFonts w:hint="eastAsia"/>
          <w:color w:val="auto"/>
          <w:szCs w:val="21"/>
          <w:highlight w:val="none"/>
          <w:u w:val="single"/>
        </w:rPr>
        <w:t>在工程施工过程中，所有的设计变更必须经发包人负责人签字并加盖发包人公章认可后方可实施，承包人不得对原工程设计进行变更，因承包人擅自变更设计发生的费用和由此导致发包人的直接损失，由承包人承担，延误的工期不予顺延。工程变更中除设计变更以外，如承包人因施工原因需采取的技术措施及组织措施变更等，须经发包人确认，其变更所可能造成的风险由承包人承担，</w:t>
      </w:r>
      <w:r>
        <w:rPr>
          <w:rFonts w:hint="eastAsia"/>
          <w:color w:val="auto"/>
          <w:szCs w:val="21"/>
          <w:highlight w:val="none"/>
          <w:u w:val="single"/>
          <w:lang w:val="en-US" w:eastAsia="zh-CN"/>
        </w:rPr>
        <w:t>在合同价款内按实结算，合同价款总额不予增加</w:t>
      </w:r>
      <w:r>
        <w:rPr>
          <w:rFonts w:hint="eastAsia"/>
          <w:color w:val="auto"/>
          <w:szCs w:val="21"/>
          <w:highlight w:val="none"/>
          <w:u w:val="single"/>
        </w:rPr>
        <w:t>。</w:t>
      </w:r>
    </w:p>
    <w:p w14:paraId="1B1FB865">
      <w:pPr>
        <w:adjustRightInd w:val="0"/>
        <w:snapToGrid w:val="0"/>
        <w:spacing w:line="360" w:lineRule="auto"/>
        <w:ind w:firstLine="420" w:firstLineChars="200"/>
        <w:rPr>
          <w:color w:val="auto"/>
          <w:szCs w:val="21"/>
          <w:highlight w:val="none"/>
          <w:u w:val="single"/>
        </w:rPr>
      </w:pPr>
      <w:r>
        <w:rPr>
          <w:rFonts w:hint="eastAsia"/>
          <w:color w:val="auto"/>
          <w:szCs w:val="21"/>
          <w:highlight w:val="none"/>
          <w:u w:val="single"/>
        </w:rPr>
        <w:t>B.工程签证：指在设计变更以外发生的工作内容，按合同能约定清楚的，经发包人及发包人的管理团队和承包人针对该工作内容办理的变更。本合同履行过程中若发生合同约定可以办理签证的情形，承包人应当在相应情形发生后15日内向发包人申请办理相应的签证</w:t>
      </w:r>
      <w:r>
        <w:rPr>
          <w:rFonts w:hint="eastAsia"/>
          <w:color w:val="auto"/>
          <w:szCs w:val="21"/>
          <w:highlight w:val="none"/>
        </w:rPr>
        <w:t>。</w:t>
      </w:r>
    </w:p>
    <w:p w14:paraId="2959B03C">
      <w:pPr>
        <w:adjustRightInd w:val="0"/>
        <w:snapToGrid w:val="0"/>
        <w:spacing w:line="360" w:lineRule="auto"/>
        <w:ind w:firstLine="420"/>
        <w:rPr>
          <w:color w:val="auto"/>
          <w:szCs w:val="21"/>
          <w:highlight w:val="none"/>
          <w:u w:val="single"/>
        </w:rPr>
      </w:pPr>
      <w:r>
        <w:rPr>
          <w:rFonts w:hint="eastAsia"/>
          <w:color w:val="auto"/>
          <w:szCs w:val="21"/>
          <w:highlight w:val="none"/>
          <w:u w:val="single"/>
        </w:rPr>
        <w:t>C.工程洽商：不在设计变更及工程签证范畴内，情况较为复杂，需要合同相关方相互洽商的变更。</w:t>
      </w:r>
    </w:p>
    <w:p w14:paraId="7327BFE3">
      <w:pPr>
        <w:adjustRightInd w:val="0"/>
        <w:snapToGrid w:val="0"/>
        <w:spacing w:line="360" w:lineRule="auto"/>
        <w:ind w:firstLine="420"/>
        <w:rPr>
          <w:color w:val="auto"/>
          <w:szCs w:val="21"/>
          <w:highlight w:val="none"/>
          <w:u w:val="single"/>
        </w:rPr>
      </w:pPr>
      <w:r>
        <w:rPr>
          <w:color w:val="auto"/>
          <w:szCs w:val="21"/>
          <w:highlight w:val="none"/>
          <w:u w:val="single"/>
        </w:rPr>
        <w:t>3</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属于上述条款第1）条变更引起的价格调整在最终结算时，按合同支付款方式支付。</w:t>
      </w:r>
    </w:p>
    <w:p w14:paraId="152A9F72">
      <w:pPr>
        <w:adjustRightInd w:val="0"/>
        <w:snapToGrid w:val="0"/>
        <w:spacing w:line="360" w:lineRule="auto"/>
        <w:ind w:firstLine="420"/>
        <w:rPr>
          <w:color w:val="auto"/>
          <w:szCs w:val="21"/>
          <w:highlight w:val="none"/>
          <w:u w:val="single"/>
        </w:rPr>
      </w:pPr>
      <w:r>
        <w:rPr>
          <w:color w:val="auto"/>
          <w:szCs w:val="21"/>
          <w:highlight w:val="none"/>
          <w:u w:val="single"/>
        </w:rPr>
        <w:t>4</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对于发生重大变更(单项变更金额超过合同金额5%)，或发包人认为需要过程结算审核时，可进行过程结算审核。审核结果得到发包人及发包人的管理团队和合同相关方共同确认后，作为签订的补充协议的依据，</w:t>
      </w:r>
      <w:r>
        <w:rPr>
          <w:rFonts w:hint="eastAsia"/>
          <w:color w:val="auto"/>
          <w:szCs w:val="21"/>
          <w:highlight w:val="none"/>
          <w:u w:val="single"/>
        </w:rPr>
        <w:t>补充协议签订完成且</w:t>
      </w:r>
      <w:r>
        <w:rPr>
          <w:rFonts w:hint="eastAsia"/>
          <w:color w:val="auto"/>
          <w:szCs w:val="21"/>
          <w:highlight w:val="none"/>
          <w:u w:val="single"/>
        </w:rPr>
        <w:t>审核后款项按合同支付款方式同期支付。</w:t>
      </w:r>
    </w:p>
    <w:p w14:paraId="380AF6E9">
      <w:pPr>
        <w:adjustRightInd w:val="0"/>
        <w:snapToGrid w:val="0"/>
        <w:spacing w:line="360" w:lineRule="auto"/>
        <w:ind w:firstLine="420"/>
        <w:rPr>
          <w:color w:val="auto"/>
          <w:szCs w:val="21"/>
          <w:highlight w:val="none"/>
          <w:u w:val="single"/>
        </w:rPr>
      </w:pPr>
      <w:r>
        <w:rPr>
          <w:color w:val="auto"/>
          <w:szCs w:val="21"/>
          <w:highlight w:val="none"/>
          <w:u w:val="single"/>
        </w:rPr>
        <w:t>5</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变更费用：发生上述第1）条约定可调整价款的变更计价原则的约定如下： </w:t>
      </w:r>
    </w:p>
    <w:p w14:paraId="635EA832">
      <w:pPr>
        <w:adjustRightInd w:val="0"/>
        <w:snapToGrid w:val="0"/>
        <w:spacing w:line="360" w:lineRule="auto"/>
        <w:ind w:firstLine="420"/>
        <w:rPr>
          <w:color w:val="auto"/>
          <w:szCs w:val="21"/>
          <w:highlight w:val="none"/>
          <w:u w:val="single"/>
        </w:rPr>
      </w:pPr>
      <w:r>
        <w:rPr>
          <w:rFonts w:hint="eastAsia"/>
          <w:color w:val="auto"/>
          <w:szCs w:val="21"/>
          <w:highlight w:val="none"/>
          <w:u w:val="single"/>
        </w:rPr>
        <w:t>（1）已标价工程量清单中有适应变更的子目，按子目的单价（已按中标优惠率优惠后的中标单价，下同）执行。</w:t>
      </w:r>
    </w:p>
    <w:p w14:paraId="0F52443F">
      <w:pPr>
        <w:adjustRightInd w:val="0"/>
        <w:snapToGrid w:val="0"/>
        <w:spacing w:line="360" w:lineRule="auto"/>
        <w:ind w:firstLine="420"/>
        <w:rPr>
          <w:color w:val="auto"/>
          <w:szCs w:val="21"/>
          <w:highlight w:val="none"/>
          <w:u w:val="single"/>
        </w:rPr>
      </w:pPr>
      <w:r>
        <w:rPr>
          <w:rFonts w:hint="eastAsia"/>
          <w:color w:val="auto"/>
          <w:szCs w:val="21"/>
          <w:highlight w:val="none"/>
          <w:u w:val="single"/>
        </w:rPr>
        <w:t>（2）已标价工程量清单中无适应变更的子目，但有类似子目，可参考类似子目的单价采用内插法确定。</w:t>
      </w:r>
    </w:p>
    <w:p w14:paraId="06FCE239">
      <w:pPr>
        <w:adjustRightInd w:val="0"/>
        <w:snapToGrid w:val="0"/>
        <w:spacing w:line="360" w:lineRule="auto"/>
        <w:ind w:firstLine="420"/>
        <w:rPr>
          <w:color w:val="auto"/>
          <w:sz w:val="18"/>
          <w:szCs w:val="18"/>
          <w:highlight w:val="none"/>
          <w:u w:val="single"/>
        </w:rPr>
      </w:pPr>
      <w:r>
        <w:rPr>
          <w:rFonts w:hint="eastAsia"/>
          <w:color w:val="auto"/>
          <w:szCs w:val="21"/>
          <w:highlight w:val="none"/>
          <w:u w:val="single"/>
        </w:rPr>
        <w:t>（3）当上述方式都不适用时按以下原则计算：按</w:t>
      </w:r>
      <w:bookmarkStart w:id="1743" w:name="OLE_LINK12"/>
      <w:r>
        <w:rPr>
          <w:rFonts w:hint="eastAsia"/>
          <w:color w:val="auto"/>
          <w:szCs w:val="21"/>
          <w:highlight w:val="none"/>
          <w:u w:val="single"/>
          <w:lang w:eastAsia="zh-CN"/>
        </w:rPr>
        <w:t>广州</w:t>
      </w:r>
      <w:r>
        <w:rPr>
          <w:rFonts w:hint="eastAsia"/>
          <w:color w:val="auto"/>
          <w:szCs w:val="21"/>
          <w:highlight w:val="none"/>
          <w:u w:val="single"/>
        </w:rPr>
        <w:t>市</w:t>
      </w:r>
      <w:bookmarkEnd w:id="1743"/>
      <w:r>
        <w:rPr>
          <w:rFonts w:hint="eastAsia"/>
          <w:color w:val="auto"/>
          <w:szCs w:val="21"/>
          <w:highlight w:val="none"/>
          <w:u w:val="single"/>
        </w:rPr>
        <w:t>现行计价办法（消耗量标准），工程造价指标或结合市场行情编制。合同履行期间计价依据发生变化的，由发包人或发包人委托的第三方造价单位确定是否适用新依据。</w:t>
      </w:r>
      <w:bookmarkStart w:id="1744" w:name="OLE_LINK13"/>
      <w:r>
        <w:rPr>
          <w:rFonts w:hint="eastAsia"/>
          <w:color w:val="auto"/>
          <w:szCs w:val="21"/>
          <w:highlight w:val="none"/>
        </w:rPr>
        <w:t>如果变更认价金额超过</w:t>
      </w:r>
      <w:r>
        <w:rPr>
          <w:color w:val="auto"/>
          <w:szCs w:val="21"/>
          <w:highlight w:val="none"/>
        </w:rPr>
        <w:t>100</w:t>
      </w:r>
      <w:r>
        <w:rPr>
          <w:rFonts w:hint="eastAsia"/>
          <w:color w:val="auto"/>
          <w:szCs w:val="21"/>
          <w:highlight w:val="none"/>
        </w:rPr>
        <w:t>万元，发包人有权与承包人联合组成采购谈判小组，采用询价、比价、竞争性谈判等方式共同确定供应商和相应价格。</w:t>
      </w:r>
    </w:p>
    <w:bookmarkEnd w:id="1744"/>
    <w:p w14:paraId="1C697BFB">
      <w:pPr>
        <w:adjustRightInd w:val="0"/>
        <w:snapToGrid w:val="0"/>
        <w:spacing w:line="360" w:lineRule="auto"/>
        <w:ind w:firstLine="420"/>
        <w:rPr>
          <w:color w:val="auto"/>
          <w:szCs w:val="21"/>
          <w:highlight w:val="none"/>
          <w:u w:val="single"/>
        </w:rPr>
      </w:pPr>
      <w:r>
        <w:rPr>
          <w:rFonts w:hint="eastAsia"/>
          <w:color w:val="auto"/>
          <w:szCs w:val="21"/>
          <w:highlight w:val="none"/>
          <w:u w:val="single"/>
        </w:rPr>
        <w:t>建安工程费报价优惠率={1-中标价中的建筑安装工程费（不含暂列金额、暂估价）/</w:t>
      </w:r>
      <w:r>
        <w:rPr>
          <w:rFonts w:hint="eastAsia"/>
          <w:color w:val="auto"/>
          <w:highlight w:val="none"/>
        </w:rPr>
        <w:t xml:space="preserve"> </w:t>
      </w:r>
      <w:r>
        <w:rPr>
          <w:rFonts w:hint="eastAsia"/>
          <w:color w:val="auto"/>
          <w:szCs w:val="21"/>
          <w:highlight w:val="none"/>
          <w:u w:val="single"/>
        </w:rPr>
        <w:t>最高投标限价中的建筑安装工程费（不含暂列金额、暂估价）}*100%，建安工程费报价优惠率以该公式计算出的精准数值为准</w:t>
      </w:r>
      <w:r>
        <w:rPr>
          <w:rFonts w:hint="eastAsia"/>
          <w:color w:val="auto"/>
          <w:szCs w:val="21"/>
          <w:highlight w:val="none"/>
          <w:u w:val="single"/>
          <w:lang w:val="en-US" w:eastAsia="zh-CN"/>
        </w:rPr>
        <w:t>（精确到小数点后2位，四舍五入）</w:t>
      </w:r>
      <w:r>
        <w:rPr>
          <w:rFonts w:hint="eastAsia"/>
          <w:color w:val="auto"/>
          <w:szCs w:val="21"/>
          <w:highlight w:val="none"/>
          <w:u w:val="single"/>
        </w:rPr>
        <w:t>。</w:t>
      </w:r>
    </w:p>
    <w:p w14:paraId="4B704869">
      <w:pPr>
        <w:adjustRightInd w:val="0"/>
        <w:snapToGrid w:val="0"/>
        <w:spacing w:line="360" w:lineRule="auto"/>
        <w:ind w:firstLine="420"/>
        <w:rPr>
          <w:color w:val="auto"/>
          <w:szCs w:val="21"/>
          <w:highlight w:val="none"/>
          <w:u w:val="single"/>
        </w:rPr>
      </w:pPr>
      <w:r>
        <w:rPr>
          <w:rFonts w:hint="eastAsia"/>
          <w:color w:val="auto"/>
          <w:szCs w:val="21"/>
          <w:highlight w:val="none"/>
          <w:u w:val="single"/>
        </w:rPr>
        <w:t>承包人必须响应招标文件的实质性内容，认可发包人委托的第三方造价公司审核确认的预算文件。承包人中标后采购高于中标价的材料、设备、构配件，高出部分由承包人自行承担，耽误的工期不顺延，其他一切后果均由承包人承担。</w:t>
      </w:r>
    </w:p>
    <w:p w14:paraId="0DF3C557">
      <w:pPr>
        <w:numPr>
          <w:ilvl w:val="255"/>
          <w:numId w:val="0"/>
        </w:numPr>
        <w:adjustRightInd w:val="0"/>
        <w:snapToGrid w:val="0"/>
        <w:spacing w:line="360" w:lineRule="auto"/>
        <w:ind w:firstLine="420"/>
        <w:rPr>
          <w:color w:val="auto"/>
          <w:szCs w:val="21"/>
          <w:highlight w:val="none"/>
          <w:u w:val="single"/>
        </w:rPr>
      </w:pPr>
      <w:r>
        <w:rPr>
          <w:rFonts w:hint="eastAsia"/>
          <w:color w:val="auto"/>
          <w:szCs w:val="21"/>
          <w:highlight w:val="none"/>
          <w:u w:val="single"/>
        </w:rPr>
        <w:t>6）未尽事宜遵守《通用条款》及执行《建设工程工程量清单计价规范》（中华人民共和国住房和城乡建设部编写颁发的最新版）。</w:t>
      </w:r>
    </w:p>
    <w:p w14:paraId="28788707">
      <w:pPr>
        <w:numPr>
          <w:ilvl w:val="255"/>
          <w:numId w:val="0"/>
        </w:numPr>
        <w:adjustRightInd w:val="0"/>
        <w:snapToGrid w:val="0"/>
        <w:spacing w:line="360" w:lineRule="auto"/>
        <w:ind w:firstLine="420"/>
        <w:rPr>
          <w:color w:val="auto"/>
          <w:szCs w:val="21"/>
          <w:highlight w:val="none"/>
          <w:u w:val="single"/>
        </w:rPr>
      </w:pPr>
      <w:r>
        <w:rPr>
          <w:rFonts w:hint="eastAsia"/>
          <w:color w:val="auto"/>
          <w:szCs w:val="21"/>
          <w:highlight w:val="none"/>
          <w:u w:val="single"/>
        </w:rPr>
        <w:t>7）对属于不平衡报价的清单项目进行变更时要严格审核其变更的原因、必要性、经济性，非必要不进行变更，如属于确需变更项目，应进行多方案比较，采用最佳变更方案。</w:t>
      </w:r>
    </w:p>
    <w:p w14:paraId="4888B594">
      <w:pPr>
        <w:widowControl/>
        <w:adjustRightInd w:val="0"/>
        <w:snapToGrid w:val="0"/>
        <w:spacing w:line="324" w:lineRule="auto"/>
        <w:ind w:firstLine="420" w:firstLineChars="200"/>
        <w:rPr>
          <w:rFonts w:ascii="宋体" w:hAnsi="宋体" w:cs="宋体"/>
          <w:color w:val="auto"/>
          <w:kern w:val="0"/>
          <w:highlight w:val="none"/>
        </w:rPr>
      </w:pPr>
      <w:r>
        <w:rPr>
          <w:rFonts w:hint="eastAsia"/>
          <w:color w:val="auto"/>
          <w:szCs w:val="21"/>
          <w:highlight w:val="none"/>
        </w:rPr>
        <w:t>针对材料设备变更，如投标材料设备属于不平衡低报价，对需要重新认价的要分析变更原因及必要性，非必要不进行变更，如属于确需变更材料设备，应对所有满足要求的材料设备进行对比分析，选择最优变更方案。</w:t>
      </w:r>
      <w:bookmarkStart w:id="1745" w:name="_Hlk524770102"/>
      <w:bookmarkEnd w:id="1745"/>
      <w:bookmarkStart w:id="1746" w:name="_Hlk529023896"/>
      <w:bookmarkEnd w:id="1746"/>
    </w:p>
    <w:p w14:paraId="5C30151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13.4 暂估价</w:t>
      </w:r>
    </w:p>
    <w:p w14:paraId="6AEA7B2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13.4.1 依法必须招标的暂估价项目</w:t>
      </w:r>
    </w:p>
    <w:p w14:paraId="1D2DECD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承包人可以参与投标的暂估价项目范围：</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本工程中的暂估价项目允许承包人投标，除当地政策明确要求不能参与的除外</w:t>
      </w:r>
      <w:r>
        <w:rPr>
          <w:rFonts w:hint="eastAsia"/>
          <w:color w:val="auto"/>
          <w:szCs w:val="21"/>
          <w:highlight w:val="none"/>
        </w:rPr>
        <w:t>。</w:t>
      </w:r>
    </w:p>
    <w:p w14:paraId="5A6D9477">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承包人不得参与投标的暂估价项目范围：</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w:t>
      </w:r>
      <w:r>
        <w:rPr>
          <w:rFonts w:hint="eastAsia"/>
          <w:color w:val="auto"/>
          <w:szCs w:val="21"/>
          <w:highlight w:val="none"/>
        </w:rPr>
        <w:t>。</w:t>
      </w:r>
    </w:p>
    <w:p w14:paraId="13ED5FC5">
      <w:pPr>
        <w:adjustRightInd w:val="0"/>
        <w:snapToGrid w:val="0"/>
        <w:spacing w:line="360" w:lineRule="auto"/>
        <w:ind w:firstLine="420"/>
        <w:rPr>
          <w:color w:val="auto"/>
          <w:szCs w:val="21"/>
          <w:highlight w:val="none"/>
          <w:u w:val="single"/>
        </w:rPr>
      </w:pPr>
      <w:r>
        <w:rPr>
          <w:rFonts w:hint="eastAsia" w:ascii="宋体" w:hAnsi="宋体" w:cs="宋体"/>
          <w:color w:val="auto"/>
          <w:kern w:val="0"/>
          <w:szCs w:val="21"/>
          <w:highlight w:val="none"/>
          <w:lang w:bidi="ar"/>
        </w:rPr>
        <w:t>招投标程序及其他约定：</w:t>
      </w:r>
      <w:r>
        <w:rPr>
          <w:rFonts w:hint="eastAsia"/>
          <w:color w:val="auto"/>
          <w:szCs w:val="21"/>
          <w:highlight w:val="none"/>
          <w:u w:val="single"/>
        </w:rPr>
        <w:t>本合同暂估价项目选择</w:t>
      </w:r>
      <w:bookmarkStart w:id="1747" w:name="OLE_LINK14"/>
      <w:r>
        <w:rPr>
          <w:rFonts w:hint="eastAsia"/>
          <w:color w:val="auto"/>
          <w:szCs w:val="21"/>
          <w:highlight w:val="none"/>
          <w:u w:val="single"/>
        </w:rPr>
        <w:t>由发包人作为招标人</w:t>
      </w:r>
      <w:bookmarkEnd w:id="1747"/>
      <w:r>
        <w:rPr>
          <w:rFonts w:hint="eastAsia"/>
          <w:color w:val="auto"/>
          <w:szCs w:val="21"/>
          <w:highlight w:val="none"/>
          <w:u w:val="single"/>
        </w:rPr>
        <w:t>，依法组织招标工作并接受有管辖权的建设工程招标投标行政监督部门的监督（如需）,当地政策有明确要求的除外。</w:t>
      </w:r>
    </w:p>
    <w:p w14:paraId="21CA897D">
      <w:pPr>
        <w:adjustRightInd w:val="0"/>
        <w:snapToGrid w:val="0"/>
        <w:spacing w:line="360" w:lineRule="auto"/>
        <w:ind w:firstLine="420"/>
        <w:rPr>
          <w:color w:val="auto"/>
          <w:szCs w:val="21"/>
          <w:highlight w:val="none"/>
          <w:u w:val="single"/>
        </w:rPr>
      </w:pPr>
      <w:r>
        <w:rPr>
          <w:rFonts w:hint="eastAsia"/>
          <w:color w:val="auto"/>
          <w:szCs w:val="21"/>
          <w:highlight w:val="none"/>
          <w:u w:val="single"/>
        </w:rPr>
        <w:t>a) 承包人接受发包人聘请的招标代理单位完成本项目暂估价的招标工作。</w:t>
      </w:r>
    </w:p>
    <w:p w14:paraId="7162DCDD">
      <w:pPr>
        <w:adjustRightInd w:val="0"/>
        <w:snapToGrid w:val="0"/>
        <w:spacing w:line="360" w:lineRule="auto"/>
        <w:ind w:firstLine="420"/>
        <w:rPr>
          <w:color w:val="auto"/>
          <w:szCs w:val="21"/>
          <w:highlight w:val="none"/>
        </w:rPr>
      </w:pPr>
      <w:r>
        <w:rPr>
          <w:rFonts w:hint="eastAsia"/>
          <w:color w:val="auto"/>
          <w:szCs w:val="21"/>
          <w:highlight w:val="none"/>
          <w:u w:val="single"/>
        </w:rPr>
        <w:t>b) 承包人无条件接受发包人认可的本项目暂估价的招标文件及中标结果</w:t>
      </w:r>
      <w:r>
        <w:rPr>
          <w:rFonts w:hint="eastAsia"/>
          <w:color w:val="auto"/>
          <w:szCs w:val="21"/>
          <w:highlight w:val="none"/>
        </w:rPr>
        <w:t>。</w:t>
      </w:r>
    </w:p>
    <w:p w14:paraId="7486BF35">
      <w:pPr>
        <w:widowControl/>
        <w:adjustRightInd w:val="0"/>
        <w:snapToGrid w:val="0"/>
        <w:spacing w:line="360" w:lineRule="auto"/>
        <w:ind w:firstLine="420"/>
        <w:rPr>
          <w:rFonts w:ascii="宋体" w:hAnsi="宋体" w:cs="宋体"/>
          <w:color w:val="auto"/>
          <w:kern w:val="0"/>
          <w:highlight w:val="none"/>
        </w:rPr>
      </w:pPr>
      <w:r>
        <w:rPr>
          <w:rFonts w:hint="eastAsia"/>
          <w:color w:val="auto"/>
          <w:szCs w:val="21"/>
          <w:highlight w:val="none"/>
          <w:u w:val="single"/>
        </w:rPr>
        <w:t>c)</w:t>
      </w:r>
      <w:r>
        <w:rPr>
          <w:color w:val="auto"/>
          <w:szCs w:val="21"/>
          <w:highlight w:val="none"/>
          <w:u w:val="single"/>
        </w:rPr>
        <w:t xml:space="preserve"> </w:t>
      </w:r>
      <w:r>
        <w:rPr>
          <w:rFonts w:hint="eastAsia"/>
          <w:color w:val="auto"/>
          <w:szCs w:val="21"/>
          <w:highlight w:val="none"/>
          <w:u w:val="single"/>
        </w:rPr>
        <w:t>招标人评标代表应当由发包人委派，承包人自愿放弃委派评标代表的权利。</w:t>
      </w:r>
    </w:p>
    <w:p w14:paraId="45E7147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13.4.2不属于依法必须招标的暂估价项目</w:t>
      </w:r>
    </w:p>
    <w:p w14:paraId="3CCF44C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不属于依法必须招标的暂估价项目的协商及估价的约定：</w:t>
      </w:r>
      <w:r>
        <w:rPr>
          <w:rFonts w:hint="eastAsia"/>
          <w:color w:val="auto"/>
          <w:szCs w:val="21"/>
          <w:highlight w:val="none"/>
          <w:u w:val="single"/>
        </w:rPr>
        <w:t>同专用合同条件1</w:t>
      </w:r>
      <w:r>
        <w:rPr>
          <w:color w:val="auto"/>
          <w:szCs w:val="21"/>
          <w:highlight w:val="none"/>
          <w:u w:val="single"/>
        </w:rPr>
        <w:t>3.4.1</w:t>
      </w:r>
      <w:r>
        <w:rPr>
          <w:rFonts w:hint="eastAsia"/>
          <w:color w:val="auto"/>
          <w:szCs w:val="21"/>
          <w:highlight w:val="none"/>
        </w:rPr>
        <w:t>。</w:t>
      </w:r>
    </w:p>
    <w:p w14:paraId="5403EE5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13.5 暂列金额</w:t>
      </w:r>
    </w:p>
    <w:p w14:paraId="4AD4A8C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其他关于暂列金额使用的约定：</w:t>
      </w:r>
      <w:r>
        <w:rPr>
          <w:rFonts w:hint="eastAsia" w:ascii="宋体" w:hAnsi="宋体" w:cs="宋体"/>
          <w:color w:val="auto"/>
          <w:kern w:val="0"/>
          <w:szCs w:val="21"/>
          <w:highlight w:val="none"/>
          <w:u w:val="single"/>
          <w:lang w:bidi="ar"/>
        </w:rPr>
        <w:t xml:space="preserve">    /    </w:t>
      </w:r>
      <w:r>
        <w:rPr>
          <w:rFonts w:hint="eastAsia" w:ascii="宋体" w:hAnsi="宋体" w:cs="宋体"/>
          <w:color w:val="auto"/>
          <w:kern w:val="0"/>
          <w:szCs w:val="21"/>
          <w:highlight w:val="none"/>
          <w:lang w:bidi="ar"/>
        </w:rPr>
        <w:t>。</w:t>
      </w:r>
    </w:p>
    <w:p w14:paraId="10674F9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13.8 市场价格波动引起的调整</w:t>
      </w:r>
    </w:p>
    <w:p w14:paraId="3A5C87CA">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13.8.2 关于是否采用《价格指数权重表》的约定：</w:t>
      </w:r>
      <w:r>
        <w:rPr>
          <w:rFonts w:hint="eastAsia" w:ascii="宋体" w:hAnsi="宋体" w:cs="宋体"/>
          <w:color w:val="auto"/>
          <w:kern w:val="0"/>
          <w:szCs w:val="21"/>
          <w:highlight w:val="none"/>
          <w:u w:val="single"/>
          <w:lang w:bidi="ar"/>
        </w:rPr>
        <w:t>不采用</w:t>
      </w:r>
      <w:r>
        <w:rPr>
          <w:rFonts w:hint="eastAsia" w:ascii="宋体" w:hAnsi="宋体" w:cs="宋体"/>
          <w:color w:val="auto"/>
          <w:kern w:val="0"/>
          <w:szCs w:val="21"/>
          <w:highlight w:val="none"/>
          <w:lang w:bidi="ar"/>
        </w:rPr>
        <w:t>。</w:t>
      </w:r>
    </w:p>
    <w:p w14:paraId="76EB19BA">
      <w:pPr>
        <w:adjustRightInd w:val="0"/>
        <w:snapToGrid w:val="0"/>
        <w:spacing w:line="360" w:lineRule="auto"/>
        <w:ind w:firstLine="42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13.8.3 关于是否采用造价信息进行价格调整的约定：</w:t>
      </w:r>
    </w:p>
    <w:p w14:paraId="4C121F55">
      <w:pPr>
        <w:adjustRightInd w:val="0"/>
        <w:snapToGrid w:val="0"/>
        <w:spacing w:line="360" w:lineRule="auto"/>
        <w:ind w:firstLine="420"/>
        <w:rPr>
          <w:color w:val="auto"/>
          <w:szCs w:val="21"/>
          <w:highlight w:val="none"/>
          <w:u w:val="single"/>
        </w:rPr>
      </w:pPr>
      <w:r>
        <w:rPr>
          <w:rFonts w:hint="eastAsia"/>
          <w:color w:val="auto"/>
          <w:szCs w:val="21"/>
          <w:highlight w:val="none"/>
          <w:u w:val="single"/>
        </w:rPr>
        <w:t>合同履行期间，因人工、材料、机械台班价格波动影响合同价款时，按如下办法调整合同价款：</w:t>
      </w:r>
    </w:p>
    <w:p w14:paraId="3329904B">
      <w:pPr>
        <w:adjustRightInd w:val="0"/>
        <w:snapToGrid w:val="0"/>
        <w:spacing w:line="360" w:lineRule="auto"/>
        <w:ind w:firstLine="420"/>
        <w:rPr>
          <w:color w:val="auto"/>
          <w:szCs w:val="21"/>
          <w:highlight w:val="none"/>
          <w:u w:val="single"/>
        </w:rPr>
      </w:pPr>
      <w:r>
        <w:rPr>
          <w:rFonts w:hint="eastAsia"/>
          <w:color w:val="auto"/>
          <w:szCs w:val="21"/>
          <w:highlight w:val="none"/>
          <w:u w:val="single"/>
        </w:rPr>
        <w:t>1)</w:t>
      </w:r>
      <w:r>
        <w:rPr>
          <w:color w:val="auto"/>
          <w:szCs w:val="21"/>
          <w:highlight w:val="none"/>
          <w:u w:val="single"/>
        </w:rPr>
        <w:t xml:space="preserve"> </w:t>
      </w:r>
      <w:r>
        <w:rPr>
          <w:rFonts w:hint="eastAsia"/>
          <w:color w:val="auto"/>
          <w:szCs w:val="21"/>
          <w:highlight w:val="none"/>
          <w:u w:val="single"/>
        </w:rPr>
        <w:t>人工调差：人工价格调整按当地建设行政主管部门发布的有关规定执行。自该文件执行之日起所完成工程量，其人工费按建设主管部门或其授权的部门发布的调整系数进行调整。人工调差后的其他费用只计取税金（不计取其他任何费用）。</w:t>
      </w:r>
    </w:p>
    <w:p w14:paraId="7B865B21">
      <w:pPr>
        <w:adjustRightInd w:val="0"/>
        <w:snapToGrid w:val="0"/>
        <w:spacing w:line="360" w:lineRule="auto"/>
        <w:ind w:firstLine="420" w:firstLineChars="200"/>
        <w:rPr>
          <w:color w:val="auto"/>
          <w:szCs w:val="21"/>
          <w:highlight w:val="none"/>
          <w:u w:val="single"/>
        </w:rPr>
      </w:pPr>
      <w:r>
        <w:rPr>
          <w:rFonts w:hint="eastAsia"/>
          <w:color w:val="auto"/>
          <w:szCs w:val="21"/>
          <w:highlight w:val="none"/>
          <w:u w:val="single"/>
        </w:rPr>
        <w:t>2</w:t>
      </w:r>
      <w:r>
        <w:rPr>
          <w:color w:val="auto"/>
          <w:szCs w:val="21"/>
          <w:highlight w:val="none"/>
          <w:u w:val="single"/>
        </w:rPr>
        <w:t xml:space="preserve">) </w:t>
      </w:r>
      <w:r>
        <w:rPr>
          <w:rFonts w:hint="eastAsia"/>
          <w:color w:val="auto"/>
          <w:szCs w:val="21"/>
          <w:highlight w:val="none"/>
          <w:u w:val="single"/>
        </w:rPr>
        <w:t>施工期间，机械费不调整。</w:t>
      </w:r>
    </w:p>
    <w:p w14:paraId="6690FFA0">
      <w:pPr>
        <w:adjustRightInd w:val="0"/>
        <w:snapToGrid w:val="0"/>
        <w:spacing w:line="360" w:lineRule="auto"/>
        <w:ind w:firstLine="420"/>
        <w:rPr>
          <w:color w:val="auto"/>
          <w:szCs w:val="21"/>
          <w:highlight w:val="none"/>
          <w:u w:val="single"/>
        </w:rPr>
      </w:pPr>
      <w:r>
        <w:rPr>
          <w:color w:val="auto"/>
          <w:szCs w:val="21"/>
          <w:highlight w:val="none"/>
          <w:u w:val="single"/>
        </w:rPr>
        <w:t>3</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材料调差：</w:t>
      </w:r>
    </w:p>
    <w:p w14:paraId="59F1001A">
      <w:pPr>
        <w:adjustRightInd w:val="0"/>
        <w:snapToGrid w:val="0"/>
        <w:spacing w:line="360" w:lineRule="auto"/>
        <w:ind w:firstLine="420"/>
        <w:rPr>
          <w:color w:val="auto"/>
          <w:szCs w:val="21"/>
          <w:highlight w:val="none"/>
          <w:u w:val="single"/>
        </w:rPr>
      </w:pPr>
      <w:bookmarkStart w:id="1748" w:name="_Hlk148458437"/>
      <w:r>
        <w:rPr>
          <w:rFonts w:hint="eastAsia"/>
          <w:color w:val="auto"/>
          <w:szCs w:val="21"/>
          <w:highlight w:val="none"/>
          <w:u w:val="single"/>
        </w:rPr>
        <w:t>A.允许调整价差的材料范围：钢筋、钢结构构件、商品混凝土、电缆（不含电线），不含厂家利用上述材料衍生的产品，其他材料不做调整。</w:t>
      </w:r>
      <w:bookmarkEnd w:id="1748"/>
    </w:p>
    <w:p w14:paraId="39285865">
      <w:pPr>
        <w:adjustRightInd w:val="0"/>
        <w:snapToGrid w:val="0"/>
        <w:spacing w:line="360" w:lineRule="auto"/>
        <w:ind w:firstLine="420"/>
        <w:rPr>
          <w:color w:val="auto"/>
          <w:szCs w:val="21"/>
          <w:highlight w:val="none"/>
          <w:u w:val="single"/>
        </w:rPr>
      </w:pPr>
      <w:r>
        <w:rPr>
          <w:rFonts w:hint="eastAsia"/>
          <w:color w:val="auto"/>
          <w:szCs w:val="21"/>
          <w:highlight w:val="none"/>
          <w:u w:val="single"/>
        </w:rPr>
        <w:t>B.在A项中列出的材料价格变动调整幅度：±5%，即材料价格变动在±5%以内时不做调整，材料价格变动超过±5%时，调整超出±5%（不含本数）以外的部分。</w:t>
      </w:r>
    </w:p>
    <w:p w14:paraId="3549855E">
      <w:pPr>
        <w:adjustRightInd w:val="0"/>
        <w:snapToGrid w:val="0"/>
        <w:spacing w:line="360" w:lineRule="auto"/>
        <w:ind w:firstLine="420"/>
        <w:rPr>
          <w:color w:val="auto"/>
          <w:szCs w:val="21"/>
          <w:highlight w:val="none"/>
          <w:u w:val="single"/>
        </w:rPr>
      </w:pPr>
      <w:r>
        <w:rPr>
          <w:rFonts w:hint="eastAsia"/>
          <w:color w:val="auto"/>
          <w:szCs w:val="21"/>
          <w:highlight w:val="none"/>
          <w:u w:val="single"/>
        </w:rPr>
        <w:t>C.市场价格变化幅度确定的原则及调整办法：</w:t>
      </w:r>
    </w:p>
    <w:p w14:paraId="28868C71">
      <w:pPr>
        <w:adjustRightInd w:val="0"/>
        <w:snapToGrid w:val="0"/>
        <w:spacing w:line="360" w:lineRule="auto"/>
        <w:ind w:firstLine="420"/>
        <w:rPr>
          <w:color w:val="auto"/>
          <w:szCs w:val="21"/>
          <w:highlight w:val="none"/>
          <w:u w:val="single"/>
        </w:rPr>
      </w:pPr>
      <w:r>
        <w:rPr>
          <w:rFonts w:hint="eastAsia"/>
          <w:color w:val="auto"/>
          <w:szCs w:val="21"/>
          <w:highlight w:val="none"/>
          <w:u w:val="single"/>
        </w:rPr>
        <w:t>a)以项目所在地建设工程造价管理机构发布的预算价格（以下简称预算价格）为依据，预算价格中有上、下限的，以下限为准；预算价格中没有的，按发包人及发包人的管理团队、承包人共同确认的市场价格为准。按施工期对应的造价价格与投标截止期当月对应的造价价格计算其变化幅度。</w:t>
      </w:r>
    </w:p>
    <w:p w14:paraId="2176B9D5">
      <w:pPr>
        <w:adjustRightInd w:val="0"/>
        <w:snapToGrid w:val="0"/>
        <w:spacing w:line="360" w:lineRule="auto"/>
        <w:ind w:firstLine="420"/>
        <w:rPr>
          <w:color w:val="auto"/>
          <w:szCs w:val="21"/>
          <w:highlight w:val="none"/>
          <w:u w:val="single"/>
        </w:rPr>
      </w:pPr>
      <w:r>
        <w:rPr>
          <w:rFonts w:hint="eastAsia"/>
          <w:color w:val="auto"/>
          <w:szCs w:val="21"/>
          <w:highlight w:val="none"/>
          <w:u w:val="single"/>
        </w:rPr>
        <w:t>b)主要材料市场价格的变化幅度小于或等于合同中约定的价格变化幅度时，不做调整；变化幅度大于合同中约定的价格变化幅度时，应当计算超过部分的价差，其价差由发包人承担或受益。</w:t>
      </w:r>
    </w:p>
    <w:p w14:paraId="0579412E">
      <w:pPr>
        <w:adjustRightInd w:val="0"/>
        <w:snapToGrid w:val="0"/>
        <w:spacing w:line="360" w:lineRule="auto"/>
        <w:ind w:firstLine="420"/>
        <w:rPr>
          <w:color w:val="auto"/>
          <w:szCs w:val="21"/>
          <w:highlight w:val="none"/>
          <w:u w:val="single"/>
        </w:rPr>
      </w:pPr>
      <w:r>
        <w:rPr>
          <w:rFonts w:hint="eastAsia"/>
          <w:color w:val="auto"/>
          <w:szCs w:val="21"/>
          <w:highlight w:val="none"/>
          <w:u w:val="single"/>
        </w:rPr>
        <w:t>c)材料调差后的其他费用只计取税金（不计取其他任何费用）。</w:t>
      </w:r>
    </w:p>
    <w:p w14:paraId="7BCC8EAE">
      <w:pPr>
        <w:adjustRightInd w:val="0"/>
        <w:snapToGrid w:val="0"/>
        <w:spacing w:line="360" w:lineRule="auto"/>
        <w:ind w:firstLine="420"/>
        <w:rPr>
          <w:color w:val="auto"/>
          <w:szCs w:val="21"/>
          <w:highlight w:val="none"/>
          <w:u w:val="single"/>
        </w:rPr>
      </w:pPr>
      <w:r>
        <w:rPr>
          <w:color w:val="auto"/>
          <w:szCs w:val="21"/>
          <w:highlight w:val="none"/>
          <w:u w:val="single"/>
        </w:rPr>
        <w:t>4</w:t>
      </w:r>
      <w:r>
        <w:rPr>
          <w:rFonts w:hint="eastAsia"/>
          <w:color w:val="auto"/>
          <w:szCs w:val="21"/>
          <w:highlight w:val="none"/>
          <w:u w:val="single"/>
        </w:rPr>
        <w:t>)施工期由发包人及发包人的管理团队和承包人根据实际进度情况共同确定，确定的内容包括施工期及各期材料及人工用量的计算比例，结算时按照施工期及各期材料及人工用量计算比例加权确定施工期材料及人工价格，作为材料及人工价格变动调整的依据。</w:t>
      </w:r>
    </w:p>
    <w:p w14:paraId="133EEEB0">
      <w:pPr>
        <w:adjustRightInd w:val="0"/>
        <w:snapToGrid w:val="0"/>
        <w:spacing w:line="360" w:lineRule="auto"/>
        <w:ind w:firstLine="420"/>
        <w:rPr>
          <w:color w:val="auto"/>
          <w:szCs w:val="21"/>
          <w:highlight w:val="none"/>
          <w:u w:val="single"/>
        </w:rPr>
      </w:pPr>
      <w:r>
        <w:rPr>
          <w:color w:val="auto"/>
          <w:szCs w:val="21"/>
          <w:highlight w:val="none"/>
          <w:u w:val="single"/>
        </w:rPr>
        <w:t>5</w:t>
      </w:r>
      <w:r>
        <w:rPr>
          <w:rFonts w:hint="eastAsia"/>
          <w:color w:val="auto"/>
          <w:szCs w:val="21"/>
          <w:highlight w:val="none"/>
          <w:u w:val="single"/>
        </w:rPr>
        <w:t>)因承包人原因造成工期延误的，延误期间发生的价差由承包人承担或受益；因发包人原因造成工期延误的，延误期间发生的价差由发包人承担或受益。</w:t>
      </w:r>
    </w:p>
    <w:p w14:paraId="2C6EA236">
      <w:pPr>
        <w:adjustRightInd w:val="0"/>
        <w:snapToGrid w:val="0"/>
        <w:spacing w:line="360" w:lineRule="auto"/>
        <w:ind w:firstLine="420"/>
        <w:rPr>
          <w:color w:val="auto"/>
          <w:szCs w:val="21"/>
          <w:highlight w:val="none"/>
          <w:u w:val="single"/>
        </w:rPr>
      </w:pPr>
      <w:r>
        <w:rPr>
          <w:color w:val="auto"/>
          <w:szCs w:val="21"/>
          <w:highlight w:val="none"/>
          <w:u w:val="single"/>
        </w:rPr>
        <w:t>6</w:t>
      </w:r>
      <w:r>
        <w:rPr>
          <w:rFonts w:hint="eastAsia"/>
          <w:color w:val="auto"/>
          <w:szCs w:val="21"/>
          <w:highlight w:val="none"/>
          <w:u w:val="single"/>
        </w:rPr>
        <w:t>)以上允许调价的部分仅对不含税价进行调差。</w:t>
      </w:r>
    </w:p>
    <w:p w14:paraId="789B290F">
      <w:pPr>
        <w:widowControl/>
        <w:spacing w:line="360" w:lineRule="auto"/>
        <w:ind w:firstLine="420" w:firstLineChars="200"/>
        <w:rPr>
          <w:rFonts w:ascii="宋体" w:hAnsi="宋体" w:cs="宋体"/>
          <w:color w:val="auto"/>
          <w:kern w:val="0"/>
          <w:highlight w:val="none"/>
        </w:rPr>
      </w:pPr>
      <w:r>
        <w:rPr>
          <w:rFonts w:hint="eastAsia"/>
          <w:color w:val="auto"/>
          <w:szCs w:val="21"/>
          <w:highlight w:val="none"/>
          <w:u w:val="single"/>
        </w:rPr>
        <w:t>7</w:t>
      </w:r>
      <w:r>
        <w:rPr>
          <w:color w:val="auto"/>
          <w:szCs w:val="21"/>
          <w:highlight w:val="none"/>
          <w:u w:val="single"/>
        </w:rPr>
        <w:t>)</w:t>
      </w:r>
      <w:r>
        <w:rPr>
          <w:rFonts w:hint="eastAsia"/>
          <w:color w:val="auto"/>
          <w:szCs w:val="21"/>
          <w:highlight w:val="none"/>
          <w:u w:val="single"/>
        </w:rPr>
        <w:t>材料价格和人工单价变动引起的价款调整在工程结算时一起调整，进度款支付时暂不调整价差。</w:t>
      </w:r>
    </w:p>
    <w:p w14:paraId="375AC668">
      <w:pPr>
        <w:widowControl/>
        <w:adjustRightInd w:val="0"/>
        <w:snapToGrid w:val="0"/>
        <w:spacing w:after="120" w:afterLines="50" w:line="360" w:lineRule="auto"/>
        <w:outlineLvl w:val="1"/>
        <w:rPr>
          <w:rFonts w:ascii="宋体" w:hAnsi="宋体" w:cs="Times"/>
          <w:color w:val="auto"/>
          <w:kern w:val="0"/>
          <w:highlight w:val="none"/>
        </w:rPr>
      </w:pPr>
      <w:bookmarkStart w:id="1749" w:name="_Toc20171887"/>
      <w:bookmarkEnd w:id="1749"/>
      <w:bookmarkStart w:id="1750" w:name="_Hlk524296901"/>
      <w:bookmarkEnd w:id="1750"/>
      <w:bookmarkStart w:id="1751" w:name="_Toc466913966"/>
      <w:bookmarkEnd w:id="1751"/>
      <w:bookmarkStart w:id="1752" w:name="_Hlk524297138"/>
      <w:bookmarkEnd w:id="1752"/>
      <w:bookmarkStart w:id="1753" w:name="_Toc467689644"/>
      <w:bookmarkEnd w:id="1753"/>
      <w:bookmarkStart w:id="1754" w:name="_Toc466911548"/>
      <w:bookmarkEnd w:id="1754"/>
      <w:bookmarkStart w:id="1755" w:name="_Toc179885409"/>
      <w:r>
        <w:rPr>
          <w:rFonts w:hint="eastAsia" w:ascii="宋体" w:hAnsi="宋体" w:cs="Times"/>
          <w:color w:val="auto"/>
          <w:kern w:val="0"/>
          <w:szCs w:val="21"/>
          <w:highlight w:val="none"/>
          <w:lang w:bidi="ar"/>
        </w:rPr>
        <w:t>第14条 合同价格与支付</w:t>
      </w:r>
      <w:bookmarkEnd w:id="1755"/>
    </w:p>
    <w:p w14:paraId="754636A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14.1 合同价格形式</w:t>
      </w:r>
    </w:p>
    <w:p w14:paraId="6E174521">
      <w:pPr>
        <w:adjustRightInd w:val="0"/>
        <w:snapToGrid w:val="0"/>
        <w:spacing w:line="360" w:lineRule="auto"/>
        <w:ind w:firstLine="420"/>
        <w:rPr>
          <w:color w:val="auto"/>
          <w:szCs w:val="21"/>
          <w:highlight w:val="none"/>
          <w:u w:val="single"/>
        </w:rPr>
      </w:pPr>
      <w:r>
        <w:rPr>
          <w:rFonts w:hint="eastAsia"/>
          <w:color w:val="auto"/>
          <w:szCs w:val="21"/>
          <w:highlight w:val="none"/>
        </w:rPr>
        <w:t>1</w:t>
      </w:r>
      <w:r>
        <w:rPr>
          <w:color w:val="auto"/>
          <w:szCs w:val="21"/>
          <w:highlight w:val="none"/>
        </w:rPr>
        <w:t xml:space="preserve">4.1.1 </w:t>
      </w:r>
      <w:r>
        <w:rPr>
          <w:rFonts w:hint="eastAsia"/>
          <w:color w:val="auto"/>
          <w:szCs w:val="21"/>
          <w:highlight w:val="none"/>
        </w:rPr>
        <w:t>关于合同价格形式的约定：</w:t>
      </w:r>
      <w:r>
        <w:rPr>
          <w:rFonts w:hint="eastAsia"/>
          <w:color w:val="auto"/>
          <w:szCs w:val="21"/>
          <w:highlight w:val="none"/>
          <w:u w:val="single"/>
        </w:rPr>
        <w:t>详见协议书【</w:t>
      </w:r>
      <w:r>
        <w:rPr>
          <w:color w:val="auto"/>
          <w:szCs w:val="21"/>
          <w:highlight w:val="none"/>
          <w:u w:val="single"/>
        </w:rPr>
        <w:t xml:space="preserve">2. </w:t>
      </w:r>
      <w:r>
        <w:rPr>
          <w:rFonts w:hint="eastAsia"/>
          <w:color w:val="auto"/>
          <w:szCs w:val="21"/>
          <w:highlight w:val="none"/>
          <w:u w:val="single"/>
        </w:rPr>
        <w:t>合同价格形式】。其中：</w:t>
      </w:r>
    </w:p>
    <w:p w14:paraId="194FF9AE">
      <w:pPr>
        <w:adjustRightInd w:val="0"/>
        <w:snapToGrid w:val="0"/>
        <w:spacing w:line="360" w:lineRule="auto"/>
        <w:ind w:firstLine="420"/>
        <w:rPr>
          <w:color w:val="auto"/>
          <w:szCs w:val="21"/>
          <w:highlight w:val="none"/>
          <w:u w:val="single"/>
        </w:rPr>
      </w:pPr>
      <w:r>
        <w:rPr>
          <w:rFonts w:hint="eastAsia"/>
          <w:color w:val="auto"/>
          <w:szCs w:val="21"/>
          <w:highlight w:val="none"/>
          <w:u w:val="single"/>
        </w:rPr>
        <w:t>（1）设计费按照中标价中的设计费执行，结算不做调整；</w:t>
      </w:r>
    </w:p>
    <w:p w14:paraId="5680BD3B">
      <w:pPr>
        <w:adjustRightInd w:val="0"/>
        <w:snapToGrid w:val="0"/>
        <w:spacing w:line="360" w:lineRule="auto"/>
        <w:ind w:firstLine="420"/>
        <w:rPr>
          <w:color w:val="auto"/>
          <w:szCs w:val="21"/>
          <w:highlight w:val="none"/>
          <w:u w:val="single"/>
        </w:rPr>
      </w:pPr>
      <w:r>
        <w:rPr>
          <w:rFonts w:hint="eastAsia"/>
          <w:color w:val="auto"/>
          <w:szCs w:val="21"/>
          <w:highlight w:val="none"/>
          <w:u w:val="single"/>
        </w:rPr>
        <w:t>（2）建筑安装工程费中的分部分项工程工程费按照综合单价执行，工程量据实结算，注：综合单价按照下列原则执行：</w:t>
      </w:r>
    </w:p>
    <w:p w14:paraId="519D59C6">
      <w:pPr>
        <w:adjustRightInd w:val="0"/>
        <w:snapToGrid w:val="0"/>
        <w:spacing w:line="360" w:lineRule="auto"/>
        <w:ind w:firstLine="420"/>
        <w:rPr>
          <w:color w:val="auto"/>
          <w:szCs w:val="21"/>
          <w:highlight w:val="none"/>
          <w:u w:val="single"/>
        </w:rPr>
      </w:pPr>
      <w:r>
        <w:rPr>
          <w:rFonts w:hint="eastAsia"/>
          <w:color w:val="auto"/>
          <w:szCs w:val="21"/>
          <w:highlight w:val="none"/>
          <w:u w:val="single"/>
        </w:rPr>
        <w:t>①投标工程量清单有相同项目的，按照相同项目综合单价执行；</w:t>
      </w:r>
    </w:p>
    <w:p w14:paraId="0272ECC4">
      <w:pPr>
        <w:adjustRightInd w:val="0"/>
        <w:snapToGrid w:val="0"/>
        <w:spacing w:line="360" w:lineRule="auto"/>
        <w:ind w:firstLine="420"/>
        <w:rPr>
          <w:color w:val="auto"/>
          <w:szCs w:val="21"/>
          <w:highlight w:val="none"/>
          <w:u w:val="single"/>
        </w:rPr>
      </w:pPr>
      <w:r>
        <w:rPr>
          <w:rFonts w:hint="eastAsia"/>
          <w:color w:val="auto"/>
          <w:szCs w:val="21"/>
          <w:highlight w:val="none"/>
          <w:u w:val="single"/>
        </w:rPr>
        <w:t>②投标工程量清单中无相同项目，但有类似项目的，参照类似项目的综合单价采用内插法确定；</w:t>
      </w:r>
    </w:p>
    <w:p w14:paraId="6E31E312">
      <w:pPr>
        <w:adjustRightInd w:val="0"/>
        <w:snapToGrid w:val="0"/>
        <w:spacing w:line="324" w:lineRule="auto"/>
        <w:ind w:firstLine="420" w:firstLineChars="200"/>
        <w:rPr>
          <w:color w:val="auto"/>
          <w:szCs w:val="21"/>
          <w:highlight w:val="none"/>
          <w:u w:val="single"/>
        </w:rPr>
      </w:pPr>
      <w:r>
        <w:rPr>
          <w:rFonts w:hint="eastAsia"/>
          <w:color w:val="auto"/>
          <w:szCs w:val="21"/>
          <w:highlight w:val="none"/>
          <w:u w:val="single"/>
        </w:rPr>
        <w:t>③投标工程量清单既无相同也无类似项目的，按照模拟清单计价依据和原则（包括定额及取费标准、人工费、材料价格、投标截止当月信息价等），同时执行建安工程费报价优惠率。</w:t>
      </w:r>
    </w:p>
    <w:p w14:paraId="41995FF5">
      <w:pPr>
        <w:adjustRightInd w:val="0"/>
        <w:snapToGrid w:val="0"/>
        <w:spacing w:line="324" w:lineRule="auto"/>
        <w:ind w:firstLine="360" w:firstLineChars="200"/>
        <w:rPr>
          <w:color w:val="auto"/>
          <w:szCs w:val="21"/>
          <w:highlight w:val="none"/>
          <w:u w:val="single"/>
        </w:rPr>
      </w:pPr>
      <w:r>
        <w:rPr>
          <w:rFonts w:hint="eastAsia"/>
          <w:color w:val="auto"/>
          <w:sz w:val="18"/>
          <w:szCs w:val="18"/>
          <w:highlight w:val="none"/>
          <w:u w:val="single"/>
        </w:rPr>
        <w:t>④</w:t>
      </w:r>
      <w:r>
        <w:rPr>
          <w:rFonts w:hint="eastAsia"/>
          <w:color w:val="auto"/>
          <w:szCs w:val="21"/>
          <w:highlight w:val="none"/>
        </w:rPr>
        <w:t>投标报价中已有单价经</w:t>
      </w:r>
      <w:r>
        <w:rPr>
          <w:rFonts w:hint="eastAsia"/>
          <w:color w:val="auto"/>
          <w:szCs w:val="21"/>
          <w:highlight w:val="none"/>
        </w:rPr>
        <w:t>发包人认为严重偏离市场价格的报价，</w:t>
      </w:r>
      <w:r>
        <w:rPr>
          <w:rFonts w:hint="eastAsia"/>
          <w:color w:val="auto"/>
          <w:szCs w:val="21"/>
          <w:highlight w:val="none"/>
          <w:lang w:val="en-US" w:eastAsia="zh-CN"/>
        </w:rPr>
        <w:t>发包人有权指派投资监理出具专业意见确定现时市场价格后，本市场价格经发包人确认后即生效。投标报价高于经投资监理确认的市场价格幅度达15%以上且该综合单价偏差导致该分部分项总额增加达50万元以上的，发包人有权调整承包人该综合单价，</w:t>
      </w:r>
      <w:r>
        <w:rPr>
          <w:rFonts w:hint="eastAsia"/>
          <w:color w:val="auto"/>
          <w:szCs w:val="21"/>
          <w:highlight w:val="none"/>
        </w:rPr>
        <w:t>其相应的综合单价由承包人按</w:t>
      </w:r>
      <w:r>
        <w:rPr>
          <w:rFonts w:hint="eastAsia" w:ascii="宋体" w:hAnsi="宋体" w:cs="宋体"/>
          <w:color w:val="auto"/>
          <w:kern w:val="0"/>
          <w:szCs w:val="21"/>
          <w:highlight w:val="none"/>
          <w:u w:val="single"/>
          <w:lang w:bidi="ar"/>
        </w:rPr>
        <w:t>以《建设工程工程量清单计价规范》（</w:t>
      </w:r>
      <w:r>
        <w:rPr>
          <w:rFonts w:ascii="宋体" w:hAnsi="宋体" w:cs="宋体"/>
          <w:color w:val="auto"/>
          <w:kern w:val="0"/>
          <w:szCs w:val="21"/>
          <w:highlight w:val="none"/>
          <w:u w:val="single"/>
          <w:lang w:bidi="ar"/>
        </w:rPr>
        <w:t>GB50500-2013）</w:t>
      </w:r>
      <w:r>
        <w:rPr>
          <w:rFonts w:hint="eastAsia"/>
          <w:color w:val="auto"/>
          <w:szCs w:val="21"/>
          <w:highlight w:val="none"/>
        </w:rPr>
        <w:t>和</w:t>
      </w:r>
      <w:r>
        <w:rPr>
          <w:rFonts w:hint="eastAsia"/>
          <w:color w:val="auto"/>
          <w:szCs w:val="21"/>
          <w:highlight w:val="none"/>
          <w:lang w:eastAsia="zh-CN"/>
        </w:rPr>
        <w:t>广州</w:t>
      </w:r>
      <w:r>
        <w:rPr>
          <w:rFonts w:hint="eastAsia"/>
          <w:color w:val="auto"/>
          <w:szCs w:val="21"/>
          <w:highlight w:val="none"/>
        </w:rPr>
        <w:t>市建设工程定额及有关规定计算，其中工、料、机的取费按原投标文件报价中的相应工、料、机取定，若缺项则当地信息指导价的低值为准，若信息价未涵盖的可参照市场价进行报价（包括但不限于报品牌、规格、型号等技术参数，并应提供三个以上品牌供发包人选择）并由发包人进行审批，费率取投标文件中的相应低值。</w:t>
      </w:r>
    </w:p>
    <w:p w14:paraId="10712AF6">
      <w:pPr>
        <w:adjustRightInd w:val="0"/>
        <w:snapToGrid w:val="0"/>
        <w:spacing w:line="360" w:lineRule="auto"/>
        <w:ind w:firstLine="420"/>
        <w:rPr>
          <w:color w:val="auto"/>
          <w:szCs w:val="21"/>
          <w:highlight w:val="none"/>
          <w:u w:val="single"/>
        </w:rPr>
      </w:pPr>
      <w:r>
        <w:rPr>
          <w:rFonts w:hint="eastAsia"/>
          <w:color w:val="auto"/>
          <w:szCs w:val="21"/>
          <w:highlight w:val="none"/>
          <w:u w:val="single"/>
        </w:rPr>
        <w:t>建安工程费报价优惠率={1-中标价中的建筑安装工程费（不含暂列金额、暂估价）/</w:t>
      </w:r>
      <w:r>
        <w:rPr>
          <w:rFonts w:hint="eastAsia"/>
          <w:color w:val="auto"/>
          <w:highlight w:val="none"/>
        </w:rPr>
        <w:t xml:space="preserve"> </w:t>
      </w:r>
      <w:r>
        <w:rPr>
          <w:rFonts w:hint="eastAsia"/>
          <w:color w:val="auto"/>
          <w:szCs w:val="21"/>
          <w:highlight w:val="none"/>
          <w:u w:val="single"/>
        </w:rPr>
        <w:t>最高投标限价中的建筑安装工程费（不含暂列金额、暂估价）}*100%，建安工程费报价优惠率以该公式计算出的精准数值为准。</w:t>
      </w:r>
    </w:p>
    <w:p w14:paraId="3058F278">
      <w:pPr>
        <w:adjustRightInd w:val="0"/>
        <w:snapToGrid w:val="0"/>
        <w:spacing w:line="360" w:lineRule="auto"/>
        <w:ind w:firstLine="420"/>
        <w:rPr>
          <w:rFonts w:hint="eastAsia"/>
          <w:color w:val="auto"/>
          <w:szCs w:val="21"/>
          <w:highlight w:val="none"/>
          <w:u w:val="single"/>
        </w:rPr>
      </w:pPr>
      <w:r>
        <w:rPr>
          <w:rFonts w:hint="eastAsia"/>
          <w:color w:val="auto"/>
          <w:szCs w:val="21"/>
          <w:highlight w:val="none"/>
          <w:u w:val="single"/>
        </w:rPr>
        <w:t>（3）</w:t>
      </w:r>
      <w:r>
        <w:rPr>
          <w:rFonts w:hint="eastAsia"/>
          <w:color w:val="auto"/>
          <w:szCs w:val="21"/>
          <w:highlight w:val="none"/>
          <w:u w:val="single"/>
        </w:rPr>
        <w:t>合同范围内建筑安装工程费中的措施项目费结算原则如下：</w:t>
      </w:r>
    </w:p>
    <w:p w14:paraId="33696629">
      <w:pPr>
        <w:adjustRightInd w:val="0"/>
        <w:snapToGrid w:val="0"/>
        <w:spacing w:line="360" w:lineRule="auto"/>
        <w:ind w:firstLine="420"/>
        <w:rPr>
          <w:rFonts w:hint="eastAsia"/>
          <w:color w:val="auto"/>
          <w:szCs w:val="21"/>
          <w:highlight w:val="none"/>
          <w:u w:val="single"/>
        </w:rPr>
      </w:pPr>
      <w:r>
        <w:rPr>
          <w:rFonts w:hint="eastAsia"/>
          <w:color w:val="auto"/>
          <w:szCs w:val="21"/>
          <w:highlight w:val="none"/>
          <w:u w:val="single"/>
        </w:rPr>
        <w:t>①单价措施费按照中标单价执行（如发包人认为已有单价严重偏离市场价格的，参照分部分项综合单价相应条款执行），工程量按经确认的实际发生量（经发包人的管理团队确认的实际发生量或根据经确认的实际执行方案计算结果等）按实结算；</w:t>
      </w:r>
    </w:p>
    <w:p w14:paraId="5C45B4AA">
      <w:pPr>
        <w:adjustRightInd w:val="0"/>
        <w:snapToGrid w:val="0"/>
        <w:spacing w:line="360" w:lineRule="auto"/>
        <w:ind w:firstLine="420"/>
        <w:rPr>
          <w:rFonts w:hint="eastAsia"/>
          <w:color w:val="auto"/>
          <w:szCs w:val="21"/>
          <w:highlight w:val="none"/>
          <w:u w:val="single"/>
        </w:rPr>
      </w:pPr>
      <w:r>
        <w:rPr>
          <w:rFonts w:hint="eastAsia"/>
          <w:color w:val="auto"/>
          <w:szCs w:val="21"/>
          <w:highlight w:val="none"/>
          <w:u w:val="single"/>
        </w:rPr>
        <w:t>②总价措施费（如绿色施工安全防护措施费等）根据《广东省房屋建筑与装饰工程综合定额2018版》或其他相关法律法规中所规定的包含工作内容，包干计取。但承包人仍需根据施工项目实际发生情况，向发包人上报实际发生费用明细及其佐证材料（包括但不限于现场布置图、防火防尘防噪方案、劳保物资购买凭证及使用情况凭证等）。</w:t>
      </w:r>
    </w:p>
    <w:p w14:paraId="315A31CC">
      <w:pPr>
        <w:adjustRightInd w:val="0"/>
        <w:snapToGrid w:val="0"/>
        <w:spacing w:line="360" w:lineRule="auto"/>
        <w:ind w:firstLine="420"/>
        <w:rPr>
          <w:color w:val="auto"/>
          <w:szCs w:val="21"/>
          <w:highlight w:val="none"/>
          <w:u w:val="single"/>
        </w:rPr>
      </w:pPr>
      <w:r>
        <w:rPr>
          <w:rFonts w:hint="eastAsia"/>
          <w:color w:val="auto"/>
          <w:szCs w:val="21"/>
          <w:highlight w:val="none"/>
          <w:u w:val="single"/>
        </w:rPr>
        <w:t>（4）建筑安装工程费中的暂估价按照专业工程中标金额执行；</w:t>
      </w:r>
    </w:p>
    <w:p w14:paraId="37D02EBA">
      <w:pPr>
        <w:adjustRightInd w:val="0"/>
        <w:snapToGrid w:val="0"/>
        <w:spacing w:line="360" w:lineRule="auto"/>
        <w:ind w:firstLine="420"/>
        <w:rPr>
          <w:color w:val="auto"/>
          <w:szCs w:val="21"/>
          <w:highlight w:val="none"/>
          <w:u w:val="single"/>
        </w:rPr>
      </w:pPr>
      <w:r>
        <w:rPr>
          <w:rFonts w:hint="eastAsia"/>
          <w:color w:val="auto"/>
          <w:szCs w:val="21"/>
          <w:highlight w:val="none"/>
          <w:u w:val="single"/>
        </w:rPr>
        <w:t>（5）税率按照国家税率政策变化而做相应调整。</w:t>
      </w:r>
    </w:p>
    <w:p w14:paraId="5CC2880F">
      <w:pPr>
        <w:widowControl/>
        <w:adjustRightInd w:val="0"/>
        <w:snapToGrid w:val="0"/>
        <w:spacing w:line="360" w:lineRule="auto"/>
        <w:ind w:firstLine="420"/>
        <w:rPr>
          <w:rFonts w:hint="eastAsia" w:ascii="宋体" w:hAnsi="宋体" w:cs="宋体"/>
          <w:color w:val="auto"/>
          <w:szCs w:val="21"/>
          <w:highlight w:val="none"/>
          <w:u w:val="single"/>
        </w:rPr>
      </w:pPr>
      <w:r>
        <w:rPr>
          <w:rFonts w:hint="eastAsia"/>
          <w:color w:val="auto"/>
          <w:szCs w:val="21"/>
          <w:highlight w:val="none"/>
          <w:u w:val="single"/>
        </w:rPr>
        <w:t>（6）</w:t>
      </w:r>
      <w:r>
        <w:rPr>
          <w:rFonts w:hint="eastAsia"/>
          <w:color w:val="auto"/>
          <w:szCs w:val="21"/>
          <w:highlight w:val="none"/>
          <w:u w:val="single"/>
        </w:rPr>
        <w:t>本工程采用限额设计，承包人应对发包人提供的清单进行复核，不得以工程量清单编制漏项或措误为理由，提出发包范围内的最终结算价超过中标价。在除发生合同协议书2.3约定的情况外，结算总价不超过中标价， 未包含在投标报价中的单价调整原则同合同专用条款13.3.3.1项第5）条执行。</w:t>
      </w:r>
    </w:p>
    <w:p w14:paraId="5891113E">
      <w:pPr>
        <w:adjustRightInd w:val="0"/>
        <w:snapToGrid w:val="0"/>
        <w:spacing w:line="360" w:lineRule="auto"/>
        <w:ind w:firstLine="420"/>
        <w:rPr>
          <w:rFonts w:ascii="宋体" w:hAnsi="宋体" w:cs="宋体"/>
          <w:color w:val="auto"/>
          <w:kern w:val="0"/>
          <w:szCs w:val="21"/>
          <w:highlight w:val="none"/>
          <w:lang w:bidi="ar"/>
        </w:rPr>
      </w:pPr>
      <w:r>
        <w:rPr>
          <w:rFonts w:ascii="宋体" w:hAnsi="宋体" w:cs="宋体"/>
          <w:color w:val="auto"/>
          <w:kern w:val="0"/>
          <w:szCs w:val="21"/>
          <w:highlight w:val="none"/>
          <w:lang w:bidi="ar"/>
        </w:rPr>
        <w:t xml:space="preserve">14.1.2 </w:t>
      </w:r>
      <w:r>
        <w:rPr>
          <w:rFonts w:hint="eastAsia"/>
          <w:color w:val="auto"/>
          <w:szCs w:val="21"/>
          <w:highlight w:val="none"/>
        </w:rPr>
        <w:t>关于合同价格调整的约定</w:t>
      </w:r>
      <w:r>
        <w:rPr>
          <w:rFonts w:hint="eastAsia" w:ascii="宋体" w:hAnsi="宋体" w:cs="宋体"/>
          <w:color w:val="auto"/>
          <w:kern w:val="0"/>
          <w:szCs w:val="21"/>
          <w:highlight w:val="none"/>
          <w:lang w:bidi="ar"/>
        </w:rPr>
        <w:t>：</w:t>
      </w:r>
    </w:p>
    <w:p w14:paraId="38CC4835">
      <w:pPr>
        <w:adjustRightInd w:val="0"/>
        <w:snapToGrid w:val="0"/>
        <w:spacing w:line="360" w:lineRule="auto"/>
        <w:ind w:firstLine="420"/>
        <w:rPr>
          <w:color w:val="auto"/>
          <w:szCs w:val="21"/>
          <w:highlight w:val="none"/>
          <w:u w:val="single"/>
        </w:rPr>
      </w:pPr>
      <w:r>
        <w:rPr>
          <w:rFonts w:hint="eastAsia"/>
          <w:color w:val="auto"/>
          <w:szCs w:val="21"/>
          <w:highlight w:val="none"/>
          <w:u w:val="single"/>
        </w:rPr>
        <w:t>（一）主要工程材料、人工价格与投标截止期基期价相比，波动幅度超过合同约定幅度的部分；具体详见专用合同条件第13.8.3条；</w:t>
      </w:r>
    </w:p>
    <w:p w14:paraId="27C0B246">
      <w:pPr>
        <w:adjustRightInd w:val="0"/>
        <w:snapToGrid w:val="0"/>
        <w:spacing w:line="360" w:lineRule="auto"/>
        <w:ind w:firstLine="420"/>
        <w:rPr>
          <w:color w:val="auto"/>
          <w:szCs w:val="21"/>
          <w:highlight w:val="none"/>
          <w:u w:val="single"/>
        </w:rPr>
      </w:pPr>
      <w:r>
        <w:rPr>
          <w:rFonts w:hint="eastAsia"/>
          <w:color w:val="auto"/>
          <w:szCs w:val="21"/>
          <w:highlight w:val="none"/>
          <w:u w:val="single"/>
        </w:rPr>
        <w:t>（二）因国家法律法规政策变化引起的合同价格的变化；</w:t>
      </w:r>
    </w:p>
    <w:p w14:paraId="08D8036E">
      <w:pPr>
        <w:adjustRightInd w:val="0"/>
        <w:snapToGrid w:val="0"/>
        <w:spacing w:line="360" w:lineRule="auto"/>
        <w:ind w:firstLine="420"/>
        <w:rPr>
          <w:color w:val="auto"/>
          <w:szCs w:val="21"/>
          <w:highlight w:val="none"/>
          <w:u w:val="single"/>
        </w:rPr>
      </w:pPr>
      <w:r>
        <w:rPr>
          <w:rFonts w:hint="eastAsia"/>
          <w:color w:val="auto"/>
          <w:szCs w:val="21"/>
          <w:highlight w:val="none"/>
          <w:u w:val="single"/>
        </w:rPr>
        <w:t>（三）不可预见的地质条件造成的工程费用和工期的变化；</w:t>
      </w:r>
    </w:p>
    <w:p w14:paraId="1C321966">
      <w:pPr>
        <w:adjustRightInd w:val="0"/>
        <w:snapToGrid w:val="0"/>
        <w:spacing w:line="360" w:lineRule="auto"/>
        <w:ind w:firstLine="420"/>
        <w:rPr>
          <w:color w:val="auto"/>
          <w:szCs w:val="21"/>
          <w:highlight w:val="none"/>
          <w:u w:val="single"/>
        </w:rPr>
      </w:pPr>
      <w:r>
        <w:rPr>
          <w:rFonts w:hint="eastAsia"/>
          <w:color w:val="auto"/>
          <w:szCs w:val="21"/>
          <w:highlight w:val="none"/>
          <w:u w:val="single"/>
        </w:rPr>
        <w:t>（四）因建设单位需求改变产生的工程费用和工期的变化；</w:t>
      </w:r>
    </w:p>
    <w:p w14:paraId="0607844E">
      <w:pPr>
        <w:adjustRightInd w:val="0"/>
        <w:snapToGrid w:val="0"/>
        <w:spacing w:line="360" w:lineRule="auto"/>
        <w:ind w:firstLine="420"/>
        <w:rPr>
          <w:color w:val="auto"/>
          <w:szCs w:val="21"/>
          <w:highlight w:val="none"/>
        </w:rPr>
      </w:pPr>
      <w:r>
        <w:rPr>
          <w:rFonts w:hint="eastAsia"/>
          <w:color w:val="auto"/>
          <w:szCs w:val="21"/>
          <w:highlight w:val="none"/>
          <w:u w:val="single"/>
        </w:rPr>
        <w:t>（五）不可抗力造成的工程费用和工期的变化。</w:t>
      </w:r>
    </w:p>
    <w:p w14:paraId="1EE86862">
      <w:pPr>
        <w:widowControl/>
        <w:adjustRightInd w:val="0"/>
        <w:snapToGrid w:val="0"/>
        <w:spacing w:after="120" w:afterLines="50" w:line="360" w:lineRule="auto"/>
        <w:ind w:firstLine="420" w:firstLineChars="200"/>
        <w:rPr>
          <w:rFonts w:ascii="宋体" w:hAnsi="宋体" w:cs="宋体"/>
          <w:color w:val="auto"/>
          <w:kern w:val="0"/>
          <w:highlight w:val="none"/>
        </w:rPr>
      </w:pPr>
      <w:bookmarkStart w:id="1756" w:name="OLE_LINK19"/>
      <w:r>
        <w:rPr>
          <w:rFonts w:hint="eastAsia"/>
          <w:color w:val="auto"/>
          <w:szCs w:val="21"/>
          <w:highlight w:val="none"/>
          <w:u w:val="single"/>
        </w:rPr>
        <w:t>（六）合同税费</w:t>
      </w:r>
      <w:bookmarkEnd w:id="1756"/>
      <w:r>
        <w:rPr>
          <w:rFonts w:hint="eastAsia" w:ascii="宋体" w:hAnsi="宋体" w:cs="宋体"/>
          <w:color w:val="auto"/>
          <w:kern w:val="0"/>
          <w:szCs w:val="21"/>
          <w:highlight w:val="none"/>
          <w:u w:val="single"/>
          <w:lang w:bidi="ar"/>
        </w:rPr>
        <w:t>包含增值税、城市维护建设税、教育费附加、地方教育附加以及环境保护税。其中增值税、附加税</w:t>
      </w:r>
      <w:r>
        <w:rPr>
          <w:rFonts w:hint="eastAsia" w:ascii="宋体" w:hAnsi="宋体" w:cs="宋体"/>
          <w:color w:val="auto"/>
          <w:kern w:val="0"/>
          <w:szCs w:val="21"/>
          <w:highlight w:val="none"/>
          <w:u w:val="single"/>
          <w:lang w:val="en-US" w:eastAsia="zh-CN" w:bidi="ar"/>
        </w:rPr>
        <w:t>广州市相关</w:t>
      </w:r>
      <w:r>
        <w:rPr>
          <w:rFonts w:ascii="宋体" w:hAnsi="宋体" w:cs="宋体"/>
          <w:color w:val="auto"/>
          <w:kern w:val="0"/>
          <w:szCs w:val="21"/>
          <w:highlight w:val="none"/>
          <w:u w:val="single"/>
          <w:lang w:bidi="ar"/>
        </w:rPr>
        <w:t>规定及配套文件执行</w:t>
      </w:r>
      <w:r>
        <w:rPr>
          <w:rFonts w:hint="eastAsia" w:ascii="宋体" w:hAnsi="宋体" w:cs="宋体"/>
          <w:color w:val="auto"/>
          <w:kern w:val="0"/>
          <w:szCs w:val="21"/>
          <w:highlight w:val="none"/>
          <w:lang w:bidi="ar"/>
        </w:rPr>
        <w:t>。</w:t>
      </w:r>
    </w:p>
    <w:p w14:paraId="0DF555E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14.1.3 按实际完成的工程量支付工程价款的计量方法：/。</w:t>
      </w:r>
    </w:p>
    <w:p w14:paraId="3C51701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14.2 预付款</w:t>
      </w:r>
    </w:p>
    <w:p w14:paraId="45E42B6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14.2.1预付款支付</w:t>
      </w:r>
    </w:p>
    <w:p w14:paraId="41768911">
      <w:pPr>
        <w:widowControl/>
        <w:adjustRightInd w:val="0"/>
        <w:snapToGrid w:val="0"/>
        <w:spacing w:line="360" w:lineRule="auto"/>
        <w:ind w:firstLine="420"/>
        <w:rPr>
          <w:rFonts w:ascii="宋体" w:hAnsi="宋体" w:cs="宋体"/>
          <w:color w:val="auto"/>
          <w:kern w:val="0"/>
          <w:highlight w:val="none"/>
        </w:rPr>
      </w:pPr>
      <w:r>
        <w:rPr>
          <w:rFonts w:hint="eastAsia" w:ascii="宋体" w:hAnsi="宋体" w:cs="宋体"/>
          <w:color w:val="auto"/>
          <w:kern w:val="0"/>
          <w:szCs w:val="21"/>
          <w:highlight w:val="none"/>
          <w:lang w:bidi="ar"/>
        </w:rPr>
        <w:t>预付款的金额或比例为：</w:t>
      </w:r>
      <w:r>
        <w:rPr>
          <w:rFonts w:hint="eastAsia"/>
          <w:color w:val="auto"/>
          <w:szCs w:val="21"/>
          <w:highlight w:val="none"/>
          <w:u w:val="single"/>
        </w:rPr>
        <w:t xml:space="preserve"> </w:t>
      </w:r>
      <w:bookmarkStart w:id="1757" w:name="OLE_LINK33"/>
      <w:r>
        <w:rPr>
          <w:rFonts w:hint="eastAsia"/>
          <w:color w:val="auto"/>
          <w:szCs w:val="21"/>
          <w:highlight w:val="none"/>
          <w:u w:val="single"/>
        </w:rPr>
        <w:t>合同签订且收到发包人认可的无条件见索即付银行履约保函后21个工作日内</w:t>
      </w:r>
      <w:r>
        <w:rPr>
          <w:rFonts w:hint="eastAsia"/>
          <w:color w:val="auto"/>
          <w:szCs w:val="21"/>
          <w:highlight w:val="none"/>
          <w:u w:val="single"/>
        </w:rPr>
        <w:t>，支付</w:t>
      </w:r>
      <w:r>
        <w:rPr>
          <w:rFonts w:hint="eastAsia"/>
          <w:color w:val="auto"/>
          <w:szCs w:val="21"/>
          <w:highlight w:val="none"/>
          <w:u w:val="single"/>
        </w:rPr>
        <w:t>设计费、建筑安装工程费（扣除暂估工程、暂列金额</w:t>
      </w:r>
      <w:r>
        <w:rPr>
          <w:rFonts w:hint="eastAsia"/>
          <w:color w:val="auto"/>
          <w:szCs w:val="21"/>
          <w:highlight w:val="none"/>
          <w:u w:val="single"/>
          <w:lang w:eastAsia="zh-CN"/>
        </w:rPr>
        <w:t>、</w:t>
      </w:r>
      <w:r>
        <w:rPr>
          <w:rFonts w:hint="eastAsia"/>
          <w:color w:val="auto"/>
          <w:szCs w:val="21"/>
          <w:highlight w:val="none"/>
          <w:u w:val="single"/>
          <w:lang w:val="en-US" w:eastAsia="zh-CN"/>
        </w:rPr>
        <w:t>总承包服务费</w:t>
      </w:r>
      <w:r>
        <w:rPr>
          <w:rFonts w:hint="eastAsia"/>
          <w:color w:val="auto"/>
          <w:szCs w:val="21"/>
          <w:highlight w:val="none"/>
          <w:u w:val="single"/>
        </w:rPr>
        <w:t>）</w:t>
      </w:r>
      <w:r>
        <w:rPr>
          <w:rFonts w:hint="eastAsia"/>
          <w:color w:val="auto"/>
          <w:szCs w:val="21"/>
          <w:highlight w:val="none"/>
          <w:u w:val="single"/>
        </w:rPr>
        <w:t>的10%，作为预付款（包括全额安全文明施工措施费及国家规定的相关费用），</w:t>
      </w:r>
      <w:bookmarkStart w:id="1758" w:name="OLE_LINK20"/>
      <w:r>
        <w:rPr>
          <w:rFonts w:hint="eastAsia"/>
          <w:color w:val="auto"/>
          <w:szCs w:val="21"/>
          <w:highlight w:val="none"/>
          <w:u w:val="single"/>
        </w:rPr>
        <w:t>到期后履约保函无息返还</w:t>
      </w:r>
      <w:bookmarkEnd w:id="1758"/>
      <w:r>
        <w:rPr>
          <w:rFonts w:hint="eastAsia"/>
          <w:color w:val="auto"/>
          <w:szCs w:val="21"/>
          <w:highlight w:val="none"/>
          <w:u w:val="single"/>
        </w:rPr>
        <w:t>。</w:t>
      </w:r>
      <w:bookmarkEnd w:id="1757"/>
    </w:p>
    <w:p w14:paraId="77F01720">
      <w:pPr>
        <w:widowControl/>
        <w:adjustRightInd w:val="0"/>
        <w:snapToGrid w:val="0"/>
        <w:spacing w:after="120" w:afterLines="50" w:line="360" w:lineRule="auto"/>
        <w:ind w:firstLine="420" w:firstLineChars="200"/>
        <w:rPr>
          <w:rFonts w:hint="eastAsia"/>
          <w:color w:val="auto"/>
          <w:szCs w:val="21"/>
          <w:highlight w:val="none"/>
          <w:u w:val="single"/>
        </w:rPr>
      </w:pPr>
      <w:r>
        <w:rPr>
          <w:rFonts w:hint="eastAsia" w:ascii="宋体" w:hAnsi="宋体" w:cs="宋体"/>
          <w:color w:val="auto"/>
          <w:kern w:val="0"/>
          <w:szCs w:val="21"/>
          <w:highlight w:val="none"/>
          <w:lang w:bidi="ar"/>
        </w:rPr>
        <w:t>预付款支付期限：</w:t>
      </w:r>
      <w:r>
        <w:rPr>
          <w:rFonts w:hint="eastAsia"/>
          <w:color w:val="auto"/>
          <w:szCs w:val="21"/>
          <w:highlight w:val="none"/>
          <w:u w:val="single"/>
        </w:rPr>
        <w:t>符合合同约定条件经发包人确认后，发包人逾期支付预付款超过30天的，承包人有权向发包人发出要求预付的催告通知，发包人收到通知后</w:t>
      </w:r>
      <w:r>
        <w:rPr>
          <w:rFonts w:hint="eastAsia"/>
          <w:color w:val="auto"/>
          <w:szCs w:val="21"/>
          <w:highlight w:val="none"/>
          <w:u w:val="single"/>
          <w:lang w:val="en-US" w:eastAsia="zh-CN"/>
        </w:rPr>
        <w:t>28</w:t>
      </w:r>
      <w:r>
        <w:rPr>
          <w:rFonts w:hint="eastAsia"/>
          <w:color w:val="auto"/>
          <w:szCs w:val="21"/>
          <w:highlight w:val="none"/>
          <w:u w:val="single"/>
        </w:rPr>
        <w:t>天内仍未支付的，承包人有权暂停施工，并按合同约定的发包人违约的情形执行。</w:t>
      </w:r>
    </w:p>
    <w:p w14:paraId="6B4C0D5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预付款扣回的方式：</w:t>
      </w:r>
      <w:r>
        <w:rPr>
          <w:rFonts w:hint="eastAsia"/>
          <w:color w:val="auto"/>
          <w:szCs w:val="21"/>
          <w:highlight w:val="none"/>
          <w:u w:val="single"/>
        </w:rPr>
        <w:t>不抵扣</w:t>
      </w:r>
      <w:r>
        <w:rPr>
          <w:rFonts w:hint="eastAsia"/>
          <w:color w:val="auto"/>
          <w:szCs w:val="21"/>
          <w:highlight w:val="none"/>
        </w:rPr>
        <w:t>。</w:t>
      </w:r>
    </w:p>
    <w:p w14:paraId="367A78B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14.2.2预付款担保</w:t>
      </w:r>
    </w:p>
    <w:p w14:paraId="50EEF43B">
      <w:pPr>
        <w:adjustRightInd w:val="0"/>
        <w:snapToGrid w:val="0"/>
        <w:spacing w:line="360" w:lineRule="auto"/>
        <w:ind w:firstLine="420"/>
        <w:rPr>
          <w:color w:val="auto"/>
          <w:szCs w:val="21"/>
          <w:highlight w:val="none"/>
        </w:rPr>
      </w:pPr>
      <w:bookmarkStart w:id="1759" w:name="OLE_LINK21"/>
      <w:r>
        <w:rPr>
          <w:rFonts w:hint="eastAsia"/>
          <w:color w:val="auto"/>
          <w:szCs w:val="21"/>
          <w:highlight w:val="none"/>
        </w:rPr>
        <w:t>提供预付款担保期限：</w:t>
      </w:r>
      <w:r>
        <w:rPr>
          <w:rFonts w:hint="eastAsia"/>
          <w:color w:val="auto"/>
          <w:szCs w:val="21"/>
          <w:highlight w:val="none"/>
          <w:u w:val="single"/>
        </w:rPr>
        <w:t>无</w:t>
      </w:r>
      <w:r>
        <w:rPr>
          <w:rFonts w:hint="eastAsia"/>
          <w:color w:val="auto"/>
          <w:szCs w:val="21"/>
          <w:highlight w:val="none"/>
        </w:rPr>
        <w:t>。</w:t>
      </w:r>
    </w:p>
    <w:bookmarkEnd w:id="1759"/>
    <w:p w14:paraId="7041DE9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预付款担保的形式为：</w:t>
      </w:r>
      <w:r>
        <w:rPr>
          <w:rFonts w:hint="eastAsia" w:ascii="宋体" w:hAnsi="宋体" w:cs="宋体"/>
          <w:color w:val="auto"/>
          <w:kern w:val="0"/>
          <w:szCs w:val="21"/>
          <w:highlight w:val="none"/>
          <w:u w:val="single"/>
          <w:lang w:bidi="ar"/>
        </w:rPr>
        <w:t>无</w:t>
      </w:r>
      <w:r>
        <w:rPr>
          <w:rFonts w:hint="eastAsia" w:ascii="宋体" w:hAnsi="宋体" w:cs="宋体"/>
          <w:color w:val="auto"/>
          <w:kern w:val="0"/>
          <w:szCs w:val="21"/>
          <w:highlight w:val="none"/>
          <w:lang w:bidi="ar"/>
        </w:rPr>
        <w:t>。</w:t>
      </w:r>
    </w:p>
    <w:p w14:paraId="3DC5B52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14.3 工程进度款</w:t>
      </w:r>
    </w:p>
    <w:p w14:paraId="6F3FF51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14.3.1 工程进度付款申请</w:t>
      </w:r>
    </w:p>
    <w:p w14:paraId="63CC9D9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工程进度付款申请方式：</w:t>
      </w:r>
      <w:r>
        <w:rPr>
          <w:rFonts w:hint="eastAsia"/>
          <w:color w:val="auto"/>
          <w:szCs w:val="21"/>
          <w:highlight w:val="none"/>
          <w:u w:val="single"/>
        </w:rPr>
        <w:t>在每次付款前由承包人向发包人的管理团队递送《工程款付款申请单》及相关附件资料，发包人的管理团队审核并经发包人批准后予以支付</w:t>
      </w:r>
      <w:r>
        <w:rPr>
          <w:rFonts w:hint="eastAsia"/>
          <w:color w:val="auto"/>
          <w:szCs w:val="21"/>
          <w:highlight w:val="none"/>
        </w:rPr>
        <w:t>。</w:t>
      </w:r>
    </w:p>
    <w:p w14:paraId="79734FE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承包人提交进度付款申请单的格式、内容、份数和时间：</w:t>
      </w:r>
      <w:r>
        <w:rPr>
          <w:rFonts w:hint="eastAsia"/>
          <w:color w:val="auto"/>
          <w:szCs w:val="21"/>
          <w:highlight w:val="none"/>
          <w:u w:val="single"/>
        </w:rPr>
        <w:t>按发包人要求提交</w:t>
      </w:r>
      <w:r>
        <w:rPr>
          <w:rFonts w:hint="eastAsia"/>
          <w:color w:val="auto"/>
          <w:szCs w:val="21"/>
          <w:highlight w:val="none"/>
        </w:rPr>
        <w:t>。</w:t>
      </w:r>
    </w:p>
    <w:p w14:paraId="28FE44EF">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 xml:space="preserve">14.3.2 进度付款审核和支付 </w:t>
      </w:r>
    </w:p>
    <w:p w14:paraId="7B3106D1">
      <w:pPr>
        <w:adjustRightInd w:val="0"/>
        <w:snapToGrid w:val="0"/>
        <w:spacing w:line="360" w:lineRule="auto"/>
        <w:ind w:firstLine="420"/>
        <w:rPr>
          <w:color w:val="auto"/>
          <w:szCs w:val="21"/>
          <w:highlight w:val="none"/>
          <w:u w:val="single"/>
        </w:rPr>
      </w:pPr>
      <w:r>
        <w:rPr>
          <w:rFonts w:hint="eastAsia"/>
          <w:color w:val="auto"/>
          <w:szCs w:val="21"/>
          <w:highlight w:val="none"/>
          <w:u w:val="single"/>
        </w:rPr>
        <w:t>（1）工程设计费</w:t>
      </w:r>
    </w:p>
    <w:p w14:paraId="18DEBF92">
      <w:pPr>
        <w:adjustRightInd w:val="0"/>
        <w:snapToGrid w:val="0"/>
        <w:spacing w:line="360" w:lineRule="auto"/>
        <w:ind w:firstLine="420"/>
        <w:rPr>
          <w:color w:val="auto"/>
          <w:szCs w:val="21"/>
          <w:highlight w:val="none"/>
          <w:u w:val="single"/>
        </w:rPr>
      </w:pPr>
      <w:r>
        <w:rPr>
          <w:rFonts w:hint="eastAsia"/>
          <w:color w:val="auto"/>
          <w:szCs w:val="21"/>
          <w:highlight w:val="none"/>
          <w:u w:val="single"/>
        </w:rPr>
        <w:t>a)设计人完成施工图并取得施工图审图合格报告后45个工作日内，发包人支付设计费总额的30%（</w:t>
      </w:r>
      <w:r>
        <w:rPr>
          <w:rFonts w:hint="eastAsia" w:ascii="Arial" w:hAnsi="Arial" w:cs="Arial"/>
          <w:color w:val="auto"/>
          <w:szCs w:val="21"/>
          <w:highlight w:val="none"/>
          <w:shd w:val="clear" w:color="auto" w:fill="FFFFFF"/>
        </w:rPr>
        <w:t>累计支付至工程设计费总额的40%，其中含已支付的设计费总额10%预付款</w:t>
      </w:r>
      <w:r>
        <w:rPr>
          <w:rFonts w:hint="eastAsia"/>
          <w:color w:val="auto"/>
          <w:szCs w:val="21"/>
          <w:highlight w:val="none"/>
          <w:u w:val="single"/>
        </w:rPr>
        <w:t>），即人民币大写：整，小写元；</w:t>
      </w:r>
    </w:p>
    <w:p w14:paraId="527AD2E2">
      <w:pPr>
        <w:adjustRightInd w:val="0"/>
        <w:snapToGrid w:val="0"/>
        <w:spacing w:line="360" w:lineRule="auto"/>
        <w:ind w:firstLine="420"/>
        <w:rPr>
          <w:color w:val="auto"/>
          <w:szCs w:val="21"/>
          <w:highlight w:val="none"/>
          <w:u w:val="single"/>
        </w:rPr>
      </w:pPr>
      <w:r>
        <w:rPr>
          <w:rFonts w:hint="eastAsia"/>
          <w:color w:val="auto"/>
          <w:szCs w:val="21"/>
          <w:highlight w:val="none"/>
          <w:u w:val="single"/>
        </w:rPr>
        <w:t>b)全部主体工程验收合格后45个工作日内，发包人支付设计费总额的20%（累计支付至工程设计费总额的60%），即人民币大写：整，小写元；</w:t>
      </w:r>
    </w:p>
    <w:p w14:paraId="6DF8B116">
      <w:pPr>
        <w:adjustRightInd w:val="0"/>
        <w:snapToGrid w:val="0"/>
        <w:spacing w:line="360" w:lineRule="auto"/>
        <w:ind w:firstLine="420"/>
        <w:rPr>
          <w:color w:val="auto"/>
          <w:szCs w:val="21"/>
          <w:highlight w:val="none"/>
          <w:u w:val="single"/>
        </w:rPr>
      </w:pPr>
      <w:r>
        <w:rPr>
          <w:rFonts w:hint="eastAsia"/>
          <w:color w:val="auto"/>
          <w:szCs w:val="21"/>
          <w:highlight w:val="none"/>
          <w:u w:val="single"/>
        </w:rPr>
        <w:t>c)通过工程五方验收合格后45个工作日内，发包人支付设计费总额的2</w:t>
      </w:r>
      <w:r>
        <w:rPr>
          <w:color w:val="auto"/>
          <w:szCs w:val="21"/>
          <w:highlight w:val="none"/>
          <w:u w:val="single"/>
        </w:rPr>
        <w:t>5</w:t>
      </w:r>
      <w:r>
        <w:rPr>
          <w:rFonts w:hint="eastAsia"/>
          <w:color w:val="auto"/>
          <w:szCs w:val="21"/>
          <w:highlight w:val="none"/>
          <w:u w:val="single"/>
        </w:rPr>
        <w:t>%（累计支付至工程设计费总额的</w:t>
      </w:r>
      <w:r>
        <w:rPr>
          <w:color w:val="auto"/>
          <w:szCs w:val="21"/>
          <w:highlight w:val="none"/>
          <w:u w:val="single"/>
        </w:rPr>
        <w:t>85</w:t>
      </w:r>
      <w:r>
        <w:rPr>
          <w:rFonts w:hint="eastAsia"/>
          <w:color w:val="auto"/>
          <w:szCs w:val="21"/>
          <w:highlight w:val="none"/>
          <w:u w:val="single"/>
        </w:rPr>
        <w:t>%），即人民币大写：元整，小写元；</w:t>
      </w:r>
    </w:p>
    <w:p w14:paraId="7E14D8F3">
      <w:pPr>
        <w:adjustRightInd w:val="0"/>
        <w:snapToGrid w:val="0"/>
        <w:spacing w:line="360" w:lineRule="auto"/>
        <w:ind w:firstLine="420"/>
        <w:rPr>
          <w:color w:val="auto"/>
          <w:szCs w:val="21"/>
          <w:highlight w:val="none"/>
          <w:u w:val="single"/>
        </w:rPr>
      </w:pPr>
      <w:r>
        <w:rPr>
          <w:rFonts w:hint="eastAsia"/>
          <w:color w:val="auto"/>
          <w:szCs w:val="21"/>
          <w:highlight w:val="none"/>
          <w:u w:val="single"/>
        </w:rPr>
        <w:t>d)竣工结算报告通过审核并经发包人、承包人和发包人委托的管理团队盖章确认45天内，发包人支付至设计费最终合同价（本合同总价及后续签订补充协议之合同金额总额）的97%；</w:t>
      </w:r>
    </w:p>
    <w:p w14:paraId="3A25C639">
      <w:pPr>
        <w:adjustRightInd w:val="0"/>
        <w:snapToGrid w:val="0"/>
        <w:spacing w:line="360" w:lineRule="auto"/>
        <w:ind w:firstLine="420"/>
        <w:rPr>
          <w:color w:val="auto"/>
          <w:szCs w:val="21"/>
          <w:highlight w:val="none"/>
          <w:u w:val="single"/>
        </w:rPr>
      </w:pPr>
      <w:r>
        <w:rPr>
          <w:rFonts w:hint="eastAsia"/>
          <w:color w:val="auto"/>
          <w:szCs w:val="21"/>
          <w:highlight w:val="none"/>
          <w:u w:val="single"/>
        </w:rPr>
        <w:t>e)剩余工程设计费的3%金额，作为工程整体质保金的一部分，执行14.6.2条关于质保金的约定。</w:t>
      </w:r>
    </w:p>
    <w:p w14:paraId="5A9FB278">
      <w:pPr>
        <w:adjustRightInd w:val="0"/>
        <w:snapToGrid w:val="0"/>
        <w:spacing w:line="360" w:lineRule="auto"/>
        <w:ind w:firstLine="420"/>
        <w:rPr>
          <w:color w:val="auto"/>
          <w:szCs w:val="21"/>
          <w:highlight w:val="none"/>
          <w:u w:val="single"/>
        </w:rPr>
      </w:pPr>
      <w:r>
        <w:rPr>
          <w:rFonts w:hint="eastAsia"/>
          <w:color w:val="auto"/>
          <w:szCs w:val="21"/>
          <w:highlight w:val="none"/>
          <w:u w:val="single"/>
        </w:rPr>
        <w:t>f)每次付款前，需向发包人提供正规等额增值税专用发票（税率为</w:t>
      </w:r>
      <w:r>
        <w:rPr>
          <w:color w:val="auto"/>
          <w:szCs w:val="21"/>
          <w:highlight w:val="none"/>
          <w:u w:val="single"/>
        </w:rPr>
        <w:t>6</w:t>
      </w:r>
      <w:r>
        <w:rPr>
          <w:rFonts w:hint="eastAsia"/>
          <w:color w:val="auto"/>
          <w:szCs w:val="21"/>
          <w:highlight w:val="none"/>
          <w:u w:val="single"/>
        </w:rPr>
        <w:t>%），累计支付至工程设计费总额的97%前，需向发包人开具工程设计费总额100%的增值税专用发票，否则发包人有权拒绝支付进度款。</w:t>
      </w:r>
    </w:p>
    <w:p w14:paraId="756EFB7C">
      <w:pPr>
        <w:adjustRightInd w:val="0"/>
        <w:snapToGrid w:val="0"/>
        <w:spacing w:line="360" w:lineRule="auto"/>
        <w:ind w:firstLine="420"/>
        <w:rPr>
          <w:color w:val="auto"/>
          <w:szCs w:val="21"/>
          <w:highlight w:val="none"/>
          <w:u w:val="single"/>
        </w:rPr>
      </w:pPr>
      <w:r>
        <w:rPr>
          <w:rFonts w:hint="eastAsia"/>
          <w:color w:val="auto"/>
          <w:szCs w:val="21"/>
          <w:highlight w:val="none"/>
          <w:u w:val="single"/>
        </w:rPr>
        <w:t>（2）建筑工程及安装工程费</w:t>
      </w:r>
    </w:p>
    <w:p w14:paraId="01B2029D">
      <w:pPr>
        <w:adjustRightInd w:val="0"/>
        <w:snapToGrid w:val="0"/>
        <w:spacing w:line="360" w:lineRule="auto"/>
        <w:ind w:firstLine="420"/>
        <w:rPr>
          <w:color w:val="auto"/>
          <w:szCs w:val="21"/>
          <w:highlight w:val="none"/>
          <w:u w:val="single"/>
        </w:rPr>
      </w:pPr>
      <w:r>
        <w:rPr>
          <w:rFonts w:hint="eastAsia"/>
          <w:color w:val="auto"/>
          <w:szCs w:val="21"/>
          <w:highlight w:val="none"/>
          <w:u w:val="single"/>
        </w:rPr>
        <w:t>a)</w:t>
      </w:r>
      <w:bookmarkStart w:id="1760" w:name="OLE_LINK35"/>
      <w:r>
        <w:rPr>
          <w:rFonts w:hint="eastAsia"/>
          <w:color w:val="auto"/>
          <w:szCs w:val="21"/>
          <w:highlight w:val="none"/>
          <w:u w:val="single"/>
        </w:rPr>
        <w:t>从支付预付款的第二个月（即次月）开始，每月25日由承包人向发包人提出截止当天的本月已完工程量及累计已完工程量报表，经施工监理、管理公司、投资监理确认上报，该申请经发包人批准后，由发包人按审定的月度工程量，支付累计不超过合同内审定已完月（含总承包范围内的专业分包）进度工程量金额的70%，且累计支付不超过承包人承包范围合同内价款的80%</w:t>
      </w:r>
      <w:bookmarkStart w:id="1761" w:name="OLE_LINK15"/>
      <w:r>
        <w:rPr>
          <w:rFonts w:hint="eastAsia"/>
          <w:color w:val="auto"/>
          <w:szCs w:val="21"/>
          <w:highlight w:val="none"/>
          <w:u w:val="single"/>
        </w:rPr>
        <w:t>（含</w:t>
      </w:r>
      <w:r>
        <w:rPr>
          <w:rFonts w:hint="eastAsia"/>
          <w:color w:val="auto"/>
          <w:szCs w:val="21"/>
          <w:highlight w:val="none"/>
          <w:u w:val="single"/>
          <w:lang w:val="en-US" w:eastAsia="zh-CN"/>
        </w:rPr>
        <w:t>全额</w:t>
      </w:r>
      <w:r>
        <w:rPr>
          <w:rFonts w:hint="eastAsia"/>
          <w:color w:val="auto"/>
          <w:szCs w:val="21"/>
          <w:highlight w:val="none"/>
          <w:u w:val="single"/>
        </w:rPr>
        <w:t>预付款）</w:t>
      </w:r>
      <w:bookmarkEnd w:id="1760"/>
      <w:bookmarkEnd w:id="1761"/>
      <w:r>
        <w:rPr>
          <w:rFonts w:hint="eastAsia"/>
          <w:color w:val="auto"/>
          <w:szCs w:val="21"/>
          <w:highlight w:val="none"/>
          <w:u w:val="single"/>
        </w:rPr>
        <w:t>；发包人在进度款支付证书或临时进度款支付证书签发后45个工作日内内完成支付，逾期支付进度款的，应按照中国人民银行发布的同期同类活期存款基准利率支付违约金。发包人支付违约金的总额不得超过逾期所涉金额的百分之二十，违约金的支付不影响本合同的执行。</w:t>
      </w:r>
    </w:p>
    <w:p w14:paraId="59DA6FC5">
      <w:pPr>
        <w:adjustRightInd w:val="0"/>
        <w:snapToGrid w:val="0"/>
        <w:spacing w:line="360" w:lineRule="auto"/>
        <w:ind w:firstLine="420"/>
        <w:rPr>
          <w:color w:val="auto"/>
          <w:szCs w:val="21"/>
          <w:highlight w:val="none"/>
          <w:u w:val="single"/>
        </w:rPr>
      </w:pPr>
      <w:r>
        <w:rPr>
          <w:rFonts w:hint="eastAsia"/>
          <w:color w:val="auto"/>
          <w:szCs w:val="21"/>
          <w:highlight w:val="none"/>
          <w:u w:val="single"/>
        </w:rPr>
        <w:t>b)</w:t>
      </w:r>
      <w:bookmarkStart w:id="1762" w:name="OLE_LINK34"/>
      <w:r>
        <w:rPr>
          <w:rFonts w:hint="eastAsia"/>
          <w:color w:val="auto"/>
          <w:szCs w:val="21"/>
          <w:highlight w:val="none"/>
          <w:u w:val="single"/>
        </w:rPr>
        <w:t>通过工程五方验收45个工作日内，</w:t>
      </w:r>
      <w:r>
        <w:rPr>
          <w:rFonts w:hint="eastAsia"/>
          <w:color w:val="auto"/>
          <w:szCs w:val="21"/>
          <w:highlight w:val="none"/>
          <w:u w:val="single"/>
        </w:rPr>
        <w:t>发包人认可后支付至承包人累计已完成承包人合同承包范围已完工程确认量85%，且不超过承包人承包合同价款范围内的85%（含全额预付款）。</w:t>
      </w:r>
      <w:bookmarkEnd w:id="1762"/>
    </w:p>
    <w:p w14:paraId="5FB4D50E">
      <w:pPr>
        <w:adjustRightInd w:val="0"/>
        <w:snapToGrid w:val="0"/>
        <w:spacing w:line="360" w:lineRule="auto"/>
        <w:ind w:firstLine="420"/>
        <w:rPr>
          <w:color w:val="auto"/>
          <w:szCs w:val="21"/>
          <w:highlight w:val="none"/>
          <w:u w:val="single"/>
        </w:rPr>
      </w:pPr>
      <w:r>
        <w:rPr>
          <w:rFonts w:hint="eastAsia"/>
          <w:color w:val="auto"/>
          <w:szCs w:val="21"/>
          <w:highlight w:val="none"/>
          <w:u w:val="single"/>
        </w:rPr>
        <w:t>c)竣工结算报告通过审核并经发包人、承包人和发包人委托的投资监理单位盖章确认45个工作日内，支付至结算价的97%，（本合同总价及后续签订补充协议之合同金额总额）在此之前，承包人应提供质保金在内的全部未付金额的有效合法、合规增值税专用发票（税率为9%）</w:t>
      </w:r>
    </w:p>
    <w:p w14:paraId="3A9A337E">
      <w:pPr>
        <w:adjustRightInd w:val="0"/>
        <w:snapToGrid w:val="0"/>
        <w:spacing w:line="360" w:lineRule="auto"/>
        <w:ind w:firstLine="420"/>
        <w:rPr>
          <w:color w:val="auto"/>
          <w:szCs w:val="21"/>
          <w:highlight w:val="none"/>
          <w:u w:val="single"/>
        </w:rPr>
      </w:pPr>
      <w:r>
        <w:rPr>
          <w:rFonts w:hint="eastAsia"/>
          <w:color w:val="auto"/>
          <w:szCs w:val="21"/>
          <w:highlight w:val="none"/>
          <w:u w:val="single"/>
        </w:rPr>
        <w:t>d)余款作为质量保证金，质量保证金的退回执行合同专用条款14.6.2条；</w:t>
      </w:r>
    </w:p>
    <w:p w14:paraId="046F0CFC">
      <w:pPr>
        <w:adjustRightInd w:val="0"/>
        <w:snapToGrid w:val="0"/>
        <w:spacing w:line="360" w:lineRule="auto"/>
        <w:ind w:firstLine="420"/>
        <w:rPr>
          <w:color w:val="auto"/>
          <w:szCs w:val="21"/>
          <w:highlight w:val="none"/>
          <w:u w:val="single"/>
        </w:rPr>
      </w:pPr>
      <w:r>
        <w:rPr>
          <w:rFonts w:hint="eastAsia"/>
          <w:color w:val="auto"/>
          <w:szCs w:val="21"/>
          <w:highlight w:val="none"/>
          <w:u w:val="single"/>
        </w:rPr>
        <w:t>e)每次付款前，承包人须开具合法合规的增值税专用发票给发包人，累计支付至最终合同价（本合同总价及后续签订补充协议的合同金额总额）的97%前，承包人须按照发包人可支付最终合同价（本合同总价及后续签订补充协议的合同金额总额）开具100%全额发票，否则发包人有权无息延迟付款。因此造成发包人损失的，承包人应承担全部赔偿责任。若因承包人原因导致发票不能抵扣或税务机关追回税款，发包人有权就遭受的损失（包括但不限于税款、滞纳金、等税费和支出等）和承担的法律责任要求承包人给予全额赔偿。</w:t>
      </w:r>
    </w:p>
    <w:p w14:paraId="4EB4112D">
      <w:pPr>
        <w:adjustRightInd w:val="0"/>
        <w:snapToGrid w:val="0"/>
        <w:spacing w:line="360" w:lineRule="auto"/>
        <w:ind w:firstLine="420"/>
        <w:rPr>
          <w:color w:val="auto"/>
          <w:szCs w:val="21"/>
          <w:highlight w:val="none"/>
          <w:u w:val="single"/>
        </w:rPr>
      </w:pPr>
      <w:r>
        <w:rPr>
          <w:rFonts w:hint="eastAsia"/>
          <w:color w:val="auto"/>
          <w:szCs w:val="21"/>
          <w:highlight w:val="none"/>
          <w:u w:val="single"/>
        </w:rPr>
        <w:t>f)施工水费、电费由承包人自行支付，属于发包人预付的水费、电费，在第一次进度款中支付中扣回。</w:t>
      </w:r>
    </w:p>
    <w:p w14:paraId="011BFAEA">
      <w:pPr>
        <w:adjustRightInd w:val="0"/>
        <w:snapToGrid w:val="0"/>
        <w:spacing w:line="360" w:lineRule="auto"/>
        <w:ind w:firstLine="420"/>
        <w:rPr>
          <w:color w:val="auto"/>
          <w:szCs w:val="21"/>
          <w:highlight w:val="none"/>
          <w:u w:val="single"/>
        </w:rPr>
      </w:pPr>
      <w:r>
        <w:rPr>
          <w:rFonts w:hint="eastAsia"/>
          <w:color w:val="auto"/>
          <w:szCs w:val="21"/>
          <w:highlight w:val="none"/>
          <w:u w:val="single"/>
        </w:rPr>
        <w:t>（</w:t>
      </w:r>
      <w:r>
        <w:rPr>
          <w:color w:val="auto"/>
          <w:szCs w:val="21"/>
          <w:highlight w:val="none"/>
          <w:u w:val="single"/>
        </w:rPr>
        <w:t>3</w:t>
      </w:r>
      <w:r>
        <w:rPr>
          <w:rFonts w:hint="eastAsia"/>
          <w:color w:val="auto"/>
          <w:szCs w:val="21"/>
          <w:highlight w:val="none"/>
          <w:u w:val="single"/>
        </w:rPr>
        <w:t>）变更增加费</w:t>
      </w:r>
    </w:p>
    <w:p w14:paraId="48CEC79E">
      <w:pPr>
        <w:adjustRightInd w:val="0"/>
        <w:snapToGrid w:val="0"/>
        <w:spacing w:line="360" w:lineRule="auto"/>
        <w:ind w:firstLine="420"/>
        <w:rPr>
          <w:color w:val="auto"/>
          <w:szCs w:val="21"/>
          <w:highlight w:val="none"/>
          <w:u w:val="single"/>
        </w:rPr>
      </w:pPr>
      <w:r>
        <w:rPr>
          <w:rFonts w:hint="eastAsia"/>
          <w:color w:val="auto"/>
          <w:szCs w:val="21"/>
          <w:highlight w:val="none"/>
          <w:u w:val="single"/>
        </w:rPr>
        <w:t>按专用合同条件允许调整的合同价款中的变更费用，在进度款中不予支付，随最终结算款一起办理。</w:t>
      </w:r>
    </w:p>
    <w:p w14:paraId="5F6B1D33">
      <w:pPr>
        <w:adjustRightInd w:val="0"/>
        <w:snapToGrid w:val="0"/>
        <w:spacing w:line="360" w:lineRule="auto"/>
        <w:ind w:firstLine="420"/>
        <w:rPr>
          <w:color w:val="auto"/>
          <w:szCs w:val="21"/>
          <w:highlight w:val="none"/>
          <w:u w:val="single"/>
        </w:rPr>
      </w:pPr>
      <w:r>
        <w:rPr>
          <w:rFonts w:hint="eastAsia"/>
          <w:color w:val="auto"/>
          <w:szCs w:val="21"/>
          <w:highlight w:val="none"/>
          <w:u w:val="single"/>
        </w:rPr>
        <w:t>（</w:t>
      </w:r>
      <w:r>
        <w:rPr>
          <w:color w:val="auto"/>
          <w:szCs w:val="21"/>
          <w:highlight w:val="none"/>
          <w:u w:val="single"/>
        </w:rPr>
        <w:t>4</w:t>
      </w:r>
      <w:r>
        <w:rPr>
          <w:rFonts w:hint="eastAsia"/>
          <w:color w:val="auto"/>
          <w:szCs w:val="21"/>
          <w:highlight w:val="none"/>
          <w:u w:val="single"/>
        </w:rPr>
        <w:t>）联合体人中标则收款人及开票人为联合体</w:t>
      </w:r>
      <w:r>
        <w:rPr>
          <w:rFonts w:hint="eastAsia"/>
          <w:color w:val="auto"/>
          <w:szCs w:val="21"/>
          <w:highlight w:val="none"/>
          <w:u w:val="single"/>
          <w:lang w:val="en-US" w:eastAsia="zh-CN"/>
        </w:rPr>
        <w:t>主办方</w:t>
      </w:r>
      <w:r>
        <w:rPr>
          <w:rFonts w:hint="eastAsia"/>
          <w:color w:val="auto"/>
          <w:szCs w:val="21"/>
          <w:highlight w:val="none"/>
          <w:u w:val="single"/>
        </w:rPr>
        <w:t>。</w:t>
      </w:r>
    </w:p>
    <w:p w14:paraId="562845D0">
      <w:pPr>
        <w:widowControl/>
        <w:adjustRightInd w:val="0"/>
        <w:snapToGrid w:val="0"/>
        <w:spacing w:after="120" w:afterLines="50" w:line="360" w:lineRule="auto"/>
        <w:ind w:firstLine="420" w:firstLineChars="200"/>
        <w:rPr>
          <w:rFonts w:hint="eastAsia"/>
          <w:color w:val="auto"/>
          <w:szCs w:val="21"/>
          <w:highlight w:val="none"/>
        </w:rPr>
      </w:pPr>
      <w:r>
        <w:rPr>
          <w:rFonts w:hint="eastAsia"/>
          <w:color w:val="auto"/>
          <w:szCs w:val="21"/>
          <w:highlight w:val="none"/>
        </w:rPr>
        <w:t>发包人应在进度款支付证书或临时进度款支付证书签发后的</w:t>
      </w:r>
      <w:r>
        <w:rPr>
          <w:color w:val="auto"/>
          <w:szCs w:val="21"/>
          <w:highlight w:val="none"/>
          <w:u w:val="single"/>
        </w:rPr>
        <w:t xml:space="preserve">  45  </w:t>
      </w:r>
      <w:r>
        <w:rPr>
          <w:rFonts w:hint="eastAsia"/>
          <w:color w:val="auto"/>
          <w:szCs w:val="21"/>
          <w:highlight w:val="none"/>
        </w:rPr>
        <w:t>天内完成支付，发包人逾期支付进度款的，应按照</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人民银行同期</w:t>
      </w:r>
      <w:r>
        <w:rPr>
          <w:rFonts w:hint="eastAsia"/>
          <w:color w:val="auto"/>
          <w:szCs w:val="21"/>
          <w:highlight w:val="none"/>
          <w:u w:val="single"/>
        </w:rPr>
        <w:t>活期存款基准利率</w:t>
      </w:r>
      <w:r>
        <w:rPr>
          <w:color w:val="auto"/>
          <w:szCs w:val="21"/>
          <w:highlight w:val="none"/>
          <w:u w:val="single"/>
        </w:rPr>
        <w:t xml:space="preserve">  </w:t>
      </w:r>
      <w:r>
        <w:rPr>
          <w:rFonts w:hint="eastAsia"/>
          <w:color w:val="auto"/>
          <w:szCs w:val="21"/>
          <w:highlight w:val="none"/>
        </w:rPr>
        <w:t>支付违约金。</w:t>
      </w:r>
    </w:p>
    <w:p w14:paraId="6422F1AA">
      <w:pPr>
        <w:widowControl/>
        <w:adjustRightInd w:val="0"/>
        <w:snapToGrid w:val="0"/>
        <w:spacing w:after="120" w:afterLines="50" w:line="360" w:lineRule="auto"/>
        <w:ind w:firstLine="420" w:firstLineChars="200"/>
        <w:rPr>
          <w:rFonts w:hint="default" w:eastAsia="宋体"/>
          <w:color w:val="auto"/>
          <w:szCs w:val="21"/>
          <w:highlight w:val="none"/>
          <w:u w:val="single"/>
          <w:lang w:val="en-US" w:eastAsia="zh-CN"/>
        </w:rPr>
      </w:pPr>
      <w:r>
        <w:rPr>
          <w:rFonts w:hint="eastAsia"/>
          <w:color w:val="auto"/>
          <w:szCs w:val="21"/>
          <w:highlight w:val="none"/>
          <w:u w:val="single"/>
          <w:lang w:eastAsia="zh-CN"/>
        </w:rPr>
        <w:t>（</w:t>
      </w:r>
      <w:r>
        <w:rPr>
          <w:rFonts w:hint="eastAsia"/>
          <w:color w:val="auto"/>
          <w:szCs w:val="21"/>
          <w:highlight w:val="none"/>
          <w:u w:val="single"/>
          <w:lang w:val="en-US" w:eastAsia="zh-CN"/>
        </w:rPr>
        <w:t>5</w:t>
      </w:r>
      <w:r>
        <w:rPr>
          <w:rFonts w:hint="eastAsia"/>
          <w:color w:val="auto"/>
          <w:szCs w:val="21"/>
          <w:highlight w:val="none"/>
          <w:u w:val="single"/>
          <w:lang w:eastAsia="zh-CN"/>
        </w:rPr>
        <w:t>）</w:t>
      </w:r>
      <w:r>
        <w:rPr>
          <w:rFonts w:hint="eastAsia"/>
          <w:color w:val="auto"/>
          <w:szCs w:val="21"/>
          <w:highlight w:val="none"/>
          <w:u w:val="single"/>
          <w:lang w:val="en-US" w:eastAsia="zh-CN"/>
        </w:rPr>
        <w:t>关于共管账户</w:t>
      </w:r>
    </w:p>
    <w:p w14:paraId="6DD27880">
      <w:pPr>
        <w:widowControl/>
        <w:adjustRightInd w:val="0"/>
        <w:snapToGrid w:val="0"/>
        <w:spacing w:after="120" w:afterLines="50" w:line="360" w:lineRule="auto"/>
        <w:ind w:firstLine="420" w:firstLineChars="200"/>
        <w:rPr>
          <w:rFonts w:hint="eastAsia"/>
          <w:color w:val="auto"/>
          <w:szCs w:val="21"/>
          <w:highlight w:val="none"/>
        </w:rPr>
      </w:pPr>
      <w:r>
        <w:rPr>
          <w:rFonts w:hint="eastAsia"/>
          <w:color w:val="auto"/>
          <w:szCs w:val="21"/>
          <w:highlight w:val="none"/>
          <w:lang w:val="en-US" w:eastAsia="zh-CN"/>
        </w:rPr>
        <w:t>a）</w:t>
      </w:r>
      <w:r>
        <w:rPr>
          <w:rFonts w:hint="eastAsia"/>
          <w:color w:val="auto"/>
          <w:szCs w:val="21"/>
          <w:highlight w:val="none"/>
        </w:rPr>
        <w:t>发包人与承包人，设立工程款资金共管账户，开户行优先以发包人推荐为准。</w:t>
      </w:r>
    </w:p>
    <w:p w14:paraId="611F6980">
      <w:pPr>
        <w:widowControl/>
        <w:adjustRightInd w:val="0"/>
        <w:snapToGrid w:val="0"/>
        <w:spacing w:after="120" w:afterLines="50" w:line="360" w:lineRule="auto"/>
        <w:ind w:firstLine="420" w:firstLineChars="200"/>
        <w:rPr>
          <w:rFonts w:hint="eastAsia"/>
          <w:color w:val="auto"/>
          <w:szCs w:val="21"/>
          <w:highlight w:val="none"/>
        </w:rPr>
      </w:pPr>
      <w:r>
        <w:rPr>
          <w:rFonts w:hint="eastAsia"/>
          <w:color w:val="auto"/>
          <w:szCs w:val="21"/>
          <w:highlight w:val="none"/>
          <w:lang w:val="en-US" w:eastAsia="zh-CN"/>
        </w:rPr>
        <w:t>b）</w:t>
      </w:r>
      <w:r>
        <w:rPr>
          <w:rFonts w:hint="eastAsia"/>
          <w:color w:val="auto"/>
          <w:szCs w:val="21"/>
          <w:highlight w:val="none"/>
        </w:rPr>
        <w:t>双方签订工程款资金共管协议，明确共管账户的基本信息、管理责任、共管原则和解除条件等。</w:t>
      </w:r>
    </w:p>
    <w:p w14:paraId="0BBB5865">
      <w:pPr>
        <w:widowControl/>
        <w:adjustRightInd w:val="0"/>
        <w:snapToGrid w:val="0"/>
        <w:spacing w:after="120" w:afterLines="50" w:line="360" w:lineRule="auto"/>
        <w:ind w:firstLine="420" w:firstLineChars="200"/>
        <w:rPr>
          <w:rFonts w:hint="eastAsia"/>
          <w:color w:val="auto"/>
          <w:szCs w:val="21"/>
          <w:highlight w:val="none"/>
        </w:rPr>
      </w:pPr>
      <w:r>
        <w:rPr>
          <w:rFonts w:hint="eastAsia"/>
          <w:color w:val="auto"/>
          <w:szCs w:val="21"/>
          <w:highlight w:val="none"/>
          <w:lang w:val="en-US" w:eastAsia="zh-CN"/>
        </w:rPr>
        <w:t>c）</w:t>
      </w:r>
      <w:r>
        <w:rPr>
          <w:rFonts w:hint="eastAsia"/>
          <w:color w:val="auto"/>
          <w:szCs w:val="21"/>
          <w:highlight w:val="none"/>
        </w:rPr>
        <w:t>发包人提供符合银行账户监管要求的证明文件和资料。</w:t>
      </w:r>
    </w:p>
    <w:p w14:paraId="2DB42A03">
      <w:pPr>
        <w:widowControl/>
        <w:adjustRightInd w:val="0"/>
        <w:snapToGrid w:val="0"/>
        <w:spacing w:after="120" w:afterLines="50" w:line="360" w:lineRule="auto"/>
        <w:ind w:firstLine="420" w:firstLineChars="200"/>
        <w:rPr>
          <w:rFonts w:hint="eastAsia"/>
          <w:color w:val="auto"/>
          <w:szCs w:val="21"/>
          <w:highlight w:val="none"/>
        </w:rPr>
      </w:pPr>
      <w:r>
        <w:rPr>
          <w:rFonts w:hint="eastAsia"/>
          <w:color w:val="auto"/>
          <w:szCs w:val="21"/>
          <w:highlight w:val="none"/>
          <w:lang w:val="en-US" w:eastAsia="zh-CN"/>
        </w:rPr>
        <w:t>d）</w:t>
      </w:r>
      <w:r>
        <w:rPr>
          <w:rFonts w:hint="eastAsia"/>
          <w:color w:val="auto"/>
          <w:szCs w:val="21"/>
          <w:highlight w:val="none"/>
        </w:rPr>
        <w:t>共管资金支付流程对承包人的下游供应商进行白名单管理，提前报备用于后续支付审核，信息包括且不限于：合同扫描件、合同金额、对手方名称、统一社会信用代码、收款账户名称、收款银行账号、收款银行网点名称、大额支付号等付款所需审核的关键信息，具体以最终签署的银行账户监管协议中的审核要求为准。</w:t>
      </w:r>
    </w:p>
    <w:p w14:paraId="1DCEC62D">
      <w:pPr>
        <w:widowControl/>
        <w:adjustRightInd w:val="0"/>
        <w:snapToGrid w:val="0"/>
        <w:spacing w:after="120" w:afterLines="50" w:line="360" w:lineRule="auto"/>
        <w:ind w:firstLine="420" w:firstLineChars="200"/>
        <w:rPr>
          <w:rFonts w:hint="eastAsia"/>
          <w:color w:val="auto"/>
          <w:szCs w:val="21"/>
          <w:highlight w:val="none"/>
        </w:rPr>
      </w:pPr>
      <w:r>
        <w:rPr>
          <w:rFonts w:hint="eastAsia"/>
          <w:color w:val="auto"/>
          <w:szCs w:val="21"/>
          <w:highlight w:val="none"/>
          <w:lang w:val="en-US" w:eastAsia="zh-CN"/>
        </w:rPr>
        <w:t>e）</w:t>
      </w:r>
      <w:r>
        <w:rPr>
          <w:rFonts w:hint="eastAsia"/>
          <w:color w:val="auto"/>
          <w:szCs w:val="21"/>
          <w:highlight w:val="none"/>
        </w:rPr>
        <w:t>共管资金的支付，需要经发包人确认。</w:t>
      </w:r>
    </w:p>
    <w:p w14:paraId="49FA55F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14.4 付款计划表</w:t>
      </w:r>
    </w:p>
    <w:p w14:paraId="54D3E605">
      <w:pPr>
        <w:adjustRightInd w:val="0"/>
        <w:snapToGrid w:val="0"/>
        <w:spacing w:line="360" w:lineRule="auto"/>
        <w:ind w:firstLine="420"/>
        <w:rPr>
          <w:color w:val="auto"/>
          <w:szCs w:val="21"/>
          <w:highlight w:val="none"/>
        </w:rPr>
      </w:pPr>
      <w:r>
        <w:rPr>
          <w:color w:val="auto"/>
          <w:szCs w:val="21"/>
          <w:highlight w:val="none"/>
        </w:rPr>
        <w:t>14.4.1 付款计划表的编制要求</w:t>
      </w:r>
      <w:r>
        <w:rPr>
          <w:rFonts w:hint="eastAsia"/>
          <w:color w:val="auto"/>
          <w:szCs w:val="21"/>
          <w:highlight w:val="none"/>
        </w:rPr>
        <w:t>：</w:t>
      </w:r>
      <w:r>
        <w:rPr>
          <w:rFonts w:hint="eastAsia"/>
          <w:color w:val="auto"/>
          <w:szCs w:val="21"/>
          <w:highlight w:val="none"/>
          <w:u w:val="single"/>
        </w:rPr>
        <w:t>按通用条款执行，并满足发包人要求</w:t>
      </w:r>
      <w:r>
        <w:rPr>
          <w:rFonts w:hint="eastAsia"/>
          <w:color w:val="auto"/>
          <w:szCs w:val="21"/>
          <w:highlight w:val="none"/>
        </w:rPr>
        <w:t>。</w:t>
      </w:r>
    </w:p>
    <w:p w14:paraId="1FF26D59">
      <w:pPr>
        <w:adjustRightInd w:val="0"/>
        <w:snapToGrid w:val="0"/>
        <w:spacing w:line="360" w:lineRule="auto"/>
        <w:ind w:firstLine="420"/>
        <w:rPr>
          <w:color w:val="auto"/>
          <w:szCs w:val="21"/>
          <w:highlight w:val="none"/>
        </w:rPr>
      </w:pPr>
      <w:r>
        <w:rPr>
          <w:color w:val="auto"/>
          <w:szCs w:val="21"/>
          <w:highlight w:val="none"/>
        </w:rPr>
        <w:t xml:space="preserve">14.4.2 </w:t>
      </w:r>
      <w:r>
        <w:rPr>
          <w:rFonts w:hint="eastAsia"/>
          <w:color w:val="auto"/>
          <w:szCs w:val="21"/>
          <w:highlight w:val="none"/>
        </w:rPr>
        <w:t>付款计划表的编制与审批</w:t>
      </w:r>
    </w:p>
    <w:p w14:paraId="773EDC54">
      <w:pPr>
        <w:adjustRightInd w:val="0"/>
        <w:snapToGrid w:val="0"/>
        <w:spacing w:line="360" w:lineRule="auto"/>
        <w:ind w:firstLine="420"/>
        <w:rPr>
          <w:color w:val="auto"/>
          <w:szCs w:val="21"/>
          <w:highlight w:val="none"/>
        </w:rPr>
      </w:pPr>
      <w:r>
        <w:rPr>
          <w:rFonts w:hint="eastAsia"/>
          <w:color w:val="auto"/>
          <w:szCs w:val="21"/>
          <w:highlight w:val="none"/>
        </w:rPr>
        <w:t>付款计划表的编制：</w:t>
      </w:r>
      <w:r>
        <w:rPr>
          <w:rFonts w:hint="eastAsia"/>
          <w:color w:val="auto"/>
          <w:szCs w:val="21"/>
          <w:highlight w:val="none"/>
          <w:u w:val="single"/>
        </w:rPr>
        <w:t>按通用条款执行，并满足发包人要求</w:t>
      </w:r>
      <w:r>
        <w:rPr>
          <w:rFonts w:hint="eastAsia"/>
          <w:color w:val="auto"/>
          <w:szCs w:val="21"/>
          <w:highlight w:val="none"/>
        </w:rPr>
        <w:t>。</w:t>
      </w:r>
    </w:p>
    <w:p w14:paraId="503C74B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14.5 竣工结算</w:t>
      </w:r>
    </w:p>
    <w:p w14:paraId="514990D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14.5.1 竣工结算申请</w:t>
      </w:r>
    </w:p>
    <w:p w14:paraId="584CF3AA">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承包人提交竣工结算申请的时间：</w:t>
      </w:r>
      <w:r>
        <w:rPr>
          <w:rFonts w:hint="eastAsia" w:ascii="宋体" w:hAnsi="宋体" w:cs="宋体"/>
          <w:color w:val="auto"/>
          <w:kern w:val="0"/>
          <w:szCs w:val="21"/>
          <w:highlight w:val="none"/>
          <w:u w:val="single"/>
          <w:lang w:bidi="ar"/>
        </w:rPr>
        <w:t>承</w:t>
      </w:r>
      <w:r>
        <w:rPr>
          <w:rFonts w:hint="eastAsia"/>
          <w:color w:val="auto"/>
          <w:szCs w:val="21"/>
          <w:highlight w:val="none"/>
          <w:u w:val="single"/>
        </w:rPr>
        <w:t>竣工验收后90日内</w:t>
      </w:r>
      <w:r>
        <w:rPr>
          <w:rFonts w:hint="eastAsia" w:ascii="宋体" w:hAnsi="宋体" w:cs="宋体"/>
          <w:color w:val="auto"/>
          <w:kern w:val="0"/>
          <w:szCs w:val="21"/>
          <w:highlight w:val="none"/>
          <w:lang w:bidi="ar"/>
        </w:rPr>
        <w:t>。</w:t>
      </w:r>
    </w:p>
    <w:p w14:paraId="37E613CD">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竣工结算申请的资料清单和份数：</w:t>
      </w:r>
      <w:r>
        <w:rPr>
          <w:rFonts w:hint="eastAsia" w:ascii="宋体" w:hAnsi="宋体" w:cs="宋体"/>
          <w:color w:val="auto"/>
          <w:kern w:val="0"/>
          <w:szCs w:val="21"/>
          <w:highlight w:val="none"/>
          <w:u w:val="single"/>
          <w:lang w:bidi="ar"/>
        </w:rPr>
        <w:t xml:space="preserve"> </w:t>
      </w:r>
      <w:r>
        <w:rPr>
          <w:rFonts w:hint="eastAsia"/>
          <w:color w:val="auto"/>
          <w:szCs w:val="21"/>
          <w:highlight w:val="none"/>
          <w:u w:val="single"/>
        </w:rPr>
        <w:t>详见附件“发包人要求”中的《结算送审资料移交清单》</w:t>
      </w:r>
      <w:r>
        <w:rPr>
          <w:color w:val="auto"/>
          <w:szCs w:val="21"/>
          <w:highlight w:val="none"/>
          <w:u w:val="single"/>
        </w:rPr>
        <w:t xml:space="preserve"> </w:t>
      </w:r>
      <w:r>
        <w:rPr>
          <w:rFonts w:hint="eastAsia"/>
          <w:color w:val="auto"/>
          <w:szCs w:val="21"/>
          <w:highlight w:val="none"/>
        </w:rPr>
        <w:t>。</w:t>
      </w:r>
    </w:p>
    <w:p w14:paraId="5AF23D5A">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竣工结算申请单的内容包括但不限于以下内容：</w:t>
      </w:r>
      <w:r>
        <w:rPr>
          <w:rFonts w:hint="eastAsia"/>
          <w:color w:val="auto"/>
          <w:szCs w:val="21"/>
          <w:highlight w:val="none"/>
          <w:u w:val="single"/>
        </w:rPr>
        <w:t xml:space="preserve">满足发包人的《结算送审资料移交清单》要求，其他未尽事宜遵守《通用条款》 </w:t>
      </w:r>
      <w:r>
        <w:rPr>
          <w:rFonts w:hint="eastAsia"/>
          <w:color w:val="auto"/>
          <w:szCs w:val="21"/>
          <w:highlight w:val="none"/>
        </w:rPr>
        <w:t>。</w:t>
      </w:r>
    </w:p>
    <w:p w14:paraId="548F367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14.5.2竣工结算审核</w:t>
      </w:r>
    </w:p>
    <w:p w14:paraId="01DF4279">
      <w:pPr>
        <w:adjustRightInd w:val="0"/>
        <w:snapToGrid w:val="0"/>
        <w:spacing w:line="360" w:lineRule="auto"/>
        <w:ind w:firstLine="42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监理人审核竣工付款申请单的期限：</w:t>
      </w:r>
    </w:p>
    <w:p w14:paraId="6B974BE7">
      <w:pPr>
        <w:adjustRightInd w:val="0"/>
        <w:snapToGrid w:val="0"/>
        <w:spacing w:line="360" w:lineRule="auto"/>
        <w:ind w:firstLine="420"/>
        <w:rPr>
          <w:color w:val="auto"/>
          <w:szCs w:val="21"/>
          <w:highlight w:val="none"/>
          <w:u w:val="single"/>
        </w:rPr>
      </w:pPr>
      <w:r>
        <w:rPr>
          <w:rFonts w:hint="eastAsia"/>
          <w:color w:val="auto"/>
          <w:szCs w:val="21"/>
          <w:highlight w:val="none"/>
          <w:u w:val="single"/>
        </w:rPr>
        <w:t>（1）监理人应在收到竣工结算申请单后7天内完成核查并报送发包人。发包人在收到监理人提交的经审核的竣工结算申请单后，应提交发包人委托的造价（咨询）监理单位及发包人可能聘请的结算复审单位进行审核，审核最迟在83天内完成。经审核最终竣工结算价款后，由发包人向承包人签发竣工付款证书。</w:t>
      </w:r>
    </w:p>
    <w:p w14:paraId="629271AD">
      <w:pPr>
        <w:adjustRightInd w:val="0"/>
        <w:snapToGrid w:val="0"/>
        <w:spacing w:line="360" w:lineRule="auto"/>
        <w:ind w:firstLine="420"/>
        <w:rPr>
          <w:color w:val="auto"/>
          <w:szCs w:val="21"/>
          <w:highlight w:val="none"/>
          <w:u w:val="single"/>
        </w:rPr>
      </w:pPr>
      <w:r>
        <w:rPr>
          <w:rFonts w:hint="eastAsia"/>
          <w:color w:val="auto"/>
          <w:szCs w:val="21"/>
          <w:highlight w:val="none"/>
          <w:u w:val="single"/>
        </w:rPr>
        <w:t>（2）发生以下情况的，不计入审核、复核期限：</w:t>
      </w:r>
    </w:p>
    <w:p w14:paraId="1CD0EBAC">
      <w:pPr>
        <w:adjustRightInd w:val="0"/>
        <w:snapToGrid w:val="0"/>
        <w:spacing w:line="360" w:lineRule="auto"/>
        <w:ind w:firstLine="420"/>
        <w:rPr>
          <w:color w:val="auto"/>
          <w:szCs w:val="21"/>
          <w:highlight w:val="none"/>
          <w:u w:val="single"/>
        </w:rPr>
      </w:pPr>
      <w:r>
        <w:rPr>
          <w:rFonts w:hint="eastAsia"/>
          <w:color w:val="auto"/>
          <w:szCs w:val="21"/>
          <w:highlight w:val="none"/>
          <w:u w:val="single"/>
        </w:rPr>
        <w:t>a.承包人所提交的竣工结算材料不符合本合同附件发包人要求中的《结算送审资料移交清单》；</w:t>
      </w:r>
    </w:p>
    <w:p w14:paraId="59D70C43">
      <w:pPr>
        <w:adjustRightInd w:val="0"/>
        <w:snapToGrid w:val="0"/>
        <w:spacing w:line="360" w:lineRule="auto"/>
        <w:ind w:firstLine="420"/>
        <w:rPr>
          <w:color w:val="auto"/>
          <w:szCs w:val="21"/>
          <w:highlight w:val="none"/>
          <w:u w:val="single"/>
        </w:rPr>
      </w:pPr>
      <w:r>
        <w:rPr>
          <w:rFonts w:hint="eastAsia"/>
          <w:color w:val="auto"/>
          <w:szCs w:val="21"/>
          <w:highlight w:val="none"/>
          <w:u w:val="single"/>
        </w:rPr>
        <w:t>b.承包人所提供的竣工材料存在错误，需要由承包人重新提供的；</w:t>
      </w:r>
    </w:p>
    <w:p w14:paraId="4D814950">
      <w:pPr>
        <w:widowControl/>
        <w:adjustRightInd w:val="0"/>
        <w:snapToGrid w:val="0"/>
        <w:spacing w:line="360" w:lineRule="auto"/>
        <w:ind w:firstLine="420"/>
        <w:rPr>
          <w:rFonts w:ascii="宋体" w:hAnsi="宋体" w:cs="宋体"/>
          <w:color w:val="auto"/>
          <w:kern w:val="0"/>
          <w:highlight w:val="none"/>
        </w:rPr>
      </w:pPr>
      <w:r>
        <w:rPr>
          <w:rFonts w:hint="eastAsia"/>
          <w:color w:val="auto"/>
          <w:szCs w:val="21"/>
          <w:highlight w:val="none"/>
          <w:u w:val="single"/>
        </w:rPr>
        <w:t>c.发包人对竣工结算申请单有异议的，有权要求承包人进行修正和提供补充资料，承包人应提交修正后的竣工结算申请单</w:t>
      </w:r>
      <w:r>
        <w:rPr>
          <w:rFonts w:hint="eastAsia"/>
          <w:color w:val="auto"/>
          <w:szCs w:val="21"/>
          <w:highlight w:val="none"/>
        </w:rPr>
        <w:t>。</w:t>
      </w:r>
    </w:p>
    <w:p w14:paraId="4F40BD8D">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发包人审批竣工付款申请单的期限：</w:t>
      </w:r>
      <w:r>
        <w:rPr>
          <w:rFonts w:hint="eastAsia"/>
          <w:color w:val="auto"/>
          <w:szCs w:val="21"/>
          <w:highlight w:val="none"/>
          <w:u w:val="single"/>
        </w:rPr>
        <w:t>/</w:t>
      </w:r>
      <w:r>
        <w:rPr>
          <w:rFonts w:hint="eastAsia"/>
          <w:color w:val="auto"/>
          <w:szCs w:val="21"/>
          <w:highlight w:val="none"/>
        </w:rPr>
        <w:t>。</w:t>
      </w:r>
    </w:p>
    <w:p w14:paraId="14A0A41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发包人完成竣工付款的期限：</w:t>
      </w:r>
      <w:r>
        <w:rPr>
          <w:rFonts w:hint="eastAsia"/>
          <w:color w:val="auto"/>
          <w:szCs w:val="21"/>
          <w:highlight w:val="none"/>
          <w:u w:val="single"/>
        </w:rPr>
        <w:t>发包人应在签发竣工付款证书后的45个工作日内，完成对承包人的竣工付款。发包人逾期支付的，按照银行同期活期</w:t>
      </w:r>
      <w:r>
        <w:rPr>
          <w:rFonts w:hint="eastAsia"/>
          <w:color w:val="auto"/>
          <w:szCs w:val="21"/>
          <w:highlight w:val="none"/>
          <w:u w:val="single"/>
        </w:rPr>
        <w:t>存款基准</w:t>
      </w:r>
      <w:r>
        <w:rPr>
          <w:rFonts w:hint="eastAsia"/>
          <w:color w:val="auto"/>
          <w:szCs w:val="21"/>
          <w:highlight w:val="none"/>
          <w:u w:val="single"/>
        </w:rPr>
        <w:t>利率支付违约金</w:t>
      </w:r>
      <w:r>
        <w:rPr>
          <w:rFonts w:hint="eastAsia"/>
          <w:color w:val="auto"/>
          <w:szCs w:val="21"/>
          <w:highlight w:val="none"/>
        </w:rPr>
        <w:t>。</w:t>
      </w:r>
    </w:p>
    <w:p w14:paraId="462599D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关于竣工付款证书异议部分复核的方式和程序：</w:t>
      </w:r>
      <w:r>
        <w:rPr>
          <w:rFonts w:hint="eastAsia"/>
          <w:color w:val="auto"/>
          <w:szCs w:val="21"/>
          <w:highlight w:val="none"/>
          <w:u w:val="single"/>
        </w:rPr>
        <w:t>承包人对发包人签认的竣工付款证书有异议的，对于有异议部分应在收到发包人签认的竣工付款证书后7天内提出异议，并由双方协商处理。对于无异议部分，发包人应签发临时竣工付款证书，并按合同约定的方式完成付款。承包人逾期未提出异议的，视为认可发包人的审批结果。</w:t>
      </w:r>
    </w:p>
    <w:p w14:paraId="3AC523C9">
      <w:pPr>
        <w:adjustRightInd w:val="0"/>
        <w:snapToGrid w:val="0"/>
        <w:spacing w:line="360" w:lineRule="auto"/>
        <w:ind w:firstLine="420"/>
        <w:rPr>
          <w:color w:val="auto"/>
          <w:szCs w:val="21"/>
          <w:highlight w:val="none"/>
          <w:u w:val="single"/>
        </w:rPr>
      </w:pPr>
      <w:bookmarkStart w:id="1763" w:name="OLE_LINK22"/>
      <w:r>
        <w:rPr>
          <w:rFonts w:hint="eastAsia"/>
          <w:color w:val="auto"/>
          <w:szCs w:val="21"/>
          <w:highlight w:val="none"/>
          <w:u w:val="single"/>
        </w:rPr>
        <w:t>结算的审价费用计算及承担：</w:t>
      </w:r>
    </w:p>
    <w:p w14:paraId="6EE7CFE6">
      <w:pPr>
        <w:adjustRightInd w:val="0"/>
        <w:snapToGrid w:val="0"/>
        <w:spacing w:line="360" w:lineRule="auto"/>
        <w:ind w:firstLine="420"/>
        <w:rPr>
          <w:color w:val="auto"/>
          <w:szCs w:val="21"/>
          <w:highlight w:val="none"/>
          <w:u w:val="single"/>
        </w:rPr>
      </w:pPr>
      <w:r>
        <w:rPr>
          <w:rFonts w:hint="eastAsia"/>
          <w:color w:val="auto"/>
          <w:szCs w:val="21"/>
          <w:highlight w:val="none"/>
          <w:u w:val="single"/>
        </w:rPr>
        <w:t>A.审核费按工程竣工结算审减额的6%计取，待三方（发包人、发包人委托的造价咨询人、承包人）确认后计算支付；</w:t>
      </w:r>
    </w:p>
    <w:p w14:paraId="16C1F54F">
      <w:pPr>
        <w:adjustRightInd w:val="0"/>
        <w:snapToGrid w:val="0"/>
        <w:spacing w:line="360" w:lineRule="auto"/>
        <w:ind w:firstLine="420"/>
        <w:rPr>
          <w:color w:val="auto"/>
          <w:szCs w:val="21"/>
          <w:highlight w:val="none"/>
          <w:u w:val="single"/>
        </w:rPr>
      </w:pPr>
      <w:r>
        <w:rPr>
          <w:rFonts w:hint="eastAsia"/>
          <w:color w:val="auto"/>
          <w:szCs w:val="21"/>
          <w:highlight w:val="none"/>
          <w:u w:val="single"/>
        </w:rPr>
        <w:t>B.审增部分不抵扣审减额，审增亦不计算差额审核费。</w:t>
      </w:r>
    </w:p>
    <w:p w14:paraId="2FFC1459">
      <w:pPr>
        <w:adjustRightInd w:val="0"/>
        <w:snapToGrid w:val="0"/>
        <w:spacing w:line="360" w:lineRule="auto"/>
        <w:ind w:firstLine="420"/>
        <w:rPr>
          <w:color w:val="auto"/>
          <w:szCs w:val="21"/>
          <w:highlight w:val="none"/>
          <w:u w:val="single"/>
        </w:rPr>
      </w:pPr>
      <w:r>
        <w:rPr>
          <w:rFonts w:hint="eastAsia"/>
          <w:color w:val="auto"/>
          <w:szCs w:val="21"/>
          <w:highlight w:val="none"/>
          <w:u w:val="single"/>
        </w:rPr>
        <w:t>C.根据计算得到的工程竣工结算审减率，由发包人和承包人分摊该审核费，其中审减率在5%以内的工程结算差额审核费由发包人承担（已包含在合同价款内），超过5%以上的费用均由工程项目的承包人承担；</w:t>
      </w:r>
    </w:p>
    <w:p w14:paraId="609B1B2C">
      <w:pPr>
        <w:adjustRightInd w:val="0"/>
        <w:snapToGrid w:val="0"/>
        <w:spacing w:line="360" w:lineRule="auto"/>
        <w:ind w:firstLine="420"/>
        <w:rPr>
          <w:rFonts w:hint="eastAsia" w:ascii="Times New Roman" w:hAnsi="Times New Roman" w:cs="Times New Roman"/>
          <w:b w:val="0"/>
          <w:bCs/>
          <w:color w:val="auto"/>
          <w:kern w:val="0"/>
          <w:sz w:val="28"/>
          <w:highlight w:val="none"/>
          <w:u w:val="none"/>
          <w:lang w:val="en-US" w:eastAsia="zh-CN"/>
        </w:rPr>
      </w:pPr>
      <w:r>
        <w:rPr>
          <w:rFonts w:hint="eastAsia"/>
          <w:color w:val="auto"/>
          <w:szCs w:val="21"/>
          <w:highlight w:val="none"/>
          <w:u w:val="single"/>
        </w:rPr>
        <w:t>D.</w:t>
      </w:r>
      <w:r>
        <w:rPr>
          <w:rFonts w:hint="eastAsia"/>
          <w:color w:val="auto"/>
          <w:szCs w:val="21"/>
          <w:highlight w:val="none"/>
          <w:u w:val="single"/>
          <w:lang w:val="en-US" w:eastAsia="zh-CN"/>
        </w:rPr>
        <w:t>{审减率}=({上报结算金额}-{最终确认的审后结算金额</w:t>
      </w:r>
      <w:r>
        <w:rPr>
          <w:rFonts w:hint="eastAsia"/>
          <w:color w:val="auto"/>
          <w:szCs w:val="21"/>
          <w:highlight w:val="none"/>
          <w:u w:val="single"/>
          <w:lang w:val="en-US" w:eastAsia="zh-CN"/>
        </w:rPr>
        <w:t>-</w:t>
      </w:r>
      <w:bookmarkStart w:id="1764" w:name="OLE_LINK2"/>
      <w:r>
        <w:rPr>
          <w:rFonts w:hint="eastAsia"/>
          <w:color w:val="auto"/>
          <w:szCs w:val="21"/>
          <w:highlight w:val="none"/>
          <w:u w:val="single"/>
          <w:lang w:val="en-US" w:eastAsia="zh-CN"/>
        </w:rPr>
        <w:t>审增部分金额</w:t>
      </w:r>
      <w:bookmarkEnd w:id="1764"/>
      <w:r>
        <w:rPr>
          <w:rFonts w:hint="eastAsia"/>
          <w:color w:val="auto"/>
          <w:szCs w:val="21"/>
          <w:highlight w:val="none"/>
          <w:u w:val="single"/>
          <w:lang w:val="en-US" w:eastAsia="zh-CN"/>
        </w:rPr>
        <w:t>})/{上报结算金额}；</w:t>
      </w:r>
    </w:p>
    <w:p w14:paraId="4642D572">
      <w:pPr>
        <w:adjustRightInd w:val="0"/>
        <w:snapToGrid w:val="0"/>
        <w:spacing w:line="360" w:lineRule="auto"/>
        <w:ind w:firstLine="420"/>
        <w:rPr>
          <w:color w:val="auto"/>
          <w:szCs w:val="21"/>
          <w:highlight w:val="none"/>
          <w:u w:val="single"/>
        </w:rPr>
      </w:pPr>
      <w:r>
        <w:rPr>
          <w:rFonts w:hint="eastAsia"/>
          <w:color w:val="auto"/>
          <w:szCs w:val="21"/>
          <w:highlight w:val="none"/>
          <w:u w:val="single"/>
        </w:rPr>
        <w:t>E.当{审减率}&gt;5%时，{审价费}=({上报结算金额}-{最终确认的审后结算金额</w:t>
      </w:r>
      <w:r>
        <w:rPr>
          <w:rFonts w:hint="eastAsia"/>
          <w:color w:val="auto"/>
          <w:szCs w:val="21"/>
          <w:highlight w:val="none"/>
          <w:u w:val="single"/>
          <w:lang w:val="en-US" w:eastAsia="zh-CN"/>
        </w:rPr>
        <w:t>-审增部分金额</w:t>
      </w:r>
      <w:r>
        <w:rPr>
          <w:rFonts w:hint="eastAsia"/>
          <w:color w:val="auto"/>
          <w:szCs w:val="21"/>
          <w:highlight w:val="none"/>
          <w:u w:val="single"/>
        </w:rPr>
        <w:t>})×6%- {上报结算金额}×6%×5%；</w:t>
      </w:r>
    </w:p>
    <w:p w14:paraId="099469FE">
      <w:pPr>
        <w:adjustRightInd w:val="0"/>
        <w:snapToGrid w:val="0"/>
        <w:spacing w:line="360" w:lineRule="auto"/>
        <w:ind w:firstLine="420"/>
        <w:rPr>
          <w:rFonts w:hint="eastAsia"/>
          <w:color w:val="auto"/>
          <w:szCs w:val="21"/>
          <w:highlight w:val="none"/>
          <w:u w:val="single"/>
        </w:rPr>
      </w:pPr>
      <w:r>
        <w:rPr>
          <w:rFonts w:hint="eastAsia"/>
          <w:color w:val="auto"/>
          <w:szCs w:val="21"/>
          <w:highlight w:val="none"/>
          <w:u w:val="single"/>
        </w:rPr>
        <w:t>F.依据发包人与第三方造价咨询人签订的咨询合同，属于承包人承担的审核费</w:t>
      </w:r>
      <w:r>
        <w:rPr>
          <w:rFonts w:hint="eastAsia"/>
          <w:color w:val="auto"/>
          <w:szCs w:val="21"/>
          <w:highlight w:val="none"/>
          <w:u w:val="single"/>
          <w:lang w:eastAsia="zh-CN"/>
        </w:rPr>
        <w:t>（</w:t>
      </w:r>
      <w:r>
        <w:rPr>
          <w:rFonts w:hint="eastAsia"/>
          <w:color w:val="auto"/>
          <w:szCs w:val="21"/>
          <w:highlight w:val="none"/>
          <w:u w:val="single"/>
          <w:lang w:val="en-US" w:eastAsia="zh-CN"/>
        </w:rPr>
        <w:t>含税价）</w:t>
      </w:r>
      <w:r>
        <w:rPr>
          <w:rFonts w:hint="eastAsia"/>
          <w:color w:val="auto"/>
          <w:szCs w:val="21"/>
          <w:highlight w:val="none"/>
          <w:u w:val="single"/>
        </w:rPr>
        <w:t>由发包人在承包人的结算款中扣除，直接支付给咨询人</w:t>
      </w:r>
      <w:bookmarkStart w:id="1765" w:name="OLE_LINK5"/>
      <w:r>
        <w:rPr>
          <w:rFonts w:hint="eastAsia"/>
          <w:color w:val="auto"/>
          <w:szCs w:val="21"/>
          <w:highlight w:val="none"/>
          <w:u w:val="single"/>
          <w:lang w:eastAsia="zh-CN"/>
        </w:rPr>
        <w:t>（</w:t>
      </w:r>
      <w:r>
        <w:rPr>
          <w:rFonts w:hint="eastAsia"/>
          <w:color w:val="auto"/>
          <w:szCs w:val="21"/>
          <w:highlight w:val="none"/>
          <w:u w:val="single"/>
          <w:lang w:val="en-US" w:eastAsia="zh-CN"/>
        </w:rPr>
        <w:t>不含税价一致）</w:t>
      </w:r>
      <w:bookmarkEnd w:id="1765"/>
      <w:r>
        <w:rPr>
          <w:rFonts w:hint="eastAsia"/>
          <w:color w:val="auto"/>
          <w:szCs w:val="21"/>
          <w:highlight w:val="none"/>
          <w:u w:val="single"/>
        </w:rPr>
        <w:t>。</w:t>
      </w:r>
    </w:p>
    <w:p w14:paraId="2CF31DC9">
      <w:pPr>
        <w:adjustRightInd w:val="0"/>
        <w:snapToGrid w:val="0"/>
        <w:spacing w:line="360" w:lineRule="auto"/>
        <w:ind w:firstLine="420"/>
        <w:rPr>
          <w:rFonts w:hint="eastAsia"/>
          <w:color w:val="auto"/>
          <w:szCs w:val="21"/>
          <w:highlight w:val="none"/>
          <w:u w:val="single"/>
        </w:rPr>
      </w:pPr>
      <w:r>
        <w:rPr>
          <w:rFonts w:hint="eastAsia"/>
          <w:color w:val="auto"/>
          <w:szCs w:val="21"/>
          <w:highlight w:val="none"/>
          <w:u w:val="single"/>
          <w:lang w:val="en-US" w:eastAsia="zh-CN"/>
        </w:rPr>
        <w:t>G.</w:t>
      </w:r>
      <w:r>
        <w:rPr>
          <w:rFonts w:hint="eastAsia"/>
          <w:color w:val="auto"/>
          <w:szCs w:val="21"/>
          <w:highlight w:val="none"/>
          <w:u w:val="single"/>
        </w:rPr>
        <w:t>在竣工结算审计阶段，审计效益服务费</w:t>
      </w:r>
      <w:r>
        <w:rPr>
          <w:rFonts w:hint="eastAsia"/>
          <w:color w:val="auto"/>
          <w:szCs w:val="21"/>
          <w:highlight w:val="none"/>
          <w:u w:val="single"/>
          <w:lang w:eastAsia="zh-CN"/>
        </w:rPr>
        <w:t>（</w:t>
      </w:r>
      <w:r>
        <w:rPr>
          <w:rFonts w:hint="eastAsia"/>
          <w:color w:val="auto"/>
          <w:szCs w:val="21"/>
          <w:highlight w:val="none"/>
          <w:u w:val="single"/>
          <w:lang w:val="en-US" w:eastAsia="zh-CN"/>
        </w:rPr>
        <w:t>含税价）由承包人承担，审计效益服务费根据甲方与结算复审单位签订的协议确定，</w:t>
      </w:r>
      <w:r>
        <w:rPr>
          <w:rFonts w:hint="eastAsia"/>
          <w:color w:val="auto"/>
          <w:szCs w:val="21"/>
          <w:highlight w:val="none"/>
          <w:u w:val="single"/>
        </w:rPr>
        <w:t>由发包人扣除后，支付给由发包人聘请的结算复审单位</w:t>
      </w:r>
      <w:r>
        <w:rPr>
          <w:rFonts w:hint="eastAsia"/>
          <w:color w:val="auto"/>
          <w:szCs w:val="21"/>
          <w:highlight w:val="none"/>
          <w:u w:val="single"/>
          <w:lang w:eastAsia="zh-CN"/>
        </w:rPr>
        <w:t>（</w:t>
      </w:r>
      <w:r>
        <w:rPr>
          <w:rFonts w:hint="eastAsia"/>
          <w:color w:val="auto"/>
          <w:szCs w:val="21"/>
          <w:highlight w:val="none"/>
          <w:u w:val="single"/>
          <w:lang w:val="en-US" w:eastAsia="zh-CN"/>
        </w:rPr>
        <w:t>不含税价一致）。</w:t>
      </w:r>
    </w:p>
    <w:p w14:paraId="379CC84F">
      <w:pPr>
        <w:adjustRightInd w:val="0"/>
        <w:snapToGrid w:val="0"/>
        <w:spacing w:line="360" w:lineRule="auto"/>
        <w:ind w:firstLine="420"/>
        <w:rPr>
          <w:rFonts w:hint="eastAsia" w:eastAsia="宋体"/>
          <w:color w:val="auto"/>
          <w:szCs w:val="21"/>
          <w:highlight w:val="none"/>
          <w:lang w:val="en-US" w:eastAsia="zh-CN"/>
        </w:rPr>
      </w:pPr>
      <w:r>
        <w:rPr>
          <w:rFonts w:hint="eastAsia"/>
          <w:color w:val="auto"/>
          <w:szCs w:val="21"/>
          <w:highlight w:val="none"/>
          <w:u w:val="single"/>
        </w:rPr>
        <w:t>其他内容遵守《通用条款》。</w:t>
      </w:r>
      <w:r>
        <w:rPr>
          <w:rFonts w:hint="eastAsia"/>
          <w:color w:val="auto"/>
          <w:szCs w:val="21"/>
          <w:highlight w:val="none"/>
          <w:u w:val="single"/>
          <w:lang w:val="en-US" w:eastAsia="zh-CN"/>
        </w:rPr>
        <w:t xml:space="preserve"> </w:t>
      </w:r>
    </w:p>
    <w:bookmarkEnd w:id="1763"/>
    <w:p w14:paraId="1624AD83">
      <w:pPr>
        <w:widowControl/>
        <w:adjustRightInd w:val="0"/>
        <w:snapToGrid w:val="0"/>
        <w:spacing w:after="120" w:afterLines="50" w:line="360" w:lineRule="auto"/>
        <w:ind w:firstLine="420" w:firstLineChars="200"/>
        <w:rPr>
          <w:rFonts w:ascii="宋体" w:hAnsi="宋体" w:cs="宋体"/>
          <w:color w:val="auto"/>
          <w:kern w:val="0"/>
          <w:highlight w:val="none"/>
          <w:u w:val="single"/>
        </w:rPr>
      </w:pPr>
      <w:r>
        <w:rPr>
          <w:rFonts w:hint="eastAsia" w:ascii="宋体" w:hAnsi="宋体" w:cs="宋体"/>
          <w:color w:val="auto"/>
          <w:kern w:val="0"/>
          <w:szCs w:val="21"/>
          <w:highlight w:val="none"/>
          <w:lang w:bidi="ar"/>
        </w:rPr>
        <w:t>14.5.3.4其他费用结算原则：</w:t>
      </w:r>
      <w:r>
        <w:rPr>
          <w:rFonts w:hint="eastAsia" w:ascii="宋体" w:hAnsi="宋体" w:cs="宋体"/>
          <w:color w:val="auto"/>
          <w:kern w:val="0"/>
          <w:szCs w:val="21"/>
          <w:highlight w:val="none"/>
          <w:u w:val="single"/>
          <w:lang w:bidi="ar"/>
        </w:rPr>
        <w:t xml:space="preserve">  /   。</w:t>
      </w:r>
    </w:p>
    <w:p w14:paraId="5F56A304">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14.6 质量保证金</w:t>
      </w:r>
    </w:p>
    <w:p w14:paraId="09329E42">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14.6.1 承包人提供质量保证金的方式</w:t>
      </w:r>
    </w:p>
    <w:p w14:paraId="01E816A9">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质量保证金采用以下第</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种方式：</w:t>
      </w:r>
    </w:p>
    <w:p w14:paraId="04316773">
      <w:pPr>
        <w:adjustRightInd w:val="0"/>
        <w:snapToGrid w:val="0"/>
        <w:spacing w:line="360" w:lineRule="auto"/>
        <w:ind w:firstLine="420" w:firstLineChars="200"/>
        <w:rPr>
          <w:color w:val="auto"/>
          <w:szCs w:val="21"/>
          <w:highlight w:val="none"/>
        </w:rPr>
      </w:pPr>
      <w:bookmarkStart w:id="1766" w:name="OLE_LINK23"/>
      <w:r>
        <w:rPr>
          <w:rFonts w:hint="eastAsia" w:ascii="宋体" w:hAnsi="宋体" w:cs="宋体"/>
          <w:color w:val="auto"/>
          <w:kern w:val="0"/>
          <w:szCs w:val="21"/>
          <w:highlight w:val="none"/>
          <w:lang w:bidi="ar"/>
        </w:rPr>
        <w:t>（1）</w:t>
      </w:r>
      <w:r>
        <w:rPr>
          <w:rFonts w:hint="eastAsia"/>
          <w:color w:val="auto"/>
          <w:szCs w:val="21"/>
          <w:highlight w:val="none"/>
        </w:rPr>
        <w:t>工程质量保证担保</w:t>
      </w:r>
      <w:r>
        <w:rPr>
          <w:color w:val="auto"/>
          <w:szCs w:val="21"/>
          <w:highlight w:val="none"/>
        </w:rPr>
        <w:t>，保证金额为：</w:t>
      </w:r>
      <w:r>
        <w:rPr>
          <w:color w:val="auto"/>
          <w:szCs w:val="21"/>
          <w:highlight w:val="none"/>
          <w:u w:val="single"/>
        </w:rPr>
        <w:t xml:space="preserve">  /  </w:t>
      </w:r>
      <w:r>
        <w:rPr>
          <w:rFonts w:hint="eastAsia"/>
          <w:color w:val="auto"/>
          <w:szCs w:val="21"/>
          <w:highlight w:val="none"/>
        </w:rPr>
        <w:t>；</w:t>
      </w:r>
    </w:p>
    <w:bookmarkEnd w:id="1766"/>
    <w:p w14:paraId="7327B3B7">
      <w:pPr>
        <w:widowControl/>
        <w:adjustRightInd w:val="0"/>
        <w:snapToGrid w:val="0"/>
        <w:spacing w:after="120" w:afterLines="50" w:line="360" w:lineRule="auto"/>
        <w:ind w:firstLine="420" w:firstLineChars="200"/>
        <w:rPr>
          <w:rFonts w:ascii="宋体" w:hAnsi="宋体" w:cs="宋体"/>
          <w:color w:val="auto"/>
          <w:kern w:val="0"/>
          <w:highlight w:val="none"/>
        </w:rPr>
      </w:pPr>
      <w:bookmarkStart w:id="1767" w:name="OLE_LINK25"/>
      <w:bookmarkStart w:id="1768" w:name="OLE_LINK24"/>
      <w:r>
        <w:rPr>
          <w:rFonts w:hint="eastAsia" w:ascii="宋体" w:hAnsi="宋体" w:cs="宋体"/>
          <w:color w:val="auto"/>
          <w:kern w:val="0"/>
          <w:szCs w:val="21"/>
          <w:highlight w:val="none"/>
          <w:lang w:bidi="ar"/>
        </w:rPr>
        <w:t>（2）</w:t>
      </w:r>
      <w:bookmarkEnd w:id="1767"/>
      <w:r>
        <w:rPr>
          <w:rFonts w:hint="eastAsia" w:ascii="宋体" w:hAnsi="宋体" w:cs="宋体"/>
          <w:color w:val="auto"/>
          <w:kern w:val="0"/>
          <w:szCs w:val="21"/>
          <w:highlight w:val="none"/>
          <w:lang w:bidi="ar"/>
        </w:rPr>
        <w:t>竣</w:t>
      </w:r>
      <w:bookmarkEnd w:id="1768"/>
      <w:r>
        <w:rPr>
          <w:rFonts w:hint="eastAsia" w:ascii="宋体" w:hAnsi="宋体" w:cs="宋体"/>
          <w:color w:val="auto"/>
          <w:kern w:val="0"/>
          <w:szCs w:val="21"/>
          <w:highlight w:val="none"/>
          <w:lang w:bidi="ar"/>
        </w:rPr>
        <w:t>工结算价的</w:t>
      </w:r>
      <w:r>
        <w:rPr>
          <w:rFonts w:hint="eastAsia" w:ascii="宋体" w:hAnsi="宋体" w:cs="宋体"/>
          <w:color w:val="auto"/>
          <w:kern w:val="0"/>
          <w:szCs w:val="21"/>
          <w:highlight w:val="none"/>
          <w:u w:val="single"/>
          <w:lang w:bidi="ar"/>
        </w:rPr>
        <w:t xml:space="preserve">  3  </w:t>
      </w:r>
      <w:r>
        <w:rPr>
          <w:rFonts w:hint="eastAsia" w:ascii="宋体" w:hAnsi="宋体" w:cs="宋体"/>
          <w:color w:val="auto"/>
          <w:kern w:val="0"/>
          <w:szCs w:val="21"/>
          <w:highlight w:val="none"/>
          <w:lang w:bidi="ar"/>
        </w:rPr>
        <w:t>%；</w:t>
      </w:r>
    </w:p>
    <w:p w14:paraId="43CA8D8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（3）其他方式：</w:t>
      </w:r>
      <w:r>
        <w:rPr>
          <w:rFonts w:hint="eastAsia" w:ascii="宋体" w:hAnsi="宋体" w:cs="宋体"/>
          <w:color w:val="auto"/>
          <w:kern w:val="0"/>
          <w:szCs w:val="21"/>
          <w:highlight w:val="none"/>
          <w:u w:val="single"/>
          <w:lang w:bidi="ar"/>
        </w:rPr>
        <w:t>/</w:t>
      </w:r>
      <w:r>
        <w:rPr>
          <w:rFonts w:hint="eastAsia" w:ascii="宋体" w:hAnsi="宋体" w:cs="宋体"/>
          <w:color w:val="auto"/>
          <w:kern w:val="0"/>
          <w:szCs w:val="21"/>
          <w:highlight w:val="none"/>
          <w:lang w:bidi="ar"/>
        </w:rPr>
        <w:t>。</w:t>
      </w:r>
    </w:p>
    <w:p w14:paraId="34235F51">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14.6.2 质量保证金的预留</w:t>
      </w:r>
    </w:p>
    <w:p w14:paraId="3B62C330">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质量保证金的预留采取以下第</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种方式：</w:t>
      </w:r>
    </w:p>
    <w:p w14:paraId="4DDB13F5">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（1）在支付工程进度款时逐次预留的质量保证金的比例：</w:t>
      </w:r>
      <w:r>
        <w:rPr>
          <w:rFonts w:hint="eastAsia" w:ascii="宋体" w:hAnsi="宋体" w:cs="宋体"/>
          <w:color w:val="auto"/>
          <w:kern w:val="0"/>
          <w:szCs w:val="21"/>
          <w:highlight w:val="none"/>
          <w:u w:val="single"/>
          <w:lang w:bidi="ar"/>
        </w:rPr>
        <w:t xml:space="preserve"> /  </w:t>
      </w:r>
      <w:r>
        <w:rPr>
          <w:rFonts w:hint="eastAsia" w:ascii="宋体" w:hAnsi="宋体" w:cs="宋体"/>
          <w:color w:val="auto"/>
          <w:kern w:val="0"/>
          <w:szCs w:val="21"/>
          <w:highlight w:val="none"/>
          <w:lang w:bidi="ar"/>
        </w:rPr>
        <w:t>，在此情形下，质量保证金的计算基数不包括预付款的支付、扣回以及价格调整的金额；</w:t>
      </w:r>
    </w:p>
    <w:p w14:paraId="48E5FB53">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（2）工程竣工结算时一次性预留专用合同条件第14.6.1项第（2）目约定比例的的质量保证金；</w:t>
      </w:r>
    </w:p>
    <w:p w14:paraId="3AD1EE47">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（3）其他预留方式: </w:t>
      </w:r>
      <w:r>
        <w:rPr>
          <w:rFonts w:hint="eastAsia" w:ascii="宋体" w:hAnsi="宋体" w:cs="宋体"/>
          <w:color w:val="auto"/>
          <w:kern w:val="0"/>
          <w:szCs w:val="21"/>
          <w:highlight w:val="none"/>
          <w:u w:val="single"/>
          <w:lang w:bidi="ar"/>
        </w:rPr>
        <w:t xml:space="preserve">      /   </w:t>
      </w:r>
      <w:r>
        <w:rPr>
          <w:rFonts w:hint="eastAsia" w:ascii="宋体" w:hAnsi="宋体" w:cs="宋体"/>
          <w:color w:val="auto"/>
          <w:kern w:val="0"/>
          <w:szCs w:val="21"/>
          <w:highlight w:val="none"/>
          <w:lang w:bidi="ar"/>
        </w:rPr>
        <w:t>。</w:t>
      </w:r>
    </w:p>
    <w:p w14:paraId="24B2C1F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14.6.3 质量保证金的返还</w:t>
      </w:r>
    </w:p>
    <w:p w14:paraId="7E1F301E">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1）</w:t>
      </w:r>
      <w:bookmarkStart w:id="1769" w:name="_Hlk114125318"/>
      <w:r>
        <w:rPr>
          <w:rFonts w:hint="eastAsia"/>
          <w:color w:val="auto"/>
          <w:szCs w:val="21"/>
          <w:highlight w:val="none"/>
          <w:u w:val="single"/>
        </w:rPr>
        <w:t>在质保期间无质量问题且经发包人确认在工程五方验收通过满2年后第一个月内无息退还</w:t>
      </w:r>
      <w:bookmarkEnd w:id="1769"/>
      <w:r>
        <w:rPr>
          <w:rFonts w:hint="eastAsia"/>
          <w:color w:val="auto"/>
          <w:szCs w:val="21"/>
          <w:highlight w:val="none"/>
        </w:rPr>
        <w:t>。</w:t>
      </w:r>
    </w:p>
    <w:p w14:paraId="157EF9E8">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（2）缺陷责任期内，承包人认真履行合同约定的责任，到期后，承包人可向发包人申请返还质量保证金。</w:t>
      </w:r>
    </w:p>
    <w:p w14:paraId="0D387ACB">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（3）质量保证金是否支付利息采取以下第</w:t>
      </w:r>
      <w:r>
        <w:rPr>
          <w:rFonts w:hint="eastAsia" w:ascii="宋体" w:hAnsi="宋体" w:cs="宋体"/>
          <w:color w:val="auto"/>
          <w:kern w:val="0"/>
          <w:szCs w:val="21"/>
          <w:highlight w:val="none"/>
          <w:u w:val="single"/>
          <w:lang w:bidi="ar"/>
        </w:rPr>
        <w:t>②</w:t>
      </w:r>
      <w:r>
        <w:rPr>
          <w:rFonts w:hint="eastAsia" w:ascii="宋体" w:hAnsi="宋体" w:cs="宋体"/>
          <w:color w:val="auto"/>
          <w:kern w:val="0"/>
          <w:szCs w:val="21"/>
          <w:highlight w:val="none"/>
          <w:lang w:bidi="ar"/>
        </w:rPr>
        <w:t>种方式：</w:t>
      </w:r>
    </w:p>
    <w:p w14:paraId="168347DC">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①按照中国人民银行  年  月公布的5年期贷款市场报价利率支付利息。</w:t>
      </w:r>
    </w:p>
    <w:p w14:paraId="186F87DF">
      <w:pPr>
        <w:widowControl/>
        <w:adjustRightInd w:val="0"/>
        <w:snapToGrid w:val="0"/>
        <w:spacing w:after="120"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②不采用。</w:t>
      </w:r>
    </w:p>
    <w:p w14:paraId="540B63C6">
      <w:pPr>
        <w:adjustRightInd w:val="0"/>
        <w:snapToGrid w:val="0"/>
        <w:spacing w:line="360" w:lineRule="auto"/>
        <w:ind w:firstLine="420"/>
        <w:rPr>
          <w:color w:val="auto"/>
          <w:szCs w:val="21"/>
          <w:highlight w:val="none"/>
        </w:rPr>
      </w:pPr>
      <w:r>
        <w:rPr>
          <w:color w:val="auto"/>
          <w:szCs w:val="21"/>
          <w:highlight w:val="none"/>
        </w:rPr>
        <w:t xml:space="preserve">14.7 </w:t>
      </w:r>
      <w:r>
        <w:rPr>
          <w:rFonts w:hint="eastAsia"/>
          <w:color w:val="auto"/>
          <w:szCs w:val="21"/>
          <w:highlight w:val="none"/>
        </w:rPr>
        <w:t>最终结清</w:t>
      </w:r>
    </w:p>
    <w:p w14:paraId="331A9A01">
      <w:pPr>
        <w:adjustRightInd w:val="0"/>
        <w:snapToGrid w:val="0"/>
        <w:spacing w:line="360" w:lineRule="auto"/>
        <w:ind w:firstLine="420"/>
        <w:rPr>
          <w:color w:val="auto"/>
          <w:szCs w:val="21"/>
          <w:highlight w:val="none"/>
        </w:rPr>
      </w:pPr>
      <w:r>
        <w:rPr>
          <w:color w:val="auto"/>
          <w:szCs w:val="21"/>
          <w:highlight w:val="none"/>
        </w:rPr>
        <w:t xml:space="preserve">14.7.1 </w:t>
      </w:r>
      <w:r>
        <w:rPr>
          <w:rFonts w:hint="eastAsia"/>
          <w:color w:val="auto"/>
          <w:szCs w:val="21"/>
          <w:highlight w:val="none"/>
        </w:rPr>
        <w:t>最终结清申请单</w:t>
      </w:r>
    </w:p>
    <w:p w14:paraId="6985F241">
      <w:pPr>
        <w:adjustRightInd w:val="0"/>
        <w:snapToGrid w:val="0"/>
        <w:spacing w:line="360" w:lineRule="auto"/>
        <w:ind w:firstLine="420"/>
        <w:rPr>
          <w:color w:val="auto"/>
          <w:szCs w:val="21"/>
          <w:highlight w:val="none"/>
        </w:rPr>
      </w:pPr>
      <w:r>
        <w:rPr>
          <w:rFonts w:hint="eastAsia"/>
          <w:color w:val="auto"/>
          <w:szCs w:val="21"/>
          <w:highlight w:val="none"/>
        </w:rPr>
        <w:t>当事人双方关于最终结清申请的其他约定：</w:t>
      </w:r>
      <w:r>
        <w:rPr>
          <w:rFonts w:hint="eastAsia"/>
          <w:color w:val="auto"/>
          <w:szCs w:val="21"/>
          <w:highlight w:val="none"/>
          <w:u w:val="single"/>
        </w:rPr>
        <w:t>（1）在缺陷责任期完成后，由承包人提交最终结清申请；发包人在收到申请后的14天内进行回复 ，经双方确认后完成最终结清金额。  （2）</w:t>
      </w:r>
      <w:r>
        <w:rPr>
          <w:rFonts w:hint="eastAsia"/>
          <w:color w:val="auto"/>
          <w:szCs w:val="21"/>
          <w:highlight w:val="none"/>
        </w:rPr>
        <w:t>自承包人递交经发包人或发包人委托的第三方造价咨询单位所需的全部符合要求的支持性要件后，</w:t>
      </w:r>
      <w:r>
        <w:rPr>
          <w:color w:val="auto"/>
          <w:szCs w:val="21"/>
          <w:highlight w:val="none"/>
        </w:rPr>
        <w:t>60</w:t>
      </w:r>
      <w:r>
        <w:rPr>
          <w:rFonts w:hint="eastAsia"/>
          <w:color w:val="auto"/>
          <w:szCs w:val="21"/>
          <w:highlight w:val="none"/>
        </w:rPr>
        <w:t>个工作日内完成结清申请</w:t>
      </w:r>
      <w:r>
        <w:rPr>
          <w:rFonts w:hint="eastAsia"/>
          <w:color w:val="auto"/>
          <w:szCs w:val="21"/>
          <w:highlight w:val="none"/>
        </w:rPr>
        <w:t>。</w:t>
      </w:r>
    </w:p>
    <w:p w14:paraId="39465094">
      <w:pPr>
        <w:adjustRightInd w:val="0"/>
        <w:snapToGrid w:val="0"/>
        <w:spacing w:line="360" w:lineRule="auto"/>
        <w:ind w:firstLine="420"/>
        <w:rPr>
          <w:color w:val="auto"/>
          <w:szCs w:val="21"/>
          <w:highlight w:val="none"/>
        </w:rPr>
      </w:pPr>
    </w:p>
    <w:p w14:paraId="4E91C3AA">
      <w:pPr>
        <w:adjustRightInd w:val="0"/>
        <w:snapToGrid w:val="0"/>
        <w:spacing w:line="360" w:lineRule="auto"/>
        <w:ind w:firstLine="420"/>
        <w:rPr>
          <w:color w:val="auto"/>
          <w:szCs w:val="21"/>
          <w:highlight w:val="none"/>
        </w:rPr>
      </w:pPr>
      <w:r>
        <w:rPr>
          <w:color w:val="auto"/>
          <w:szCs w:val="21"/>
          <w:highlight w:val="none"/>
        </w:rPr>
        <w:t xml:space="preserve">14.7.2 </w:t>
      </w:r>
      <w:r>
        <w:rPr>
          <w:rFonts w:hint="eastAsia"/>
          <w:color w:val="auto"/>
          <w:szCs w:val="21"/>
          <w:highlight w:val="none"/>
        </w:rPr>
        <w:t>最终结清证书和支付</w:t>
      </w:r>
    </w:p>
    <w:p w14:paraId="40328280">
      <w:pPr>
        <w:adjustRightInd w:val="0"/>
        <w:snapToGrid w:val="0"/>
        <w:spacing w:line="360" w:lineRule="auto"/>
        <w:ind w:firstLine="420"/>
        <w:rPr>
          <w:color w:val="auto"/>
          <w:szCs w:val="21"/>
          <w:highlight w:val="none"/>
        </w:rPr>
      </w:pPr>
      <w:r>
        <w:rPr>
          <w:rFonts w:hint="eastAsia"/>
          <w:color w:val="auto"/>
          <w:szCs w:val="21"/>
          <w:highlight w:val="none"/>
        </w:rPr>
        <w:t>当事人双方关于最终结清支付的其他约定：</w:t>
      </w:r>
      <w:r>
        <w:rPr>
          <w:rFonts w:hint="eastAsia"/>
          <w:color w:val="auto"/>
          <w:szCs w:val="21"/>
          <w:highlight w:val="none"/>
          <w:u w:val="single"/>
        </w:rPr>
        <w:t>无</w:t>
      </w:r>
      <w:r>
        <w:rPr>
          <w:rFonts w:hint="eastAsia"/>
          <w:color w:val="auto"/>
          <w:szCs w:val="21"/>
          <w:highlight w:val="none"/>
        </w:rPr>
        <w:t>。</w:t>
      </w:r>
    </w:p>
    <w:p w14:paraId="13898899">
      <w:pPr>
        <w:adjustRightInd w:val="0"/>
        <w:snapToGrid w:val="0"/>
        <w:spacing w:line="360" w:lineRule="auto"/>
        <w:ind w:left="630" w:hanging="630" w:hangingChars="300"/>
        <w:outlineLvl w:val="2"/>
        <w:rPr>
          <w:color w:val="auto"/>
          <w:szCs w:val="21"/>
          <w:highlight w:val="none"/>
        </w:rPr>
      </w:pPr>
      <w:bookmarkStart w:id="1770" w:name="_Toc179885410"/>
      <w:bookmarkStart w:id="1771" w:name="_Toc142406691"/>
      <w:bookmarkStart w:id="1772" w:name="_Toc54862346"/>
      <w:r>
        <w:rPr>
          <w:rFonts w:hint="eastAsia"/>
          <w:color w:val="auto"/>
          <w:szCs w:val="21"/>
          <w:highlight w:val="none"/>
        </w:rPr>
        <w:t>第</w:t>
      </w:r>
      <w:r>
        <w:rPr>
          <w:color w:val="auto"/>
          <w:szCs w:val="21"/>
          <w:highlight w:val="none"/>
        </w:rPr>
        <w:t>15条</w:t>
      </w:r>
      <w:r>
        <w:rPr>
          <w:rFonts w:hint="eastAsia"/>
          <w:color w:val="auto"/>
          <w:szCs w:val="21"/>
          <w:highlight w:val="none"/>
        </w:rPr>
        <w:t xml:space="preserve"> 违约</w:t>
      </w:r>
      <w:bookmarkEnd w:id="1770"/>
      <w:bookmarkEnd w:id="1771"/>
      <w:bookmarkEnd w:id="1772"/>
    </w:p>
    <w:p w14:paraId="15299239">
      <w:pPr>
        <w:adjustRightInd w:val="0"/>
        <w:snapToGrid w:val="0"/>
        <w:spacing w:line="360" w:lineRule="auto"/>
        <w:ind w:firstLine="420"/>
        <w:rPr>
          <w:color w:val="auto"/>
          <w:szCs w:val="21"/>
          <w:highlight w:val="none"/>
        </w:rPr>
      </w:pPr>
      <w:r>
        <w:rPr>
          <w:color w:val="auto"/>
          <w:szCs w:val="21"/>
          <w:highlight w:val="none"/>
        </w:rPr>
        <w:t xml:space="preserve">15.1 </w:t>
      </w:r>
      <w:r>
        <w:rPr>
          <w:rFonts w:hint="eastAsia"/>
          <w:color w:val="auto"/>
          <w:szCs w:val="21"/>
          <w:highlight w:val="none"/>
        </w:rPr>
        <w:t>发包人违约</w:t>
      </w:r>
    </w:p>
    <w:p w14:paraId="5D4EC1E1">
      <w:pPr>
        <w:adjustRightInd w:val="0"/>
        <w:snapToGrid w:val="0"/>
        <w:spacing w:line="360" w:lineRule="auto"/>
        <w:ind w:firstLine="420"/>
        <w:rPr>
          <w:color w:val="auto"/>
          <w:szCs w:val="21"/>
          <w:highlight w:val="none"/>
        </w:rPr>
      </w:pPr>
      <w:r>
        <w:rPr>
          <w:color w:val="auto"/>
          <w:szCs w:val="21"/>
          <w:highlight w:val="none"/>
        </w:rPr>
        <w:t xml:space="preserve">15.1.1 </w:t>
      </w:r>
      <w:r>
        <w:rPr>
          <w:rFonts w:hint="eastAsia"/>
          <w:color w:val="auto"/>
          <w:szCs w:val="21"/>
          <w:highlight w:val="none"/>
        </w:rPr>
        <w:t>发包人违约的情形</w:t>
      </w:r>
    </w:p>
    <w:p w14:paraId="0CB3DA15">
      <w:pPr>
        <w:adjustRightInd w:val="0"/>
        <w:snapToGrid w:val="0"/>
        <w:spacing w:line="360" w:lineRule="auto"/>
        <w:ind w:firstLine="420"/>
        <w:rPr>
          <w:color w:val="auto"/>
          <w:szCs w:val="21"/>
          <w:highlight w:val="none"/>
        </w:rPr>
      </w:pPr>
      <w:r>
        <w:rPr>
          <w:rFonts w:hint="eastAsia"/>
          <w:color w:val="auto"/>
          <w:szCs w:val="21"/>
          <w:highlight w:val="none"/>
        </w:rPr>
        <w:t>发包人违约的其他情形  /  。</w:t>
      </w:r>
    </w:p>
    <w:p w14:paraId="222D285A">
      <w:pPr>
        <w:adjustRightInd w:val="0"/>
        <w:snapToGrid w:val="0"/>
        <w:spacing w:line="360" w:lineRule="auto"/>
        <w:ind w:firstLine="420"/>
        <w:rPr>
          <w:color w:val="auto"/>
          <w:szCs w:val="21"/>
          <w:highlight w:val="none"/>
        </w:rPr>
      </w:pPr>
      <w:r>
        <w:rPr>
          <w:color w:val="auto"/>
          <w:szCs w:val="21"/>
          <w:highlight w:val="none"/>
        </w:rPr>
        <w:t xml:space="preserve">15.1.3 </w:t>
      </w:r>
      <w:r>
        <w:rPr>
          <w:rFonts w:hint="eastAsia"/>
          <w:color w:val="auto"/>
          <w:szCs w:val="21"/>
          <w:highlight w:val="none"/>
        </w:rPr>
        <w:t>发包人违约的责任</w:t>
      </w:r>
    </w:p>
    <w:p w14:paraId="1F58F914">
      <w:pPr>
        <w:adjustRightInd w:val="0"/>
        <w:snapToGrid w:val="0"/>
        <w:spacing w:line="360" w:lineRule="auto"/>
        <w:ind w:firstLine="420"/>
        <w:rPr>
          <w:color w:val="auto"/>
          <w:szCs w:val="21"/>
          <w:highlight w:val="none"/>
        </w:rPr>
      </w:pPr>
      <w:r>
        <w:rPr>
          <w:rFonts w:hint="eastAsia"/>
          <w:color w:val="auto"/>
          <w:szCs w:val="21"/>
          <w:highlight w:val="none"/>
        </w:rPr>
        <w:t>发包人违约</w:t>
      </w:r>
      <w:r>
        <w:rPr>
          <w:color w:val="auto"/>
          <w:szCs w:val="21"/>
          <w:highlight w:val="none"/>
        </w:rPr>
        <w:t>责任</w:t>
      </w:r>
      <w:r>
        <w:rPr>
          <w:rFonts w:hint="eastAsia"/>
          <w:color w:val="auto"/>
          <w:szCs w:val="21"/>
          <w:highlight w:val="none"/>
        </w:rPr>
        <w:t>的</w:t>
      </w:r>
      <w:r>
        <w:rPr>
          <w:color w:val="auto"/>
          <w:szCs w:val="21"/>
          <w:highlight w:val="none"/>
        </w:rPr>
        <w:t>承担方式</w:t>
      </w:r>
      <w:r>
        <w:rPr>
          <w:rFonts w:hint="eastAsia"/>
          <w:color w:val="auto"/>
          <w:szCs w:val="21"/>
          <w:highlight w:val="none"/>
        </w:rPr>
        <w:t>和</w:t>
      </w:r>
      <w:r>
        <w:rPr>
          <w:color w:val="auto"/>
          <w:szCs w:val="21"/>
          <w:highlight w:val="none"/>
        </w:rPr>
        <w:t>计算方法</w:t>
      </w:r>
      <w:r>
        <w:rPr>
          <w:rFonts w:hint="eastAsia"/>
          <w:color w:val="auto"/>
          <w:szCs w:val="21"/>
          <w:highlight w:val="none"/>
        </w:rPr>
        <w:t>：</w:t>
      </w:r>
    </w:p>
    <w:p w14:paraId="1EA147C8">
      <w:pPr>
        <w:adjustRightInd w:val="0"/>
        <w:snapToGrid w:val="0"/>
        <w:spacing w:line="360" w:lineRule="auto"/>
        <w:ind w:firstLine="420"/>
        <w:rPr>
          <w:color w:val="auto"/>
          <w:szCs w:val="21"/>
          <w:highlight w:val="none"/>
          <w:u w:val="single"/>
        </w:rPr>
      </w:pPr>
      <w:r>
        <w:rPr>
          <w:color w:val="auto"/>
          <w:szCs w:val="21"/>
          <w:highlight w:val="none"/>
          <w:u w:val="single"/>
        </w:rPr>
        <w:t>1</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因发包人原因未能在计划开工日期前7天内下达开工通知的违约责任：无。</w:t>
      </w:r>
    </w:p>
    <w:p w14:paraId="43065D6D">
      <w:pPr>
        <w:adjustRightInd w:val="0"/>
        <w:snapToGrid w:val="0"/>
        <w:spacing w:line="360" w:lineRule="auto"/>
        <w:ind w:firstLine="420"/>
        <w:rPr>
          <w:color w:val="auto"/>
          <w:szCs w:val="21"/>
          <w:highlight w:val="none"/>
          <w:u w:val="single"/>
        </w:rPr>
      </w:pPr>
      <w:r>
        <w:rPr>
          <w:color w:val="auto"/>
          <w:szCs w:val="21"/>
          <w:highlight w:val="none"/>
          <w:u w:val="single"/>
        </w:rPr>
        <w:t>2</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因发包人原因未能按合同约定支付合同价款的违约责任：应按同期银行</w:t>
      </w:r>
      <w:r>
        <w:rPr>
          <w:rFonts w:hint="eastAsia"/>
          <w:color w:val="auto"/>
          <w:szCs w:val="21"/>
          <w:highlight w:val="none"/>
          <w:u w:val="single"/>
        </w:rPr>
        <w:t>活期</w:t>
      </w:r>
      <w:r>
        <w:rPr>
          <w:rFonts w:hint="eastAsia"/>
          <w:color w:val="auto"/>
          <w:szCs w:val="21"/>
          <w:highlight w:val="none"/>
          <w:u w:val="single"/>
        </w:rPr>
        <w:t>存款</w:t>
      </w:r>
      <w:r>
        <w:rPr>
          <w:rFonts w:hint="eastAsia"/>
          <w:color w:val="auto"/>
          <w:szCs w:val="21"/>
          <w:highlight w:val="none"/>
          <w:u w:val="single"/>
        </w:rPr>
        <w:t>基准</w:t>
      </w:r>
      <w:r>
        <w:rPr>
          <w:rFonts w:hint="eastAsia"/>
          <w:color w:val="auto"/>
          <w:szCs w:val="21"/>
          <w:highlight w:val="none"/>
          <w:u w:val="single"/>
        </w:rPr>
        <w:t>利率承担拖欠金额的违约金，但承包人无权以停工作为对抗；如发包人拖欠的合同价款累计超过合同总价款30%，且拖欠时间超过连续6个月的，承包人有权暂停施工或解除合同，发包人应支付前述违约金，如违约金不足以弥补承包人损失的，还应按承包人实际损失额承担不足部分的赔偿责任。</w:t>
      </w:r>
    </w:p>
    <w:p w14:paraId="74FD87DF">
      <w:pPr>
        <w:adjustRightInd w:val="0"/>
        <w:snapToGrid w:val="0"/>
        <w:spacing w:line="360" w:lineRule="auto"/>
        <w:ind w:firstLine="420"/>
        <w:rPr>
          <w:color w:val="auto"/>
          <w:szCs w:val="21"/>
          <w:highlight w:val="none"/>
          <w:u w:val="single"/>
        </w:rPr>
      </w:pPr>
      <w:r>
        <w:rPr>
          <w:color w:val="auto"/>
          <w:szCs w:val="21"/>
          <w:highlight w:val="none"/>
          <w:u w:val="single"/>
        </w:rPr>
        <w:t>3</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发包人提供的材料、工程设备的规格、数量或质量不符合合同约定，或因发包人原因导致交货日期延误或交货地点变更等情况的违约责任：该违约行为直接导致工程主体施工工期延长的，经监理人确认后，承包人有权合理顺延工期；如因经承包人和监理人对发包人提供的不合格材料、设备提出异议后，发包人坚持使用而导致工程质量问题的，应由发包人承担责任。</w:t>
      </w:r>
    </w:p>
    <w:p w14:paraId="1FB8773C">
      <w:pPr>
        <w:adjustRightInd w:val="0"/>
        <w:snapToGrid w:val="0"/>
        <w:spacing w:line="360" w:lineRule="auto"/>
        <w:ind w:firstLine="420"/>
        <w:rPr>
          <w:color w:val="auto"/>
          <w:szCs w:val="21"/>
          <w:highlight w:val="none"/>
          <w:u w:val="single"/>
        </w:rPr>
      </w:pPr>
      <w:r>
        <w:rPr>
          <w:color w:val="auto"/>
          <w:szCs w:val="21"/>
          <w:highlight w:val="none"/>
          <w:u w:val="single"/>
        </w:rPr>
        <w:t>4</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因发包人违反合同约定造成暂停施工的违约责任：该违约行为直接导致工程主体施工工期延长的，经监理人确认后，承包人有权合理顺延工期；暂停工期超过6个月的，承包人有权解除合同，发包人应按承包人实际损失承担赔偿责任。</w:t>
      </w:r>
    </w:p>
    <w:p w14:paraId="2FA4A6D5">
      <w:pPr>
        <w:adjustRightInd w:val="0"/>
        <w:snapToGrid w:val="0"/>
        <w:spacing w:line="360" w:lineRule="auto"/>
        <w:ind w:firstLine="420"/>
        <w:rPr>
          <w:color w:val="auto"/>
          <w:szCs w:val="21"/>
          <w:highlight w:val="none"/>
          <w:u w:val="single"/>
        </w:rPr>
      </w:pPr>
      <w:r>
        <w:rPr>
          <w:color w:val="auto"/>
          <w:szCs w:val="21"/>
          <w:highlight w:val="none"/>
          <w:u w:val="single"/>
        </w:rPr>
        <w:t>5</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发包人无正当理由没有在约定期限内发出复工指示，导致承包人无法复工的违约责任：如超过约定复工期限或合理复工期限6个月发包人既不作出合理解释又不发出复工指示，导致承包人无法复工的，承包人有权解除合同，发包人应按承包人实际损失承担赔偿责任。</w:t>
      </w:r>
    </w:p>
    <w:p w14:paraId="1E9FCC27">
      <w:pPr>
        <w:adjustRightInd w:val="0"/>
        <w:snapToGrid w:val="0"/>
        <w:spacing w:line="360" w:lineRule="auto"/>
        <w:ind w:firstLine="420"/>
        <w:rPr>
          <w:color w:val="auto"/>
          <w:szCs w:val="21"/>
          <w:highlight w:val="none"/>
          <w:u w:val="single"/>
        </w:rPr>
      </w:pPr>
      <w:r>
        <w:rPr>
          <w:color w:val="auto"/>
          <w:szCs w:val="21"/>
          <w:highlight w:val="none"/>
          <w:u w:val="single"/>
        </w:rPr>
        <w:t>6</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承包人按照本款约定解除合同的，双方应就解除合同后的结清进行相应的评估和审价，并进行协商，承包人应在达成一致意见后60天内解除履约担保并支付下列款项：</w:t>
      </w:r>
    </w:p>
    <w:p w14:paraId="5FD69365">
      <w:pPr>
        <w:adjustRightInd w:val="0"/>
        <w:snapToGrid w:val="0"/>
        <w:spacing w:line="360" w:lineRule="auto"/>
        <w:ind w:firstLine="420"/>
        <w:rPr>
          <w:color w:val="auto"/>
          <w:szCs w:val="21"/>
          <w:highlight w:val="none"/>
          <w:u w:val="single"/>
        </w:rPr>
      </w:pPr>
      <w:r>
        <w:rPr>
          <w:rFonts w:hint="eastAsia"/>
          <w:color w:val="auto"/>
          <w:szCs w:val="21"/>
          <w:highlight w:val="none"/>
          <w:u w:val="single"/>
        </w:rPr>
        <w:t>A.合同解除前所完成工作的价款；</w:t>
      </w:r>
    </w:p>
    <w:p w14:paraId="0A5ACFF0">
      <w:pPr>
        <w:adjustRightInd w:val="0"/>
        <w:snapToGrid w:val="0"/>
        <w:spacing w:line="360" w:lineRule="auto"/>
        <w:ind w:firstLine="420"/>
        <w:rPr>
          <w:color w:val="auto"/>
          <w:szCs w:val="21"/>
          <w:highlight w:val="none"/>
          <w:u w:val="single"/>
        </w:rPr>
      </w:pPr>
      <w:r>
        <w:rPr>
          <w:rFonts w:hint="eastAsia"/>
          <w:color w:val="auto"/>
          <w:szCs w:val="21"/>
          <w:highlight w:val="none"/>
          <w:u w:val="single"/>
        </w:rPr>
        <w:t>B.承包人为工程施工订购并已付款的材料、工程设备和其他物品的价款；</w:t>
      </w:r>
    </w:p>
    <w:p w14:paraId="50484702">
      <w:pPr>
        <w:adjustRightInd w:val="0"/>
        <w:snapToGrid w:val="0"/>
        <w:spacing w:line="360" w:lineRule="auto"/>
        <w:ind w:firstLine="420"/>
        <w:rPr>
          <w:color w:val="auto"/>
          <w:szCs w:val="21"/>
          <w:highlight w:val="none"/>
          <w:u w:val="single"/>
        </w:rPr>
      </w:pPr>
      <w:r>
        <w:rPr>
          <w:rFonts w:hint="eastAsia"/>
          <w:color w:val="auto"/>
          <w:szCs w:val="21"/>
          <w:highlight w:val="none"/>
          <w:u w:val="single"/>
        </w:rPr>
        <w:t>C.承包人撤离施工现场以及遣散承包人人员的款项；</w:t>
      </w:r>
    </w:p>
    <w:p w14:paraId="3266782A">
      <w:pPr>
        <w:adjustRightInd w:val="0"/>
        <w:snapToGrid w:val="0"/>
        <w:spacing w:line="360" w:lineRule="auto"/>
        <w:ind w:firstLine="420"/>
        <w:rPr>
          <w:color w:val="auto"/>
          <w:szCs w:val="21"/>
          <w:highlight w:val="none"/>
          <w:u w:val="single"/>
        </w:rPr>
      </w:pPr>
      <w:r>
        <w:rPr>
          <w:rFonts w:hint="eastAsia"/>
          <w:color w:val="auto"/>
          <w:szCs w:val="21"/>
          <w:highlight w:val="none"/>
          <w:u w:val="single"/>
        </w:rPr>
        <w:t>D.按照合同约定在合同解除前应支付的违约金；</w:t>
      </w:r>
    </w:p>
    <w:p w14:paraId="41C8D2C0">
      <w:pPr>
        <w:adjustRightInd w:val="0"/>
        <w:snapToGrid w:val="0"/>
        <w:spacing w:line="360" w:lineRule="auto"/>
        <w:ind w:firstLine="420"/>
        <w:rPr>
          <w:color w:val="auto"/>
          <w:szCs w:val="21"/>
          <w:highlight w:val="none"/>
          <w:u w:val="single"/>
        </w:rPr>
      </w:pPr>
      <w:r>
        <w:rPr>
          <w:rFonts w:hint="eastAsia"/>
          <w:color w:val="auto"/>
          <w:szCs w:val="21"/>
          <w:highlight w:val="none"/>
          <w:u w:val="single"/>
        </w:rPr>
        <w:t>E.按照合同约定应当支付给承包人的其他款项；</w:t>
      </w:r>
    </w:p>
    <w:p w14:paraId="0A817892">
      <w:pPr>
        <w:adjustRightInd w:val="0"/>
        <w:snapToGrid w:val="0"/>
        <w:spacing w:line="360" w:lineRule="auto"/>
        <w:ind w:firstLine="420"/>
        <w:rPr>
          <w:color w:val="auto"/>
          <w:szCs w:val="21"/>
          <w:highlight w:val="none"/>
          <w:u w:val="single"/>
        </w:rPr>
      </w:pPr>
      <w:r>
        <w:rPr>
          <w:rFonts w:hint="eastAsia"/>
          <w:color w:val="auto"/>
          <w:szCs w:val="21"/>
          <w:highlight w:val="none"/>
          <w:u w:val="single"/>
        </w:rPr>
        <w:t>F.按照合同约定应退还的质量保证金；</w:t>
      </w:r>
    </w:p>
    <w:p w14:paraId="716E3D68">
      <w:pPr>
        <w:adjustRightInd w:val="0"/>
        <w:snapToGrid w:val="0"/>
        <w:spacing w:line="360" w:lineRule="auto"/>
        <w:ind w:firstLine="420"/>
        <w:rPr>
          <w:color w:val="auto"/>
          <w:szCs w:val="21"/>
          <w:highlight w:val="none"/>
        </w:rPr>
      </w:pPr>
      <w:r>
        <w:rPr>
          <w:rFonts w:hint="eastAsia"/>
          <w:color w:val="auto"/>
          <w:szCs w:val="21"/>
          <w:highlight w:val="none"/>
          <w:u w:val="single"/>
        </w:rPr>
        <w:t>G.因解除合同给承包人造成的损失</w:t>
      </w:r>
      <w:r>
        <w:rPr>
          <w:rFonts w:hint="eastAsia"/>
          <w:color w:val="auto"/>
          <w:szCs w:val="21"/>
          <w:highlight w:val="none"/>
        </w:rPr>
        <w:t>。</w:t>
      </w:r>
    </w:p>
    <w:p w14:paraId="5D18E442">
      <w:pPr>
        <w:adjustRightInd w:val="0"/>
        <w:snapToGrid w:val="0"/>
        <w:spacing w:line="360" w:lineRule="auto"/>
        <w:ind w:firstLine="420"/>
        <w:rPr>
          <w:color w:val="auto"/>
          <w:szCs w:val="21"/>
          <w:highlight w:val="none"/>
        </w:rPr>
      </w:pPr>
      <w:r>
        <w:rPr>
          <w:color w:val="auto"/>
          <w:szCs w:val="21"/>
          <w:highlight w:val="none"/>
        </w:rPr>
        <w:t xml:space="preserve">15.2 </w:t>
      </w:r>
      <w:r>
        <w:rPr>
          <w:rFonts w:hint="eastAsia"/>
          <w:color w:val="auto"/>
          <w:szCs w:val="21"/>
          <w:highlight w:val="none"/>
        </w:rPr>
        <w:t>承包人违约</w:t>
      </w:r>
    </w:p>
    <w:p w14:paraId="46DD0BA7">
      <w:pPr>
        <w:adjustRightInd w:val="0"/>
        <w:snapToGrid w:val="0"/>
        <w:spacing w:line="360" w:lineRule="auto"/>
        <w:ind w:firstLine="420"/>
        <w:rPr>
          <w:color w:val="auto"/>
          <w:szCs w:val="21"/>
          <w:highlight w:val="none"/>
        </w:rPr>
      </w:pPr>
      <w:r>
        <w:rPr>
          <w:color w:val="auto"/>
          <w:szCs w:val="21"/>
          <w:highlight w:val="none"/>
        </w:rPr>
        <w:t xml:space="preserve">15.2.1 </w:t>
      </w:r>
      <w:r>
        <w:rPr>
          <w:rFonts w:hint="eastAsia"/>
          <w:color w:val="auto"/>
          <w:szCs w:val="21"/>
          <w:highlight w:val="none"/>
        </w:rPr>
        <w:t>承包人违约的情形</w:t>
      </w:r>
    </w:p>
    <w:p w14:paraId="36B7EEAF">
      <w:pPr>
        <w:adjustRightInd w:val="0"/>
        <w:snapToGrid w:val="0"/>
        <w:spacing w:line="360" w:lineRule="auto"/>
        <w:ind w:firstLine="420"/>
        <w:rPr>
          <w:color w:val="auto"/>
          <w:szCs w:val="21"/>
          <w:highlight w:val="none"/>
        </w:rPr>
      </w:pPr>
      <w:r>
        <w:rPr>
          <w:rFonts w:hint="eastAsia"/>
          <w:color w:val="auto"/>
          <w:szCs w:val="21"/>
          <w:highlight w:val="none"/>
        </w:rPr>
        <w:t>承包人违约的其他情形：</w:t>
      </w:r>
      <w:r>
        <w:rPr>
          <w:rFonts w:hint="eastAsia"/>
          <w:color w:val="auto"/>
          <w:szCs w:val="21"/>
          <w:highlight w:val="none"/>
          <w:u w:val="single"/>
        </w:rPr>
        <w:t>见专用条款第15.2.3款[承包人违约的责任]。</w:t>
      </w:r>
    </w:p>
    <w:p w14:paraId="29A9C472">
      <w:pPr>
        <w:adjustRightInd w:val="0"/>
        <w:snapToGrid w:val="0"/>
        <w:spacing w:line="360" w:lineRule="auto"/>
        <w:ind w:firstLine="420"/>
        <w:rPr>
          <w:color w:val="auto"/>
          <w:szCs w:val="21"/>
          <w:highlight w:val="none"/>
        </w:rPr>
      </w:pPr>
      <w:r>
        <w:rPr>
          <w:color w:val="auto"/>
          <w:szCs w:val="21"/>
          <w:highlight w:val="none"/>
        </w:rPr>
        <w:t xml:space="preserve">15.2.2 </w:t>
      </w:r>
      <w:r>
        <w:rPr>
          <w:rFonts w:hint="eastAsia"/>
          <w:color w:val="auto"/>
          <w:szCs w:val="21"/>
          <w:highlight w:val="none"/>
        </w:rPr>
        <w:t>通知改正</w:t>
      </w:r>
    </w:p>
    <w:p w14:paraId="539122A7">
      <w:pPr>
        <w:adjustRightInd w:val="0"/>
        <w:snapToGrid w:val="0"/>
        <w:spacing w:line="360" w:lineRule="auto"/>
        <w:ind w:firstLine="420"/>
        <w:rPr>
          <w:color w:val="auto"/>
          <w:szCs w:val="21"/>
          <w:highlight w:val="none"/>
        </w:rPr>
      </w:pPr>
      <w:r>
        <w:rPr>
          <w:rFonts w:hint="eastAsia"/>
          <w:color w:val="auto"/>
          <w:szCs w:val="21"/>
          <w:highlight w:val="none"/>
        </w:rPr>
        <w:t>工程师通知承包人改正的合理期限是：</w:t>
      </w:r>
      <w:r>
        <w:rPr>
          <w:rFonts w:hint="eastAsia"/>
          <w:color w:val="auto"/>
          <w:szCs w:val="21"/>
          <w:highlight w:val="none"/>
          <w:u w:val="single"/>
        </w:rPr>
        <w:t>见专用条款第15.2.3款[承包人违约的责任]</w:t>
      </w:r>
      <w:r>
        <w:rPr>
          <w:rFonts w:hint="eastAsia"/>
          <w:color w:val="auto"/>
          <w:szCs w:val="21"/>
          <w:highlight w:val="none"/>
        </w:rPr>
        <w:t>。</w:t>
      </w:r>
    </w:p>
    <w:p w14:paraId="6B0B01A1">
      <w:pPr>
        <w:adjustRightInd w:val="0"/>
        <w:snapToGrid w:val="0"/>
        <w:spacing w:line="360" w:lineRule="auto"/>
        <w:ind w:firstLine="420"/>
        <w:rPr>
          <w:color w:val="auto"/>
          <w:szCs w:val="21"/>
          <w:highlight w:val="none"/>
        </w:rPr>
      </w:pPr>
      <w:r>
        <w:rPr>
          <w:color w:val="auto"/>
          <w:szCs w:val="21"/>
          <w:highlight w:val="none"/>
        </w:rPr>
        <w:t xml:space="preserve">15.2.3 </w:t>
      </w:r>
      <w:r>
        <w:rPr>
          <w:rFonts w:hint="eastAsia"/>
          <w:color w:val="auto"/>
          <w:szCs w:val="21"/>
          <w:highlight w:val="none"/>
        </w:rPr>
        <w:t>承包人违约的责任</w:t>
      </w:r>
    </w:p>
    <w:p w14:paraId="689F698A">
      <w:pPr>
        <w:adjustRightInd w:val="0"/>
        <w:snapToGrid w:val="0"/>
        <w:spacing w:line="360" w:lineRule="auto"/>
        <w:ind w:firstLine="420"/>
        <w:rPr>
          <w:color w:val="auto"/>
          <w:szCs w:val="21"/>
          <w:highlight w:val="none"/>
        </w:rPr>
      </w:pPr>
      <w:r>
        <w:rPr>
          <w:rFonts w:hint="eastAsia"/>
          <w:color w:val="auto"/>
          <w:szCs w:val="21"/>
          <w:highlight w:val="none"/>
        </w:rPr>
        <w:t>承包人违约</w:t>
      </w:r>
      <w:r>
        <w:rPr>
          <w:color w:val="auto"/>
          <w:szCs w:val="21"/>
          <w:highlight w:val="none"/>
        </w:rPr>
        <w:t>责任</w:t>
      </w:r>
      <w:r>
        <w:rPr>
          <w:rFonts w:hint="eastAsia"/>
          <w:color w:val="auto"/>
          <w:szCs w:val="21"/>
          <w:highlight w:val="none"/>
        </w:rPr>
        <w:t>的</w:t>
      </w:r>
      <w:r>
        <w:rPr>
          <w:color w:val="auto"/>
          <w:szCs w:val="21"/>
          <w:highlight w:val="none"/>
        </w:rPr>
        <w:t>承担方式</w:t>
      </w:r>
      <w:r>
        <w:rPr>
          <w:rFonts w:hint="eastAsia"/>
          <w:color w:val="auto"/>
          <w:szCs w:val="21"/>
          <w:highlight w:val="none"/>
        </w:rPr>
        <w:t>和</w:t>
      </w:r>
      <w:r>
        <w:rPr>
          <w:color w:val="auto"/>
          <w:szCs w:val="21"/>
          <w:highlight w:val="none"/>
        </w:rPr>
        <w:t>计算方法</w:t>
      </w:r>
      <w:r>
        <w:rPr>
          <w:rFonts w:hint="eastAsia"/>
          <w:color w:val="auto"/>
          <w:szCs w:val="21"/>
          <w:highlight w:val="none"/>
        </w:rPr>
        <w:t>：</w:t>
      </w:r>
    </w:p>
    <w:p w14:paraId="02436080">
      <w:pPr>
        <w:adjustRightInd w:val="0"/>
        <w:snapToGrid w:val="0"/>
        <w:spacing w:line="360" w:lineRule="auto"/>
        <w:ind w:firstLine="420"/>
        <w:rPr>
          <w:color w:val="auto"/>
          <w:szCs w:val="21"/>
          <w:highlight w:val="none"/>
          <w:u w:val="single"/>
        </w:rPr>
      </w:pPr>
      <w:r>
        <w:rPr>
          <w:color w:val="auto"/>
          <w:szCs w:val="21"/>
          <w:highlight w:val="none"/>
          <w:u w:val="single"/>
        </w:rPr>
        <w:t>1</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承包人在文明施工中有以下违约行为的，应当承担所有实际发生的对第三方的赔偿责任以及国家相关部门的行政处罚并向发包人承担5万/次的违约金：</w:t>
      </w:r>
    </w:p>
    <w:p w14:paraId="3FB4AF3A">
      <w:pPr>
        <w:adjustRightInd w:val="0"/>
        <w:snapToGrid w:val="0"/>
        <w:spacing w:line="360" w:lineRule="auto"/>
        <w:ind w:firstLine="420"/>
        <w:rPr>
          <w:color w:val="auto"/>
          <w:szCs w:val="21"/>
          <w:highlight w:val="none"/>
          <w:u w:val="single"/>
        </w:rPr>
      </w:pPr>
      <w:r>
        <w:rPr>
          <w:rFonts w:hint="eastAsia"/>
          <w:color w:val="auto"/>
          <w:szCs w:val="21"/>
          <w:highlight w:val="none"/>
          <w:u w:val="single"/>
        </w:rPr>
        <w:t>A.野蛮施工导致应当发现和已经发现的地下文物、化石被损坏、哄抢的；</w:t>
      </w:r>
    </w:p>
    <w:p w14:paraId="42FA4623">
      <w:pPr>
        <w:adjustRightInd w:val="0"/>
        <w:snapToGrid w:val="0"/>
        <w:spacing w:line="360" w:lineRule="auto"/>
        <w:ind w:firstLine="420"/>
        <w:rPr>
          <w:color w:val="auto"/>
          <w:szCs w:val="21"/>
          <w:highlight w:val="none"/>
          <w:u w:val="single"/>
        </w:rPr>
      </w:pPr>
      <w:r>
        <w:rPr>
          <w:rFonts w:hint="eastAsia"/>
          <w:color w:val="auto"/>
          <w:szCs w:val="21"/>
          <w:highlight w:val="none"/>
          <w:u w:val="single"/>
        </w:rPr>
        <w:t>B.野蛮施工导致地下管线、设施被损坏的；</w:t>
      </w:r>
    </w:p>
    <w:p w14:paraId="031FA179">
      <w:pPr>
        <w:adjustRightInd w:val="0"/>
        <w:snapToGrid w:val="0"/>
        <w:spacing w:line="360" w:lineRule="auto"/>
        <w:ind w:firstLine="420"/>
        <w:rPr>
          <w:color w:val="auto"/>
          <w:szCs w:val="21"/>
          <w:highlight w:val="none"/>
          <w:u w:val="single"/>
        </w:rPr>
      </w:pPr>
      <w:r>
        <w:rPr>
          <w:rFonts w:hint="eastAsia"/>
          <w:color w:val="auto"/>
          <w:szCs w:val="21"/>
          <w:highlight w:val="none"/>
          <w:u w:val="single"/>
        </w:rPr>
        <w:t>C.违反相关的环境保护法规，造成大气、水体、噪音污染的；</w:t>
      </w:r>
    </w:p>
    <w:p w14:paraId="2E32BE18">
      <w:pPr>
        <w:adjustRightInd w:val="0"/>
        <w:snapToGrid w:val="0"/>
        <w:spacing w:line="360" w:lineRule="auto"/>
        <w:ind w:firstLine="420"/>
        <w:rPr>
          <w:color w:val="auto"/>
          <w:szCs w:val="21"/>
          <w:highlight w:val="none"/>
          <w:u w:val="single"/>
        </w:rPr>
      </w:pPr>
      <w:r>
        <w:rPr>
          <w:rFonts w:hint="eastAsia"/>
          <w:color w:val="auto"/>
          <w:szCs w:val="21"/>
          <w:highlight w:val="none"/>
          <w:u w:val="single"/>
        </w:rPr>
        <w:t>D.违反本合同有特殊约定（如有）的文明施工标准的。</w:t>
      </w:r>
    </w:p>
    <w:p w14:paraId="14A1DF1C">
      <w:pPr>
        <w:adjustRightInd w:val="0"/>
        <w:snapToGrid w:val="0"/>
        <w:spacing w:line="360" w:lineRule="auto"/>
        <w:ind w:firstLine="420"/>
        <w:rPr>
          <w:color w:val="auto"/>
          <w:szCs w:val="21"/>
          <w:highlight w:val="none"/>
          <w:u w:val="single"/>
        </w:rPr>
      </w:pPr>
      <w:r>
        <w:rPr>
          <w:rFonts w:hint="eastAsia"/>
          <w:color w:val="auto"/>
          <w:szCs w:val="21"/>
          <w:highlight w:val="none"/>
          <w:u w:val="single"/>
        </w:rPr>
        <w:t>E.违法规定施工，导致市政、军事设施受到损坏的。</w:t>
      </w:r>
    </w:p>
    <w:p w14:paraId="4E39BE0D">
      <w:pPr>
        <w:adjustRightInd w:val="0"/>
        <w:snapToGrid w:val="0"/>
        <w:spacing w:line="360" w:lineRule="auto"/>
        <w:ind w:firstLine="420"/>
        <w:rPr>
          <w:color w:val="auto"/>
          <w:szCs w:val="21"/>
          <w:highlight w:val="none"/>
          <w:u w:val="single"/>
        </w:rPr>
      </w:pPr>
      <w:r>
        <w:rPr>
          <w:color w:val="auto"/>
          <w:szCs w:val="21"/>
          <w:highlight w:val="none"/>
          <w:u w:val="single"/>
        </w:rPr>
        <w:t>2</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承包人违反安全生产法规的有以下违约行为的，除本合同另有约定外，应当承担所有实际发生的对第三方的赔偿责任以及国家相关部门的行政处罚并向发包人承担5万/次的违约金：</w:t>
      </w:r>
    </w:p>
    <w:p w14:paraId="4E25B431">
      <w:pPr>
        <w:adjustRightInd w:val="0"/>
        <w:snapToGrid w:val="0"/>
        <w:spacing w:line="360" w:lineRule="auto"/>
        <w:ind w:firstLine="420"/>
        <w:rPr>
          <w:color w:val="auto"/>
          <w:szCs w:val="21"/>
          <w:highlight w:val="none"/>
          <w:u w:val="single"/>
        </w:rPr>
      </w:pPr>
      <w:r>
        <w:rPr>
          <w:rFonts w:hint="eastAsia"/>
          <w:color w:val="auto"/>
          <w:szCs w:val="21"/>
          <w:highlight w:val="none"/>
          <w:u w:val="single"/>
        </w:rPr>
        <w:t>A.未按照施工组织设计中的专项安全措施组织施工的；</w:t>
      </w:r>
    </w:p>
    <w:p w14:paraId="264BC1CE">
      <w:pPr>
        <w:adjustRightInd w:val="0"/>
        <w:snapToGrid w:val="0"/>
        <w:spacing w:line="360" w:lineRule="auto"/>
        <w:ind w:firstLine="420"/>
        <w:rPr>
          <w:color w:val="auto"/>
          <w:szCs w:val="21"/>
          <w:highlight w:val="none"/>
          <w:u w:val="single"/>
        </w:rPr>
      </w:pPr>
      <w:r>
        <w:rPr>
          <w:rFonts w:hint="eastAsia"/>
          <w:color w:val="auto"/>
          <w:szCs w:val="21"/>
          <w:highlight w:val="none"/>
          <w:u w:val="single"/>
        </w:rPr>
        <w:t>B.施工现场和生活区违反用电规范的；</w:t>
      </w:r>
    </w:p>
    <w:p w14:paraId="5ABC3DD9">
      <w:pPr>
        <w:adjustRightInd w:val="0"/>
        <w:snapToGrid w:val="0"/>
        <w:spacing w:line="360" w:lineRule="auto"/>
        <w:ind w:firstLine="420"/>
        <w:rPr>
          <w:color w:val="auto"/>
          <w:szCs w:val="21"/>
          <w:highlight w:val="none"/>
          <w:u w:val="single"/>
        </w:rPr>
      </w:pPr>
      <w:r>
        <w:rPr>
          <w:rFonts w:hint="eastAsia"/>
          <w:color w:val="auto"/>
          <w:szCs w:val="21"/>
          <w:highlight w:val="none"/>
          <w:u w:val="single"/>
        </w:rPr>
        <w:t>C.在没有合理的专项方案、措施的情况下，在施工现场擅自动用明火施工的；</w:t>
      </w:r>
    </w:p>
    <w:p w14:paraId="12724320">
      <w:pPr>
        <w:adjustRightInd w:val="0"/>
        <w:snapToGrid w:val="0"/>
        <w:spacing w:line="360" w:lineRule="auto"/>
        <w:ind w:firstLine="420"/>
        <w:rPr>
          <w:color w:val="auto"/>
          <w:szCs w:val="21"/>
          <w:highlight w:val="none"/>
          <w:u w:val="single"/>
        </w:rPr>
      </w:pPr>
      <w:r>
        <w:rPr>
          <w:rFonts w:hint="eastAsia"/>
          <w:color w:val="auto"/>
          <w:szCs w:val="21"/>
          <w:highlight w:val="none"/>
          <w:u w:val="single"/>
        </w:rPr>
        <w:t>D.违反安全生产协议书相关约定的。</w:t>
      </w:r>
    </w:p>
    <w:p w14:paraId="3352500A">
      <w:pPr>
        <w:adjustRightInd w:val="0"/>
        <w:snapToGrid w:val="0"/>
        <w:spacing w:line="360" w:lineRule="auto"/>
        <w:ind w:firstLine="420"/>
        <w:rPr>
          <w:color w:val="auto"/>
          <w:szCs w:val="21"/>
          <w:highlight w:val="none"/>
          <w:u w:val="single"/>
        </w:rPr>
      </w:pPr>
      <w:r>
        <w:rPr>
          <w:color w:val="auto"/>
          <w:szCs w:val="21"/>
          <w:highlight w:val="none"/>
          <w:u w:val="single"/>
        </w:rPr>
        <w:t>3</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违反隐蔽工程验收约定的违约行为：</w:t>
      </w:r>
    </w:p>
    <w:p w14:paraId="26D2EE55">
      <w:pPr>
        <w:adjustRightInd w:val="0"/>
        <w:snapToGrid w:val="0"/>
        <w:spacing w:line="360" w:lineRule="auto"/>
        <w:ind w:firstLine="420"/>
        <w:rPr>
          <w:color w:val="auto"/>
          <w:szCs w:val="21"/>
          <w:highlight w:val="none"/>
          <w:u w:val="single"/>
        </w:rPr>
      </w:pPr>
      <w:r>
        <w:rPr>
          <w:rFonts w:hint="eastAsia"/>
          <w:color w:val="auto"/>
          <w:szCs w:val="21"/>
          <w:highlight w:val="none"/>
          <w:u w:val="single"/>
        </w:rPr>
        <w:t>A.隐蔽工程完成后未按施工验收规范的要求和本合同的约定通知发包人和发包人的管理团队进行验收，擅自覆盖和进行下一道工序施工的，发包人及发包人的管理团队有权要求承包人拆除覆盖进行验收，由此造成的工期延误由承包人承担责任，承包人应为此承担2万元/次的违约金；</w:t>
      </w:r>
    </w:p>
    <w:p w14:paraId="0C977A0C">
      <w:pPr>
        <w:adjustRightInd w:val="0"/>
        <w:snapToGrid w:val="0"/>
        <w:spacing w:line="360" w:lineRule="auto"/>
        <w:ind w:firstLine="420"/>
        <w:rPr>
          <w:color w:val="auto"/>
          <w:szCs w:val="21"/>
          <w:highlight w:val="none"/>
          <w:u w:val="single"/>
        </w:rPr>
      </w:pPr>
      <w:r>
        <w:rPr>
          <w:rFonts w:hint="eastAsia"/>
          <w:color w:val="auto"/>
          <w:szCs w:val="21"/>
          <w:highlight w:val="none"/>
          <w:u w:val="single"/>
        </w:rPr>
        <w:t>B.经发包人和发包人的管理团队验收不合格的，承包人未做整改而擅自覆盖和进行下一道工序施工的，发包人及发包人的管理团队有权要求承包人停止施工，由此造成的工期延误由承包人承担责任。如经发包人或发包人的管理团队书面整改通知后仍拒不整改，则发包人有权单方解除本合同，承包人除应承担合同总价1%的违约金外，并应赔偿发包人的实际损失（包括但不限于工程停工窝工损失、再次招标的损失、维权律师费、保全保险费、保全费、诉讼费等）；</w:t>
      </w:r>
    </w:p>
    <w:p w14:paraId="3D4AD323">
      <w:pPr>
        <w:adjustRightInd w:val="0"/>
        <w:snapToGrid w:val="0"/>
        <w:spacing w:line="360" w:lineRule="auto"/>
        <w:ind w:firstLine="420"/>
        <w:rPr>
          <w:color w:val="auto"/>
          <w:szCs w:val="21"/>
          <w:highlight w:val="none"/>
          <w:u w:val="single"/>
        </w:rPr>
      </w:pPr>
      <w:r>
        <w:rPr>
          <w:color w:val="auto"/>
          <w:szCs w:val="21"/>
          <w:highlight w:val="none"/>
          <w:u w:val="single"/>
        </w:rPr>
        <w:t>4</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违法转包和擅自分包：</w:t>
      </w:r>
    </w:p>
    <w:p w14:paraId="2CBDA45C">
      <w:pPr>
        <w:adjustRightInd w:val="0"/>
        <w:snapToGrid w:val="0"/>
        <w:spacing w:line="360" w:lineRule="auto"/>
        <w:ind w:firstLine="420"/>
        <w:rPr>
          <w:color w:val="auto"/>
          <w:szCs w:val="21"/>
          <w:highlight w:val="none"/>
          <w:u w:val="single"/>
        </w:rPr>
      </w:pPr>
      <w:r>
        <w:rPr>
          <w:color w:val="auto"/>
          <w:szCs w:val="21"/>
          <w:highlight w:val="none"/>
          <w:u w:val="single"/>
        </w:rPr>
        <w:t>A</w:t>
      </w:r>
      <w:r>
        <w:rPr>
          <w:rFonts w:hint="eastAsia"/>
          <w:color w:val="auto"/>
          <w:szCs w:val="21"/>
          <w:highlight w:val="none"/>
          <w:u w:val="single"/>
        </w:rPr>
        <w:t>.承包人违反相关法律法规的规定将中标项目整体或肢解项目转包给第三方施工的，如该违约行为在施工过程中被发包人或发包人的管理团队查实的，发包人有权要求承包人撤销该非法转包或直接单方解除合同，承包人应向发包人承担总承包范围内合同价款20%的违约金，并承担发包人的实际损失；如该违约行为在工程结算或结算完成后被发包人或发包人的管理团队查实的，承包人应按总承包范围工程结算价的20%，向发包人承担违约责任，并承担发包人的实际损失。</w:t>
      </w:r>
    </w:p>
    <w:p w14:paraId="608E3264">
      <w:pPr>
        <w:adjustRightInd w:val="0"/>
        <w:snapToGrid w:val="0"/>
        <w:spacing w:line="360" w:lineRule="auto"/>
        <w:ind w:firstLine="420"/>
        <w:rPr>
          <w:color w:val="auto"/>
          <w:szCs w:val="21"/>
          <w:highlight w:val="none"/>
          <w:u w:val="single"/>
        </w:rPr>
      </w:pPr>
      <w:r>
        <w:rPr>
          <w:color w:val="auto"/>
          <w:szCs w:val="21"/>
          <w:highlight w:val="none"/>
          <w:u w:val="single"/>
        </w:rPr>
        <w:t>B</w:t>
      </w:r>
      <w:r>
        <w:rPr>
          <w:rFonts w:hint="eastAsia"/>
          <w:color w:val="auto"/>
          <w:szCs w:val="21"/>
          <w:highlight w:val="none"/>
          <w:u w:val="single"/>
        </w:rPr>
        <w:t>.承包人违反本合同的约定擅自将专业分包项目分包给第三方施工的，如该违约行为在施工过程中被发包人或发包人的管理团队查实的，发包人有权要求承包人撤销该擅自分包或直接单方解除合同，承包人应向发包人承担该专业分包项目合同价款20%的违约金，并承担发包人的实际损失；如该违约行为在工程结算或结算完成后被发包人或发包人的管理团队查实的，承包人应按该专业分包项目结算价的20%，向发包人承担违约责任，并承担发包人的实际损失。</w:t>
      </w:r>
    </w:p>
    <w:p w14:paraId="21BB3603">
      <w:pPr>
        <w:spacing w:line="360" w:lineRule="auto"/>
        <w:ind w:firstLine="420" w:firstLineChars="200"/>
        <w:rPr>
          <w:color w:val="auto"/>
          <w:highlight w:val="none"/>
        </w:rPr>
      </w:pPr>
      <w:r>
        <w:rPr>
          <w:rFonts w:hint="eastAsia"/>
          <w:color w:val="auto"/>
          <w:szCs w:val="21"/>
          <w:highlight w:val="none"/>
          <w:u w:val="single"/>
        </w:rPr>
        <w:t>以上条款中的实际损失包括但不限于：发包人遭受相关部门的处罚、因实际施工第三方产生的诉讼或仲裁导致发包人对外承担的全部责任、发包人的维权费用律师费、交通费、保全保险费、保全费、诉讼费等。</w:t>
      </w:r>
    </w:p>
    <w:p w14:paraId="48D26C88">
      <w:pPr>
        <w:adjustRightInd w:val="0"/>
        <w:snapToGrid w:val="0"/>
        <w:spacing w:line="360" w:lineRule="auto"/>
        <w:ind w:firstLine="420"/>
        <w:rPr>
          <w:color w:val="auto"/>
          <w:szCs w:val="21"/>
          <w:highlight w:val="none"/>
          <w:u w:val="single"/>
        </w:rPr>
      </w:pPr>
      <w:r>
        <w:rPr>
          <w:color w:val="auto"/>
          <w:szCs w:val="21"/>
          <w:highlight w:val="none"/>
          <w:u w:val="single"/>
        </w:rPr>
        <w:t>5</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工程质量违约</w:t>
      </w:r>
    </w:p>
    <w:p w14:paraId="16721A6E">
      <w:pPr>
        <w:adjustRightInd w:val="0"/>
        <w:snapToGrid w:val="0"/>
        <w:spacing w:line="360" w:lineRule="auto"/>
        <w:ind w:firstLine="420"/>
        <w:rPr>
          <w:color w:val="auto"/>
          <w:szCs w:val="21"/>
          <w:highlight w:val="none"/>
          <w:u w:val="single"/>
        </w:rPr>
      </w:pPr>
      <w:r>
        <w:rPr>
          <w:rFonts w:hint="eastAsia"/>
          <w:color w:val="auto"/>
          <w:szCs w:val="21"/>
          <w:highlight w:val="none"/>
          <w:u w:val="single"/>
        </w:rPr>
        <w:t>A.承包人违反合同约定，采购和使用不符合合同约定标准或不合格的材料和工程设备的，在发包人委托的管理团队发出整改通知后，承包人应按合同约定的标准进行更换和整改。同时发包人或发包人的管理团队有权要求承包人停止施工，由此造成的工期延误由承包人承担责任。如经发包人和发包人的管理团队书面整改通知后仍拒不更换和整改，则发包人有权单方解除本合同，承包人除应承担合同总价1%的违约金外，并应赔偿发包人的实际损失（包括但不限于工程停工窝工损失、再次招标的损失、维权律师费、保全保险费、保全费、诉讼费等）；</w:t>
      </w:r>
    </w:p>
    <w:p w14:paraId="6CEF4F8C">
      <w:pPr>
        <w:adjustRightInd w:val="0"/>
        <w:snapToGrid w:val="0"/>
        <w:spacing w:line="360" w:lineRule="auto"/>
        <w:ind w:firstLine="420"/>
        <w:rPr>
          <w:color w:val="auto"/>
          <w:szCs w:val="21"/>
          <w:highlight w:val="none"/>
          <w:u w:val="single"/>
        </w:rPr>
      </w:pPr>
      <w:r>
        <w:rPr>
          <w:rFonts w:hint="eastAsia"/>
          <w:color w:val="auto"/>
          <w:szCs w:val="21"/>
          <w:highlight w:val="none"/>
          <w:u w:val="single"/>
        </w:rPr>
        <w:t>B.因工程质量不符合国家颁布的相关技术规范或不符合合同约定导致竣工验收未能通过的，承包人应按照整改要求以及工程技术规范对不合格部分进行整改，直至通过竣工验收，如因此而造成工程进度延误的，承包人应按工期违约承担违约责任。①检验批、分项工程质量不能达到一次性验收合格率100%的，应由承包人限期整改后验收合格；若一次整改后的质量依然不合格的，承包人需向发包人支付30000元/次的违约金并承担其他相应损失；②分部工程质量不能达到一次性验收合格率100%的，应由承包人限期整改后验收合格；若一次整改后的质量依然不合格的，承包人需向发包人支付50000元/次的违约金并承担其他相应损失；③单位工程验收未能达到一次性验收合格率100%，承包人需向发包人支付100000元/次的违约金并承担全部返工费用，造成工期延误的，还需承担工期违约责任。</w:t>
      </w:r>
    </w:p>
    <w:p w14:paraId="3939AB7B">
      <w:pPr>
        <w:adjustRightInd w:val="0"/>
        <w:snapToGrid w:val="0"/>
        <w:spacing w:line="360" w:lineRule="auto"/>
        <w:ind w:firstLine="420"/>
        <w:rPr>
          <w:color w:val="auto"/>
          <w:szCs w:val="21"/>
          <w:highlight w:val="none"/>
          <w:u w:val="single"/>
        </w:rPr>
      </w:pPr>
      <w:r>
        <w:rPr>
          <w:color w:val="auto"/>
          <w:szCs w:val="21"/>
          <w:highlight w:val="none"/>
          <w:u w:val="single"/>
        </w:rPr>
        <w:t>6</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工期违约</w:t>
      </w:r>
    </w:p>
    <w:p w14:paraId="01619EC8">
      <w:pPr>
        <w:adjustRightInd w:val="0"/>
        <w:snapToGrid w:val="0"/>
        <w:spacing w:line="360" w:lineRule="auto"/>
        <w:ind w:firstLine="420"/>
        <w:rPr>
          <w:color w:val="auto"/>
          <w:szCs w:val="21"/>
          <w:highlight w:val="none"/>
          <w:u w:val="single"/>
        </w:rPr>
      </w:pPr>
      <w:r>
        <w:rPr>
          <w:rFonts w:hint="eastAsia"/>
          <w:color w:val="auto"/>
          <w:szCs w:val="21"/>
          <w:highlight w:val="none"/>
          <w:u w:val="single"/>
        </w:rPr>
        <w:t>A.在无不可抗力和发包人的因素的情况下，承包人未能按开工通知载明的日期开工的，如延误开工达1周以上的，应按总承包范围内合同价格的万分之五/日的标准承担违约责任；如延误开工时间超过30日历天，发包人有权解除合同，承包人应按合同总价的5%承担违约责任，造成发包人损失的，承包人承担赔偿责任。</w:t>
      </w:r>
    </w:p>
    <w:p w14:paraId="0AA071F3">
      <w:pPr>
        <w:adjustRightInd w:val="0"/>
        <w:snapToGrid w:val="0"/>
        <w:spacing w:line="360" w:lineRule="auto"/>
        <w:ind w:firstLine="420"/>
        <w:rPr>
          <w:color w:val="auto"/>
          <w:szCs w:val="21"/>
          <w:highlight w:val="none"/>
          <w:u w:val="single"/>
        </w:rPr>
      </w:pPr>
      <w:r>
        <w:rPr>
          <w:rFonts w:hint="eastAsia"/>
          <w:color w:val="auto"/>
          <w:szCs w:val="21"/>
          <w:highlight w:val="none"/>
          <w:u w:val="single"/>
        </w:rPr>
        <w:t>B.在无不可抗力和发包人的因素的情况下，由于承包人的原因在施工过程中擅自停工超过一周的，承包人应按自停工之日起2万元/日的标准承担违约责任，造成发包人经济损失的，应承担赔偿责任。在发包人和发包人的管理团队发出的书面复工通知中所载明的复工日期届满后7天内，仍未复工且未提出合法理由的，发包人有权单方解除合同。自合同解除之日起，承包人应按总承包范围内合同总价的百分之五承担违约责任，造成发包人经济损失的，应承担赔偿责任。</w:t>
      </w:r>
    </w:p>
    <w:p w14:paraId="2E2B4754">
      <w:pPr>
        <w:adjustRightInd w:val="0"/>
        <w:snapToGrid w:val="0"/>
        <w:spacing w:line="360" w:lineRule="auto"/>
        <w:ind w:firstLine="420"/>
        <w:rPr>
          <w:color w:val="auto"/>
          <w:szCs w:val="21"/>
          <w:highlight w:val="none"/>
          <w:u w:val="single"/>
        </w:rPr>
      </w:pPr>
      <w:r>
        <w:rPr>
          <w:rFonts w:hint="eastAsia"/>
          <w:color w:val="auto"/>
          <w:szCs w:val="21"/>
          <w:highlight w:val="none"/>
          <w:u w:val="single"/>
        </w:rPr>
        <w:t>C.在无不可抗力和发包人的因素的情况下，由于承包人原因使竣工日期延误，每延误1日的误期赔偿金额为合同协议书的合同价格的 0.01 %、累计最高赔偿金额为合同协议书的合同价格的：2%。造成发包人经济损失的，应承担赔偿责任。</w:t>
      </w:r>
    </w:p>
    <w:p w14:paraId="3AAC0FD7">
      <w:pPr>
        <w:adjustRightInd w:val="0"/>
        <w:snapToGrid w:val="0"/>
        <w:spacing w:line="360" w:lineRule="auto"/>
        <w:ind w:firstLine="420"/>
        <w:rPr>
          <w:color w:val="auto"/>
          <w:szCs w:val="21"/>
          <w:highlight w:val="none"/>
          <w:u w:val="single"/>
        </w:rPr>
      </w:pPr>
      <w:r>
        <w:rPr>
          <w:rFonts w:hint="eastAsia"/>
          <w:color w:val="auto"/>
          <w:szCs w:val="21"/>
          <w:highlight w:val="none"/>
          <w:u w:val="single"/>
        </w:rPr>
        <w:t>D.</w:t>
      </w:r>
      <w:r>
        <w:rPr>
          <w:color w:val="auto"/>
          <w:szCs w:val="21"/>
          <w:highlight w:val="none"/>
          <w:u w:val="single"/>
        </w:rPr>
        <w:t xml:space="preserve"> </w:t>
      </w:r>
      <w:r>
        <w:rPr>
          <w:rFonts w:hint="eastAsia"/>
          <w:color w:val="auto"/>
          <w:szCs w:val="21"/>
          <w:highlight w:val="none"/>
          <w:u w:val="single"/>
        </w:rPr>
        <w:t>总工期延误超过90天且承包人未能提供在10日内能完成该工程的有效计划和方案。除双方另有约定，发包方有权单方解除合同，承包人除按前述标准承担违约责任外，造成发包人损失的，应承担赔偿责任。</w:t>
      </w:r>
    </w:p>
    <w:p w14:paraId="1C70F290">
      <w:pPr>
        <w:adjustRightInd w:val="0"/>
        <w:snapToGrid w:val="0"/>
        <w:spacing w:line="360" w:lineRule="auto"/>
        <w:ind w:firstLine="420"/>
        <w:rPr>
          <w:color w:val="auto"/>
          <w:szCs w:val="21"/>
          <w:highlight w:val="none"/>
          <w:u w:val="single"/>
        </w:rPr>
      </w:pPr>
      <w:r>
        <w:rPr>
          <w:rFonts w:hint="eastAsia"/>
          <w:color w:val="auto"/>
          <w:szCs w:val="21"/>
          <w:highlight w:val="none"/>
          <w:u w:val="single"/>
        </w:rPr>
        <w:t>7)</w:t>
      </w:r>
      <w:r>
        <w:rPr>
          <w:color w:val="auto"/>
          <w:szCs w:val="21"/>
          <w:highlight w:val="none"/>
          <w:u w:val="single"/>
        </w:rPr>
        <w:t xml:space="preserve"> </w:t>
      </w:r>
      <w:r>
        <w:rPr>
          <w:rFonts w:hint="eastAsia"/>
          <w:color w:val="auto"/>
          <w:szCs w:val="21"/>
          <w:highlight w:val="none"/>
          <w:u w:val="single"/>
        </w:rPr>
        <w:t>经发包人查实，承包人擅自变更设计的，承包人应按10万元/次承担违约金。如该擅自变更导致发包人承担不合理费用的，承包人应全额承担，如该部分费用超过合同总价的5%的，发包人有权解除合同，承包人除承担违约责任外，并应承担赔偿责任（包括但不限于发包人承担的全部不合理费用、对第三方的违约责任、维权）。</w:t>
      </w:r>
    </w:p>
    <w:p w14:paraId="710A87DE">
      <w:pPr>
        <w:adjustRightInd w:val="0"/>
        <w:snapToGrid w:val="0"/>
        <w:spacing w:line="360" w:lineRule="auto"/>
        <w:ind w:firstLine="420"/>
        <w:rPr>
          <w:color w:val="auto"/>
          <w:szCs w:val="21"/>
          <w:highlight w:val="none"/>
          <w:u w:val="single"/>
        </w:rPr>
      </w:pPr>
      <w:r>
        <w:rPr>
          <w:rFonts w:hint="eastAsia"/>
          <w:color w:val="auto"/>
          <w:szCs w:val="21"/>
          <w:highlight w:val="none"/>
          <w:u w:val="single"/>
        </w:rPr>
        <w:t>8)</w:t>
      </w:r>
      <w:r>
        <w:rPr>
          <w:color w:val="auto"/>
          <w:szCs w:val="21"/>
          <w:highlight w:val="none"/>
          <w:u w:val="single"/>
        </w:rPr>
        <w:t xml:space="preserve"> </w:t>
      </w:r>
      <w:r>
        <w:rPr>
          <w:rFonts w:hint="eastAsia"/>
          <w:color w:val="auto"/>
          <w:szCs w:val="21"/>
          <w:highlight w:val="none"/>
          <w:u w:val="single"/>
        </w:rPr>
        <w:t>承包人未经发包人批准，私自将已按照合同约定进入施工现场的材料或设备撤离施工现场的，应承担10万元/次的违约金，造成发包人损失的，承包人承担赔偿责任。</w:t>
      </w:r>
    </w:p>
    <w:p w14:paraId="6AFF57F7">
      <w:pPr>
        <w:adjustRightInd w:val="0"/>
        <w:snapToGrid w:val="0"/>
        <w:spacing w:line="360" w:lineRule="auto"/>
        <w:ind w:firstLine="420"/>
        <w:rPr>
          <w:color w:val="auto"/>
          <w:szCs w:val="21"/>
          <w:highlight w:val="none"/>
          <w:u w:val="single"/>
        </w:rPr>
      </w:pPr>
      <w:r>
        <w:rPr>
          <w:rFonts w:hint="eastAsia"/>
          <w:color w:val="auto"/>
          <w:szCs w:val="21"/>
          <w:highlight w:val="none"/>
          <w:u w:val="single"/>
        </w:rPr>
        <w:t>9)</w:t>
      </w:r>
      <w:r>
        <w:rPr>
          <w:rFonts w:hint="eastAsia"/>
          <w:color w:val="auto"/>
          <w:szCs w:val="21"/>
          <w:highlight w:val="none"/>
          <w:u w:val="single"/>
        </w:rPr>
        <w:tab/>
      </w:r>
      <w:r>
        <w:rPr>
          <w:rFonts w:hint="eastAsia"/>
          <w:color w:val="auto"/>
          <w:szCs w:val="21"/>
          <w:highlight w:val="none"/>
          <w:u w:val="single"/>
        </w:rPr>
        <w:t>未按合同的约定在工程交付后及时退场，按工期违约规定执行。</w:t>
      </w:r>
    </w:p>
    <w:p w14:paraId="14AFBF2A">
      <w:pPr>
        <w:adjustRightInd w:val="0"/>
        <w:snapToGrid w:val="0"/>
        <w:spacing w:line="360" w:lineRule="auto"/>
        <w:ind w:firstLine="420"/>
        <w:rPr>
          <w:color w:val="auto"/>
          <w:szCs w:val="21"/>
          <w:highlight w:val="none"/>
          <w:u w:val="single"/>
        </w:rPr>
      </w:pPr>
      <w:r>
        <w:rPr>
          <w:color w:val="auto"/>
          <w:szCs w:val="21"/>
          <w:highlight w:val="none"/>
          <w:u w:val="single"/>
        </w:rPr>
        <w:t>1</w:t>
      </w:r>
      <w:r>
        <w:rPr>
          <w:rFonts w:hint="eastAsia"/>
          <w:color w:val="auto"/>
          <w:szCs w:val="21"/>
          <w:highlight w:val="none"/>
          <w:u w:val="single"/>
        </w:rPr>
        <w:t>0)</w:t>
      </w:r>
      <w:r>
        <w:rPr>
          <w:rFonts w:hint="eastAsia"/>
          <w:color w:val="auto"/>
          <w:szCs w:val="21"/>
          <w:highlight w:val="none"/>
          <w:u w:val="single"/>
        </w:rPr>
        <w:tab/>
      </w:r>
      <w:r>
        <w:rPr>
          <w:rFonts w:hint="eastAsia"/>
          <w:color w:val="auto"/>
          <w:szCs w:val="21"/>
          <w:highlight w:val="none"/>
          <w:u w:val="single"/>
        </w:rPr>
        <w:t>承包人在缺陷责任期及保修期内，未能在发包人要求的期限内对工程缺陷进行修复，或拒绝按发包人要求进行修复的；发包人有权直接委托第三方进行修复，发生的费用承包人必须无条件接受并从保修金中扣除，如修复的费用大于保修金的金额，发包人有权另行向承包人追索。</w:t>
      </w:r>
    </w:p>
    <w:p w14:paraId="73709825">
      <w:pPr>
        <w:adjustRightInd w:val="0"/>
        <w:snapToGrid w:val="0"/>
        <w:spacing w:line="360" w:lineRule="auto"/>
        <w:ind w:firstLine="420"/>
        <w:rPr>
          <w:color w:val="auto"/>
          <w:szCs w:val="21"/>
          <w:highlight w:val="none"/>
          <w:u w:val="single"/>
        </w:rPr>
      </w:pPr>
      <w:r>
        <w:rPr>
          <w:rFonts w:hint="eastAsia"/>
          <w:color w:val="auto"/>
          <w:szCs w:val="21"/>
          <w:highlight w:val="none"/>
          <w:u w:val="single"/>
        </w:rPr>
        <w:t>11)</w:t>
      </w:r>
      <w:r>
        <w:rPr>
          <w:rFonts w:hint="eastAsia"/>
          <w:color w:val="auto"/>
          <w:szCs w:val="21"/>
          <w:highlight w:val="none"/>
          <w:u w:val="single"/>
        </w:rPr>
        <w:tab/>
      </w:r>
      <w:r>
        <w:rPr>
          <w:rFonts w:hint="eastAsia"/>
          <w:color w:val="auto"/>
          <w:szCs w:val="21"/>
          <w:highlight w:val="none"/>
          <w:u w:val="single"/>
        </w:rPr>
        <w:t>承包人明确表示或者以其行为表明不履行合同主要义务的，承包人应按合同总价的10%承担违约责任，造成发包人经济损失的，应承担赔偿责任。</w:t>
      </w:r>
    </w:p>
    <w:p w14:paraId="732986F8">
      <w:pPr>
        <w:adjustRightInd w:val="0"/>
        <w:snapToGrid w:val="0"/>
        <w:spacing w:line="360" w:lineRule="auto"/>
        <w:ind w:firstLine="420"/>
        <w:rPr>
          <w:color w:val="auto"/>
          <w:szCs w:val="21"/>
          <w:highlight w:val="none"/>
          <w:u w:val="single"/>
        </w:rPr>
      </w:pPr>
      <w:r>
        <w:rPr>
          <w:rFonts w:hint="eastAsia"/>
          <w:color w:val="auto"/>
          <w:szCs w:val="21"/>
          <w:highlight w:val="none"/>
          <w:u w:val="single"/>
        </w:rPr>
        <w:t>12)</w:t>
      </w:r>
      <w:r>
        <w:rPr>
          <w:rFonts w:hint="eastAsia"/>
          <w:color w:val="auto"/>
          <w:szCs w:val="21"/>
          <w:highlight w:val="none"/>
          <w:u w:val="single"/>
        </w:rPr>
        <w:tab/>
      </w:r>
      <w:r>
        <w:rPr>
          <w:rFonts w:hint="eastAsia"/>
          <w:color w:val="auto"/>
          <w:szCs w:val="21"/>
          <w:highlight w:val="none"/>
          <w:u w:val="single"/>
        </w:rPr>
        <w:t>承包人未尽合同约定的专业分包配合义务造成专业分包项目无法按该合同确定的期限完成或导致其他严重后果的，承包人应当向发包人承担该分包项目总价款10%的违约金，如造成发包人或第三人损失的，承包人还应当按实际损失承担赔偿责任。</w:t>
      </w:r>
    </w:p>
    <w:p w14:paraId="5B994642">
      <w:pPr>
        <w:adjustRightInd w:val="0"/>
        <w:snapToGrid w:val="0"/>
        <w:spacing w:line="360" w:lineRule="auto"/>
        <w:ind w:firstLine="420"/>
        <w:rPr>
          <w:color w:val="auto"/>
          <w:szCs w:val="21"/>
          <w:highlight w:val="none"/>
          <w:u w:val="single"/>
        </w:rPr>
      </w:pPr>
      <w:r>
        <w:rPr>
          <w:rFonts w:hint="eastAsia"/>
          <w:color w:val="auto"/>
          <w:szCs w:val="21"/>
          <w:highlight w:val="none"/>
          <w:u w:val="single"/>
        </w:rPr>
        <w:t>13)</w:t>
      </w:r>
      <w:r>
        <w:rPr>
          <w:rFonts w:hint="eastAsia"/>
          <w:color w:val="auto"/>
          <w:szCs w:val="21"/>
          <w:highlight w:val="none"/>
          <w:u w:val="single"/>
        </w:rPr>
        <w:tab/>
      </w:r>
      <w:r>
        <w:rPr>
          <w:rFonts w:hint="eastAsia"/>
          <w:color w:val="auto"/>
          <w:szCs w:val="21"/>
          <w:highlight w:val="none"/>
          <w:u w:val="single"/>
        </w:rPr>
        <w:t>承包人发生除本项第（11）目约定以外的其他违约情况时，发包人委托的管理团队可向承包人发出整改通知，要求其在指定的期限内改正。</w:t>
      </w:r>
    </w:p>
    <w:p w14:paraId="2890E2D8">
      <w:pPr>
        <w:adjustRightInd w:val="0"/>
        <w:snapToGrid w:val="0"/>
        <w:spacing w:line="360" w:lineRule="auto"/>
        <w:ind w:firstLine="420"/>
        <w:rPr>
          <w:color w:val="auto"/>
          <w:szCs w:val="21"/>
          <w:highlight w:val="none"/>
          <w:u w:val="single"/>
        </w:rPr>
      </w:pPr>
      <w:r>
        <w:rPr>
          <w:rFonts w:hint="eastAsia"/>
          <w:color w:val="auto"/>
          <w:szCs w:val="21"/>
          <w:highlight w:val="none"/>
          <w:u w:val="single"/>
        </w:rPr>
        <w:t>14)</w:t>
      </w:r>
      <w:r>
        <w:rPr>
          <w:rFonts w:hint="eastAsia"/>
          <w:color w:val="auto"/>
          <w:szCs w:val="21"/>
          <w:highlight w:val="none"/>
          <w:u w:val="single"/>
        </w:rPr>
        <w:tab/>
      </w:r>
      <w:r>
        <w:rPr>
          <w:rFonts w:hint="eastAsia"/>
          <w:color w:val="auto"/>
          <w:szCs w:val="21"/>
          <w:highlight w:val="none"/>
          <w:u w:val="single"/>
        </w:rPr>
        <w:t>承包人设计经修改后不能满足发包人需求，需向发包人支付违约金为合同总价的5%，发包人并有权解除合同。</w:t>
      </w:r>
    </w:p>
    <w:p w14:paraId="5F11F324">
      <w:pPr>
        <w:adjustRightInd w:val="0"/>
        <w:snapToGrid w:val="0"/>
        <w:spacing w:line="360" w:lineRule="auto"/>
        <w:ind w:firstLine="420"/>
        <w:rPr>
          <w:color w:val="auto"/>
          <w:szCs w:val="21"/>
          <w:highlight w:val="none"/>
          <w:u w:val="single"/>
        </w:rPr>
      </w:pPr>
      <w:r>
        <w:rPr>
          <w:rFonts w:hint="eastAsia"/>
          <w:color w:val="auto"/>
          <w:szCs w:val="21"/>
          <w:highlight w:val="none"/>
          <w:u w:val="single"/>
        </w:rPr>
        <w:t>15)</w:t>
      </w:r>
      <w:r>
        <w:rPr>
          <w:rFonts w:hint="eastAsia"/>
          <w:color w:val="auto"/>
          <w:szCs w:val="21"/>
          <w:highlight w:val="none"/>
          <w:u w:val="single"/>
        </w:rPr>
        <w:tab/>
      </w:r>
      <w:r>
        <w:rPr>
          <w:rFonts w:hint="eastAsia"/>
          <w:color w:val="auto"/>
          <w:szCs w:val="21"/>
          <w:highlight w:val="none"/>
          <w:u w:val="single"/>
        </w:rPr>
        <w:t xml:space="preserve">除本合同另有约定外，工程实施过程中，对发包人委托的管理团队开具的整改通知书未按时整改到位的， 第一次承包人支50000元的违约金；第二次承包人支付100000元的违约金，违约累计达三次的，发包人有权选择加重处罚或解除合同。 </w:t>
      </w:r>
    </w:p>
    <w:p w14:paraId="10D1DE21">
      <w:pPr>
        <w:adjustRightInd w:val="0"/>
        <w:snapToGrid w:val="0"/>
        <w:spacing w:line="360" w:lineRule="auto"/>
        <w:ind w:firstLine="420"/>
        <w:rPr>
          <w:color w:val="auto"/>
          <w:szCs w:val="21"/>
          <w:highlight w:val="none"/>
          <w:u w:val="single"/>
        </w:rPr>
      </w:pPr>
      <w:r>
        <w:rPr>
          <w:rFonts w:hint="eastAsia"/>
          <w:color w:val="auto"/>
          <w:szCs w:val="21"/>
          <w:highlight w:val="none"/>
          <w:u w:val="single"/>
        </w:rPr>
        <w:t>16)</w:t>
      </w:r>
      <w:r>
        <w:rPr>
          <w:rFonts w:hint="eastAsia"/>
          <w:color w:val="auto"/>
          <w:szCs w:val="21"/>
          <w:highlight w:val="none"/>
          <w:u w:val="single"/>
        </w:rPr>
        <w:tab/>
      </w:r>
      <w:r>
        <w:rPr>
          <w:rFonts w:hint="eastAsia"/>
          <w:color w:val="auto"/>
          <w:szCs w:val="21"/>
          <w:highlight w:val="none"/>
          <w:u w:val="single"/>
        </w:rPr>
        <w:t>承包人向发包人缴纳违约金并不能免除其按要求及标准整改合格的义务。</w:t>
      </w:r>
    </w:p>
    <w:p w14:paraId="3B8006F4">
      <w:pPr>
        <w:adjustRightInd w:val="0"/>
        <w:snapToGrid w:val="0"/>
        <w:spacing w:line="360" w:lineRule="auto"/>
        <w:ind w:firstLine="420"/>
        <w:rPr>
          <w:rFonts w:hint="eastAsia"/>
          <w:color w:val="auto"/>
          <w:szCs w:val="21"/>
          <w:highlight w:val="none"/>
          <w:u w:val="single"/>
        </w:rPr>
      </w:pPr>
      <w:r>
        <w:rPr>
          <w:rFonts w:hint="eastAsia"/>
          <w:color w:val="auto"/>
          <w:szCs w:val="21"/>
          <w:highlight w:val="none"/>
          <w:u w:val="single"/>
        </w:rPr>
        <w:t>1</w:t>
      </w:r>
      <w:r>
        <w:rPr>
          <w:color w:val="auto"/>
          <w:szCs w:val="21"/>
          <w:highlight w:val="none"/>
          <w:u w:val="single"/>
        </w:rPr>
        <w:t>7</w:t>
      </w:r>
      <w:r>
        <w:rPr>
          <w:rFonts w:hint="eastAsia"/>
          <w:color w:val="auto"/>
          <w:szCs w:val="21"/>
          <w:highlight w:val="none"/>
          <w:u w:val="single"/>
        </w:rPr>
        <w:t>）按照合同要求，承包人需要在收到</w:t>
      </w:r>
      <w:r>
        <w:rPr>
          <w:rFonts w:hint="eastAsia"/>
          <w:color w:val="auto"/>
          <w:highlight w:val="none"/>
          <w:u w:val="single"/>
        </w:rPr>
        <w:t>发包人发出设计开始时间1</w:t>
      </w:r>
      <w:r>
        <w:rPr>
          <w:color w:val="auto"/>
          <w:highlight w:val="none"/>
          <w:u w:val="single"/>
        </w:rPr>
        <w:t>5</w:t>
      </w:r>
      <w:r>
        <w:rPr>
          <w:rFonts w:hint="eastAsia"/>
          <w:color w:val="auto"/>
          <w:highlight w:val="none"/>
          <w:u w:val="single"/>
        </w:rPr>
        <w:t>日历天提交施工审查图纸（施工图质量标准：设计符合现行有关设计规范和本项目设计要点的要求，设计文件的内容和深度应符合和达到《建筑工程设计文件编制深度规定》（2016版）要求，并通过施工图审查机构及行业主管部门审查合格），逾期提交审查备案图纸，每延误一天承包人承担设计中标价1%的</w:t>
      </w:r>
      <w:r>
        <w:rPr>
          <w:rFonts w:hint="eastAsia"/>
          <w:color w:val="auto"/>
          <w:highlight w:val="none"/>
          <w:u w:val="single"/>
          <w:lang w:val="en-US" w:eastAsia="zh-CN"/>
        </w:rPr>
        <w:t>违约</w:t>
      </w:r>
      <w:r>
        <w:rPr>
          <w:rFonts w:hint="eastAsia"/>
          <w:color w:val="auto"/>
          <w:highlight w:val="none"/>
          <w:u w:val="single"/>
        </w:rPr>
        <w:t>金；若非承包人原因，造成施工审查图纸逾期提交的，征得发包人谅解的将免除处罚</w:t>
      </w:r>
      <w:r>
        <w:rPr>
          <w:rFonts w:hint="eastAsia"/>
          <w:color w:val="auto"/>
          <w:szCs w:val="21"/>
          <w:highlight w:val="none"/>
          <w:u w:val="single"/>
        </w:rPr>
        <w:t>。注：设计工期延误以该条款为准。</w:t>
      </w:r>
    </w:p>
    <w:p w14:paraId="3D081B20">
      <w:pPr>
        <w:adjustRightInd w:val="0"/>
        <w:snapToGrid w:val="0"/>
        <w:spacing w:line="360" w:lineRule="auto"/>
        <w:ind w:firstLine="420"/>
        <w:rPr>
          <w:rFonts w:hint="eastAsia" w:eastAsia="宋体"/>
          <w:color w:val="auto"/>
          <w:szCs w:val="21"/>
          <w:highlight w:val="none"/>
          <w:u w:val="single"/>
          <w:lang w:val="en-US" w:eastAsia="zh-CN"/>
        </w:rPr>
      </w:pPr>
      <w:r>
        <w:rPr>
          <w:rFonts w:hint="eastAsia"/>
          <w:color w:val="auto"/>
          <w:szCs w:val="21"/>
          <w:highlight w:val="none"/>
          <w:u w:val="single"/>
          <w:lang w:val="en-US" w:eastAsia="zh-CN"/>
        </w:rPr>
        <w:t>18）按照合同要求，本项目立库未获得LEED金，承包人承担中标价0.5%的</w:t>
      </w:r>
      <w:r>
        <w:rPr>
          <w:rFonts w:hint="eastAsia"/>
          <w:color w:val="auto"/>
          <w:szCs w:val="21"/>
          <w:highlight w:val="none"/>
          <w:u w:val="single"/>
          <w:lang w:val="en-US" w:eastAsia="zh-CN"/>
        </w:rPr>
        <w:t>违约</w:t>
      </w:r>
      <w:r>
        <w:rPr>
          <w:rFonts w:hint="eastAsia"/>
          <w:color w:val="auto"/>
          <w:szCs w:val="21"/>
          <w:highlight w:val="none"/>
          <w:u w:val="single"/>
          <w:lang w:val="en-US" w:eastAsia="zh-CN"/>
        </w:rPr>
        <w:t>金。未获得“三星级智慧工地”，承包人承担中标价0.5%的</w:t>
      </w:r>
      <w:bookmarkStart w:id="1773" w:name="OLE_LINK16"/>
      <w:r>
        <w:rPr>
          <w:rFonts w:hint="eastAsia"/>
          <w:color w:val="auto"/>
          <w:szCs w:val="21"/>
          <w:highlight w:val="none"/>
          <w:u w:val="single"/>
          <w:lang w:val="en-US" w:eastAsia="zh-CN"/>
        </w:rPr>
        <w:t>违约</w:t>
      </w:r>
      <w:bookmarkEnd w:id="1773"/>
      <w:r>
        <w:rPr>
          <w:rFonts w:hint="eastAsia"/>
          <w:color w:val="auto"/>
          <w:szCs w:val="21"/>
          <w:highlight w:val="none"/>
          <w:u w:val="single"/>
          <w:lang w:val="en-US" w:eastAsia="zh-CN"/>
        </w:rPr>
        <w:t>金。未获得“省级工程优质奖项”（省级或以上工程优质奖），承包人承担中标价1%的</w:t>
      </w:r>
      <w:r>
        <w:rPr>
          <w:rFonts w:hint="eastAsia"/>
          <w:color w:val="auto"/>
          <w:szCs w:val="21"/>
          <w:highlight w:val="none"/>
          <w:u w:val="single"/>
          <w:lang w:val="en-US" w:eastAsia="zh-CN"/>
        </w:rPr>
        <w:t>违约</w:t>
      </w:r>
      <w:r>
        <w:rPr>
          <w:rFonts w:hint="eastAsia"/>
          <w:color w:val="auto"/>
          <w:szCs w:val="21"/>
          <w:highlight w:val="none"/>
          <w:u w:val="single"/>
          <w:lang w:val="en-US" w:eastAsia="zh-CN"/>
        </w:rPr>
        <w:t>金。</w:t>
      </w:r>
      <w:r>
        <w:rPr>
          <w:rFonts w:hint="eastAsia"/>
          <w:color w:val="auto"/>
          <w:szCs w:val="21"/>
          <w:highlight w:val="none"/>
          <w:u w:val="single"/>
          <w:lang w:val="en-US" w:eastAsia="zh-CN"/>
        </w:rPr>
        <w:t>双方同意，前述违约金可由发包方在未支付款项中直接扣减。</w:t>
      </w:r>
    </w:p>
    <w:p w14:paraId="5DBC6F39">
      <w:pPr>
        <w:adjustRightInd w:val="0"/>
        <w:snapToGrid w:val="0"/>
        <w:spacing w:line="360" w:lineRule="auto"/>
        <w:ind w:left="630" w:hanging="630" w:hangingChars="300"/>
        <w:outlineLvl w:val="2"/>
        <w:rPr>
          <w:color w:val="auto"/>
          <w:szCs w:val="21"/>
          <w:highlight w:val="none"/>
        </w:rPr>
      </w:pPr>
      <w:bookmarkStart w:id="1774" w:name="_Toc179885411"/>
      <w:bookmarkStart w:id="1775" w:name="_Toc54862347"/>
      <w:bookmarkStart w:id="1776" w:name="_Toc142406692"/>
      <w:r>
        <w:rPr>
          <w:rFonts w:hint="eastAsia"/>
          <w:color w:val="auto"/>
          <w:szCs w:val="21"/>
          <w:highlight w:val="none"/>
        </w:rPr>
        <w:t>第</w:t>
      </w:r>
      <w:r>
        <w:rPr>
          <w:color w:val="auto"/>
          <w:szCs w:val="21"/>
          <w:highlight w:val="none"/>
        </w:rPr>
        <w:t>16条</w:t>
      </w:r>
      <w:r>
        <w:rPr>
          <w:rFonts w:hint="eastAsia"/>
          <w:color w:val="auto"/>
          <w:szCs w:val="21"/>
          <w:highlight w:val="none"/>
        </w:rPr>
        <w:t xml:space="preserve"> 合同解除</w:t>
      </w:r>
      <w:bookmarkEnd w:id="1774"/>
      <w:bookmarkEnd w:id="1775"/>
      <w:bookmarkEnd w:id="1776"/>
    </w:p>
    <w:p w14:paraId="47E96C7E">
      <w:pPr>
        <w:adjustRightInd w:val="0"/>
        <w:snapToGrid w:val="0"/>
        <w:spacing w:line="360" w:lineRule="auto"/>
        <w:ind w:firstLine="420"/>
        <w:rPr>
          <w:color w:val="auto"/>
          <w:szCs w:val="21"/>
          <w:highlight w:val="none"/>
        </w:rPr>
      </w:pPr>
      <w:r>
        <w:rPr>
          <w:color w:val="auto"/>
          <w:szCs w:val="21"/>
          <w:highlight w:val="none"/>
        </w:rPr>
        <w:t xml:space="preserve">16.1 </w:t>
      </w:r>
      <w:r>
        <w:rPr>
          <w:rFonts w:hint="eastAsia"/>
          <w:color w:val="auto"/>
          <w:szCs w:val="21"/>
          <w:highlight w:val="none"/>
        </w:rPr>
        <w:t>由发包人解除合同</w:t>
      </w:r>
    </w:p>
    <w:p w14:paraId="54C4EC07">
      <w:pPr>
        <w:adjustRightInd w:val="0"/>
        <w:snapToGrid w:val="0"/>
        <w:spacing w:line="360" w:lineRule="auto"/>
        <w:ind w:firstLine="420"/>
        <w:rPr>
          <w:color w:val="auto"/>
          <w:szCs w:val="21"/>
          <w:highlight w:val="none"/>
        </w:rPr>
      </w:pPr>
      <w:r>
        <w:rPr>
          <w:color w:val="auto"/>
          <w:szCs w:val="21"/>
          <w:highlight w:val="none"/>
        </w:rPr>
        <w:t xml:space="preserve">16.1.1 </w:t>
      </w:r>
      <w:r>
        <w:rPr>
          <w:rFonts w:hint="eastAsia"/>
          <w:color w:val="auto"/>
          <w:szCs w:val="21"/>
          <w:highlight w:val="none"/>
        </w:rPr>
        <w:t>因承包人违约解除合同</w:t>
      </w:r>
    </w:p>
    <w:p w14:paraId="35E3DA4D">
      <w:pPr>
        <w:adjustRightInd w:val="0"/>
        <w:snapToGrid w:val="0"/>
        <w:spacing w:line="360" w:lineRule="auto"/>
        <w:ind w:firstLine="420"/>
        <w:rPr>
          <w:color w:val="auto"/>
          <w:szCs w:val="21"/>
          <w:highlight w:val="none"/>
        </w:rPr>
      </w:pPr>
      <w:r>
        <w:rPr>
          <w:rFonts w:hint="eastAsia"/>
          <w:color w:val="auto"/>
          <w:szCs w:val="21"/>
          <w:highlight w:val="none"/>
        </w:rPr>
        <w:t>双方约定可由发包人解除合同的其他事由：</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rPr>
        <w:t>。</w:t>
      </w:r>
    </w:p>
    <w:p w14:paraId="1207AC58">
      <w:pPr>
        <w:adjustRightInd w:val="0"/>
        <w:snapToGrid w:val="0"/>
        <w:spacing w:line="360" w:lineRule="auto"/>
        <w:ind w:firstLine="420"/>
        <w:rPr>
          <w:color w:val="auto"/>
          <w:szCs w:val="21"/>
          <w:highlight w:val="none"/>
        </w:rPr>
      </w:pPr>
      <w:r>
        <w:rPr>
          <w:color w:val="auto"/>
          <w:szCs w:val="21"/>
          <w:highlight w:val="none"/>
        </w:rPr>
        <w:t xml:space="preserve">16.2 </w:t>
      </w:r>
      <w:r>
        <w:rPr>
          <w:rFonts w:hint="eastAsia"/>
          <w:color w:val="auto"/>
          <w:szCs w:val="21"/>
          <w:highlight w:val="none"/>
        </w:rPr>
        <w:t>由承包人解除合同</w:t>
      </w:r>
    </w:p>
    <w:p w14:paraId="065A61DC">
      <w:pPr>
        <w:adjustRightInd w:val="0"/>
        <w:snapToGrid w:val="0"/>
        <w:spacing w:line="360" w:lineRule="auto"/>
        <w:ind w:firstLine="420"/>
        <w:rPr>
          <w:color w:val="auto"/>
          <w:szCs w:val="21"/>
          <w:highlight w:val="none"/>
        </w:rPr>
      </w:pPr>
      <w:r>
        <w:rPr>
          <w:color w:val="auto"/>
          <w:szCs w:val="21"/>
          <w:highlight w:val="none"/>
        </w:rPr>
        <w:t xml:space="preserve">16.2.1 </w:t>
      </w:r>
      <w:r>
        <w:rPr>
          <w:rFonts w:hint="eastAsia"/>
          <w:color w:val="auto"/>
          <w:szCs w:val="21"/>
          <w:highlight w:val="none"/>
        </w:rPr>
        <w:t>因发包人违约解除合同</w:t>
      </w:r>
    </w:p>
    <w:p w14:paraId="51DB8094">
      <w:pPr>
        <w:adjustRightInd w:val="0"/>
        <w:snapToGrid w:val="0"/>
        <w:spacing w:line="360" w:lineRule="auto"/>
        <w:ind w:firstLine="420"/>
        <w:rPr>
          <w:color w:val="auto"/>
          <w:szCs w:val="21"/>
          <w:highlight w:val="none"/>
        </w:rPr>
      </w:pPr>
      <w:r>
        <w:rPr>
          <w:rFonts w:hint="eastAsia"/>
          <w:color w:val="auto"/>
          <w:szCs w:val="21"/>
          <w:highlight w:val="none"/>
        </w:rPr>
        <w:t>双方约定可由承包人解除合同的其他事由：</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rPr>
        <w:t>。</w:t>
      </w:r>
    </w:p>
    <w:p w14:paraId="69FA755F">
      <w:pPr>
        <w:adjustRightInd w:val="0"/>
        <w:snapToGrid w:val="0"/>
        <w:spacing w:line="360" w:lineRule="auto"/>
        <w:ind w:left="630" w:hanging="630" w:hangingChars="300"/>
        <w:outlineLvl w:val="2"/>
        <w:rPr>
          <w:color w:val="auto"/>
          <w:szCs w:val="21"/>
          <w:highlight w:val="none"/>
        </w:rPr>
      </w:pPr>
      <w:bookmarkStart w:id="1777" w:name="_Toc54862348"/>
      <w:bookmarkStart w:id="1778" w:name="_Toc179885412"/>
      <w:bookmarkStart w:id="1779" w:name="_Toc142406693"/>
      <w:r>
        <w:rPr>
          <w:rFonts w:hint="eastAsia"/>
          <w:color w:val="auto"/>
          <w:szCs w:val="21"/>
          <w:highlight w:val="none"/>
        </w:rPr>
        <w:t>第</w:t>
      </w:r>
      <w:r>
        <w:rPr>
          <w:color w:val="auto"/>
          <w:szCs w:val="21"/>
          <w:highlight w:val="none"/>
        </w:rPr>
        <w:t>17条</w:t>
      </w:r>
      <w:r>
        <w:rPr>
          <w:rFonts w:hint="eastAsia"/>
          <w:color w:val="auto"/>
          <w:szCs w:val="21"/>
          <w:highlight w:val="none"/>
        </w:rPr>
        <w:t xml:space="preserve"> 不可抗力</w:t>
      </w:r>
      <w:bookmarkEnd w:id="1777"/>
      <w:bookmarkEnd w:id="1778"/>
      <w:bookmarkEnd w:id="1779"/>
    </w:p>
    <w:p w14:paraId="43400C44">
      <w:pPr>
        <w:adjustRightInd w:val="0"/>
        <w:snapToGrid w:val="0"/>
        <w:spacing w:line="360" w:lineRule="auto"/>
        <w:ind w:firstLine="420"/>
        <w:rPr>
          <w:color w:val="auto"/>
          <w:szCs w:val="21"/>
          <w:highlight w:val="none"/>
        </w:rPr>
      </w:pPr>
      <w:r>
        <w:rPr>
          <w:color w:val="auto"/>
          <w:szCs w:val="21"/>
          <w:highlight w:val="none"/>
        </w:rPr>
        <w:t xml:space="preserve">17.1 </w:t>
      </w:r>
      <w:r>
        <w:rPr>
          <w:rFonts w:hint="eastAsia"/>
          <w:color w:val="auto"/>
          <w:szCs w:val="21"/>
          <w:highlight w:val="none"/>
        </w:rPr>
        <w:t>不可抗力的定义</w:t>
      </w:r>
    </w:p>
    <w:p w14:paraId="0C01C591">
      <w:pPr>
        <w:adjustRightInd w:val="0"/>
        <w:snapToGrid w:val="0"/>
        <w:spacing w:line="360" w:lineRule="auto"/>
        <w:ind w:firstLine="420"/>
        <w:rPr>
          <w:color w:val="auto"/>
          <w:szCs w:val="21"/>
          <w:highlight w:val="none"/>
        </w:rPr>
      </w:pPr>
      <w:r>
        <w:rPr>
          <w:color w:val="auto"/>
          <w:szCs w:val="21"/>
          <w:highlight w:val="none"/>
        </w:rPr>
        <w:t>除通用合同条件约定的不可抗力事件之外，视为不可抗力的其他情形</w:t>
      </w:r>
      <w:r>
        <w:rPr>
          <w:rFonts w:hint="eastAsia"/>
          <w:color w:val="auto"/>
          <w:szCs w:val="21"/>
          <w:highlight w:val="none"/>
        </w:rPr>
        <w:t>：</w:t>
      </w:r>
      <w:r>
        <w:rPr>
          <w:rFonts w:hint="eastAsia"/>
          <w:color w:val="auto"/>
          <w:szCs w:val="21"/>
          <w:highlight w:val="none"/>
          <w:u w:val="single"/>
        </w:rPr>
        <w:t xml:space="preserve"> </w:t>
      </w:r>
      <w:r>
        <w:rPr>
          <w:color w:val="auto"/>
          <w:highlight w:val="none"/>
          <w:u w:val="single"/>
        </w:rPr>
        <w:t>（1）自然灾害：如台风、冰雹 、洪水、干旱、暴风雪、一个月中累计5天及以上大雨或暴雨，一个月中累计5天及以上的停电停水等；（2）政府行为：如征收、征用、相关政策调整、政府禁止令、停工令等；（3）社会异常事件：如群体事件、罢工、骚乱、战争等。</w:t>
      </w:r>
      <w:r>
        <w:rPr>
          <w:rFonts w:hint="eastAsia"/>
          <w:color w:val="auto"/>
          <w:highlight w:val="none"/>
          <w:u w:val="single"/>
        </w:rPr>
        <w:t>（4）空中飞行物体坠落或其他非发包人承包人责任造成的爆炸、火灾以及</w:t>
      </w:r>
      <w:r>
        <w:rPr>
          <w:rFonts w:hint="eastAsia"/>
          <w:color w:val="auto"/>
          <w:szCs w:val="21"/>
          <w:highlight w:val="none"/>
          <w:u w:val="single"/>
        </w:rPr>
        <w:t>8级以上大风，24小时内100mm以上大雨洪水（以上数据以当地气象台（局）记录为准）</w:t>
      </w:r>
      <w:r>
        <w:rPr>
          <w:rFonts w:hint="eastAsia"/>
          <w:color w:val="auto"/>
          <w:highlight w:val="none"/>
          <w:u w:val="single"/>
        </w:rPr>
        <w:t>等自然灾害及其他特殊条件导致的事件。</w:t>
      </w:r>
    </w:p>
    <w:p w14:paraId="6608F3E8">
      <w:pPr>
        <w:adjustRightInd w:val="0"/>
        <w:snapToGrid w:val="0"/>
        <w:spacing w:line="360" w:lineRule="auto"/>
        <w:ind w:firstLine="420"/>
        <w:rPr>
          <w:color w:val="auto"/>
          <w:szCs w:val="21"/>
          <w:highlight w:val="none"/>
        </w:rPr>
      </w:pPr>
      <w:r>
        <w:rPr>
          <w:color w:val="auto"/>
          <w:szCs w:val="21"/>
          <w:highlight w:val="none"/>
        </w:rPr>
        <w:t xml:space="preserve">17.6 </w:t>
      </w:r>
      <w:r>
        <w:rPr>
          <w:rFonts w:hint="eastAsia"/>
          <w:color w:val="auto"/>
          <w:szCs w:val="21"/>
          <w:highlight w:val="none"/>
        </w:rPr>
        <w:t>因不可抗力解除合同</w:t>
      </w:r>
    </w:p>
    <w:p w14:paraId="304BF160">
      <w:pPr>
        <w:adjustRightInd w:val="0"/>
        <w:snapToGrid w:val="0"/>
        <w:spacing w:line="360" w:lineRule="auto"/>
        <w:ind w:firstLine="420"/>
        <w:rPr>
          <w:color w:val="auto"/>
          <w:szCs w:val="21"/>
          <w:highlight w:val="none"/>
        </w:rPr>
      </w:pPr>
      <w:r>
        <w:rPr>
          <w:color w:val="auto"/>
          <w:szCs w:val="21"/>
          <w:highlight w:val="none"/>
        </w:rPr>
        <w:t>合同解除后，发包人应</w:t>
      </w:r>
      <w:r>
        <w:rPr>
          <w:rFonts w:hint="eastAsia"/>
          <w:color w:val="auto"/>
          <w:szCs w:val="21"/>
          <w:highlight w:val="none"/>
        </w:rPr>
        <w:t>当</w:t>
      </w:r>
      <w:r>
        <w:rPr>
          <w:color w:val="auto"/>
          <w:szCs w:val="21"/>
          <w:highlight w:val="none"/>
        </w:rPr>
        <w:t>在商定或确定发包人应支付款项后</w:t>
      </w:r>
      <w:r>
        <w:rPr>
          <w:rFonts w:hint="eastAsia"/>
          <w:color w:val="auto"/>
          <w:szCs w:val="21"/>
          <w:highlight w:val="none"/>
        </w:rPr>
        <w:t>的</w:t>
      </w:r>
      <w:r>
        <w:rPr>
          <w:color w:val="auto"/>
          <w:szCs w:val="21"/>
          <w:highlight w:val="none"/>
          <w:u w:val="single"/>
        </w:rPr>
        <w:t xml:space="preserve">  56  </w:t>
      </w:r>
      <w:r>
        <w:rPr>
          <w:color w:val="auto"/>
          <w:szCs w:val="21"/>
          <w:highlight w:val="none"/>
        </w:rPr>
        <w:t>天内完成款项的支付。</w:t>
      </w:r>
    </w:p>
    <w:p w14:paraId="0B49DE56">
      <w:pPr>
        <w:adjustRightInd w:val="0"/>
        <w:snapToGrid w:val="0"/>
        <w:spacing w:line="360" w:lineRule="auto"/>
        <w:ind w:left="630" w:hanging="630" w:hangingChars="300"/>
        <w:outlineLvl w:val="2"/>
        <w:rPr>
          <w:color w:val="auto"/>
          <w:szCs w:val="21"/>
          <w:highlight w:val="none"/>
        </w:rPr>
      </w:pPr>
      <w:bookmarkStart w:id="1780" w:name="_Toc54862349"/>
      <w:bookmarkStart w:id="1781" w:name="_Toc142406694"/>
      <w:bookmarkStart w:id="1782" w:name="_Toc179885413"/>
      <w:r>
        <w:rPr>
          <w:rFonts w:hint="eastAsia"/>
          <w:color w:val="auto"/>
          <w:szCs w:val="21"/>
          <w:highlight w:val="none"/>
        </w:rPr>
        <w:t>第1</w:t>
      </w:r>
      <w:r>
        <w:rPr>
          <w:color w:val="auto"/>
          <w:szCs w:val="21"/>
          <w:highlight w:val="none"/>
        </w:rPr>
        <w:t>8</w:t>
      </w:r>
      <w:r>
        <w:rPr>
          <w:rFonts w:hint="eastAsia"/>
          <w:color w:val="auto"/>
          <w:szCs w:val="21"/>
          <w:highlight w:val="none"/>
        </w:rPr>
        <w:t>条</w:t>
      </w:r>
      <w:r>
        <w:rPr>
          <w:color w:val="auto"/>
          <w:szCs w:val="21"/>
          <w:highlight w:val="none"/>
        </w:rPr>
        <w:t xml:space="preserve"> </w:t>
      </w:r>
      <w:r>
        <w:rPr>
          <w:rFonts w:hint="eastAsia"/>
          <w:color w:val="auto"/>
          <w:szCs w:val="21"/>
          <w:highlight w:val="none"/>
        </w:rPr>
        <w:t>保险</w:t>
      </w:r>
      <w:bookmarkEnd w:id="1780"/>
      <w:bookmarkEnd w:id="1781"/>
      <w:bookmarkEnd w:id="1782"/>
    </w:p>
    <w:p w14:paraId="410A6D4F">
      <w:pPr>
        <w:adjustRightInd w:val="0"/>
        <w:snapToGrid w:val="0"/>
        <w:spacing w:line="360" w:lineRule="auto"/>
        <w:ind w:firstLine="420"/>
        <w:rPr>
          <w:color w:val="auto"/>
          <w:szCs w:val="21"/>
          <w:highlight w:val="none"/>
        </w:rPr>
      </w:pPr>
      <w:r>
        <w:rPr>
          <w:color w:val="auto"/>
          <w:szCs w:val="21"/>
          <w:highlight w:val="none"/>
        </w:rPr>
        <w:t xml:space="preserve">18.1 </w:t>
      </w:r>
      <w:r>
        <w:rPr>
          <w:rFonts w:hint="eastAsia"/>
          <w:color w:val="auto"/>
          <w:szCs w:val="21"/>
          <w:highlight w:val="none"/>
        </w:rPr>
        <w:t>设计和工程保险</w:t>
      </w:r>
    </w:p>
    <w:p w14:paraId="79F10AA6">
      <w:pPr>
        <w:adjustRightInd w:val="0"/>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 xml:space="preserve">8.1.1 </w:t>
      </w:r>
      <w:r>
        <w:rPr>
          <w:rFonts w:hint="eastAsia"/>
          <w:color w:val="auto"/>
          <w:szCs w:val="21"/>
          <w:highlight w:val="none"/>
        </w:rPr>
        <w:t>双方当事人</w:t>
      </w:r>
      <w:r>
        <w:rPr>
          <w:color w:val="auto"/>
          <w:szCs w:val="21"/>
          <w:highlight w:val="none"/>
        </w:rPr>
        <w:t>关于</w:t>
      </w:r>
      <w:r>
        <w:rPr>
          <w:rFonts w:hint="eastAsia"/>
          <w:color w:val="auto"/>
          <w:szCs w:val="21"/>
          <w:highlight w:val="none"/>
        </w:rPr>
        <w:t>设计和工程保险</w:t>
      </w:r>
      <w:r>
        <w:rPr>
          <w:color w:val="auto"/>
          <w:szCs w:val="21"/>
          <w:highlight w:val="none"/>
        </w:rPr>
        <w:t>的特别</w:t>
      </w:r>
      <w:r>
        <w:rPr>
          <w:rFonts w:hint="eastAsia"/>
          <w:color w:val="auto"/>
          <w:szCs w:val="21"/>
          <w:highlight w:val="none"/>
        </w:rPr>
        <w:t>约</w:t>
      </w:r>
      <w:r>
        <w:rPr>
          <w:color w:val="auto"/>
          <w:szCs w:val="21"/>
          <w:highlight w:val="none"/>
        </w:rPr>
        <w:t>定</w:t>
      </w:r>
      <w:r>
        <w:rPr>
          <w:rFonts w:hint="eastAsia"/>
          <w:color w:val="auto"/>
          <w:szCs w:val="21"/>
          <w:highlight w:val="none"/>
        </w:rPr>
        <w:t>：</w:t>
      </w:r>
      <w:r>
        <w:rPr>
          <w:rFonts w:hint="eastAsia"/>
          <w:color w:val="auto"/>
          <w:szCs w:val="21"/>
          <w:highlight w:val="none"/>
          <w:u w:val="single"/>
        </w:rPr>
        <w:t>承包人承担</w:t>
      </w:r>
      <w:r>
        <w:rPr>
          <w:rFonts w:hint="eastAsia"/>
          <w:color w:val="auto"/>
          <w:szCs w:val="21"/>
          <w:highlight w:val="none"/>
        </w:rPr>
        <w:t>。</w:t>
      </w:r>
    </w:p>
    <w:p w14:paraId="681E0081">
      <w:pPr>
        <w:adjustRightInd w:val="0"/>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 xml:space="preserve">8.1.2 </w:t>
      </w:r>
      <w:r>
        <w:rPr>
          <w:rFonts w:hint="eastAsia"/>
          <w:color w:val="auto"/>
          <w:szCs w:val="21"/>
          <w:highlight w:val="none"/>
        </w:rPr>
        <w:t>双方当事人</w:t>
      </w:r>
      <w:r>
        <w:rPr>
          <w:color w:val="auto"/>
          <w:szCs w:val="21"/>
          <w:highlight w:val="none"/>
        </w:rPr>
        <w:t>关于</w:t>
      </w:r>
      <w:r>
        <w:rPr>
          <w:rFonts w:hint="eastAsia"/>
          <w:color w:val="auto"/>
          <w:szCs w:val="21"/>
          <w:highlight w:val="none"/>
        </w:rPr>
        <w:t>第三方责任险</w:t>
      </w:r>
      <w:r>
        <w:rPr>
          <w:color w:val="auto"/>
          <w:szCs w:val="21"/>
          <w:highlight w:val="none"/>
        </w:rPr>
        <w:t>的特别</w:t>
      </w:r>
      <w:r>
        <w:rPr>
          <w:rFonts w:hint="eastAsia"/>
          <w:color w:val="auto"/>
          <w:szCs w:val="21"/>
          <w:highlight w:val="none"/>
        </w:rPr>
        <w:t>约</w:t>
      </w:r>
      <w:r>
        <w:rPr>
          <w:color w:val="auto"/>
          <w:szCs w:val="21"/>
          <w:highlight w:val="none"/>
        </w:rPr>
        <w:t>定：</w:t>
      </w:r>
      <w:r>
        <w:rPr>
          <w:rFonts w:hint="eastAsia"/>
          <w:color w:val="auto"/>
          <w:szCs w:val="21"/>
          <w:highlight w:val="none"/>
          <w:u w:val="single"/>
        </w:rPr>
        <w:t>承包人承担</w:t>
      </w:r>
      <w:r>
        <w:rPr>
          <w:rFonts w:hint="eastAsia"/>
          <w:color w:val="auto"/>
          <w:szCs w:val="21"/>
          <w:highlight w:val="none"/>
        </w:rPr>
        <w:t>。</w:t>
      </w:r>
    </w:p>
    <w:p w14:paraId="455054FB">
      <w:pPr>
        <w:adjustRightInd w:val="0"/>
        <w:snapToGrid w:val="0"/>
        <w:spacing w:line="360" w:lineRule="auto"/>
        <w:ind w:firstLine="420"/>
        <w:rPr>
          <w:color w:val="auto"/>
          <w:szCs w:val="21"/>
          <w:highlight w:val="none"/>
        </w:rPr>
      </w:pPr>
      <w:r>
        <w:rPr>
          <w:color w:val="auto"/>
          <w:szCs w:val="21"/>
          <w:highlight w:val="none"/>
        </w:rPr>
        <w:t xml:space="preserve">18.2 </w:t>
      </w:r>
      <w:r>
        <w:rPr>
          <w:rFonts w:hint="eastAsia"/>
          <w:color w:val="auto"/>
          <w:szCs w:val="21"/>
          <w:highlight w:val="none"/>
        </w:rPr>
        <w:t>工伤和意外伤害保险</w:t>
      </w:r>
    </w:p>
    <w:p w14:paraId="5D250760">
      <w:pPr>
        <w:adjustRightInd w:val="0"/>
        <w:snapToGrid w:val="0"/>
        <w:spacing w:line="360" w:lineRule="auto"/>
        <w:ind w:firstLine="420"/>
        <w:rPr>
          <w:color w:val="auto"/>
          <w:szCs w:val="21"/>
          <w:highlight w:val="none"/>
        </w:rPr>
      </w:pPr>
      <w:r>
        <w:rPr>
          <w:rFonts w:hint="eastAsia"/>
          <w:color w:val="auto"/>
          <w:szCs w:val="21"/>
          <w:highlight w:val="none"/>
        </w:rPr>
        <w:t>1</w:t>
      </w:r>
      <w:r>
        <w:rPr>
          <w:color w:val="auto"/>
          <w:szCs w:val="21"/>
          <w:highlight w:val="none"/>
        </w:rPr>
        <w:t>8.2.3 关于</w:t>
      </w:r>
      <w:r>
        <w:rPr>
          <w:rFonts w:hint="eastAsia"/>
          <w:color w:val="auto"/>
          <w:szCs w:val="21"/>
          <w:highlight w:val="none"/>
        </w:rPr>
        <w:t>工伤保险和意外伤害保险</w:t>
      </w:r>
      <w:r>
        <w:rPr>
          <w:color w:val="auto"/>
          <w:szCs w:val="21"/>
          <w:highlight w:val="none"/>
        </w:rPr>
        <w:t>的特别</w:t>
      </w:r>
      <w:r>
        <w:rPr>
          <w:rFonts w:hint="eastAsia"/>
          <w:color w:val="auto"/>
          <w:szCs w:val="21"/>
          <w:highlight w:val="none"/>
        </w:rPr>
        <w:t>约</w:t>
      </w:r>
      <w:r>
        <w:rPr>
          <w:color w:val="auto"/>
          <w:szCs w:val="21"/>
          <w:highlight w:val="none"/>
        </w:rPr>
        <w:t>定：</w:t>
      </w:r>
      <w:r>
        <w:rPr>
          <w:rFonts w:hint="eastAsia"/>
          <w:color w:val="auto"/>
          <w:szCs w:val="21"/>
          <w:highlight w:val="none"/>
          <w:u w:val="single"/>
        </w:rPr>
        <w:t>各方自行承担</w:t>
      </w:r>
      <w:r>
        <w:rPr>
          <w:rFonts w:hint="eastAsia"/>
          <w:color w:val="auto"/>
          <w:szCs w:val="21"/>
          <w:highlight w:val="none"/>
        </w:rPr>
        <w:t>。</w:t>
      </w:r>
    </w:p>
    <w:p w14:paraId="2416E364">
      <w:pPr>
        <w:adjustRightInd w:val="0"/>
        <w:snapToGrid w:val="0"/>
        <w:spacing w:line="360" w:lineRule="auto"/>
        <w:ind w:firstLine="420"/>
        <w:rPr>
          <w:color w:val="auto"/>
          <w:szCs w:val="21"/>
          <w:highlight w:val="none"/>
        </w:rPr>
      </w:pPr>
      <w:r>
        <w:rPr>
          <w:color w:val="auto"/>
          <w:szCs w:val="21"/>
          <w:highlight w:val="none"/>
        </w:rPr>
        <w:t xml:space="preserve">18.3 </w:t>
      </w:r>
      <w:r>
        <w:rPr>
          <w:rFonts w:hint="eastAsia"/>
          <w:color w:val="auto"/>
          <w:szCs w:val="21"/>
          <w:highlight w:val="none"/>
        </w:rPr>
        <w:t>货物保险</w:t>
      </w:r>
    </w:p>
    <w:p w14:paraId="28A3F573">
      <w:pPr>
        <w:adjustRightInd w:val="0"/>
        <w:snapToGrid w:val="0"/>
        <w:spacing w:line="360" w:lineRule="auto"/>
        <w:ind w:firstLine="420"/>
        <w:rPr>
          <w:color w:val="auto"/>
          <w:szCs w:val="21"/>
          <w:highlight w:val="none"/>
        </w:rPr>
      </w:pPr>
      <w:r>
        <w:rPr>
          <w:rFonts w:hint="eastAsia"/>
          <w:color w:val="auto"/>
          <w:szCs w:val="21"/>
          <w:highlight w:val="none"/>
        </w:rPr>
        <w:t>关于承包人应为其施工设备、材料、工程设备和临时工程等办理财产</w:t>
      </w:r>
      <w:r>
        <w:rPr>
          <w:color w:val="auto"/>
          <w:szCs w:val="21"/>
          <w:highlight w:val="none"/>
        </w:rPr>
        <w:t>保险的特别</w:t>
      </w:r>
      <w:r>
        <w:rPr>
          <w:rFonts w:hint="eastAsia"/>
          <w:color w:val="auto"/>
          <w:szCs w:val="21"/>
          <w:highlight w:val="none"/>
        </w:rPr>
        <w:t>约</w:t>
      </w:r>
      <w:r>
        <w:rPr>
          <w:color w:val="auto"/>
          <w:szCs w:val="21"/>
          <w:highlight w:val="none"/>
        </w:rPr>
        <w:t>定：</w:t>
      </w:r>
      <w:r>
        <w:rPr>
          <w:rFonts w:hint="eastAsia"/>
          <w:color w:val="auto"/>
          <w:szCs w:val="21"/>
          <w:highlight w:val="none"/>
          <w:u w:val="single"/>
        </w:rPr>
        <w:t>由承包人投保，并承担相关费用</w:t>
      </w:r>
      <w:r>
        <w:rPr>
          <w:rFonts w:hint="eastAsia"/>
          <w:color w:val="auto"/>
          <w:szCs w:val="21"/>
          <w:highlight w:val="none"/>
        </w:rPr>
        <w:t>。</w:t>
      </w:r>
    </w:p>
    <w:p w14:paraId="1F4200ED">
      <w:pPr>
        <w:adjustRightInd w:val="0"/>
        <w:snapToGrid w:val="0"/>
        <w:spacing w:line="360" w:lineRule="auto"/>
        <w:ind w:firstLine="420"/>
        <w:rPr>
          <w:color w:val="auto"/>
          <w:szCs w:val="21"/>
          <w:highlight w:val="none"/>
        </w:rPr>
      </w:pPr>
      <w:r>
        <w:rPr>
          <w:color w:val="auto"/>
          <w:szCs w:val="21"/>
          <w:highlight w:val="none"/>
        </w:rPr>
        <w:t xml:space="preserve">18.4 </w:t>
      </w:r>
      <w:r>
        <w:rPr>
          <w:rFonts w:hint="eastAsia"/>
          <w:color w:val="auto"/>
          <w:szCs w:val="21"/>
          <w:highlight w:val="none"/>
        </w:rPr>
        <w:t>其他保险</w:t>
      </w:r>
    </w:p>
    <w:p w14:paraId="2C5E994E">
      <w:pPr>
        <w:adjustRightInd w:val="0"/>
        <w:snapToGrid w:val="0"/>
        <w:spacing w:line="360" w:lineRule="auto"/>
        <w:ind w:firstLine="420"/>
        <w:rPr>
          <w:color w:val="auto"/>
          <w:szCs w:val="21"/>
          <w:highlight w:val="none"/>
        </w:rPr>
      </w:pPr>
      <w:r>
        <w:rPr>
          <w:rFonts w:hint="eastAsia"/>
          <w:color w:val="auto"/>
          <w:szCs w:val="21"/>
          <w:highlight w:val="none"/>
        </w:rPr>
        <w:t>关于其他保险的约定：</w:t>
      </w:r>
      <w:r>
        <w:rPr>
          <w:rFonts w:hint="eastAsia"/>
          <w:color w:val="auto"/>
          <w:szCs w:val="21"/>
          <w:highlight w:val="none"/>
          <w:u w:val="single"/>
        </w:rPr>
        <w:t>其他依法应投保险由承包人投保，并承担相关费用</w:t>
      </w:r>
      <w:r>
        <w:rPr>
          <w:rFonts w:hint="eastAsia"/>
          <w:color w:val="auto"/>
          <w:szCs w:val="21"/>
          <w:highlight w:val="none"/>
        </w:rPr>
        <w:t>。</w:t>
      </w:r>
    </w:p>
    <w:p w14:paraId="35648857">
      <w:pPr>
        <w:adjustRightInd w:val="0"/>
        <w:snapToGrid w:val="0"/>
        <w:spacing w:line="360" w:lineRule="auto"/>
        <w:ind w:firstLine="420"/>
        <w:rPr>
          <w:color w:val="auto"/>
          <w:szCs w:val="21"/>
          <w:highlight w:val="none"/>
        </w:rPr>
      </w:pPr>
      <w:r>
        <w:rPr>
          <w:color w:val="auto"/>
          <w:szCs w:val="21"/>
          <w:highlight w:val="none"/>
        </w:rPr>
        <w:t xml:space="preserve">18.5 </w:t>
      </w:r>
      <w:r>
        <w:rPr>
          <w:rFonts w:hint="eastAsia"/>
          <w:color w:val="auto"/>
          <w:szCs w:val="21"/>
          <w:highlight w:val="none"/>
        </w:rPr>
        <w:t>对各项保险的一般要求</w:t>
      </w:r>
    </w:p>
    <w:p w14:paraId="625431AD">
      <w:pPr>
        <w:adjustRightInd w:val="0"/>
        <w:snapToGrid w:val="0"/>
        <w:spacing w:line="360" w:lineRule="auto"/>
        <w:ind w:firstLine="420"/>
        <w:rPr>
          <w:color w:val="auto"/>
          <w:szCs w:val="21"/>
          <w:highlight w:val="none"/>
        </w:rPr>
      </w:pPr>
      <w:r>
        <w:rPr>
          <w:color w:val="auto"/>
          <w:szCs w:val="21"/>
          <w:highlight w:val="none"/>
        </w:rPr>
        <w:t>18.5.2 保险凭证</w:t>
      </w:r>
    </w:p>
    <w:p w14:paraId="582C7E55">
      <w:pPr>
        <w:adjustRightInd w:val="0"/>
        <w:snapToGrid w:val="0"/>
        <w:spacing w:line="360" w:lineRule="auto"/>
        <w:ind w:firstLine="420"/>
        <w:rPr>
          <w:color w:val="auto"/>
          <w:szCs w:val="21"/>
          <w:highlight w:val="none"/>
        </w:rPr>
      </w:pPr>
      <w:r>
        <w:rPr>
          <w:rFonts w:hint="eastAsia"/>
          <w:color w:val="auto"/>
          <w:szCs w:val="21"/>
          <w:highlight w:val="none"/>
        </w:rPr>
        <w:t>保险单的条件：</w:t>
      </w:r>
      <w:r>
        <w:rPr>
          <w:rFonts w:hint="eastAsia"/>
          <w:color w:val="auto"/>
          <w:szCs w:val="21"/>
          <w:highlight w:val="none"/>
          <w:u w:val="single"/>
        </w:rPr>
        <w:t xml:space="preserve"> </w:t>
      </w:r>
      <w:r>
        <w:rPr>
          <w:color w:val="auto"/>
          <w:szCs w:val="21"/>
          <w:highlight w:val="none"/>
          <w:u w:val="single"/>
        </w:rPr>
        <w:t xml:space="preserve"> /  </w:t>
      </w:r>
      <w:r>
        <w:rPr>
          <w:rFonts w:hint="eastAsia"/>
          <w:color w:val="auto"/>
          <w:szCs w:val="21"/>
          <w:highlight w:val="none"/>
        </w:rPr>
        <w:t>。</w:t>
      </w:r>
    </w:p>
    <w:p w14:paraId="08F6B3EE">
      <w:pPr>
        <w:adjustRightInd w:val="0"/>
        <w:snapToGrid w:val="0"/>
        <w:spacing w:line="360" w:lineRule="auto"/>
        <w:ind w:firstLine="420"/>
        <w:rPr>
          <w:color w:val="auto"/>
          <w:szCs w:val="21"/>
          <w:highlight w:val="none"/>
        </w:rPr>
      </w:pPr>
      <w:r>
        <w:rPr>
          <w:color w:val="auto"/>
          <w:szCs w:val="21"/>
          <w:highlight w:val="none"/>
        </w:rPr>
        <w:t>18.5.4 通知义务</w:t>
      </w:r>
    </w:p>
    <w:p w14:paraId="56210D02">
      <w:pPr>
        <w:adjustRightInd w:val="0"/>
        <w:snapToGrid w:val="0"/>
        <w:spacing w:line="360" w:lineRule="auto"/>
        <w:ind w:firstLine="420"/>
        <w:rPr>
          <w:color w:val="auto"/>
          <w:szCs w:val="21"/>
          <w:highlight w:val="none"/>
        </w:rPr>
      </w:pPr>
      <w:r>
        <w:rPr>
          <w:rFonts w:hint="eastAsia"/>
          <w:color w:val="auto"/>
          <w:szCs w:val="21"/>
          <w:highlight w:val="none"/>
        </w:rPr>
        <w:t>关于变更保险合同时的通知义务的约定：</w:t>
      </w:r>
      <w:r>
        <w:rPr>
          <w:rFonts w:hint="eastAsia"/>
          <w:color w:val="auto"/>
          <w:szCs w:val="21"/>
          <w:highlight w:val="none"/>
          <w:u w:val="single"/>
        </w:rPr>
        <w:t xml:space="preserve"> </w:t>
      </w:r>
      <w:r>
        <w:rPr>
          <w:color w:val="auto"/>
          <w:szCs w:val="21"/>
          <w:highlight w:val="none"/>
          <w:u w:val="single"/>
        </w:rPr>
        <w:t xml:space="preserve"> /  </w:t>
      </w:r>
      <w:r>
        <w:rPr>
          <w:rFonts w:hint="eastAsia"/>
          <w:color w:val="auto"/>
          <w:szCs w:val="21"/>
          <w:highlight w:val="none"/>
        </w:rPr>
        <w:t>。</w:t>
      </w:r>
    </w:p>
    <w:p w14:paraId="28CC224D">
      <w:pPr>
        <w:adjustRightInd w:val="0"/>
        <w:snapToGrid w:val="0"/>
        <w:spacing w:line="360" w:lineRule="auto"/>
        <w:ind w:left="630" w:hanging="630" w:hangingChars="300"/>
        <w:outlineLvl w:val="2"/>
        <w:rPr>
          <w:color w:val="auto"/>
          <w:szCs w:val="21"/>
          <w:highlight w:val="none"/>
        </w:rPr>
      </w:pPr>
      <w:bookmarkStart w:id="1783" w:name="_Toc54862350"/>
      <w:bookmarkStart w:id="1784" w:name="_Toc179885414"/>
      <w:bookmarkStart w:id="1785" w:name="_Toc142406695"/>
      <w:r>
        <w:rPr>
          <w:rFonts w:hint="eastAsia"/>
          <w:color w:val="auto"/>
          <w:szCs w:val="21"/>
          <w:highlight w:val="none"/>
        </w:rPr>
        <w:t>第</w:t>
      </w:r>
      <w:r>
        <w:rPr>
          <w:color w:val="auto"/>
          <w:szCs w:val="21"/>
          <w:highlight w:val="none"/>
        </w:rPr>
        <w:t>20条</w:t>
      </w:r>
      <w:r>
        <w:rPr>
          <w:rFonts w:hint="eastAsia"/>
          <w:color w:val="auto"/>
          <w:szCs w:val="21"/>
          <w:highlight w:val="none"/>
        </w:rPr>
        <w:t xml:space="preserve"> 争议解决</w:t>
      </w:r>
      <w:bookmarkEnd w:id="1783"/>
      <w:bookmarkEnd w:id="1784"/>
      <w:bookmarkEnd w:id="1785"/>
    </w:p>
    <w:p w14:paraId="2495219D">
      <w:pPr>
        <w:adjustRightInd w:val="0"/>
        <w:snapToGrid w:val="0"/>
        <w:spacing w:line="360" w:lineRule="auto"/>
        <w:ind w:firstLine="420"/>
        <w:rPr>
          <w:color w:val="auto"/>
          <w:szCs w:val="21"/>
          <w:highlight w:val="none"/>
        </w:rPr>
      </w:pPr>
      <w:r>
        <w:rPr>
          <w:color w:val="auto"/>
          <w:szCs w:val="21"/>
          <w:highlight w:val="none"/>
        </w:rPr>
        <w:t xml:space="preserve">20.3 </w:t>
      </w:r>
      <w:r>
        <w:rPr>
          <w:rFonts w:hint="eastAsia"/>
          <w:color w:val="auto"/>
          <w:szCs w:val="21"/>
          <w:highlight w:val="none"/>
        </w:rPr>
        <w:t>争议评审</w:t>
      </w:r>
    </w:p>
    <w:p w14:paraId="0A4D5BE0">
      <w:pPr>
        <w:adjustRightInd w:val="0"/>
        <w:snapToGrid w:val="0"/>
        <w:spacing w:line="360" w:lineRule="auto"/>
        <w:ind w:firstLine="420"/>
        <w:rPr>
          <w:color w:val="auto"/>
          <w:szCs w:val="21"/>
          <w:highlight w:val="none"/>
        </w:rPr>
      </w:pPr>
      <w:r>
        <w:rPr>
          <w:rFonts w:hint="eastAsia"/>
          <w:color w:val="auto"/>
          <w:szCs w:val="21"/>
          <w:highlight w:val="none"/>
        </w:rPr>
        <w:t>合同当事人是否同意将工程争议提交争议评审小组决定：</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否 </w:t>
      </w:r>
      <w:r>
        <w:rPr>
          <w:color w:val="auto"/>
          <w:szCs w:val="21"/>
          <w:highlight w:val="none"/>
          <w:u w:val="single"/>
        </w:rPr>
        <w:t xml:space="preserve"> </w:t>
      </w:r>
      <w:r>
        <w:rPr>
          <w:rFonts w:hint="eastAsia"/>
          <w:color w:val="auto"/>
          <w:szCs w:val="21"/>
          <w:highlight w:val="none"/>
        </w:rPr>
        <w:t>。</w:t>
      </w:r>
    </w:p>
    <w:p w14:paraId="1FA3F62C">
      <w:pPr>
        <w:adjustRightInd w:val="0"/>
        <w:snapToGrid w:val="0"/>
        <w:spacing w:line="360" w:lineRule="auto"/>
        <w:ind w:firstLine="420"/>
        <w:rPr>
          <w:color w:val="auto"/>
          <w:szCs w:val="21"/>
          <w:highlight w:val="none"/>
        </w:rPr>
      </w:pPr>
      <w:r>
        <w:rPr>
          <w:color w:val="auto"/>
          <w:szCs w:val="21"/>
          <w:highlight w:val="none"/>
        </w:rPr>
        <w:t>20.3.1</w:t>
      </w:r>
      <w:r>
        <w:rPr>
          <w:rFonts w:hint="eastAsia"/>
          <w:color w:val="auto"/>
          <w:szCs w:val="21"/>
          <w:highlight w:val="none"/>
        </w:rPr>
        <w:t xml:space="preserve"> 争议评审小组</w:t>
      </w:r>
      <w:r>
        <w:rPr>
          <w:color w:val="auto"/>
          <w:szCs w:val="21"/>
          <w:highlight w:val="none"/>
        </w:rPr>
        <w:t>的确定</w:t>
      </w:r>
    </w:p>
    <w:p w14:paraId="62556A6A">
      <w:pPr>
        <w:adjustRightInd w:val="0"/>
        <w:snapToGrid w:val="0"/>
        <w:spacing w:line="360" w:lineRule="auto"/>
        <w:ind w:firstLine="420"/>
        <w:rPr>
          <w:color w:val="auto"/>
          <w:szCs w:val="21"/>
          <w:highlight w:val="none"/>
        </w:rPr>
      </w:pPr>
      <w:r>
        <w:rPr>
          <w:rFonts w:hint="eastAsia"/>
          <w:color w:val="auto"/>
          <w:szCs w:val="21"/>
          <w:highlight w:val="none"/>
        </w:rPr>
        <w:t>争议评审小组成员的人数：</w:t>
      </w:r>
      <w:r>
        <w:rPr>
          <w:rFonts w:hint="eastAsia"/>
          <w:color w:val="auto"/>
          <w:szCs w:val="21"/>
          <w:highlight w:val="none"/>
          <w:u w:val="single"/>
        </w:rPr>
        <w:t xml:space="preserve"> </w:t>
      </w:r>
      <w:r>
        <w:rPr>
          <w:color w:val="auto"/>
          <w:szCs w:val="21"/>
          <w:highlight w:val="none"/>
          <w:u w:val="single"/>
        </w:rPr>
        <w:t xml:space="preserve"> /  </w:t>
      </w:r>
      <w:r>
        <w:rPr>
          <w:color w:val="auto"/>
          <w:szCs w:val="21"/>
          <w:highlight w:val="none"/>
        </w:rPr>
        <w:t>。</w:t>
      </w:r>
    </w:p>
    <w:p w14:paraId="65D060DC">
      <w:pPr>
        <w:adjustRightInd w:val="0"/>
        <w:snapToGrid w:val="0"/>
        <w:spacing w:line="360" w:lineRule="auto"/>
        <w:ind w:firstLine="420"/>
        <w:rPr>
          <w:color w:val="auto"/>
          <w:szCs w:val="21"/>
          <w:highlight w:val="none"/>
        </w:rPr>
      </w:pPr>
      <w:r>
        <w:rPr>
          <w:rFonts w:hint="eastAsia"/>
          <w:color w:val="auto"/>
          <w:szCs w:val="21"/>
          <w:highlight w:val="none"/>
        </w:rPr>
        <w:t>争议评审小组成员的确定：</w:t>
      </w:r>
      <w:r>
        <w:rPr>
          <w:rFonts w:hint="eastAsia"/>
          <w:color w:val="auto"/>
          <w:szCs w:val="21"/>
          <w:highlight w:val="none"/>
          <w:u w:val="single"/>
        </w:rPr>
        <w:t xml:space="preserve"> </w:t>
      </w:r>
      <w:r>
        <w:rPr>
          <w:color w:val="auto"/>
          <w:szCs w:val="21"/>
          <w:highlight w:val="none"/>
          <w:u w:val="single"/>
        </w:rPr>
        <w:t xml:space="preserve"> /  </w:t>
      </w:r>
      <w:r>
        <w:rPr>
          <w:color w:val="auto"/>
          <w:szCs w:val="21"/>
          <w:highlight w:val="none"/>
        </w:rPr>
        <w:t>。</w:t>
      </w:r>
    </w:p>
    <w:p w14:paraId="3668CBAA">
      <w:pPr>
        <w:adjustRightInd w:val="0"/>
        <w:snapToGrid w:val="0"/>
        <w:spacing w:line="360" w:lineRule="auto"/>
        <w:ind w:firstLine="420"/>
        <w:rPr>
          <w:color w:val="auto"/>
          <w:szCs w:val="21"/>
          <w:highlight w:val="none"/>
        </w:rPr>
      </w:pPr>
      <w:r>
        <w:rPr>
          <w:rFonts w:hint="eastAsia"/>
          <w:color w:val="auto"/>
          <w:szCs w:val="21"/>
          <w:highlight w:val="none"/>
        </w:rPr>
        <w:t>选定争议避免/评审组的期限：</w:t>
      </w:r>
      <w:r>
        <w:rPr>
          <w:rFonts w:hint="eastAsia"/>
          <w:color w:val="auto"/>
          <w:szCs w:val="21"/>
          <w:highlight w:val="none"/>
          <w:u w:val="single"/>
        </w:rPr>
        <w:t xml:space="preserve"> </w:t>
      </w:r>
      <w:r>
        <w:rPr>
          <w:color w:val="auto"/>
          <w:szCs w:val="21"/>
          <w:highlight w:val="none"/>
          <w:u w:val="single"/>
        </w:rPr>
        <w:t xml:space="preserve"> /  </w:t>
      </w:r>
      <w:r>
        <w:rPr>
          <w:color w:val="auto"/>
          <w:szCs w:val="21"/>
          <w:highlight w:val="none"/>
        </w:rPr>
        <w:t>。</w:t>
      </w:r>
    </w:p>
    <w:p w14:paraId="5D5AF802">
      <w:pPr>
        <w:adjustRightInd w:val="0"/>
        <w:snapToGrid w:val="0"/>
        <w:spacing w:line="360" w:lineRule="auto"/>
        <w:ind w:firstLine="420"/>
        <w:rPr>
          <w:color w:val="auto"/>
          <w:szCs w:val="21"/>
          <w:highlight w:val="none"/>
        </w:rPr>
      </w:pPr>
      <w:r>
        <w:rPr>
          <w:rFonts w:hint="eastAsia"/>
          <w:color w:val="auto"/>
          <w:szCs w:val="21"/>
          <w:highlight w:val="none"/>
        </w:rPr>
        <w:t>评审机构：</w:t>
      </w:r>
      <w:r>
        <w:rPr>
          <w:rFonts w:hint="eastAsia"/>
          <w:color w:val="auto"/>
          <w:szCs w:val="21"/>
          <w:highlight w:val="none"/>
          <w:u w:val="single"/>
        </w:rPr>
        <w:t xml:space="preserve"> </w:t>
      </w:r>
      <w:r>
        <w:rPr>
          <w:color w:val="auto"/>
          <w:szCs w:val="21"/>
          <w:highlight w:val="none"/>
          <w:u w:val="single"/>
        </w:rPr>
        <w:t xml:space="preserve"> /  </w:t>
      </w:r>
      <w:r>
        <w:rPr>
          <w:color w:val="auto"/>
          <w:szCs w:val="21"/>
          <w:highlight w:val="none"/>
        </w:rPr>
        <w:t>。</w:t>
      </w:r>
    </w:p>
    <w:p w14:paraId="7333991A">
      <w:pPr>
        <w:adjustRightInd w:val="0"/>
        <w:snapToGrid w:val="0"/>
        <w:spacing w:line="360" w:lineRule="auto"/>
        <w:ind w:firstLine="420"/>
        <w:rPr>
          <w:color w:val="auto"/>
          <w:szCs w:val="21"/>
          <w:highlight w:val="none"/>
        </w:rPr>
      </w:pPr>
      <w:r>
        <w:rPr>
          <w:rFonts w:hint="eastAsia"/>
          <w:color w:val="auto"/>
          <w:szCs w:val="21"/>
          <w:highlight w:val="none"/>
        </w:rPr>
        <w:t>其他事项的约定：</w:t>
      </w:r>
      <w:r>
        <w:rPr>
          <w:rFonts w:hint="eastAsia"/>
          <w:color w:val="auto"/>
          <w:szCs w:val="21"/>
          <w:highlight w:val="none"/>
          <w:u w:val="single"/>
        </w:rPr>
        <w:t xml:space="preserve"> </w:t>
      </w:r>
      <w:r>
        <w:rPr>
          <w:color w:val="auto"/>
          <w:szCs w:val="21"/>
          <w:highlight w:val="none"/>
          <w:u w:val="single"/>
        </w:rPr>
        <w:t xml:space="preserve"> /  </w:t>
      </w:r>
      <w:r>
        <w:rPr>
          <w:color w:val="auto"/>
          <w:szCs w:val="21"/>
          <w:highlight w:val="none"/>
        </w:rPr>
        <w:t>。</w:t>
      </w:r>
    </w:p>
    <w:p w14:paraId="2E363500">
      <w:pPr>
        <w:adjustRightInd w:val="0"/>
        <w:snapToGrid w:val="0"/>
        <w:spacing w:line="360" w:lineRule="auto"/>
        <w:ind w:firstLine="420"/>
        <w:rPr>
          <w:color w:val="auto"/>
          <w:szCs w:val="21"/>
          <w:highlight w:val="none"/>
        </w:rPr>
      </w:pPr>
      <w:r>
        <w:rPr>
          <w:color w:val="auto"/>
          <w:szCs w:val="21"/>
          <w:highlight w:val="none"/>
        </w:rPr>
        <w:t>争议评审员报酬</w:t>
      </w:r>
      <w:r>
        <w:rPr>
          <w:rFonts w:hint="eastAsia"/>
          <w:color w:val="auto"/>
          <w:szCs w:val="21"/>
          <w:highlight w:val="none"/>
        </w:rPr>
        <w:t>的承担人：</w:t>
      </w:r>
      <w:r>
        <w:rPr>
          <w:rFonts w:hint="eastAsia"/>
          <w:color w:val="auto"/>
          <w:szCs w:val="21"/>
          <w:highlight w:val="none"/>
          <w:u w:val="single"/>
        </w:rPr>
        <w:t xml:space="preserve"> </w:t>
      </w:r>
      <w:r>
        <w:rPr>
          <w:color w:val="auto"/>
          <w:szCs w:val="21"/>
          <w:highlight w:val="none"/>
          <w:u w:val="single"/>
        </w:rPr>
        <w:t xml:space="preserve"> /  </w:t>
      </w:r>
      <w:r>
        <w:rPr>
          <w:rFonts w:hint="eastAsia"/>
          <w:color w:val="auto"/>
          <w:szCs w:val="21"/>
          <w:highlight w:val="none"/>
        </w:rPr>
        <w:t>。</w:t>
      </w:r>
    </w:p>
    <w:p w14:paraId="1E3509D8">
      <w:pPr>
        <w:adjustRightInd w:val="0"/>
        <w:snapToGrid w:val="0"/>
        <w:spacing w:line="360" w:lineRule="auto"/>
        <w:ind w:firstLine="420"/>
        <w:rPr>
          <w:color w:val="auto"/>
          <w:szCs w:val="21"/>
          <w:highlight w:val="none"/>
        </w:rPr>
      </w:pPr>
      <w:r>
        <w:rPr>
          <w:rFonts w:hint="eastAsia"/>
          <w:color w:val="auto"/>
          <w:szCs w:val="21"/>
          <w:highlight w:val="none"/>
        </w:rPr>
        <w:t>20.3.2 争议的避免</w:t>
      </w:r>
    </w:p>
    <w:p w14:paraId="0607503E">
      <w:pPr>
        <w:adjustRightInd w:val="0"/>
        <w:snapToGrid w:val="0"/>
        <w:spacing w:line="360" w:lineRule="auto"/>
        <w:ind w:firstLine="420"/>
        <w:rPr>
          <w:color w:val="auto"/>
          <w:szCs w:val="21"/>
          <w:highlight w:val="none"/>
        </w:rPr>
      </w:pPr>
      <w:r>
        <w:rPr>
          <w:rFonts w:hint="eastAsia"/>
          <w:color w:val="auto"/>
          <w:szCs w:val="21"/>
          <w:highlight w:val="none"/>
        </w:rPr>
        <w:t>发包人和承包人是否均出席争议避免的非正式讨论：</w:t>
      </w:r>
      <w:r>
        <w:rPr>
          <w:rFonts w:hint="eastAsia"/>
          <w:color w:val="auto"/>
          <w:szCs w:val="21"/>
          <w:highlight w:val="none"/>
          <w:u w:val="single"/>
        </w:rPr>
        <w:t xml:space="preserve"> </w:t>
      </w:r>
      <w:r>
        <w:rPr>
          <w:color w:val="auto"/>
          <w:szCs w:val="21"/>
          <w:highlight w:val="none"/>
          <w:u w:val="single"/>
        </w:rPr>
        <w:t xml:space="preserve"> /  </w:t>
      </w:r>
      <w:r>
        <w:rPr>
          <w:color w:val="auto"/>
          <w:szCs w:val="21"/>
          <w:highlight w:val="none"/>
        </w:rPr>
        <w:t>。</w:t>
      </w:r>
    </w:p>
    <w:p w14:paraId="10797A31">
      <w:pPr>
        <w:adjustRightInd w:val="0"/>
        <w:snapToGrid w:val="0"/>
        <w:spacing w:line="360" w:lineRule="auto"/>
        <w:ind w:firstLine="420"/>
        <w:rPr>
          <w:color w:val="auto"/>
          <w:szCs w:val="21"/>
          <w:highlight w:val="none"/>
        </w:rPr>
      </w:pPr>
      <w:r>
        <w:rPr>
          <w:color w:val="auto"/>
          <w:szCs w:val="21"/>
          <w:highlight w:val="none"/>
        </w:rPr>
        <w:t>20.3.3</w:t>
      </w:r>
      <w:r>
        <w:rPr>
          <w:rFonts w:hint="eastAsia"/>
          <w:color w:val="auto"/>
          <w:szCs w:val="21"/>
          <w:highlight w:val="none"/>
        </w:rPr>
        <w:t xml:space="preserve"> 争议评审小组的决定</w:t>
      </w:r>
    </w:p>
    <w:p w14:paraId="5982D4EC">
      <w:pPr>
        <w:adjustRightInd w:val="0"/>
        <w:snapToGrid w:val="0"/>
        <w:spacing w:line="360" w:lineRule="auto"/>
        <w:ind w:firstLine="420"/>
        <w:rPr>
          <w:color w:val="auto"/>
          <w:szCs w:val="21"/>
          <w:highlight w:val="none"/>
        </w:rPr>
      </w:pPr>
      <w:r>
        <w:rPr>
          <w:rFonts w:hint="eastAsia"/>
          <w:color w:val="auto"/>
          <w:szCs w:val="21"/>
          <w:highlight w:val="none"/>
        </w:rPr>
        <w:t>关于争议评审小组的决定的特别约定：</w:t>
      </w:r>
      <w:r>
        <w:rPr>
          <w:rFonts w:hint="eastAsia"/>
          <w:color w:val="auto"/>
          <w:szCs w:val="21"/>
          <w:highlight w:val="none"/>
          <w:u w:val="single"/>
        </w:rPr>
        <w:t xml:space="preserve"> </w:t>
      </w:r>
      <w:r>
        <w:rPr>
          <w:color w:val="auto"/>
          <w:szCs w:val="21"/>
          <w:highlight w:val="none"/>
          <w:u w:val="single"/>
        </w:rPr>
        <w:t xml:space="preserve"> /  </w:t>
      </w:r>
      <w:r>
        <w:rPr>
          <w:color w:val="auto"/>
          <w:szCs w:val="21"/>
          <w:highlight w:val="none"/>
        </w:rPr>
        <w:t>。</w:t>
      </w:r>
    </w:p>
    <w:p w14:paraId="3A56A784">
      <w:pPr>
        <w:adjustRightInd w:val="0"/>
        <w:snapToGrid w:val="0"/>
        <w:spacing w:line="360" w:lineRule="auto"/>
        <w:ind w:firstLine="420"/>
        <w:rPr>
          <w:color w:val="auto"/>
          <w:szCs w:val="21"/>
          <w:highlight w:val="none"/>
        </w:rPr>
      </w:pPr>
      <w:r>
        <w:rPr>
          <w:color w:val="auto"/>
          <w:szCs w:val="21"/>
          <w:highlight w:val="none"/>
        </w:rPr>
        <w:t xml:space="preserve">20.4 </w:t>
      </w:r>
      <w:r>
        <w:rPr>
          <w:rFonts w:hint="eastAsia"/>
          <w:color w:val="auto"/>
          <w:szCs w:val="21"/>
          <w:highlight w:val="none"/>
        </w:rPr>
        <w:t>仲裁或诉讼</w:t>
      </w:r>
    </w:p>
    <w:p w14:paraId="7DBA71F7">
      <w:pPr>
        <w:adjustRightInd w:val="0"/>
        <w:snapToGrid w:val="0"/>
        <w:spacing w:line="360" w:lineRule="auto"/>
        <w:ind w:firstLine="420"/>
        <w:rPr>
          <w:color w:val="auto"/>
          <w:szCs w:val="21"/>
          <w:highlight w:val="none"/>
        </w:rPr>
      </w:pPr>
      <w:r>
        <w:rPr>
          <w:rFonts w:hint="eastAsia"/>
          <w:color w:val="auto"/>
          <w:szCs w:val="21"/>
          <w:highlight w:val="none"/>
        </w:rPr>
        <w:t>因合同及合同有关事项发生的争议，按下列第</w:t>
      </w:r>
      <w:r>
        <w:rPr>
          <w:color w:val="auto"/>
          <w:szCs w:val="21"/>
          <w:highlight w:val="none"/>
          <w:u w:val="single"/>
        </w:rPr>
        <w:t xml:space="preserve">  </w:t>
      </w:r>
      <w:r>
        <w:rPr>
          <w:rFonts w:hint="eastAsia"/>
          <w:color w:val="auto"/>
          <w:szCs w:val="21"/>
          <w:highlight w:val="none"/>
          <w:u w:val="single"/>
        </w:rPr>
        <w:t>（2）</w:t>
      </w:r>
      <w:r>
        <w:rPr>
          <w:color w:val="auto"/>
          <w:szCs w:val="21"/>
          <w:highlight w:val="none"/>
          <w:u w:val="single"/>
        </w:rPr>
        <w:t xml:space="preserve">  </w:t>
      </w:r>
      <w:r>
        <w:rPr>
          <w:color w:val="auto"/>
          <w:szCs w:val="21"/>
          <w:highlight w:val="none"/>
        </w:rPr>
        <w:t>种方式解决：</w:t>
      </w:r>
    </w:p>
    <w:p w14:paraId="77579A8F">
      <w:pPr>
        <w:adjustRightInd w:val="0"/>
        <w:snapToGrid w:val="0"/>
        <w:spacing w:line="360" w:lineRule="auto"/>
        <w:ind w:firstLine="420"/>
        <w:rPr>
          <w:color w:val="auto"/>
          <w:szCs w:val="21"/>
          <w:highlight w:val="none"/>
        </w:rPr>
      </w:pPr>
      <w:r>
        <w:rPr>
          <w:rFonts w:hint="eastAsia"/>
          <w:color w:val="auto"/>
          <w:szCs w:val="21"/>
          <w:highlight w:val="none"/>
        </w:rPr>
        <w:t>（</w:t>
      </w:r>
      <w:r>
        <w:rPr>
          <w:color w:val="auto"/>
          <w:szCs w:val="21"/>
          <w:highlight w:val="none"/>
        </w:rPr>
        <w:t>1）向</w:t>
      </w:r>
      <w:r>
        <w:rPr>
          <w:color w:val="auto"/>
          <w:szCs w:val="21"/>
          <w:highlight w:val="none"/>
          <w:u w:val="single"/>
        </w:rPr>
        <w:t xml:space="preserve">  /  </w:t>
      </w:r>
      <w:r>
        <w:rPr>
          <w:color w:val="auto"/>
          <w:szCs w:val="21"/>
          <w:highlight w:val="none"/>
        </w:rPr>
        <w:t>仲裁委员会申请仲裁；</w:t>
      </w:r>
    </w:p>
    <w:p w14:paraId="23AFA582">
      <w:pPr>
        <w:adjustRightInd w:val="0"/>
        <w:snapToGrid w:val="0"/>
        <w:spacing w:line="360" w:lineRule="auto"/>
        <w:ind w:firstLine="420"/>
        <w:rPr>
          <w:color w:val="auto"/>
          <w:szCs w:val="21"/>
          <w:highlight w:val="none"/>
        </w:rPr>
      </w:pPr>
      <w:r>
        <w:rPr>
          <w:rFonts w:hint="eastAsia"/>
          <w:color w:val="auto"/>
          <w:szCs w:val="21"/>
          <w:highlight w:val="none"/>
        </w:rPr>
        <w:t>（</w:t>
      </w:r>
      <w:r>
        <w:rPr>
          <w:color w:val="auto"/>
          <w:szCs w:val="21"/>
          <w:highlight w:val="none"/>
        </w:rPr>
        <w:t>2）向</w:t>
      </w:r>
      <w:r>
        <w:rPr>
          <w:color w:val="auto"/>
          <w:szCs w:val="21"/>
          <w:highlight w:val="none"/>
          <w:u w:val="single"/>
        </w:rPr>
        <w:t xml:space="preserve"> </w:t>
      </w:r>
      <w:bookmarkStart w:id="1786" w:name="OLE_LINK26"/>
      <w:r>
        <w:rPr>
          <w:rFonts w:hint="eastAsia"/>
          <w:color w:val="auto"/>
          <w:szCs w:val="21"/>
          <w:highlight w:val="none"/>
          <w:u w:val="single"/>
        </w:rPr>
        <w:t>工程所在地有管辖权的</w:t>
      </w:r>
      <w:bookmarkEnd w:id="1786"/>
      <w:r>
        <w:rPr>
          <w:color w:val="auto"/>
          <w:szCs w:val="21"/>
          <w:highlight w:val="none"/>
          <w:u w:val="single"/>
        </w:rPr>
        <w:t xml:space="preserve"> </w:t>
      </w:r>
      <w:r>
        <w:rPr>
          <w:color w:val="auto"/>
          <w:szCs w:val="21"/>
          <w:highlight w:val="none"/>
        </w:rPr>
        <w:t>人民法院起诉。</w:t>
      </w:r>
    </w:p>
    <w:p w14:paraId="6661DDF6">
      <w:pPr>
        <w:snapToGrid w:val="0"/>
        <w:spacing w:line="360" w:lineRule="auto"/>
        <w:ind w:firstLine="600"/>
        <w:rPr>
          <w:rFonts w:ascii="仿宋_GB2312" w:eastAsia="仿宋_GB2312"/>
          <w:color w:val="auto"/>
          <w:sz w:val="30"/>
          <w:szCs w:val="30"/>
          <w:highlight w:val="none"/>
        </w:rPr>
        <w:sectPr>
          <w:headerReference r:id="rId5" w:type="default"/>
          <w:pgSz w:w="11906" w:h="16838"/>
          <w:pgMar w:top="1440" w:right="1800" w:bottom="1440" w:left="1800" w:header="720" w:footer="998" w:gutter="0"/>
          <w:cols w:space="720" w:num="1"/>
          <w:docGrid w:linePitch="326" w:charSpace="0"/>
        </w:sectPr>
      </w:pPr>
    </w:p>
    <w:p w14:paraId="2CDC0C56">
      <w:pPr>
        <w:snapToGrid w:val="0"/>
        <w:spacing w:line="360" w:lineRule="auto"/>
        <w:rPr>
          <w:color w:val="auto"/>
          <w:sz w:val="24"/>
          <w:highlight w:val="none"/>
        </w:rPr>
      </w:pPr>
    </w:p>
    <w:p w14:paraId="53F8390F">
      <w:pPr>
        <w:widowControl/>
        <w:adjustRightInd w:val="0"/>
        <w:snapToGrid w:val="0"/>
        <w:spacing w:after="50" w:line="360" w:lineRule="auto"/>
        <w:jc w:val="center"/>
        <w:outlineLvl w:val="0"/>
        <w:rPr>
          <w:rFonts w:ascii="宋体" w:hAnsi="宋体" w:cs="宋体"/>
          <w:b/>
          <w:color w:val="auto"/>
          <w:kern w:val="44"/>
          <w:highlight w:val="none"/>
        </w:rPr>
      </w:pPr>
      <w:bookmarkStart w:id="1787" w:name="_Toc532375676"/>
      <w:bookmarkEnd w:id="1787"/>
      <w:bookmarkStart w:id="1788" w:name="_Toc532377417"/>
      <w:bookmarkEnd w:id="1788"/>
      <w:bookmarkStart w:id="1789" w:name="_Toc532375685"/>
      <w:bookmarkEnd w:id="1789"/>
      <w:bookmarkStart w:id="1790" w:name="_Toc4784276"/>
      <w:bookmarkEnd w:id="1790"/>
      <w:bookmarkStart w:id="1791" w:name="_Toc532377416"/>
      <w:bookmarkEnd w:id="1791"/>
      <w:bookmarkStart w:id="1792" w:name="_Toc20171888"/>
      <w:bookmarkEnd w:id="1792"/>
      <w:bookmarkStart w:id="1793" w:name="_Toc20171893"/>
      <w:bookmarkEnd w:id="1793"/>
      <w:bookmarkStart w:id="1794" w:name="_Toc20171892"/>
      <w:bookmarkEnd w:id="1794"/>
      <w:bookmarkStart w:id="1795" w:name="_Toc20171890"/>
      <w:bookmarkEnd w:id="1795"/>
      <w:bookmarkStart w:id="1796" w:name="_Toc4784277"/>
      <w:bookmarkEnd w:id="1796"/>
      <w:bookmarkStart w:id="1797" w:name="_Toc532377423"/>
      <w:bookmarkEnd w:id="1797"/>
      <w:bookmarkStart w:id="1798" w:name="_Toc532375679"/>
      <w:bookmarkEnd w:id="1798"/>
      <w:bookmarkStart w:id="1799" w:name="_Toc20171889"/>
      <w:bookmarkEnd w:id="1799"/>
      <w:bookmarkStart w:id="1800" w:name="_Toc532375675"/>
      <w:bookmarkEnd w:id="1800"/>
      <w:bookmarkStart w:id="1801" w:name="_Toc20171891"/>
      <w:bookmarkEnd w:id="1801"/>
      <w:bookmarkStart w:id="1802" w:name="_Toc179885415"/>
      <w:r>
        <w:rPr>
          <w:rFonts w:hint="eastAsia" w:ascii="宋体" w:hAnsi="宋体" w:cs="宋体"/>
          <w:b/>
          <w:color w:val="auto"/>
          <w:kern w:val="44"/>
          <w:szCs w:val="21"/>
          <w:highlight w:val="none"/>
          <w:lang w:bidi="ar"/>
        </w:rPr>
        <w:t>专用合同条件附件</w:t>
      </w:r>
      <w:bookmarkEnd w:id="1802"/>
    </w:p>
    <w:p w14:paraId="5CE6D892">
      <w:pPr>
        <w:widowControl/>
        <w:adjustRightInd w:val="0"/>
        <w:snapToGrid w:val="0"/>
        <w:spacing w:after="163" w:afterLines="50" w:line="360" w:lineRule="auto"/>
        <w:ind w:firstLine="420" w:firstLineChars="200"/>
        <w:rPr>
          <w:rFonts w:ascii="宋体" w:hAnsi="宋体" w:cs="宋体"/>
          <w:color w:val="auto"/>
          <w:kern w:val="0"/>
          <w:szCs w:val="21"/>
          <w:highlight w:val="none"/>
          <w:lang w:bidi="ar"/>
        </w:rPr>
      </w:pPr>
    </w:p>
    <w:p w14:paraId="72D019F0">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以下附件是专用合同条件的有效组成部分：</w:t>
      </w:r>
    </w:p>
    <w:p w14:paraId="5134FCC7">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附件1：发包人要求</w:t>
      </w:r>
    </w:p>
    <w:p w14:paraId="53452AF6">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附件2：发包人供应材料设备一览表</w:t>
      </w:r>
    </w:p>
    <w:p w14:paraId="6D7259FE">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附件3：工程质量保修书</w:t>
      </w:r>
    </w:p>
    <w:p w14:paraId="47280409">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附件4：主要建设工程文件目录</w:t>
      </w:r>
    </w:p>
    <w:p w14:paraId="685ADADC">
      <w:pPr>
        <w:widowControl/>
        <w:adjustRightInd w:val="0"/>
        <w:snapToGrid w:val="0"/>
        <w:spacing w:after="163"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附件5：承包人主要管理人员表</w:t>
      </w:r>
    </w:p>
    <w:p w14:paraId="52FE2A78">
      <w:pPr>
        <w:widowControl/>
        <w:adjustRightInd w:val="0"/>
        <w:snapToGrid w:val="0"/>
        <w:spacing w:after="163" w:afterLines="50"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附件</w:t>
      </w:r>
      <w:r>
        <w:rPr>
          <w:rFonts w:ascii="宋体" w:hAnsi="宋体" w:cs="宋体"/>
          <w:color w:val="auto"/>
          <w:kern w:val="0"/>
          <w:szCs w:val="21"/>
          <w:highlight w:val="none"/>
          <w:lang w:bidi="ar"/>
        </w:rPr>
        <w:t>6</w:t>
      </w:r>
      <w:r>
        <w:rPr>
          <w:rFonts w:hint="eastAsia" w:ascii="宋体" w:hAnsi="宋体" w:cs="宋体"/>
          <w:color w:val="auto"/>
          <w:kern w:val="0"/>
          <w:szCs w:val="21"/>
          <w:highlight w:val="none"/>
          <w:lang w:bidi="ar"/>
        </w:rPr>
        <w:t>：安全生产协议</w:t>
      </w:r>
    </w:p>
    <w:p w14:paraId="3ED3CB83">
      <w:pPr>
        <w:widowControl/>
        <w:adjustRightInd w:val="0"/>
        <w:snapToGrid w:val="0"/>
        <w:spacing w:after="163" w:afterLines="50"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附件</w:t>
      </w:r>
      <w:r>
        <w:rPr>
          <w:rFonts w:ascii="宋体" w:hAnsi="宋体" w:cs="宋体"/>
          <w:color w:val="auto"/>
          <w:kern w:val="0"/>
          <w:szCs w:val="21"/>
          <w:highlight w:val="none"/>
          <w:lang w:bidi="ar"/>
        </w:rPr>
        <w:t>7</w:t>
      </w:r>
      <w:r>
        <w:rPr>
          <w:rFonts w:hint="eastAsia" w:ascii="宋体" w:hAnsi="宋体" w:cs="宋体"/>
          <w:color w:val="auto"/>
          <w:kern w:val="0"/>
          <w:szCs w:val="21"/>
          <w:highlight w:val="none"/>
          <w:lang w:bidi="ar"/>
        </w:rPr>
        <w:t>：主材品牌选用表</w:t>
      </w:r>
    </w:p>
    <w:p w14:paraId="3D12FEAC">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附件</w:t>
      </w:r>
      <w:r>
        <w:rPr>
          <w:rFonts w:ascii="宋体" w:hAnsi="宋体" w:cs="宋体"/>
          <w:color w:val="auto"/>
          <w:kern w:val="0"/>
          <w:szCs w:val="21"/>
          <w:highlight w:val="none"/>
          <w:lang w:bidi="ar"/>
        </w:rPr>
        <w:t>8：廉洁从业协议</w:t>
      </w:r>
    </w:p>
    <w:p w14:paraId="1BDA665F">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附件</w:t>
      </w:r>
      <w:r>
        <w:rPr>
          <w:rFonts w:ascii="宋体" w:hAnsi="宋体" w:cs="宋体"/>
          <w:color w:val="auto"/>
          <w:kern w:val="0"/>
          <w:szCs w:val="21"/>
          <w:highlight w:val="none"/>
          <w:lang w:bidi="ar"/>
        </w:rPr>
        <w:t>9：</w:t>
      </w:r>
      <w:r>
        <w:rPr>
          <w:rFonts w:hint="eastAsia" w:ascii="宋体" w:hAnsi="宋体" w:cs="宋体"/>
          <w:color w:val="auto"/>
          <w:kern w:val="0"/>
          <w:szCs w:val="21"/>
          <w:highlight w:val="none"/>
          <w:lang w:bidi="ar"/>
        </w:rPr>
        <w:t>保障建筑工人工资支付协议</w:t>
      </w:r>
      <w:r>
        <w:rPr>
          <w:rFonts w:ascii="宋体" w:hAnsi="宋体" w:cs="宋体"/>
          <w:color w:val="auto"/>
          <w:kern w:val="0"/>
          <w:szCs w:val="21"/>
          <w:highlight w:val="none"/>
          <w:lang w:bidi="ar"/>
        </w:rPr>
        <w:t xml:space="preserve"> </w:t>
      </w:r>
    </w:p>
    <w:p w14:paraId="3479AC2D">
      <w:pPr>
        <w:widowControl/>
        <w:adjustRightInd w:val="0"/>
        <w:snapToGrid w:val="0"/>
        <w:spacing w:after="163" w:afterLines="50"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附件1</w:t>
      </w:r>
      <w:r>
        <w:rPr>
          <w:rFonts w:ascii="宋体" w:hAnsi="宋体" w:cs="宋体"/>
          <w:color w:val="auto"/>
          <w:kern w:val="0"/>
          <w:szCs w:val="21"/>
          <w:highlight w:val="none"/>
          <w:lang w:bidi="ar"/>
        </w:rPr>
        <w:t>0</w:t>
      </w: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联合体协议书</w:t>
      </w:r>
      <w:r>
        <w:rPr>
          <w:rFonts w:hint="eastAsia" w:ascii="宋体" w:hAnsi="宋体" w:cs="宋体"/>
          <w:color w:val="auto"/>
          <w:kern w:val="0"/>
          <w:szCs w:val="21"/>
          <w:highlight w:val="none"/>
          <w:lang w:bidi="ar"/>
        </w:rPr>
        <w:t>（如有）</w:t>
      </w:r>
    </w:p>
    <w:p w14:paraId="28D5762C">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 xml:space="preserve"> </w:t>
      </w:r>
    </w:p>
    <w:p w14:paraId="46BAE949">
      <w:pPr>
        <w:widowControl/>
        <w:jc w:val="left"/>
        <w:rPr>
          <w:rFonts w:ascii="宋体" w:hAnsi="宋体" w:cs="宋体"/>
          <w:color w:val="auto"/>
          <w:kern w:val="0"/>
          <w:highlight w:val="none"/>
        </w:rPr>
      </w:pPr>
      <w:r>
        <w:rPr>
          <w:rFonts w:hint="eastAsia" w:ascii="宋体" w:hAnsi="宋体"/>
          <w:color w:val="auto"/>
          <w:szCs w:val="21"/>
          <w:highlight w:val="none"/>
          <w:lang w:bidi="ar"/>
        </w:rPr>
        <w:br w:type="page"/>
      </w:r>
    </w:p>
    <w:p w14:paraId="2FC50961">
      <w:pPr>
        <w:keepNext/>
        <w:keepLines/>
        <w:widowControl/>
        <w:wordWrap w:val="0"/>
        <w:topLinePunct/>
        <w:adjustRightInd w:val="0"/>
        <w:snapToGrid w:val="0"/>
        <w:spacing w:after="163" w:afterLines="50" w:line="360" w:lineRule="auto"/>
        <w:jc w:val="center"/>
        <w:outlineLvl w:val="1"/>
        <w:rPr>
          <w:rFonts w:ascii="宋体" w:hAnsi="宋体" w:cs="宋体"/>
          <w:b/>
          <w:color w:val="auto"/>
          <w:kern w:val="0"/>
          <w:highlight w:val="none"/>
        </w:rPr>
      </w:pPr>
      <w:bookmarkStart w:id="1803" w:name="_Hlk38571789"/>
      <w:bookmarkEnd w:id="1803"/>
      <w:bookmarkStart w:id="1804" w:name="_Toc179885416"/>
      <w:r>
        <w:rPr>
          <w:rFonts w:hint="eastAsia" w:ascii="宋体" w:hAnsi="宋体" w:cs="宋体"/>
          <w:b/>
          <w:color w:val="auto"/>
          <w:kern w:val="0"/>
          <w:szCs w:val="21"/>
          <w:highlight w:val="none"/>
          <w:lang w:bidi="ar"/>
        </w:rPr>
        <w:t>附件1  《发包人要求》</w:t>
      </w:r>
      <w:bookmarkEnd w:id="1804"/>
    </w:p>
    <w:p w14:paraId="126C1A33">
      <w:pPr>
        <w:widowControl/>
        <w:wordWrap w:val="0"/>
        <w:topLinePunct/>
        <w:adjustRightInd w:val="0"/>
        <w:snapToGrid w:val="0"/>
        <w:spacing w:after="163" w:afterLines="50" w:line="360" w:lineRule="auto"/>
        <w:ind w:firstLine="420" w:firstLineChars="200"/>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《发包人要求》</w:t>
      </w:r>
      <w:r>
        <w:rPr>
          <w:rFonts w:hint="eastAsia" w:ascii="宋体" w:hAnsi="宋体" w:cs="宋体"/>
          <w:color w:val="auto"/>
          <w:kern w:val="0"/>
          <w:szCs w:val="21"/>
          <w:highlight w:val="none"/>
          <w:lang w:val="en-US" w:eastAsia="zh-CN" w:bidi="ar"/>
        </w:rPr>
        <w:t>见招标文件要求</w:t>
      </w:r>
      <w:r>
        <w:rPr>
          <w:rFonts w:hint="eastAsia" w:ascii="宋体" w:hAnsi="宋体" w:cs="宋体"/>
          <w:color w:val="auto"/>
          <w:kern w:val="0"/>
          <w:szCs w:val="21"/>
          <w:highlight w:val="none"/>
          <w:lang w:bidi="ar"/>
        </w:rPr>
        <w:t>。</w:t>
      </w:r>
    </w:p>
    <w:p w14:paraId="0C6D4B90">
      <w:pPr>
        <w:widowControl/>
        <w:wordWrap w:val="0"/>
        <w:topLinePunct/>
        <w:adjustRightInd w:val="0"/>
        <w:snapToGrid w:val="0"/>
        <w:spacing w:after="163" w:afterLines="50" w:line="360" w:lineRule="auto"/>
        <w:ind w:firstLine="420" w:firstLineChars="200"/>
        <w:rPr>
          <w:rFonts w:hint="eastAsia" w:ascii="宋体" w:hAnsi="宋体" w:cs="宋体"/>
          <w:color w:val="auto"/>
          <w:kern w:val="0"/>
          <w:szCs w:val="21"/>
          <w:highlight w:val="none"/>
          <w:lang w:bidi="ar"/>
        </w:rPr>
      </w:pPr>
    </w:p>
    <w:p w14:paraId="565F7082">
      <w:pPr>
        <w:widowControl/>
        <w:wordWrap w:val="0"/>
        <w:topLinePunct/>
        <w:adjustRightInd w:val="0"/>
        <w:snapToGrid w:val="0"/>
        <w:spacing w:after="163" w:afterLines="50" w:line="360" w:lineRule="auto"/>
        <w:ind w:firstLine="420" w:firstLineChars="200"/>
        <w:rPr>
          <w:rFonts w:hint="eastAsia" w:ascii="宋体" w:hAnsi="宋体" w:cs="宋体"/>
          <w:color w:val="auto"/>
          <w:kern w:val="0"/>
          <w:szCs w:val="21"/>
          <w:highlight w:val="none"/>
          <w:lang w:bidi="ar"/>
        </w:rPr>
      </w:pPr>
    </w:p>
    <w:p w14:paraId="74C8C2C2">
      <w:pPr>
        <w:widowControl/>
        <w:wordWrap w:val="0"/>
        <w:topLinePunct/>
        <w:adjustRightInd w:val="0"/>
        <w:snapToGrid w:val="0"/>
        <w:spacing w:after="163" w:afterLines="50" w:line="360" w:lineRule="auto"/>
        <w:ind w:firstLine="420" w:firstLineChars="200"/>
        <w:rPr>
          <w:rFonts w:hint="eastAsia" w:ascii="宋体" w:hAnsi="宋体" w:cs="宋体"/>
          <w:color w:val="auto"/>
          <w:kern w:val="0"/>
          <w:szCs w:val="21"/>
          <w:highlight w:val="none"/>
          <w:lang w:bidi="ar"/>
        </w:rPr>
      </w:pPr>
    </w:p>
    <w:p w14:paraId="6F13D649">
      <w:pPr>
        <w:widowControl/>
        <w:wordWrap w:val="0"/>
        <w:topLinePunct/>
        <w:adjustRightInd w:val="0"/>
        <w:snapToGrid w:val="0"/>
        <w:spacing w:after="163" w:afterLines="50" w:line="360" w:lineRule="auto"/>
        <w:ind w:firstLine="420" w:firstLineChars="200"/>
        <w:rPr>
          <w:rFonts w:hint="eastAsia" w:ascii="宋体" w:hAnsi="宋体" w:cs="宋体"/>
          <w:color w:val="auto"/>
          <w:kern w:val="0"/>
          <w:szCs w:val="21"/>
          <w:highlight w:val="none"/>
          <w:lang w:bidi="ar"/>
        </w:rPr>
      </w:pPr>
    </w:p>
    <w:p w14:paraId="1D5DF96D">
      <w:pPr>
        <w:widowControl/>
        <w:wordWrap w:val="0"/>
        <w:topLinePunct/>
        <w:adjustRightInd w:val="0"/>
        <w:snapToGrid w:val="0"/>
        <w:spacing w:after="163" w:afterLines="50" w:line="360" w:lineRule="auto"/>
        <w:ind w:firstLine="420" w:firstLineChars="200"/>
        <w:rPr>
          <w:rFonts w:hint="eastAsia" w:ascii="宋体" w:hAnsi="宋体" w:cs="宋体"/>
          <w:color w:val="auto"/>
          <w:kern w:val="0"/>
          <w:szCs w:val="21"/>
          <w:highlight w:val="none"/>
          <w:lang w:bidi="ar"/>
        </w:rPr>
      </w:pPr>
    </w:p>
    <w:p w14:paraId="785F62D9">
      <w:pPr>
        <w:widowControl/>
        <w:wordWrap w:val="0"/>
        <w:topLinePunct/>
        <w:adjustRightInd w:val="0"/>
        <w:snapToGrid w:val="0"/>
        <w:spacing w:after="163" w:afterLines="50" w:line="360" w:lineRule="auto"/>
        <w:ind w:firstLine="420" w:firstLineChars="200"/>
        <w:rPr>
          <w:rFonts w:hint="eastAsia" w:ascii="宋体" w:hAnsi="宋体" w:cs="宋体"/>
          <w:color w:val="auto"/>
          <w:kern w:val="0"/>
          <w:szCs w:val="21"/>
          <w:highlight w:val="none"/>
          <w:lang w:bidi="ar"/>
        </w:rPr>
      </w:pPr>
    </w:p>
    <w:p w14:paraId="29E30138">
      <w:pPr>
        <w:widowControl/>
        <w:wordWrap w:val="0"/>
        <w:topLinePunct/>
        <w:adjustRightInd w:val="0"/>
        <w:snapToGrid w:val="0"/>
        <w:spacing w:after="163" w:afterLines="50" w:line="360" w:lineRule="auto"/>
        <w:ind w:firstLine="420" w:firstLineChars="200"/>
        <w:rPr>
          <w:rFonts w:hint="eastAsia" w:ascii="宋体" w:hAnsi="宋体" w:cs="宋体"/>
          <w:color w:val="auto"/>
          <w:kern w:val="0"/>
          <w:szCs w:val="21"/>
          <w:highlight w:val="none"/>
          <w:lang w:bidi="ar"/>
        </w:rPr>
      </w:pPr>
    </w:p>
    <w:p w14:paraId="039FD18A">
      <w:pPr>
        <w:widowControl/>
        <w:wordWrap w:val="0"/>
        <w:topLinePunct/>
        <w:adjustRightInd w:val="0"/>
        <w:snapToGrid w:val="0"/>
        <w:spacing w:after="163" w:afterLines="50" w:line="360" w:lineRule="auto"/>
        <w:ind w:firstLine="420" w:firstLineChars="200"/>
        <w:rPr>
          <w:rFonts w:hint="eastAsia" w:ascii="宋体" w:hAnsi="宋体" w:cs="宋体"/>
          <w:color w:val="auto"/>
          <w:kern w:val="0"/>
          <w:szCs w:val="21"/>
          <w:highlight w:val="none"/>
          <w:lang w:bidi="ar"/>
        </w:rPr>
      </w:pPr>
    </w:p>
    <w:p w14:paraId="5C6A9031">
      <w:pPr>
        <w:widowControl/>
        <w:wordWrap w:val="0"/>
        <w:topLinePunct/>
        <w:adjustRightInd w:val="0"/>
        <w:snapToGrid w:val="0"/>
        <w:spacing w:after="163" w:afterLines="50" w:line="360" w:lineRule="auto"/>
        <w:ind w:firstLine="420" w:firstLineChars="200"/>
        <w:rPr>
          <w:rFonts w:hint="eastAsia" w:ascii="宋体" w:hAnsi="宋体" w:cs="宋体"/>
          <w:color w:val="auto"/>
          <w:kern w:val="0"/>
          <w:szCs w:val="21"/>
          <w:highlight w:val="none"/>
          <w:lang w:bidi="ar"/>
        </w:rPr>
      </w:pPr>
    </w:p>
    <w:p w14:paraId="091DFE14">
      <w:pPr>
        <w:widowControl/>
        <w:wordWrap w:val="0"/>
        <w:topLinePunct/>
        <w:adjustRightInd w:val="0"/>
        <w:snapToGrid w:val="0"/>
        <w:spacing w:after="163" w:afterLines="50" w:line="360" w:lineRule="auto"/>
        <w:ind w:firstLine="420" w:firstLineChars="200"/>
        <w:rPr>
          <w:rFonts w:hint="eastAsia" w:ascii="宋体" w:hAnsi="宋体" w:cs="宋体"/>
          <w:color w:val="auto"/>
          <w:kern w:val="0"/>
          <w:szCs w:val="21"/>
          <w:highlight w:val="none"/>
          <w:lang w:bidi="ar"/>
        </w:rPr>
      </w:pPr>
    </w:p>
    <w:p w14:paraId="1016C460">
      <w:pPr>
        <w:widowControl/>
        <w:wordWrap w:val="0"/>
        <w:topLinePunct/>
        <w:adjustRightInd w:val="0"/>
        <w:snapToGrid w:val="0"/>
        <w:spacing w:after="163" w:afterLines="50" w:line="360" w:lineRule="auto"/>
        <w:ind w:firstLine="420" w:firstLineChars="200"/>
        <w:rPr>
          <w:rFonts w:hint="eastAsia" w:ascii="宋体" w:hAnsi="宋体" w:cs="宋体"/>
          <w:color w:val="auto"/>
          <w:kern w:val="0"/>
          <w:szCs w:val="21"/>
          <w:highlight w:val="none"/>
          <w:lang w:bidi="ar"/>
        </w:rPr>
      </w:pPr>
    </w:p>
    <w:p w14:paraId="7E8EC1B7">
      <w:pPr>
        <w:widowControl/>
        <w:wordWrap w:val="0"/>
        <w:topLinePunct/>
        <w:adjustRightInd w:val="0"/>
        <w:snapToGrid w:val="0"/>
        <w:spacing w:after="163" w:afterLines="50" w:line="360" w:lineRule="auto"/>
        <w:ind w:firstLine="420" w:firstLineChars="200"/>
        <w:rPr>
          <w:rFonts w:hint="eastAsia" w:ascii="宋体" w:hAnsi="宋体" w:cs="宋体"/>
          <w:color w:val="auto"/>
          <w:kern w:val="0"/>
          <w:szCs w:val="21"/>
          <w:highlight w:val="none"/>
          <w:lang w:bidi="ar"/>
        </w:rPr>
      </w:pPr>
    </w:p>
    <w:p w14:paraId="5677FA32">
      <w:pPr>
        <w:widowControl/>
        <w:wordWrap w:val="0"/>
        <w:topLinePunct/>
        <w:adjustRightInd w:val="0"/>
        <w:snapToGrid w:val="0"/>
        <w:spacing w:after="163" w:afterLines="50" w:line="360" w:lineRule="auto"/>
        <w:ind w:firstLine="420" w:firstLineChars="200"/>
        <w:rPr>
          <w:rFonts w:hint="eastAsia" w:ascii="宋体" w:hAnsi="宋体" w:cs="宋体"/>
          <w:color w:val="auto"/>
          <w:kern w:val="0"/>
          <w:szCs w:val="21"/>
          <w:highlight w:val="none"/>
          <w:lang w:bidi="ar"/>
        </w:rPr>
      </w:pPr>
    </w:p>
    <w:p w14:paraId="05E03D10">
      <w:pPr>
        <w:widowControl/>
        <w:wordWrap w:val="0"/>
        <w:topLinePunct/>
        <w:adjustRightInd w:val="0"/>
        <w:snapToGrid w:val="0"/>
        <w:spacing w:after="163" w:afterLines="50" w:line="360" w:lineRule="auto"/>
        <w:ind w:firstLine="420" w:firstLineChars="200"/>
        <w:rPr>
          <w:rFonts w:hint="eastAsia" w:ascii="宋体" w:hAnsi="宋体" w:cs="宋体"/>
          <w:color w:val="auto"/>
          <w:kern w:val="0"/>
          <w:szCs w:val="21"/>
          <w:highlight w:val="none"/>
          <w:lang w:bidi="ar"/>
        </w:rPr>
      </w:pPr>
    </w:p>
    <w:p w14:paraId="15ECDCB3">
      <w:pPr>
        <w:widowControl/>
        <w:wordWrap w:val="0"/>
        <w:topLinePunct/>
        <w:adjustRightInd w:val="0"/>
        <w:snapToGrid w:val="0"/>
        <w:spacing w:after="163" w:afterLines="50" w:line="360" w:lineRule="auto"/>
        <w:ind w:firstLine="420" w:firstLineChars="200"/>
        <w:rPr>
          <w:rFonts w:hint="eastAsia" w:ascii="宋体" w:hAnsi="宋体" w:cs="宋体"/>
          <w:color w:val="auto"/>
          <w:kern w:val="0"/>
          <w:szCs w:val="21"/>
          <w:highlight w:val="none"/>
          <w:lang w:bidi="ar"/>
        </w:rPr>
      </w:pPr>
    </w:p>
    <w:p w14:paraId="544892A5">
      <w:pPr>
        <w:widowControl/>
        <w:wordWrap w:val="0"/>
        <w:topLinePunct/>
        <w:adjustRightInd w:val="0"/>
        <w:snapToGrid w:val="0"/>
        <w:spacing w:after="163" w:afterLines="50" w:line="360" w:lineRule="auto"/>
        <w:ind w:firstLine="420" w:firstLineChars="200"/>
        <w:rPr>
          <w:rFonts w:hint="eastAsia" w:ascii="宋体" w:hAnsi="宋体" w:cs="宋体"/>
          <w:color w:val="auto"/>
          <w:kern w:val="0"/>
          <w:szCs w:val="21"/>
          <w:highlight w:val="none"/>
          <w:lang w:bidi="ar"/>
        </w:rPr>
      </w:pPr>
    </w:p>
    <w:p w14:paraId="64166BEA">
      <w:pPr>
        <w:widowControl/>
        <w:wordWrap w:val="0"/>
        <w:topLinePunct/>
        <w:adjustRightInd w:val="0"/>
        <w:snapToGrid w:val="0"/>
        <w:spacing w:after="163" w:afterLines="50" w:line="360" w:lineRule="auto"/>
        <w:ind w:firstLine="420" w:firstLineChars="200"/>
        <w:rPr>
          <w:rFonts w:hint="eastAsia" w:ascii="宋体" w:hAnsi="宋体" w:cs="宋体"/>
          <w:color w:val="auto"/>
          <w:kern w:val="0"/>
          <w:szCs w:val="21"/>
          <w:highlight w:val="none"/>
          <w:lang w:bidi="ar"/>
        </w:rPr>
      </w:pPr>
    </w:p>
    <w:p w14:paraId="3B2A9A1E">
      <w:pPr>
        <w:widowControl/>
        <w:wordWrap w:val="0"/>
        <w:topLinePunct/>
        <w:adjustRightInd w:val="0"/>
        <w:snapToGrid w:val="0"/>
        <w:spacing w:after="163" w:afterLines="50" w:line="360" w:lineRule="auto"/>
        <w:ind w:firstLine="420" w:firstLineChars="200"/>
        <w:rPr>
          <w:rFonts w:hint="eastAsia" w:ascii="宋体" w:hAnsi="宋体" w:cs="宋体"/>
          <w:color w:val="auto"/>
          <w:kern w:val="0"/>
          <w:szCs w:val="21"/>
          <w:highlight w:val="none"/>
          <w:lang w:bidi="ar"/>
        </w:rPr>
      </w:pPr>
    </w:p>
    <w:p w14:paraId="3E89A266">
      <w:pPr>
        <w:widowControl/>
        <w:wordWrap w:val="0"/>
        <w:topLinePunct/>
        <w:adjustRightInd w:val="0"/>
        <w:snapToGrid w:val="0"/>
        <w:spacing w:after="163" w:afterLines="50" w:line="360" w:lineRule="auto"/>
        <w:ind w:firstLine="420" w:firstLineChars="200"/>
        <w:rPr>
          <w:rFonts w:hint="eastAsia" w:ascii="宋体" w:hAnsi="宋体" w:cs="宋体"/>
          <w:color w:val="auto"/>
          <w:kern w:val="0"/>
          <w:szCs w:val="21"/>
          <w:highlight w:val="none"/>
          <w:lang w:bidi="ar"/>
        </w:rPr>
      </w:pPr>
    </w:p>
    <w:p w14:paraId="29D13556">
      <w:pPr>
        <w:widowControl/>
        <w:wordWrap w:val="0"/>
        <w:topLinePunct/>
        <w:adjustRightInd w:val="0"/>
        <w:snapToGrid w:val="0"/>
        <w:spacing w:after="163" w:afterLines="50" w:line="360" w:lineRule="auto"/>
        <w:ind w:firstLine="420" w:firstLineChars="200"/>
        <w:rPr>
          <w:rFonts w:hint="eastAsia" w:ascii="宋体" w:hAnsi="宋体" w:cs="宋体"/>
          <w:color w:val="auto"/>
          <w:kern w:val="0"/>
          <w:szCs w:val="21"/>
          <w:highlight w:val="none"/>
          <w:lang w:bidi="ar"/>
        </w:rPr>
      </w:pPr>
    </w:p>
    <w:p w14:paraId="4B64FDCE">
      <w:pPr>
        <w:widowControl/>
        <w:wordWrap w:val="0"/>
        <w:topLinePunct/>
        <w:adjustRightInd w:val="0"/>
        <w:snapToGrid w:val="0"/>
        <w:spacing w:after="163" w:afterLines="50" w:line="360" w:lineRule="auto"/>
        <w:ind w:firstLine="420" w:firstLineChars="200"/>
        <w:rPr>
          <w:rFonts w:hint="eastAsia" w:ascii="宋体" w:hAnsi="宋体" w:cs="宋体"/>
          <w:color w:val="auto"/>
          <w:kern w:val="0"/>
          <w:szCs w:val="21"/>
          <w:highlight w:val="none"/>
          <w:lang w:bidi="ar"/>
        </w:rPr>
      </w:pPr>
    </w:p>
    <w:p w14:paraId="144406F9">
      <w:pPr>
        <w:widowControl/>
        <w:wordWrap w:val="0"/>
        <w:topLinePunct/>
        <w:adjustRightInd w:val="0"/>
        <w:snapToGrid w:val="0"/>
        <w:spacing w:after="163" w:afterLines="50" w:line="360" w:lineRule="auto"/>
        <w:ind w:firstLine="420" w:firstLineChars="200"/>
        <w:rPr>
          <w:rFonts w:hint="eastAsia" w:ascii="宋体" w:hAnsi="宋体" w:cs="宋体"/>
          <w:color w:val="auto"/>
          <w:kern w:val="0"/>
          <w:szCs w:val="21"/>
          <w:highlight w:val="none"/>
          <w:lang w:bidi="ar"/>
        </w:rPr>
      </w:pPr>
    </w:p>
    <w:p w14:paraId="39ECEE8A">
      <w:pPr>
        <w:keepNext/>
        <w:keepLines/>
        <w:widowControl/>
        <w:wordWrap w:val="0"/>
        <w:topLinePunct/>
        <w:adjustRightInd w:val="0"/>
        <w:snapToGrid w:val="0"/>
        <w:spacing w:after="163" w:afterLines="50" w:line="360" w:lineRule="auto"/>
        <w:jc w:val="center"/>
        <w:outlineLvl w:val="1"/>
        <w:rPr>
          <w:rFonts w:ascii="宋体" w:hAnsi="宋体" w:cs="宋体"/>
          <w:b/>
          <w:color w:val="auto"/>
          <w:kern w:val="0"/>
          <w:highlight w:val="none"/>
        </w:rPr>
      </w:pPr>
      <w:bookmarkStart w:id="1805" w:name="_Toc179885417"/>
      <w:r>
        <w:rPr>
          <w:rFonts w:hint="eastAsia" w:ascii="宋体" w:hAnsi="宋体" w:cs="宋体"/>
          <w:b/>
          <w:color w:val="auto"/>
          <w:kern w:val="0"/>
          <w:szCs w:val="21"/>
          <w:highlight w:val="none"/>
          <w:lang w:bidi="ar"/>
        </w:rPr>
        <w:t>附件2  发包人供应材料设备一览表</w:t>
      </w:r>
      <w:bookmarkEnd w:id="1805"/>
    </w:p>
    <w:tbl>
      <w:tblPr>
        <w:tblStyle w:val="7"/>
        <w:tblW w:w="92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5"/>
        <w:gridCol w:w="1135"/>
        <w:gridCol w:w="1135"/>
        <w:gridCol w:w="709"/>
      </w:tblGrid>
      <w:tr w14:paraId="047CB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left w:val="single" w:color="auto" w:sz="12" w:space="0"/>
              <w:bottom w:val="double" w:color="auto" w:sz="2" w:space="0"/>
              <w:right w:val="single" w:color="auto" w:sz="6" w:space="0"/>
            </w:tcBorders>
            <w:shd w:val="clear" w:color="auto" w:fill="auto"/>
            <w:vAlign w:val="center"/>
          </w:tcPr>
          <w:p w14:paraId="2E7D8C6B">
            <w:pPr>
              <w:widowControl/>
              <w:adjustRightInd w:val="0"/>
              <w:snapToGrid w:val="0"/>
              <w:jc w:val="center"/>
              <w:rPr>
                <w:rFonts w:ascii="宋体" w:hAnsi="宋体" w:cs="宋体"/>
                <w:color w:val="auto"/>
                <w:kern w:val="0"/>
                <w:highlight w:val="none"/>
              </w:rPr>
            </w:pPr>
            <w:r>
              <w:rPr>
                <w:rFonts w:hint="eastAsia" w:ascii="宋体" w:hAnsi="宋体" w:cs="宋体"/>
                <w:color w:val="auto"/>
                <w:kern w:val="0"/>
                <w:szCs w:val="21"/>
                <w:highlight w:val="none"/>
                <w:lang w:bidi="ar"/>
              </w:rPr>
              <w:t>序号</w:t>
            </w:r>
          </w:p>
        </w:tc>
        <w:tc>
          <w:tcPr>
            <w:tcW w:w="1165" w:type="dxa"/>
            <w:tcBorders>
              <w:top w:val="single" w:color="auto" w:sz="12" w:space="0"/>
              <w:left w:val="single" w:color="auto" w:sz="6" w:space="0"/>
              <w:bottom w:val="double" w:color="auto" w:sz="2" w:space="0"/>
              <w:right w:val="single" w:color="auto" w:sz="6" w:space="0"/>
            </w:tcBorders>
            <w:shd w:val="clear" w:color="auto" w:fill="auto"/>
            <w:vAlign w:val="center"/>
          </w:tcPr>
          <w:p w14:paraId="0A7E2E5B">
            <w:pPr>
              <w:widowControl/>
              <w:adjustRightInd w:val="0"/>
              <w:snapToGrid w:val="0"/>
              <w:jc w:val="center"/>
              <w:rPr>
                <w:rFonts w:ascii="宋体" w:hAnsi="宋体" w:cs="宋体"/>
                <w:color w:val="auto"/>
                <w:kern w:val="0"/>
                <w:highlight w:val="none"/>
              </w:rPr>
            </w:pPr>
            <w:r>
              <w:rPr>
                <w:rFonts w:hint="eastAsia" w:ascii="宋体" w:hAnsi="宋体" w:cs="宋体"/>
                <w:color w:val="auto"/>
                <w:kern w:val="0"/>
                <w:szCs w:val="21"/>
                <w:highlight w:val="none"/>
                <w:lang w:bidi="ar"/>
              </w:rPr>
              <w:t>材料、设备品种</w:t>
            </w:r>
          </w:p>
        </w:tc>
        <w:tc>
          <w:tcPr>
            <w:tcW w:w="1126" w:type="dxa"/>
            <w:tcBorders>
              <w:top w:val="single" w:color="auto" w:sz="12" w:space="0"/>
              <w:left w:val="single" w:color="auto" w:sz="6" w:space="0"/>
              <w:bottom w:val="double" w:color="auto" w:sz="2" w:space="0"/>
              <w:right w:val="single" w:color="auto" w:sz="6" w:space="0"/>
            </w:tcBorders>
            <w:shd w:val="clear" w:color="auto" w:fill="auto"/>
            <w:vAlign w:val="center"/>
          </w:tcPr>
          <w:p w14:paraId="6C399CAC">
            <w:pPr>
              <w:widowControl/>
              <w:adjustRightInd w:val="0"/>
              <w:snapToGrid w:val="0"/>
              <w:jc w:val="center"/>
              <w:rPr>
                <w:rFonts w:ascii="宋体" w:hAnsi="宋体" w:cs="宋体"/>
                <w:color w:val="auto"/>
                <w:kern w:val="0"/>
                <w:highlight w:val="none"/>
              </w:rPr>
            </w:pPr>
            <w:r>
              <w:rPr>
                <w:rFonts w:hint="eastAsia" w:ascii="宋体" w:hAnsi="宋体" w:cs="宋体"/>
                <w:color w:val="auto"/>
                <w:kern w:val="0"/>
                <w:szCs w:val="21"/>
                <w:highlight w:val="none"/>
                <w:lang w:bidi="ar"/>
              </w:rPr>
              <w:t>规格型号</w:t>
            </w:r>
          </w:p>
        </w:tc>
        <w:tc>
          <w:tcPr>
            <w:tcW w:w="567" w:type="dxa"/>
            <w:tcBorders>
              <w:top w:val="single" w:color="auto" w:sz="12" w:space="0"/>
              <w:left w:val="single" w:color="auto" w:sz="6" w:space="0"/>
              <w:bottom w:val="double" w:color="auto" w:sz="2" w:space="0"/>
              <w:right w:val="single" w:color="auto" w:sz="6" w:space="0"/>
            </w:tcBorders>
            <w:shd w:val="clear" w:color="auto" w:fill="auto"/>
            <w:vAlign w:val="center"/>
          </w:tcPr>
          <w:p w14:paraId="27A26615">
            <w:pPr>
              <w:widowControl/>
              <w:adjustRightInd w:val="0"/>
              <w:snapToGrid w:val="0"/>
              <w:jc w:val="center"/>
              <w:rPr>
                <w:rFonts w:ascii="宋体" w:hAnsi="宋体" w:cs="宋体"/>
                <w:color w:val="auto"/>
                <w:kern w:val="0"/>
                <w:highlight w:val="none"/>
              </w:rPr>
            </w:pPr>
            <w:r>
              <w:rPr>
                <w:rFonts w:hint="eastAsia" w:ascii="宋体" w:hAnsi="宋体" w:cs="宋体"/>
                <w:color w:val="auto"/>
                <w:kern w:val="0"/>
                <w:szCs w:val="21"/>
                <w:highlight w:val="none"/>
                <w:lang w:bidi="ar"/>
              </w:rPr>
              <w:t>单位</w:t>
            </w:r>
          </w:p>
        </w:tc>
        <w:tc>
          <w:tcPr>
            <w:tcW w:w="686" w:type="dxa"/>
            <w:tcBorders>
              <w:top w:val="single" w:color="auto" w:sz="12" w:space="0"/>
              <w:left w:val="single" w:color="auto" w:sz="6" w:space="0"/>
              <w:bottom w:val="double" w:color="auto" w:sz="2" w:space="0"/>
              <w:right w:val="single" w:color="auto" w:sz="6" w:space="0"/>
            </w:tcBorders>
            <w:shd w:val="clear" w:color="auto" w:fill="auto"/>
            <w:vAlign w:val="center"/>
          </w:tcPr>
          <w:p w14:paraId="1139B3C3">
            <w:pPr>
              <w:widowControl/>
              <w:adjustRightInd w:val="0"/>
              <w:snapToGrid w:val="0"/>
              <w:jc w:val="center"/>
              <w:rPr>
                <w:rFonts w:ascii="宋体" w:hAnsi="宋体" w:cs="宋体"/>
                <w:color w:val="auto"/>
                <w:kern w:val="0"/>
                <w:highlight w:val="none"/>
              </w:rPr>
            </w:pPr>
            <w:r>
              <w:rPr>
                <w:rFonts w:hint="eastAsia" w:ascii="宋体" w:hAnsi="宋体" w:cs="宋体"/>
                <w:color w:val="auto"/>
                <w:kern w:val="0"/>
                <w:szCs w:val="21"/>
                <w:highlight w:val="none"/>
                <w:lang w:bidi="ar"/>
              </w:rPr>
              <w:t>数量</w:t>
            </w:r>
          </w:p>
        </w:tc>
        <w:tc>
          <w:tcPr>
            <w:tcW w:w="992" w:type="dxa"/>
            <w:tcBorders>
              <w:top w:val="single" w:color="auto" w:sz="12" w:space="0"/>
              <w:left w:val="single" w:color="auto" w:sz="6" w:space="0"/>
              <w:bottom w:val="double" w:color="auto" w:sz="2" w:space="0"/>
              <w:right w:val="single" w:color="auto" w:sz="6" w:space="0"/>
            </w:tcBorders>
            <w:shd w:val="clear" w:color="auto" w:fill="auto"/>
            <w:vAlign w:val="center"/>
          </w:tcPr>
          <w:p w14:paraId="30AC8F1B">
            <w:pPr>
              <w:widowControl/>
              <w:adjustRightInd w:val="0"/>
              <w:snapToGrid w:val="0"/>
              <w:jc w:val="center"/>
              <w:rPr>
                <w:rFonts w:ascii="宋体" w:hAnsi="宋体" w:cs="宋体"/>
                <w:color w:val="auto"/>
                <w:kern w:val="0"/>
                <w:highlight w:val="none"/>
              </w:rPr>
            </w:pPr>
            <w:r>
              <w:rPr>
                <w:rFonts w:hint="eastAsia" w:ascii="宋体" w:hAnsi="宋体" w:cs="宋体"/>
                <w:color w:val="auto"/>
                <w:kern w:val="0"/>
                <w:szCs w:val="21"/>
                <w:highlight w:val="none"/>
                <w:lang w:bidi="ar"/>
              </w:rPr>
              <w:t>单价（元）</w:t>
            </w:r>
          </w:p>
        </w:tc>
        <w:tc>
          <w:tcPr>
            <w:tcW w:w="1135" w:type="dxa"/>
            <w:tcBorders>
              <w:top w:val="single" w:color="auto" w:sz="12" w:space="0"/>
              <w:left w:val="single" w:color="auto" w:sz="6" w:space="0"/>
              <w:bottom w:val="double" w:color="auto" w:sz="2" w:space="0"/>
              <w:right w:val="single" w:color="auto" w:sz="6" w:space="0"/>
            </w:tcBorders>
            <w:shd w:val="clear" w:color="auto" w:fill="auto"/>
            <w:vAlign w:val="center"/>
          </w:tcPr>
          <w:p w14:paraId="10FF883C">
            <w:pPr>
              <w:widowControl/>
              <w:adjustRightInd w:val="0"/>
              <w:snapToGrid w:val="0"/>
              <w:jc w:val="center"/>
              <w:rPr>
                <w:rFonts w:ascii="宋体" w:hAnsi="宋体" w:cs="宋体"/>
                <w:color w:val="auto"/>
                <w:kern w:val="0"/>
                <w:highlight w:val="none"/>
              </w:rPr>
            </w:pPr>
            <w:r>
              <w:rPr>
                <w:rFonts w:hint="eastAsia" w:ascii="宋体" w:hAnsi="宋体" w:cs="宋体"/>
                <w:color w:val="auto"/>
                <w:kern w:val="0"/>
                <w:szCs w:val="21"/>
                <w:highlight w:val="none"/>
                <w:lang w:bidi="ar"/>
              </w:rPr>
              <w:t>质量等级</w:t>
            </w:r>
          </w:p>
        </w:tc>
        <w:tc>
          <w:tcPr>
            <w:tcW w:w="1135" w:type="dxa"/>
            <w:tcBorders>
              <w:top w:val="single" w:color="auto" w:sz="12" w:space="0"/>
              <w:left w:val="single" w:color="auto" w:sz="6" w:space="0"/>
              <w:bottom w:val="double" w:color="auto" w:sz="2" w:space="0"/>
              <w:right w:val="single" w:color="auto" w:sz="6" w:space="0"/>
            </w:tcBorders>
            <w:shd w:val="clear" w:color="auto" w:fill="auto"/>
            <w:vAlign w:val="center"/>
          </w:tcPr>
          <w:p w14:paraId="5383E7BD">
            <w:pPr>
              <w:widowControl/>
              <w:adjustRightInd w:val="0"/>
              <w:snapToGrid w:val="0"/>
              <w:jc w:val="center"/>
              <w:rPr>
                <w:rFonts w:ascii="宋体" w:hAnsi="宋体" w:cs="宋体"/>
                <w:color w:val="auto"/>
                <w:kern w:val="0"/>
                <w:highlight w:val="none"/>
              </w:rPr>
            </w:pPr>
            <w:r>
              <w:rPr>
                <w:rFonts w:hint="eastAsia" w:ascii="宋体" w:hAnsi="宋体" w:cs="宋体"/>
                <w:color w:val="auto"/>
                <w:kern w:val="0"/>
                <w:szCs w:val="21"/>
                <w:highlight w:val="none"/>
                <w:lang w:bidi="ar"/>
              </w:rPr>
              <w:t>供应时间</w:t>
            </w:r>
          </w:p>
        </w:tc>
        <w:tc>
          <w:tcPr>
            <w:tcW w:w="1135" w:type="dxa"/>
            <w:tcBorders>
              <w:top w:val="single" w:color="auto" w:sz="12" w:space="0"/>
              <w:left w:val="single" w:color="auto" w:sz="6" w:space="0"/>
              <w:bottom w:val="double" w:color="auto" w:sz="2" w:space="0"/>
              <w:right w:val="single" w:color="auto" w:sz="6" w:space="0"/>
            </w:tcBorders>
            <w:shd w:val="clear" w:color="auto" w:fill="auto"/>
            <w:vAlign w:val="center"/>
          </w:tcPr>
          <w:p w14:paraId="5AFFAFB6">
            <w:pPr>
              <w:widowControl/>
              <w:adjustRightInd w:val="0"/>
              <w:snapToGrid w:val="0"/>
              <w:jc w:val="center"/>
              <w:rPr>
                <w:rFonts w:ascii="宋体" w:hAnsi="宋体" w:cs="宋体"/>
                <w:color w:val="auto"/>
                <w:kern w:val="0"/>
                <w:highlight w:val="none"/>
              </w:rPr>
            </w:pPr>
            <w:r>
              <w:rPr>
                <w:rFonts w:hint="eastAsia" w:ascii="宋体" w:hAnsi="宋体" w:cs="宋体"/>
                <w:color w:val="auto"/>
                <w:kern w:val="0"/>
                <w:szCs w:val="21"/>
                <w:highlight w:val="none"/>
                <w:lang w:bidi="ar"/>
              </w:rPr>
              <w:t>送达地点</w:t>
            </w:r>
          </w:p>
        </w:tc>
        <w:tc>
          <w:tcPr>
            <w:tcW w:w="709" w:type="dxa"/>
            <w:tcBorders>
              <w:top w:val="single" w:color="auto" w:sz="12" w:space="0"/>
              <w:left w:val="single" w:color="auto" w:sz="6" w:space="0"/>
              <w:bottom w:val="double" w:color="auto" w:sz="2" w:space="0"/>
              <w:right w:val="single" w:color="auto" w:sz="12" w:space="0"/>
            </w:tcBorders>
            <w:shd w:val="clear" w:color="auto" w:fill="auto"/>
            <w:vAlign w:val="center"/>
          </w:tcPr>
          <w:p w14:paraId="1375FEDC">
            <w:pPr>
              <w:widowControl/>
              <w:adjustRightInd w:val="0"/>
              <w:snapToGrid w:val="0"/>
              <w:jc w:val="center"/>
              <w:rPr>
                <w:rFonts w:ascii="宋体" w:hAnsi="宋体" w:cs="宋体"/>
                <w:color w:val="auto"/>
                <w:kern w:val="0"/>
                <w:highlight w:val="none"/>
              </w:rPr>
            </w:pPr>
            <w:r>
              <w:rPr>
                <w:rFonts w:hint="eastAsia" w:ascii="宋体" w:hAnsi="宋体" w:cs="宋体"/>
                <w:color w:val="auto"/>
                <w:kern w:val="0"/>
                <w:szCs w:val="21"/>
                <w:highlight w:val="none"/>
                <w:lang w:bidi="ar"/>
              </w:rPr>
              <w:t>备注</w:t>
            </w:r>
          </w:p>
        </w:tc>
      </w:tr>
      <w:tr w14:paraId="3824CB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double" w:color="auto" w:sz="2" w:space="0"/>
              <w:left w:val="single" w:color="auto" w:sz="12" w:space="0"/>
              <w:bottom w:val="single" w:color="auto" w:sz="6" w:space="0"/>
              <w:right w:val="single" w:color="auto" w:sz="6" w:space="0"/>
            </w:tcBorders>
            <w:shd w:val="clear" w:color="auto" w:fill="auto"/>
            <w:vAlign w:val="center"/>
          </w:tcPr>
          <w:p w14:paraId="4CDC770B">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65" w:type="dxa"/>
            <w:tcBorders>
              <w:top w:val="double" w:color="auto" w:sz="2" w:space="0"/>
              <w:left w:val="single" w:color="auto" w:sz="6" w:space="0"/>
              <w:bottom w:val="single" w:color="auto" w:sz="6" w:space="0"/>
              <w:right w:val="single" w:color="auto" w:sz="6" w:space="0"/>
            </w:tcBorders>
            <w:shd w:val="clear" w:color="auto" w:fill="auto"/>
            <w:vAlign w:val="center"/>
          </w:tcPr>
          <w:p w14:paraId="3754415F">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26" w:type="dxa"/>
            <w:tcBorders>
              <w:top w:val="double" w:color="auto" w:sz="2" w:space="0"/>
              <w:left w:val="single" w:color="auto" w:sz="6" w:space="0"/>
              <w:bottom w:val="single" w:color="auto" w:sz="6" w:space="0"/>
              <w:right w:val="single" w:color="auto" w:sz="6" w:space="0"/>
            </w:tcBorders>
            <w:shd w:val="clear" w:color="auto" w:fill="auto"/>
            <w:vAlign w:val="center"/>
          </w:tcPr>
          <w:p w14:paraId="357BF4D3">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567" w:type="dxa"/>
            <w:tcBorders>
              <w:top w:val="double" w:color="auto" w:sz="2" w:space="0"/>
              <w:left w:val="single" w:color="auto" w:sz="6" w:space="0"/>
              <w:bottom w:val="single" w:color="auto" w:sz="6" w:space="0"/>
              <w:right w:val="single" w:color="auto" w:sz="6" w:space="0"/>
            </w:tcBorders>
            <w:shd w:val="clear" w:color="auto" w:fill="auto"/>
            <w:vAlign w:val="center"/>
          </w:tcPr>
          <w:p w14:paraId="087C1EBE">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686" w:type="dxa"/>
            <w:tcBorders>
              <w:top w:val="double" w:color="auto" w:sz="2" w:space="0"/>
              <w:left w:val="single" w:color="auto" w:sz="6" w:space="0"/>
              <w:bottom w:val="single" w:color="auto" w:sz="6" w:space="0"/>
              <w:right w:val="single" w:color="auto" w:sz="6" w:space="0"/>
            </w:tcBorders>
            <w:shd w:val="clear" w:color="auto" w:fill="auto"/>
            <w:vAlign w:val="center"/>
          </w:tcPr>
          <w:p w14:paraId="21303EE9">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992" w:type="dxa"/>
            <w:tcBorders>
              <w:top w:val="double" w:color="auto" w:sz="2" w:space="0"/>
              <w:left w:val="single" w:color="auto" w:sz="6" w:space="0"/>
              <w:bottom w:val="single" w:color="auto" w:sz="6" w:space="0"/>
              <w:right w:val="single" w:color="auto" w:sz="6" w:space="0"/>
            </w:tcBorders>
            <w:shd w:val="clear" w:color="auto" w:fill="auto"/>
          </w:tcPr>
          <w:p w14:paraId="7BEBE1DC">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double" w:color="auto" w:sz="2" w:space="0"/>
              <w:left w:val="single" w:color="auto" w:sz="6" w:space="0"/>
              <w:bottom w:val="single" w:color="auto" w:sz="6" w:space="0"/>
              <w:right w:val="single" w:color="auto" w:sz="6" w:space="0"/>
            </w:tcBorders>
            <w:shd w:val="clear" w:color="auto" w:fill="auto"/>
            <w:vAlign w:val="center"/>
          </w:tcPr>
          <w:p w14:paraId="03C53F6F">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double" w:color="auto" w:sz="2" w:space="0"/>
              <w:left w:val="single" w:color="auto" w:sz="6" w:space="0"/>
              <w:bottom w:val="single" w:color="auto" w:sz="6" w:space="0"/>
              <w:right w:val="single" w:color="auto" w:sz="6" w:space="0"/>
            </w:tcBorders>
            <w:shd w:val="clear" w:color="auto" w:fill="auto"/>
            <w:vAlign w:val="center"/>
          </w:tcPr>
          <w:p w14:paraId="6102B308">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double" w:color="auto" w:sz="2" w:space="0"/>
              <w:left w:val="single" w:color="auto" w:sz="6" w:space="0"/>
              <w:bottom w:val="single" w:color="auto" w:sz="6" w:space="0"/>
              <w:right w:val="single" w:color="auto" w:sz="6" w:space="0"/>
            </w:tcBorders>
            <w:shd w:val="clear" w:color="auto" w:fill="auto"/>
            <w:vAlign w:val="center"/>
          </w:tcPr>
          <w:p w14:paraId="7F2B5CC8">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709" w:type="dxa"/>
            <w:tcBorders>
              <w:top w:val="double" w:color="auto" w:sz="2" w:space="0"/>
              <w:left w:val="single" w:color="auto" w:sz="6" w:space="0"/>
              <w:bottom w:val="single" w:color="auto" w:sz="6" w:space="0"/>
              <w:right w:val="single" w:color="auto" w:sz="12" w:space="0"/>
            </w:tcBorders>
            <w:shd w:val="clear" w:color="auto" w:fill="auto"/>
            <w:vAlign w:val="center"/>
          </w:tcPr>
          <w:p w14:paraId="3927BC0D">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2079B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left w:val="single" w:color="auto" w:sz="12" w:space="0"/>
              <w:bottom w:val="single" w:color="auto" w:sz="6" w:space="0"/>
              <w:right w:val="single" w:color="auto" w:sz="6" w:space="0"/>
            </w:tcBorders>
            <w:shd w:val="clear" w:color="auto" w:fill="auto"/>
            <w:vAlign w:val="center"/>
          </w:tcPr>
          <w:p w14:paraId="04DA5506">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65" w:type="dxa"/>
            <w:tcBorders>
              <w:top w:val="nil"/>
              <w:left w:val="single" w:color="auto" w:sz="6" w:space="0"/>
              <w:bottom w:val="single" w:color="auto" w:sz="6" w:space="0"/>
              <w:right w:val="single" w:color="auto" w:sz="6" w:space="0"/>
            </w:tcBorders>
            <w:shd w:val="clear" w:color="auto" w:fill="auto"/>
            <w:vAlign w:val="center"/>
          </w:tcPr>
          <w:p w14:paraId="68EC4DF6">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26" w:type="dxa"/>
            <w:tcBorders>
              <w:top w:val="nil"/>
              <w:left w:val="single" w:color="auto" w:sz="6" w:space="0"/>
              <w:bottom w:val="single" w:color="auto" w:sz="6" w:space="0"/>
              <w:right w:val="single" w:color="auto" w:sz="6" w:space="0"/>
            </w:tcBorders>
            <w:shd w:val="clear" w:color="auto" w:fill="auto"/>
            <w:vAlign w:val="center"/>
          </w:tcPr>
          <w:p w14:paraId="112B7264">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567" w:type="dxa"/>
            <w:tcBorders>
              <w:top w:val="nil"/>
              <w:left w:val="single" w:color="auto" w:sz="6" w:space="0"/>
              <w:bottom w:val="single" w:color="auto" w:sz="6" w:space="0"/>
              <w:right w:val="single" w:color="auto" w:sz="6" w:space="0"/>
            </w:tcBorders>
            <w:shd w:val="clear" w:color="auto" w:fill="auto"/>
            <w:vAlign w:val="center"/>
          </w:tcPr>
          <w:p w14:paraId="1EE40BFD">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686" w:type="dxa"/>
            <w:tcBorders>
              <w:top w:val="nil"/>
              <w:left w:val="single" w:color="auto" w:sz="6" w:space="0"/>
              <w:bottom w:val="single" w:color="auto" w:sz="6" w:space="0"/>
              <w:right w:val="single" w:color="auto" w:sz="6" w:space="0"/>
            </w:tcBorders>
            <w:shd w:val="clear" w:color="auto" w:fill="auto"/>
            <w:vAlign w:val="center"/>
          </w:tcPr>
          <w:p w14:paraId="773E73F2">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992" w:type="dxa"/>
            <w:tcBorders>
              <w:top w:val="nil"/>
              <w:left w:val="single" w:color="auto" w:sz="6" w:space="0"/>
              <w:bottom w:val="single" w:color="auto" w:sz="6" w:space="0"/>
              <w:right w:val="single" w:color="auto" w:sz="6" w:space="0"/>
            </w:tcBorders>
            <w:shd w:val="clear" w:color="auto" w:fill="auto"/>
          </w:tcPr>
          <w:p w14:paraId="792AE278">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nil"/>
              <w:left w:val="single" w:color="auto" w:sz="6" w:space="0"/>
              <w:bottom w:val="single" w:color="auto" w:sz="6" w:space="0"/>
              <w:right w:val="single" w:color="auto" w:sz="6" w:space="0"/>
            </w:tcBorders>
            <w:shd w:val="clear" w:color="auto" w:fill="auto"/>
            <w:vAlign w:val="center"/>
          </w:tcPr>
          <w:p w14:paraId="1452BA45">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nil"/>
              <w:left w:val="single" w:color="auto" w:sz="6" w:space="0"/>
              <w:bottom w:val="single" w:color="auto" w:sz="6" w:space="0"/>
              <w:right w:val="single" w:color="auto" w:sz="6" w:space="0"/>
            </w:tcBorders>
            <w:shd w:val="clear" w:color="auto" w:fill="auto"/>
            <w:vAlign w:val="center"/>
          </w:tcPr>
          <w:p w14:paraId="24D33C8A">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nil"/>
              <w:left w:val="single" w:color="auto" w:sz="6" w:space="0"/>
              <w:bottom w:val="single" w:color="auto" w:sz="6" w:space="0"/>
              <w:right w:val="single" w:color="auto" w:sz="6" w:space="0"/>
            </w:tcBorders>
            <w:shd w:val="clear" w:color="auto" w:fill="auto"/>
            <w:vAlign w:val="center"/>
          </w:tcPr>
          <w:p w14:paraId="63D19A25">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709" w:type="dxa"/>
            <w:tcBorders>
              <w:top w:val="nil"/>
              <w:left w:val="single" w:color="auto" w:sz="6" w:space="0"/>
              <w:bottom w:val="single" w:color="auto" w:sz="6" w:space="0"/>
              <w:right w:val="single" w:color="auto" w:sz="12" w:space="0"/>
            </w:tcBorders>
            <w:shd w:val="clear" w:color="auto" w:fill="auto"/>
            <w:vAlign w:val="center"/>
          </w:tcPr>
          <w:p w14:paraId="7AAA0CFB">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69F0A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14:paraId="420E1316">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14:paraId="67863B5C">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14:paraId="436FD393">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0F3DD664">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14:paraId="46542F81">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tcPr>
          <w:p w14:paraId="06E4FC11">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32AB0C74">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701DC789">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08B372B0">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709" w:type="dxa"/>
            <w:tcBorders>
              <w:top w:val="single" w:color="auto" w:sz="6" w:space="0"/>
              <w:left w:val="single" w:color="auto" w:sz="6" w:space="0"/>
              <w:bottom w:val="single" w:color="auto" w:sz="6" w:space="0"/>
              <w:right w:val="single" w:color="auto" w:sz="12" w:space="0"/>
            </w:tcBorders>
            <w:shd w:val="clear" w:color="auto" w:fill="auto"/>
            <w:vAlign w:val="center"/>
          </w:tcPr>
          <w:p w14:paraId="3BFF90EB">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64DDE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14:paraId="6E6228C6">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14:paraId="27978003">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14:paraId="63A421E1">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68D3326A">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14:paraId="6F735A57">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tcPr>
          <w:p w14:paraId="5618635A">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30243481">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05F0AE4D">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7B839589">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709" w:type="dxa"/>
            <w:tcBorders>
              <w:top w:val="single" w:color="auto" w:sz="6" w:space="0"/>
              <w:left w:val="single" w:color="auto" w:sz="6" w:space="0"/>
              <w:bottom w:val="single" w:color="auto" w:sz="6" w:space="0"/>
              <w:right w:val="single" w:color="auto" w:sz="12" w:space="0"/>
            </w:tcBorders>
            <w:shd w:val="clear" w:color="auto" w:fill="auto"/>
            <w:vAlign w:val="center"/>
          </w:tcPr>
          <w:p w14:paraId="4627CF77">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1D4F4B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14:paraId="241F29F4">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14:paraId="1835B707">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14:paraId="19094472">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2857C96C">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14:paraId="44EB10A2">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tcPr>
          <w:p w14:paraId="59427BF1">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0364C566">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0FAF3472">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450ECDA8">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709" w:type="dxa"/>
            <w:tcBorders>
              <w:top w:val="single" w:color="auto" w:sz="6" w:space="0"/>
              <w:left w:val="single" w:color="auto" w:sz="6" w:space="0"/>
              <w:bottom w:val="single" w:color="auto" w:sz="6" w:space="0"/>
              <w:right w:val="single" w:color="auto" w:sz="12" w:space="0"/>
            </w:tcBorders>
            <w:shd w:val="clear" w:color="auto" w:fill="auto"/>
            <w:vAlign w:val="center"/>
          </w:tcPr>
          <w:p w14:paraId="0C57A13D">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20A8D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14:paraId="616FDCF3">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14:paraId="5335EE64">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14:paraId="39070180">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47BF9A64">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14:paraId="5D840374">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tcPr>
          <w:p w14:paraId="60CFA45B">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333F3F9E">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0C36D4C1">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5DBCB820">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709" w:type="dxa"/>
            <w:tcBorders>
              <w:top w:val="single" w:color="auto" w:sz="6" w:space="0"/>
              <w:left w:val="single" w:color="auto" w:sz="6" w:space="0"/>
              <w:bottom w:val="single" w:color="auto" w:sz="6" w:space="0"/>
              <w:right w:val="single" w:color="auto" w:sz="12" w:space="0"/>
            </w:tcBorders>
            <w:shd w:val="clear" w:color="auto" w:fill="auto"/>
            <w:vAlign w:val="center"/>
          </w:tcPr>
          <w:p w14:paraId="068B2395">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544CDD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14:paraId="70D6F683">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14:paraId="49A7DBEE">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14:paraId="2F986275">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792D6F7B">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14:paraId="10378B33">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tcPr>
          <w:p w14:paraId="0A549DC9">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0775E074">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2A80697A">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4B3833AD">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709" w:type="dxa"/>
            <w:tcBorders>
              <w:top w:val="single" w:color="auto" w:sz="6" w:space="0"/>
              <w:left w:val="single" w:color="auto" w:sz="6" w:space="0"/>
              <w:bottom w:val="single" w:color="auto" w:sz="6" w:space="0"/>
              <w:right w:val="single" w:color="auto" w:sz="12" w:space="0"/>
            </w:tcBorders>
            <w:shd w:val="clear" w:color="auto" w:fill="auto"/>
            <w:vAlign w:val="center"/>
          </w:tcPr>
          <w:p w14:paraId="6682FF88">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0CC0D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14:paraId="2DA35C08">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14:paraId="1005FAAC">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14:paraId="79D157C5">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55652EC0">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14:paraId="5490986F">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tcPr>
          <w:p w14:paraId="7817F4B8">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2A5A05A6">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79C6DD97">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03C808A4">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709" w:type="dxa"/>
            <w:tcBorders>
              <w:top w:val="single" w:color="auto" w:sz="6" w:space="0"/>
              <w:left w:val="single" w:color="auto" w:sz="6" w:space="0"/>
              <w:bottom w:val="single" w:color="auto" w:sz="6" w:space="0"/>
              <w:right w:val="single" w:color="auto" w:sz="12" w:space="0"/>
            </w:tcBorders>
            <w:shd w:val="clear" w:color="auto" w:fill="auto"/>
            <w:vAlign w:val="center"/>
          </w:tcPr>
          <w:p w14:paraId="2700859E">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32EA8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14:paraId="22F53BC3">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14:paraId="0B4BC2A4">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14:paraId="606A25E5">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3D58AEBE">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14:paraId="2D5E23F5">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tcPr>
          <w:p w14:paraId="1A31C64F">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1947C551">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7C30DB0E">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2C951978">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709" w:type="dxa"/>
            <w:tcBorders>
              <w:top w:val="single" w:color="auto" w:sz="6" w:space="0"/>
              <w:left w:val="single" w:color="auto" w:sz="6" w:space="0"/>
              <w:bottom w:val="single" w:color="auto" w:sz="6" w:space="0"/>
              <w:right w:val="single" w:color="auto" w:sz="12" w:space="0"/>
            </w:tcBorders>
            <w:shd w:val="clear" w:color="auto" w:fill="auto"/>
            <w:vAlign w:val="center"/>
          </w:tcPr>
          <w:p w14:paraId="107AECC2">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21588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14:paraId="4F960ADA">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14:paraId="351CB496">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14:paraId="22A85A74">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0DAD0F5D">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14:paraId="3C599316">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tcPr>
          <w:p w14:paraId="12E80762">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5DF2E8D8">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73E4E23F">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087317C3">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709" w:type="dxa"/>
            <w:tcBorders>
              <w:top w:val="single" w:color="auto" w:sz="6" w:space="0"/>
              <w:left w:val="single" w:color="auto" w:sz="6" w:space="0"/>
              <w:bottom w:val="single" w:color="auto" w:sz="6" w:space="0"/>
              <w:right w:val="single" w:color="auto" w:sz="12" w:space="0"/>
            </w:tcBorders>
            <w:shd w:val="clear" w:color="auto" w:fill="auto"/>
            <w:vAlign w:val="center"/>
          </w:tcPr>
          <w:p w14:paraId="79F8D112">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4F8FE3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14:paraId="5C62E9FB">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14:paraId="7D6402DA">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14:paraId="78724D59">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630FBCDA">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14:paraId="52836EB0">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tcPr>
          <w:p w14:paraId="4F92E04E">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6583DF16">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5DBFC883">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115CCFC6">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709" w:type="dxa"/>
            <w:tcBorders>
              <w:top w:val="single" w:color="auto" w:sz="6" w:space="0"/>
              <w:left w:val="single" w:color="auto" w:sz="6" w:space="0"/>
              <w:bottom w:val="single" w:color="auto" w:sz="6" w:space="0"/>
              <w:right w:val="single" w:color="auto" w:sz="12" w:space="0"/>
            </w:tcBorders>
            <w:shd w:val="clear" w:color="auto" w:fill="auto"/>
            <w:vAlign w:val="center"/>
          </w:tcPr>
          <w:p w14:paraId="2740921A">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09B244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14:paraId="15A52AE4">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14:paraId="5CF1274B">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14:paraId="36E25B0F">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2DB3D67D">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14:paraId="0C5950B8">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tcPr>
          <w:p w14:paraId="51898026">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14FF06D2">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75221DEA">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401F12F5">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709" w:type="dxa"/>
            <w:tcBorders>
              <w:top w:val="single" w:color="auto" w:sz="6" w:space="0"/>
              <w:left w:val="single" w:color="auto" w:sz="6" w:space="0"/>
              <w:bottom w:val="single" w:color="auto" w:sz="6" w:space="0"/>
              <w:right w:val="single" w:color="auto" w:sz="12" w:space="0"/>
            </w:tcBorders>
            <w:shd w:val="clear" w:color="auto" w:fill="auto"/>
            <w:vAlign w:val="center"/>
          </w:tcPr>
          <w:p w14:paraId="0781F428">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00AB4E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14:paraId="51A500CF">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14:paraId="4B2D12EC">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14:paraId="1FF9EF10">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2878C7B1">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14:paraId="4D9054D0">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tcPr>
          <w:p w14:paraId="1AA751BB">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11815473">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1F6AD6FE">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4D7991F5">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709" w:type="dxa"/>
            <w:tcBorders>
              <w:top w:val="single" w:color="auto" w:sz="6" w:space="0"/>
              <w:left w:val="single" w:color="auto" w:sz="6" w:space="0"/>
              <w:bottom w:val="single" w:color="auto" w:sz="6" w:space="0"/>
              <w:right w:val="single" w:color="auto" w:sz="12" w:space="0"/>
            </w:tcBorders>
            <w:shd w:val="clear" w:color="auto" w:fill="auto"/>
            <w:vAlign w:val="center"/>
          </w:tcPr>
          <w:p w14:paraId="2D491F6B">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68FACF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14:paraId="42F8F848">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14:paraId="1F78D1D9">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14:paraId="6281E2AC">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6EF604A7">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14:paraId="192320FF">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tcPr>
          <w:p w14:paraId="2D33EBEE">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73ABD4D5">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4A98B001">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763E276C">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709" w:type="dxa"/>
            <w:tcBorders>
              <w:top w:val="single" w:color="auto" w:sz="6" w:space="0"/>
              <w:left w:val="single" w:color="auto" w:sz="6" w:space="0"/>
              <w:bottom w:val="single" w:color="auto" w:sz="6" w:space="0"/>
              <w:right w:val="single" w:color="auto" w:sz="12" w:space="0"/>
            </w:tcBorders>
            <w:shd w:val="clear" w:color="auto" w:fill="auto"/>
            <w:vAlign w:val="center"/>
          </w:tcPr>
          <w:p w14:paraId="40A0CDDA">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1E0A3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14:paraId="646914D7">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14:paraId="67AE4B3D">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14:paraId="080166E6">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05900F3E">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14:paraId="5D3139D1">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tcPr>
          <w:p w14:paraId="2D704B45">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27931542">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27B0F12C">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6DE34BD5">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709" w:type="dxa"/>
            <w:tcBorders>
              <w:top w:val="single" w:color="auto" w:sz="6" w:space="0"/>
              <w:left w:val="single" w:color="auto" w:sz="6" w:space="0"/>
              <w:bottom w:val="single" w:color="auto" w:sz="6" w:space="0"/>
              <w:right w:val="single" w:color="auto" w:sz="12" w:space="0"/>
            </w:tcBorders>
            <w:shd w:val="clear" w:color="auto" w:fill="auto"/>
            <w:vAlign w:val="center"/>
          </w:tcPr>
          <w:p w14:paraId="7D649849">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2DCB8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14:paraId="55B2D79E">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14:paraId="6639ACC0">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14:paraId="659F9C50">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78CFF8A5">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14:paraId="5E290420">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tcPr>
          <w:p w14:paraId="3AAF8D4F">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083CB064">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4D175F55">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6E1BCA77">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709" w:type="dxa"/>
            <w:tcBorders>
              <w:top w:val="single" w:color="auto" w:sz="6" w:space="0"/>
              <w:left w:val="single" w:color="auto" w:sz="6" w:space="0"/>
              <w:bottom w:val="single" w:color="auto" w:sz="6" w:space="0"/>
              <w:right w:val="single" w:color="auto" w:sz="12" w:space="0"/>
            </w:tcBorders>
            <w:shd w:val="clear" w:color="auto" w:fill="auto"/>
            <w:vAlign w:val="center"/>
          </w:tcPr>
          <w:p w14:paraId="40E8B315">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6F895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14:paraId="718E0E5E">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14:paraId="7BE9208C">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14:paraId="5E9AE451">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12D04055">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14:paraId="3031223A">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tcPr>
          <w:p w14:paraId="0077E12E">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45461F8B">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3C3425C6">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5A03F77B">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709" w:type="dxa"/>
            <w:tcBorders>
              <w:top w:val="single" w:color="auto" w:sz="6" w:space="0"/>
              <w:left w:val="single" w:color="auto" w:sz="6" w:space="0"/>
              <w:bottom w:val="single" w:color="auto" w:sz="6" w:space="0"/>
              <w:right w:val="single" w:color="auto" w:sz="12" w:space="0"/>
            </w:tcBorders>
            <w:shd w:val="clear" w:color="auto" w:fill="auto"/>
            <w:vAlign w:val="center"/>
          </w:tcPr>
          <w:p w14:paraId="1B982267">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350F0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12" w:space="0"/>
              <w:right w:val="single" w:color="auto" w:sz="6" w:space="0"/>
            </w:tcBorders>
            <w:shd w:val="clear" w:color="auto" w:fill="auto"/>
            <w:vAlign w:val="center"/>
          </w:tcPr>
          <w:p w14:paraId="756CB160">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65" w:type="dxa"/>
            <w:tcBorders>
              <w:top w:val="single" w:color="auto" w:sz="6" w:space="0"/>
              <w:left w:val="single" w:color="auto" w:sz="6" w:space="0"/>
              <w:bottom w:val="single" w:color="auto" w:sz="12" w:space="0"/>
              <w:right w:val="single" w:color="auto" w:sz="6" w:space="0"/>
            </w:tcBorders>
            <w:shd w:val="clear" w:color="auto" w:fill="auto"/>
            <w:vAlign w:val="center"/>
          </w:tcPr>
          <w:p w14:paraId="24D5CBF8">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26" w:type="dxa"/>
            <w:tcBorders>
              <w:top w:val="single" w:color="auto" w:sz="6" w:space="0"/>
              <w:left w:val="single" w:color="auto" w:sz="6" w:space="0"/>
              <w:bottom w:val="single" w:color="auto" w:sz="12" w:space="0"/>
              <w:right w:val="single" w:color="auto" w:sz="6" w:space="0"/>
            </w:tcBorders>
            <w:shd w:val="clear" w:color="auto" w:fill="auto"/>
            <w:vAlign w:val="center"/>
          </w:tcPr>
          <w:p w14:paraId="37951D31">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567" w:type="dxa"/>
            <w:tcBorders>
              <w:top w:val="single" w:color="auto" w:sz="6" w:space="0"/>
              <w:left w:val="single" w:color="auto" w:sz="6" w:space="0"/>
              <w:bottom w:val="single" w:color="auto" w:sz="12" w:space="0"/>
              <w:right w:val="single" w:color="auto" w:sz="6" w:space="0"/>
            </w:tcBorders>
            <w:shd w:val="clear" w:color="auto" w:fill="auto"/>
            <w:vAlign w:val="center"/>
          </w:tcPr>
          <w:p w14:paraId="69CD7CD6">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686" w:type="dxa"/>
            <w:tcBorders>
              <w:top w:val="single" w:color="auto" w:sz="6" w:space="0"/>
              <w:left w:val="single" w:color="auto" w:sz="6" w:space="0"/>
              <w:bottom w:val="single" w:color="auto" w:sz="12" w:space="0"/>
              <w:right w:val="single" w:color="auto" w:sz="6" w:space="0"/>
            </w:tcBorders>
            <w:shd w:val="clear" w:color="auto" w:fill="auto"/>
            <w:vAlign w:val="center"/>
          </w:tcPr>
          <w:p w14:paraId="42C29AF1">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992" w:type="dxa"/>
            <w:tcBorders>
              <w:top w:val="single" w:color="auto" w:sz="6" w:space="0"/>
              <w:left w:val="single" w:color="auto" w:sz="6" w:space="0"/>
              <w:bottom w:val="single" w:color="auto" w:sz="12" w:space="0"/>
              <w:right w:val="single" w:color="auto" w:sz="6" w:space="0"/>
            </w:tcBorders>
            <w:shd w:val="clear" w:color="auto" w:fill="auto"/>
          </w:tcPr>
          <w:p w14:paraId="508027F9">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12" w:space="0"/>
              <w:right w:val="single" w:color="auto" w:sz="6" w:space="0"/>
            </w:tcBorders>
            <w:shd w:val="clear" w:color="auto" w:fill="auto"/>
            <w:vAlign w:val="center"/>
          </w:tcPr>
          <w:p w14:paraId="20B0E663">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12" w:space="0"/>
              <w:right w:val="single" w:color="auto" w:sz="6" w:space="0"/>
            </w:tcBorders>
            <w:shd w:val="clear" w:color="auto" w:fill="auto"/>
            <w:vAlign w:val="center"/>
          </w:tcPr>
          <w:p w14:paraId="29B09B4D">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135" w:type="dxa"/>
            <w:tcBorders>
              <w:top w:val="single" w:color="auto" w:sz="6" w:space="0"/>
              <w:left w:val="single" w:color="auto" w:sz="6" w:space="0"/>
              <w:bottom w:val="single" w:color="auto" w:sz="12" w:space="0"/>
              <w:right w:val="single" w:color="auto" w:sz="6" w:space="0"/>
            </w:tcBorders>
            <w:shd w:val="clear" w:color="auto" w:fill="auto"/>
            <w:vAlign w:val="center"/>
          </w:tcPr>
          <w:p w14:paraId="77ADB9FA">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709" w:type="dxa"/>
            <w:tcBorders>
              <w:top w:val="single" w:color="auto" w:sz="6" w:space="0"/>
              <w:left w:val="single" w:color="auto" w:sz="6" w:space="0"/>
              <w:bottom w:val="single" w:color="auto" w:sz="12" w:space="0"/>
              <w:right w:val="single" w:color="auto" w:sz="12" w:space="0"/>
            </w:tcBorders>
            <w:shd w:val="clear" w:color="auto" w:fill="auto"/>
            <w:vAlign w:val="center"/>
          </w:tcPr>
          <w:p w14:paraId="24DBB06E">
            <w:pPr>
              <w:widowControl/>
              <w:adjustRightInd w:val="0"/>
              <w:snapToGrid w:val="0"/>
              <w:spacing w:after="163" w:afterLines="50" w:line="360" w:lineRule="auto"/>
              <w:ind w:firstLine="420" w:firstLineChars="200"/>
              <w:rPr>
                <w:rFonts w:ascii="宋体" w:hAnsi="宋体" w:cs="宋体"/>
                <w:color w:val="auto"/>
                <w:kern w:val="0"/>
                <w:highlight w:val="none"/>
              </w:rPr>
            </w:pPr>
          </w:p>
        </w:tc>
      </w:tr>
    </w:tbl>
    <w:p w14:paraId="75EBC758">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 xml:space="preserve"> </w:t>
      </w:r>
    </w:p>
    <w:p w14:paraId="08A49F98">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olor w:val="auto"/>
          <w:szCs w:val="21"/>
          <w:highlight w:val="none"/>
          <w:lang w:bidi="ar"/>
        </w:rPr>
        <w:br w:type="page"/>
      </w:r>
    </w:p>
    <w:p w14:paraId="35302977">
      <w:pPr>
        <w:keepNext/>
        <w:keepLines/>
        <w:widowControl/>
        <w:wordWrap w:val="0"/>
        <w:topLinePunct/>
        <w:adjustRightInd w:val="0"/>
        <w:snapToGrid w:val="0"/>
        <w:spacing w:after="163" w:afterLines="50" w:line="360" w:lineRule="auto"/>
        <w:jc w:val="center"/>
        <w:outlineLvl w:val="1"/>
        <w:rPr>
          <w:rFonts w:ascii="宋体" w:hAnsi="宋体" w:cs="宋体"/>
          <w:b/>
          <w:color w:val="auto"/>
          <w:kern w:val="0"/>
          <w:szCs w:val="21"/>
          <w:highlight w:val="none"/>
          <w:lang w:bidi="ar"/>
        </w:rPr>
      </w:pPr>
      <w:bookmarkStart w:id="1806" w:name="_Toc20171895"/>
      <w:bookmarkEnd w:id="1806"/>
      <w:bookmarkStart w:id="1807" w:name="_Toc179885418"/>
      <w:r>
        <w:rPr>
          <w:rFonts w:hint="eastAsia" w:ascii="宋体" w:hAnsi="宋体" w:cs="宋体"/>
          <w:b/>
          <w:color w:val="auto"/>
          <w:kern w:val="0"/>
          <w:szCs w:val="21"/>
          <w:highlight w:val="none"/>
          <w:lang w:bidi="ar"/>
        </w:rPr>
        <w:t>附件</w:t>
      </w:r>
      <w:r>
        <w:rPr>
          <w:rFonts w:ascii="宋体" w:hAnsi="宋体" w:cs="宋体"/>
          <w:b/>
          <w:color w:val="auto"/>
          <w:kern w:val="0"/>
          <w:szCs w:val="21"/>
          <w:highlight w:val="none"/>
          <w:lang w:bidi="ar"/>
        </w:rPr>
        <w:t>3 工程质量保修书</w:t>
      </w:r>
      <w:bookmarkEnd w:id="1807"/>
    </w:p>
    <w:p w14:paraId="51EF38F1">
      <w:pPr>
        <w:spacing w:line="360" w:lineRule="auto"/>
        <w:rPr>
          <w:color w:val="auto"/>
          <w:szCs w:val="21"/>
          <w:highlight w:val="none"/>
          <w:lang w:val="zh-CN" w:bidi="zh-CN"/>
        </w:rPr>
      </w:pPr>
      <w:r>
        <w:rPr>
          <w:rFonts w:hint="eastAsia"/>
          <w:color w:val="auto"/>
          <w:szCs w:val="21"/>
          <w:highlight w:val="none"/>
          <w:lang w:val="zh-CN" w:bidi="zh-CN"/>
        </w:rPr>
        <w:t>发包人：</w:t>
      </w:r>
    </w:p>
    <w:p w14:paraId="1B98A13F">
      <w:pPr>
        <w:spacing w:line="360" w:lineRule="auto"/>
        <w:rPr>
          <w:color w:val="auto"/>
          <w:szCs w:val="21"/>
          <w:highlight w:val="none"/>
          <w:lang w:val="zh-CN" w:bidi="zh-CN"/>
        </w:rPr>
      </w:pPr>
      <w:r>
        <w:rPr>
          <w:rFonts w:hint="eastAsia"/>
          <w:color w:val="auto"/>
          <w:szCs w:val="21"/>
          <w:highlight w:val="none"/>
          <w:lang w:val="zh-CN" w:bidi="zh-CN"/>
        </w:rPr>
        <w:t xml:space="preserve">承包人1（联合体主办方）：  </w:t>
      </w:r>
    </w:p>
    <w:p w14:paraId="2193F6BC">
      <w:pPr>
        <w:spacing w:line="360" w:lineRule="auto"/>
        <w:rPr>
          <w:color w:val="auto"/>
          <w:szCs w:val="21"/>
          <w:highlight w:val="none"/>
          <w:lang w:val="zh-CN" w:bidi="zh-CN"/>
        </w:rPr>
      </w:pPr>
      <w:r>
        <w:rPr>
          <w:rFonts w:hint="eastAsia"/>
          <w:color w:val="auto"/>
          <w:szCs w:val="21"/>
          <w:highlight w:val="none"/>
          <w:lang w:val="zh-CN" w:bidi="zh-CN"/>
        </w:rPr>
        <w:t>承包人2（联合体成员）：</w:t>
      </w:r>
    </w:p>
    <w:p w14:paraId="60794792">
      <w:pPr>
        <w:spacing w:line="360" w:lineRule="auto"/>
        <w:ind w:firstLine="420" w:firstLineChars="200"/>
        <w:rPr>
          <w:color w:val="auto"/>
          <w:szCs w:val="21"/>
          <w:highlight w:val="none"/>
          <w:lang w:val="zh-CN" w:bidi="zh-CN"/>
        </w:rPr>
      </w:pPr>
      <w:r>
        <w:rPr>
          <w:rFonts w:hint="eastAsia"/>
          <w:color w:val="auto"/>
          <w:szCs w:val="21"/>
          <w:highlight w:val="none"/>
          <w:lang w:val="zh-CN" w:bidi="zh-CN"/>
        </w:rPr>
        <w:t>发包人和承包人根据《中华人民共和国建筑法》和《建设工程质量管理条例》，经协商一致就</w:t>
      </w:r>
      <w:r>
        <w:rPr>
          <w:color w:val="auto"/>
          <w:szCs w:val="21"/>
          <w:highlight w:val="none"/>
          <w:u w:val="single"/>
          <w:lang w:val="zh-CN" w:bidi="zh-CN"/>
        </w:rPr>
        <w:t xml:space="preserve"> </w:t>
      </w:r>
      <w:r>
        <w:rPr>
          <w:rFonts w:hint="eastAsia"/>
          <w:color w:val="auto"/>
          <w:szCs w:val="21"/>
          <w:highlight w:val="none"/>
          <w:lang w:val="zh-CN" w:bidi="zh-CN"/>
        </w:rPr>
        <w:t>（工程全称）订立工程质量保修书。</w:t>
      </w:r>
    </w:p>
    <w:p w14:paraId="7BAF92B1">
      <w:pPr>
        <w:spacing w:line="360" w:lineRule="auto"/>
        <w:ind w:firstLine="480"/>
        <w:rPr>
          <w:color w:val="auto"/>
          <w:szCs w:val="21"/>
          <w:highlight w:val="none"/>
          <w:lang w:val="zh-CN" w:bidi="zh-CN"/>
        </w:rPr>
      </w:pPr>
      <w:r>
        <w:rPr>
          <w:rFonts w:hint="eastAsia"/>
          <w:color w:val="auto"/>
          <w:szCs w:val="21"/>
          <w:highlight w:val="none"/>
          <w:lang w:val="zh-CN" w:bidi="zh-CN"/>
        </w:rPr>
        <w:t>一、工程质量保修范围和内容</w:t>
      </w:r>
    </w:p>
    <w:p w14:paraId="58EFAF21">
      <w:pPr>
        <w:spacing w:line="360" w:lineRule="auto"/>
        <w:ind w:firstLine="480"/>
        <w:rPr>
          <w:color w:val="auto"/>
          <w:szCs w:val="21"/>
          <w:highlight w:val="none"/>
          <w:lang w:val="zh-CN" w:bidi="zh-CN"/>
        </w:rPr>
      </w:pPr>
      <w:r>
        <w:rPr>
          <w:rFonts w:hint="eastAsia"/>
          <w:color w:val="auto"/>
          <w:szCs w:val="21"/>
          <w:highlight w:val="none"/>
          <w:lang w:val="zh-CN" w:bidi="zh-CN"/>
        </w:rPr>
        <w:t>承包人在质量保修期内，按照有关法律规定和合同约定，承担工程质量保修责任。</w:t>
      </w:r>
    </w:p>
    <w:p w14:paraId="798094FD">
      <w:pPr>
        <w:spacing w:line="360" w:lineRule="auto"/>
        <w:ind w:firstLine="480"/>
        <w:rPr>
          <w:color w:val="auto"/>
          <w:szCs w:val="21"/>
          <w:highlight w:val="none"/>
          <w:lang w:val="zh-CN" w:bidi="zh-CN"/>
        </w:rPr>
      </w:pPr>
      <w:r>
        <w:rPr>
          <w:rFonts w:hint="eastAsia"/>
          <w:color w:val="auto"/>
          <w:szCs w:val="21"/>
          <w:highlight w:val="none"/>
          <w:lang w:val="zh-CN" w:bidi="zh-CN"/>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color w:val="auto"/>
          <w:szCs w:val="21"/>
          <w:highlight w:val="none"/>
          <w:u w:val="single"/>
          <w:lang w:val="zh-CN" w:bidi="zh-CN"/>
        </w:rPr>
        <w:t>承包人承包的全部内容均在保修范围</w:t>
      </w:r>
      <w:r>
        <w:rPr>
          <w:rFonts w:hint="eastAsia"/>
          <w:color w:val="auto"/>
          <w:szCs w:val="21"/>
          <w:highlight w:val="none"/>
          <w:lang w:val="zh-CN" w:bidi="zh-CN"/>
        </w:rPr>
        <w:t>。</w:t>
      </w:r>
    </w:p>
    <w:p w14:paraId="4EB25C73">
      <w:pPr>
        <w:spacing w:line="360" w:lineRule="auto"/>
        <w:ind w:firstLine="480"/>
        <w:rPr>
          <w:color w:val="auto"/>
          <w:szCs w:val="21"/>
          <w:highlight w:val="none"/>
          <w:lang w:val="zh-CN" w:bidi="zh-CN"/>
        </w:rPr>
      </w:pPr>
      <w:r>
        <w:rPr>
          <w:rFonts w:hint="eastAsia"/>
          <w:color w:val="auto"/>
          <w:szCs w:val="21"/>
          <w:highlight w:val="none"/>
          <w:lang w:val="zh-CN" w:bidi="zh-CN"/>
        </w:rPr>
        <w:t>二、质量保修期</w:t>
      </w:r>
    </w:p>
    <w:p w14:paraId="775F9A79">
      <w:pPr>
        <w:spacing w:line="360" w:lineRule="auto"/>
        <w:ind w:firstLine="480"/>
        <w:rPr>
          <w:color w:val="auto"/>
          <w:szCs w:val="21"/>
          <w:highlight w:val="none"/>
          <w:lang w:val="zh-CN" w:bidi="zh-CN"/>
        </w:rPr>
      </w:pPr>
      <w:r>
        <w:rPr>
          <w:rFonts w:hint="eastAsia"/>
          <w:color w:val="auto"/>
          <w:szCs w:val="21"/>
          <w:highlight w:val="none"/>
          <w:lang w:val="zh-CN" w:bidi="zh-CN"/>
        </w:rPr>
        <w:t>根据《建设工程质量管理条例》及有关规定，工程的质量保修期如下：</w:t>
      </w:r>
    </w:p>
    <w:p w14:paraId="4399E21C">
      <w:pPr>
        <w:spacing w:line="360" w:lineRule="auto"/>
        <w:ind w:firstLine="480"/>
        <w:rPr>
          <w:color w:val="auto"/>
          <w:szCs w:val="21"/>
          <w:highlight w:val="none"/>
          <w:lang w:val="zh-CN" w:bidi="zh-CN"/>
        </w:rPr>
      </w:pPr>
      <w:r>
        <w:rPr>
          <w:rFonts w:hint="eastAsia"/>
          <w:color w:val="auto"/>
          <w:szCs w:val="21"/>
          <w:highlight w:val="none"/>
          <w:lang w:val="zh-CN" w:bidi="zh-CN"/>
        </w:rPr>
        <w:t>1．地基基础工程和主体结构工程为设计文件规定的工程合理使用年限；</w:t>
      </w:r>
    </w:p>
    <w:p w14:paraId="3F43E852">
      <w:pPr>
        <w:spacing w:line="360" w:lineRule="auto"/>
        <w:ind w:firstLine="480"/>
        <w:rPr>
          <w:color w:val="auto"/>
          <w:szCs w:val="21"/>
          <w:highlight w:val="none"/>
          <w:lang w:val="zh-CN" w:bidi="zh-CN"/>
        </w:rPr>
      </w:pPr>
      <w:r>
        <w:rPr>
          <w:rFonts w:hint="eastAsia"/>
          <w:color w:val="auto"/>
          <w:szCs w:val="21"/>
          <w:highlight w:val="none"/>
          <w:lang w:val="zh-CN" w:bidi="zh-CN"/>
        </w:rPr>
        <w:t>2．屋面防水工程、有防水要求的卫生间、房间和外墙面的防渗为</w:t>
      </w:r>
      <w:r>
        <w:rPr>
          <w:color w:val="auto"/>
          <w:szCs w:val="21"/>
          <w:highlight w:val="none"/>
          <w:u w:val="single"/>
          <w:lang w:val="zh-CN" w:bidi="zh-CN"/>
        </w:rPr>
        <w:t xml:space="preserve"> 5 </w:t>
      </w:r>
      <w:r>
        <w:rPr>
          <w:rFonts w:hint="eastAsia"/>
          <w:color w:val="auto"/>
          <w:szCs w:val="21"/>
          <w:highlight w:val="none"/>
          <w:lang w:val="zh-CN" w:bidi="zh-CN"/>
        </w:rPr>
        <w:t>年；</w:t>
      </w:r>
    </w:p>
    <w:p w14:paraId="432CC7E7">
      <w:pPr>
        <w:spacing w:line="360" w:lineRule="auto"/>
        <w:ind w:firstLine="480"/>
        <w:rPr>
          <w:color w:val="auto"/>
          <w:szCs w:val="21"/>
          <w:highlight w:val="none"/>
          <w:lang w:val="zh-CN" w:bidi="zh-CN"/>
        </w:rPr>
      </w:pPr>
      <w:r>
        <w:rPr>
          <w:rFonts w:hint="eastAsia"/>
          <w:color w:val="auto"/>
          <w:szCs w:val="21"/>
          <w:highlight w:val="none"/>
          <w:lang w:val="zh-CN" w:bidi="zh-CN"/>
        </w:rPr>
        <w:t>3．装修工程为</w:t>
      </w:r>
      <w:r>
        <w:rPr>
          <w:color w:val="auto"/>
          <w:szCs w:val="21"/>
          <w:highlight w:val="none"/>
          <w:u w:val="single"/>
          <w:lang w:val="zh-CN" w:bidi="zh-CN"/>
        </w:rPr>
        <w:t xml:space="preserve"> 2 </w:t>
      </w:r>
      <w:r>
        <w:rPr>
          <w:rFonts w:hint="eastAsia"/>
          <w:color w:val="auto"/>
          <w:szCs w:val="21"/>
          <w:highlight w:val="none"/>
          <w:lang w:val="zh-CN" w:bidi="zh-CN"/>
        </w:rPr>
        <w:t>年；</w:t>
      </w:r>
    </w:p>
    <w:p w14:paraId="749FBBE7">
      <w:pPr>
        <w:spacing w:line="360" w:lineRule="auto"/>
        <w:ind w:firstLine="480"/>
        <w:rPr>
          <w:color w:val="auto"/>
          <w:szCs w:val="21"/>
          <w:highlight w:val="none"/>
          <w:lang w:val="zh-CN" w:bidi="zh-CN"/>
        </w:rPr>
      </w:pPr>
      <w:r>
        <w:rPr>
          <w:rFonts w:hint="eastAsia"/>
          <w:color w:val="auto"/>
          <w:szCs w:val="21"/>
          <w:highlight w:val="none"/>
          <w:lang w:val="zh-CN" w:bidi="zh-CN"/>
        </w:rPr>
        <w:t>4．电气管线、给排水管道、设备安装工程为</w:t>
      </w:r>
      <w:r>
        <w:rPr>
          <w:color w:val="auto"/>
          <w:szCs w:val="21"/>
          <w:highlight w:val="none"/>
          <w:u w:val="single"/>
          <w:lang w:val="zh-CN" w:bidi="zh-CN"/>
        </w:rPr>
        <w:t xml:space="preserve"> 2 </w:t>
      </w:r>
      <w:r>
        <w:rPr>
          <w:rFonts w:hint="eastAsia"/>
          <w:color w:val="auto"/>
          <w:szCs w:val="21"/>
          <w:highlight w:val="none"/>
          <w:lang w:val="zh-CN" w:bidi="zh-CN"/>
        </w:rPr>
        <w:t>年；</w:t>
      </w:r>
    </w:p>
    <w:p w14:paraId="4DFAB726">
      <w:pPr>
        <w:spacing w:line="360" w:lineRule="auto"/>
        <w:ind w:firstLine="480"/>
        <w:rPr>
          <w:color w:val="auto"/>
          <w:szCs w:val="21"/>
          <w:highlight w:val="none"/>
          <w:lang w:val="zh-CN" w:bidi="zh-CN"/>
        </w:rPr>
      </w:pPr>
      <w:r>
        <w:rPr>
          <w:rFonts w:hint="eastAsia"/>
          <w:color w:val="auto"/>
          <w:szCs w:val="21"/>
          <w:highlight w:val="none"/>
          <w:lang w:val="zh-CN" w:bidi="zh-CN"/>
        </w:rPr>
        <w:t>5．供热与供冷系统为</w:t>
      </w:r>
      <w:r>
        <w:rPr>
          <w:color w:val="auto"/>
          <w:szCs w:val="21"/>
          <w:highlight w:val="none"/>
          <w:u w:val="single"/>
          <w:lang w:val="zh-CN" w:bidi="zh-CN"/>
        </w:rPr>
        <w:t xml:space="preserve"> 2 </w:t>
      </w:r>
      <w:r>
        <w:rPr>
          <w:rFonts w:hint="eastAsia"/>
          <w:color w:val="auto"/>
          <w:szCs w:val="21"/>
          <w:highlight w:val="none"/>
          <w:lang w:val="zh-CN" w:bidi="zh-CN"/>
        </w:rPr>
        <w:t>个采暖期、供冷期；</w:t>
      </w:r>
    </w:p>
    <w:p w14:paraId="6EF94481">
      <w:pPr>
        <w:spacing w:line="360" w:lineRule="auto"/>
        <w:ind w:firstLine="480"/>
        <w:rPr>
          <w:color w:val="auto"/>
          <w:szCs w:val="21"/>
          <w:highlight w:val="none"/>
          <w:lang w:val="zh-CN" w:bidi="zh-CN"/>
        </w:rPr>
      </w:pPr>
      <w:r>
        <w:rPr>
          <w:rFonts w:hint="eastAsia"/>
          <w:color w:val="auto"/>
          <w:szCs w:val="21"/>
          <w:highlight w:val="none"/>
          <w:lang w:val="zh-CN" w:bidi="zh-CN"/>
        </w:rPr>
        <w:t>6．项目区域内的给排水设施、道路等配套工程为</w:t>
      </w:r>
      <w:r>
        <w:rPr>
          <w:rFonts w:hint="eastAsia"/>
          <w:color w:val="auto"/>
          <w:szCs w:val="21"/>
          <w:highlight w:val="none"/>
          <w:u w:val="single"/>
          <w:lang w:bidi="zh-CN"/>
        </w:rPr>
        <w:t xml:space="preserve"> 2</w:t>
      </w:r>
      <w:r>
        <w:rPr>
          <w:color w:val="auto"/>
          <w:szCs w:val="21"/>
          <w:highlight w:val="none"/>
          <w:u w:val="single"/>
          <w:lang w:val="zh-CN" w:bidi="zh-CN"/>
        </w:rPr>
        <w:t xml:space="preserve"> </w:t>
      </w:r>
      <w:r>
        <w:rPr>
          <w:rFonts w:hint="eastAsia"/>
          <w:color w:val="auto"/>
          <w:szCs w:val="21"/>
          <w:highlight w:val="none"/>
          <w:lang w:val="zh-CN" w:bidi="zh-CN"/>
        </w:rPr>
        <w:t>年；</w:t>
      </w:r>
    </w:p>
    <w:p w14:paraId="2DD4655B">
      <w:pPr>
        <w:spacing w:line="360" w:lineRule="auto"/>
        <w:ind w:firstLine="480"/>
        <w:rPr>
          <w:color w:val="auto"/>
          <w:szCs w:val="21"/>
          <w:highlight w:val="none"/>
          <w:lang w:val="zh-CN" w:bidi="zh-CN"/>
        </w:rPr>
      </w:pPr>
      <w:r>
        <w:rPr>
          <w:rFonts w:hint="eastAsia"/>
          <w:color w:val="auto"/>
          <w:szCs w:val="21"/>
          <w:highlight w:val="none"/>
          <w:lang w:val="zh-CN" w:bidi="zh-CN"/>
        </w:rPr>
        <w:t>7．其他项目保修期限约定如下：</w:t>
      </w:r>
      <w:r>
        <w:rPr>
          <w:rFonts w:hint="eastAsia"/>
          <w:color w:val="auto"/>
          <w:szCs w:val="21"/>
          <w:highlight w:val="none"/>
          <w:u w:val="single"/>
          <w:lang w:val="zh-CN" w:bidi="zh-CN"/>
        </w:rPr>
        <w:t>其他项目保修期均不少于2年</w:t>
      </w:r>
      <w:r>
        <w:rPr>
          <w:rFonts w:hint="eastAsia"/>
          <w:color w:val="auto"/>
          <w:szCs w:val="21"/>
          <w:highlight w:val="none"/>
          <w:lang w:val="zh-CN" w:bidi="zh-CN"/>
        </w:rPr>
        <w:t>。</w:t>
      </w:r>
    </w:p>
    <w:p w14:paraId="1DD333D6">
      <w:pPr>
        <w:spacing w:line="360" w:lineRule="auto"/>
        <w:ind w:firstLine="480"/>
        <w:rPr>
          <w:color w:val="auto"/>
          <w:szCs w:val="21"/>
          <w:highlight w:val="none"/>
          <w:lang w:val="zh-CN" w:bidi="zh-CN"/>
        </w:rPr>
      </w:pPr>
      <w:r>
        <w:rPr>
          <w:rFonts w:hint="eastAsia"/>
          <w:color w:val="auto"/>
          <w:szCs w:val="21"/>
          <w:highlight w:val="none"/>
          <w:lang w:val="zh-CN" w:bidi="zh-CN"/>
        </w:rPr>
        <w:t>质量保修期自工程</w:t>
      </w:r>
      <w:r>
        <w:rPr>
          <w:rFonts w:hint="eastAsia"/>
          <w:color w:val="auto"/>
          <w:szCs w:val="21"/>
          <w:highlight w:val="none"/>
          <w:lang w:bidi="zh-CN"/>
        </w:rPr>
        <w:t>五方</w:t>
      </w:r>
      <w:r>
        <w:rPr>
          <w:rFonts w:hint="eastAsia"/>
          <w:color w:val="auto"/>
          <w:szCs w:val="21"/>
          <w:highlight w:val="none"/>
          <w:lang w:val="zh-CN" w:bidi="zh-CN"/>
        </w:rPr>
        <w:t>验收合格之日起计算。</w:t>
      </w:r>
    </w:p>
    <w:p w14:paraId="73C72B63">
      <w:pPr>
        <w:spacing w:line="360" w:lineRule="auto"/>
        <w:ind w:firstLine="480"/>
        <w:rPr>
          <w:color w:val="auto"/>
          <w:szCs w:val="21"/>
          <w:highlight w:val="none"/>
          <w:lang w:val="zh-CN" w:bidi="zh-CN"/>
        </w:rPr>
      </w:pPr>
      <w:r>
        <w:rPr>
          <w:rFonts w:hint="eastAsia"/>
          <w:color w:val="auto"/>
          <w:szCs w:val="21"/>
          <w:highlight w:val="none"/>
          <w:lang w:val="zh-CN" w:bidi="zh-CN"/>
        </w:rPr>
        <w:t>三、缺陷责任期</w:t>
      </w:r>
    </w:p>
    <w:p w14:paraId="5DB308C4">
      <w:pPr>
        <w:spacing w:line="360" w:lineRule="auto"/>
        <w:ind w:firstLine="480"/>
        <w:rPr>
          <w:color w:val="auto"/>
          <w:szCs w:val="21"/>
          <w:highlight w:val="none"/>
          <w:lang w:val="zh-CN" w:bidi="zh-CN"/>
        </w:rPr>
      </w:pPr>
      <w:r>
        <w:rPr>
          <w:rFonts w:hint="eastAsia"/>
          <w:color w:val="auto"/>
          <w:szCs w:val="21"/>
          <w:highlight w:val="none"/>
          <w:lang w:val="zh-CN" w:bidi="zh-CN"/>
        </w:rPr>
        <w:t>工程缺陷责任期为</w:t>
      </w:r>
      <w:r>
        <w:rPr>
          <w:color w:val="auto"/>
          <w:szCs w:val="21"/>
          <w:highlight w:val="none"/>
          <w:u w:val="single"/>
          <w:lang w:val="zh-CN" w:bidi="zh-CN"/>
        </w:rPr>
        <w:t xml:space="preserve"> </w:t>
      </w:r>
      <w:r>
        <w:rPr>
          <w:rFonts w:hint="eastAsia"/>
          <w:color w:val="auto"/>
          <w:szCs w:val="21"/>
          <w:highlight w:val="none"/>
          <w:u w:val="single"/>
          <w:lang w:bidi="zh-CN"/>
        </w:rPr>
        <w:t>24</w:t>
      </w:r>
      <w:r>
        <w:rPr>
          <w:color w:val="auto"/>
          <w:szCs w:val="21"/>
          <w:highlight w:val="none"/>
          <w:u w:val="single"/>
          <w:lang w:val="zh-CN" w:bidi="zh-CN"/>
        </w:rPr>
        <w:t xml:space="preserve"> </w:t>
      </w:r>
      <w:r>
        <w:rPr>
          <w:rFonts w:hint="eastAsia"/>
          <w:color w:val="auto"/>
          <w:szCs w:val="21"/>
          <w:highlight w:val="none"/>
          <w:lang w:val="zh-CN" w:bidi="zh-CN"/>
        </w:rPr>
        <w:t>个月，缺陷责任期自工程通过</w:t>
      </w:r>
      <w:r>
        <w:rPr>
          <w:rFonts w:hint="eastAsia"/>
          <w:color w:val="auto"/>
          <w:szCs w:val="21"/>
          <w:highlight w:val="none"/>
          <w:lang w:bidi="zh-CN"/>
        </w:rPr>
        <w:t>五方</w:t>
      </w:r>
      <w:r>
        <w:rPr>
          <w:rFonts w:hint="eastAsia"/>
          <w:color w:val="auto"/>
          <w:szCs w:val="21"/>
          <w:highlight w:val="none"/>
          <w:lang w:val="zh-CN" w:bidi="zh-CN"/>
        </w:rPr>
        <w:t>验收之日起计算。单位/区段工程先于全部工程进行验收，单位/区段工程缺陷责任期自单位/区段工程验收合格之日起算。</w:t>
      </w:r>
    </w:p>
    <w:p w14:paraId="061C8701">
      <w:pPr>
        <w:spacing w:line="360" w:lineRule="auto"/>
        <w:ind w:firstLine="480"/>
        <w:rPr>
          <w:color w:val="auto"/>
          <w:szCs w:val="21"/>
          <w:highlight w:val="none"/>
          <w:lang w:val="zh-CN" w:bidi="zh-CN"/>
        </w:rPr>
      </w:pPr>
      <w:r>
        <w:rPr>
          <w:rFonts w:hint="eastAsia"/>
          <w:color w:val="auto"/>
          <w:szCs w:val="21"/>
          <w:highlight w:val="none"/>
          <w:lang w:val="zh-CN" w:bidi="zh-CN"/>
        </w:rPr>
        <w:t>缺陷责任期终止后，发包人应返还剩余的质量保证金。</w:t>
      </w:r>
    </w:p>
    <w:p w14:paraId="2F5510AD">
      <w:pPr>
        <w:spacing w:line="360" w:lineRule="auto"/>
        <w:ind w:firstLine="480"/>
        <w:rPr>
          <w:color w:val="auto"/>
          <w:szCs w:val="21"/>
          <w:highlight w:val="none"/>
          <w:lang w:val="zh-CN" w:bidi="zh-CN"/>
        </w:rPr>
      </w:pPr>
      <w:r>
        <w:rPr>
          <w:rFonts w:hint="eastAsia"/>
          <w:color w:val="auto"/>
          <w:szCs w:val="21"/>
          <w:highlight w:val="none"/>
          <w:lang w:val="zh-CN" w:bidi="zh-CN"/>
        </w:rPr>
        <w:t>四、质量保修责任</w:t>
      </w:r>
    </w:p>
    <w:p w14:paraId="31A05F07">
      <w:pPr>
        <w:spacing w:line="360" w:lineRule="auto"/>
        <w:ind w:firstLine="480"/>
        <w:rPr>
          <w:color w:val="auto"/>
          <w:szCs w:val="21"/>
          <w:highlight w:val="none"/>
          <w:lang w:val="zh-CN" w:bidi="zh-CN"/>
        </w:rPr>
      </w:pPr>
      <w:r>
        <w:rPr>
          <w:rFonts w:hint="eastAsia"/>
          <w:color w:val="auto"/>
          <w:szCs w:val="21"/>
          <w:highlight w:val="none"/>
          <w:lang w:val="zh-CN" w:bidi="zh-CN"/>
        </w:rPr>
        <w:t>1．属于保修范围、内容的项目，承包人应当在接到保修通知之日起</w:t>
      </w:r>
      <w:r>
        <w:rPr>
          <w:rFonts w:hint="eastAsia"/>
          <w:color w:val="auto"/>
          <w:szCs w:val="21"/>
          <w:highlight w:val="none"/>
          <w:lang w:bidi="zh-CN"/>
        </w:rPr>
        <w:t>24小时内</w:t>
      </w:r>
      <w:r>
        <w:rPr>
          <w:rFonts w:hint="eastAsia"/>
          <w:color w:val="auto"/>
          <w:szCs w:val="21"/>
          <w:highlight w:val="none"/>
          <w:lang w:val="zh-CN" w:bidi="zh-CN"/>
        </w:rPr>
        <w:t>派人保修。承包人不在约定期限内派人保修的，发包人可以委托他人修理。</w:t>
      </w:r>
    </w:p>
    <w:p w14:paraId="7CEC289C">
      <w:pPr>
        <w:spacing w:line="360" w:lineRule="auto"/>
        <w:ind w:firstLine="480"/>
        <w:rPr>
          <w:color w:val="auto"/>
          <w:szCs w:val="21"/>
          <w:highlight w:val="none"/>
          <w:lang w:val="zh-CN" w:bidi="zh-CN"/>
        </w:rPr>
      </w:pPr>
      <w:r>
        <w:rPr>
          <w:rFonts w:hint="eastAsia"/>
          <w:color w:val="auto"/>
          <w:szCs w:val="21"/>
          <w:highlight w:val="none"/>
          <w:lang w:val="zh-CN" w:bidi="zh-CN"/>
        </w:rPr>
        <w:t>2．发生紧急事故需抢修的，承包人在接到事故通知后，应当立即到达事故现场抢修。</w:t>
      </w:r>
    </w:p>
    <w:p w14:paraId="642DBEDF">
      <w:pPr>
        <w:spacing w:line="360" w:lineRule="auto"/>
        <w:ind w:firstLine="480"/>
        <w:rPr>
          <w:color w:val="auto"/>
          <w:szCs w:val="21"/>
          <w:highlight w:val="none"/>
          <w:lang w:val="zh-CN" w:bidi="zh-CN"/>
        </w:rPr>
      </w:pPr>
      <w:r>
        <w:rPr>
          <w:rFonts w:hint="eastAsia"/>
          <w:color w:val="auto"/>
          <w:szCs w:val="21"/>
          <w:highlight w:val="none"/>
          <w:lang w:val="zh-CN" w:bidi="zh-CN"/>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14:paraId="2819F0B8">
      <w:pPr>
        <w:spacing w:line="360" w:lineRule="auto"/>
        <w:ind w:firstLine="480"/>
        <w:rPr>
          <w:color w:val="auto"/>
          <w:szCs w:val="21"/>
          <w:highlight w:val="none"/>
          <w:lang w:val="zh-CN" w:bidi="zh-CN"/>
        </w:rPr>
      </w:pPr>
      <w:r>
        <w:rPr>
          <w:rFonts w:hint="eastAsia"/>
          <w:color w:val="auto"/>
          <w:szCs w:val="21"/>
          <w:highlight w:val="none"/>
          <w:lang w:val="zh-CN" w:bidi="zh-CN"/>
        </w:rPr>
        <w:t>4．质量保修完成后，由发包人组织验收。</w:t>
      </w:r>
    </w:p>
    <w:p w14:paraId="0958ED8B">
      <w:pPr>
        <w:spacing w:line="360" w:lineRule="auto"/>
        <w:ind w:firstLine="480"/>
        <w:rPr>
          <w:color w:val="auto"/>
          <w:szCs w:val="21"/>
          <w:highlight w:val="none"/>
          <w:lang w:val="zh-CN" w:bidi="zh-CN"/>
        </w:rPr>
      </w:pPr>
      <w:r>
        <w:rPr>
          <w:rFonts w:hint="eastAsia"/>
          <w:color w:val="auto"/>
          <w:szCs w:val="21"/>
          <w:highlight w:val="none"/>
          <w:lang w:val="zh-CN" w:bidi="zh-CN"/>
        </w:rPr>
        <w:t>五、保修费用</w:t>
      </w:r>
    </w:p>
    <w:p w14:paraId="753E5CC0">
      <w:pPr>
        <w:spacing w:line="360" w:lineRule="auto"/>
        <w:ind w:firstLine="480"/>
        <w:rPr>
          <w:color w:val="auto"/>
          <w:szCs w:val="21"/>
          <w:highlight w:val="none"/>
          <w:lang w:val="zh-CN" w:bidi="zh-CN"/>
        </w:rPr>
      </w:pPr>
      <w:r>
        <w:rPr>
          <w:rFonts w:hint="eastAsia"/>
          <w:color w:val="auto"/>
          <w:szCs w:val="21"/>
          <w:highlight w:val="none"/>
          <w:lang w:val="zh-CN" w:bidi="zh-CN"/>
        </w:rPr>
        <w:t>保修费用由造成质量缺陷的责任方承担。</w:t>
      </w:r>
    </w:p>
    <w:p w14:paraId="4ECCF893">
      <w:pPr>
        <w:spacing w:line="360" w:lineRule="auto"/>
        <w:ind w:firstLine="480"/>
        <w:rPr>
          <w:color w:val="auto"/>
          <w:szCs w:val="21"/>
          <w:highlight w:val="none"/>
          <w:u w:val="single"/>
          <w:lang w:val="zh-CN" w:bidi="zh-CN"/>
        </w:rPr>
      </w:pPr>
      <w:r>
        <w:rPr>
          <w:rFonts w:hint="eastAsia"/>
          <w:color w:val="auto"/>
          <w:szCs w:val="21"/>
          <w:highlight w:val="none"/>
          <w:lang w:val="zh-CN" w:bidi="zh-CN"/>
        </w:rPr>
        <w:t>六、双方约定的其他工程质量保修事项：</w:t>
      </w:r>
      <w:r>
        <w:rPr>
          <w:rFonts w:hint="eastAsia"/>
          <w:color w:val="auto"/>
          <w:szCs w:val="21"/>
          <w:highlight w:val="none"/>
          <w:u w:val="single"/>
          <w:lang w:val="zh-CN" w:bidi="zh-CN"/>
        </w:rPr>
        <w:t>无</w:t>
      </w:r>
      <w:r>
        <w:rPr>
          <w:rFonts w:hint="eastAsia"/>
          <w:color w:val="auto"/>
          <w:szCs w:val="21"/>
          <w:highlight w:val="none"/>
          <w:lang w:val="zh-CN" w:bidi="zh-CN"/>
        </w:rPr>
        <w:t>。</w:t>
      </w:r>
    </w:p>
    <w:p w14:paraId="70B8C899">
      <w:pPr>
        <w:spacing w:line="360" w:lineRule="auto"/>
        <w:ind w:firstLine="480"/>
        <w:rPr>
          <w:color w:val="auto"/>
          <w:szCs w:val="21"/>
          <w:highlight w:val="none"/>
          <w:lang w:val="zh-CN" w:bidi="zh-CN"/>
        </w:rPr>
      </w:pPr>
      <w:r>
        <w:rPr>
          <w:rFonts w:hint="eastAsia"/>
          <w:color w:val="auto"/>
          <w:szCs w:val="21"/>
          <w:highlight w:val="none"/>
          <w:lang w:val="zh-CN" w:bidi="zh-CN"/>
        </w:rPr>
        <w:t>工程质量保修书由发包人、承包人在工程竣工验收前共同签署，作为工程总承包合同附件，其有效期限至保修期满。</w:t>
      </w:r>
    </w:p>
    <w:p w14:paraId="383D16B0">
      <w:pPr>
        <w:spacing w:line="360" w:lineRule="auto"/>
        <w:ind w:firstLine="480"/>
        <w:rPr>
          <w:color w:val="auto"/>
          <w:szCs w:val="21"/>
          <w:highlight w:val="none"/>
          <w:lang w:val="zh-CN" w:bidi="zh-CN"/>
        </w:rPr>
      </w:pPr>
    </w:p>
    <w:p w14:paraId="0EDFF716">
      <w:pPr>
        <w:spacing w:line="360" w:lineRule="auto"/>
        <w:ind w:firstLine="480"/>
        <w:rPr>
          <w:color w:val="auto"/>
          <w:szCs w:val="21"/>
          <w:highlight w:val="none"/>
          <w:lang w:val="zh-CN" w:bidi="zh-CN"/>
        </w:rPr>
      </w:pPr>
      <w:r>
        <w:rPr>
          <w:rFonts w:hint="eastAsia"/>
          <w:color w:val="auto"/>
          <w:szCs w:val="21"/>
          <w:highlight w:val="none"/>
          <w:lang w:val="zh-CN" w:bidi="zh-CN"/>
        </w:rPr>
        <w:t xml:space="preserve">发包人(公章)： </w:t>
      </w:r>
      <w:r>
        <w:rPr>
          <w:color w:val="auto"/>
          <w:szCs w:val="21"/>
          <w:highlight w:val="none"/>
          <w:lang w:val="zh-CN" w:bidi="zh-CN"/>
        </w:rPr>
        <w:t xml:space="preserve">                  </w:t>
      </w:r>
      <w:r>
        <w:rPr>
          <w:rFonts w:hint="eastAsia"/>
          <w:color w:val="auto"/>
          <w:szCs w:val="21"/>
          <w:highlight w:val="none"/>
          <w:lang w:val="zh-CN" w:bidi="zh-CN"/>
        </w:rPr>
        <w:t>承包人(主办方公章)：</w:t>
      </w:r>
    </w:p>
    <w:p w14:paraId="7D0B6034">
      <w:pPr>
        <w:spacing w:line="360" w:lineRule="auto"/>
        <w:ind w:firstLine="480"/>
        <w:rPr>
          <w:color w:val="auto"/>
          <w:szCs w:val="21"/>
          <w:highlight w:val="none"/>
          <w:lang w:val="zh-CN" w:bidi="zh-CN"/>
        </w:rPr>
      </w:pPr>
      <w:r>
        <w:rPr>
          <w:rFonts w:hint="eastAsia"/>
          <w:color w:val="auto"/>
          <w:szCs w:val="21"/>
          <w:highlight w:val="none"/>
          <w:lang w:val="zh-CN" w:bidi="zh-CN"/>
        </w:rPr>
        <w:t xml:space="preserve">  </w:t>
      </w:r>
    </w:p>
    <w:p w14:paraId="72EF7AF4">
      <w:pPr>
        <w:spacing w:line="360" w:lineRule="auto"/>
        <w:ind w:firstLine="480"/>
        <w:rPr>
          <w:color w:val="auto"/>
          <w:szCs w:val="21"/>
          <w:highlight w:val="none"/>
          <w:lang w:bidi="zh-CN"/>
        </w:rPr>
      </w:pPr>
    </w:p>
    <w:p w14:paraId="34805165">
      <w:pPr>
        <w:spacing w:line="360" w:lineRule="auto"/>
        <w:ind w:firstLine="480"/>
        <w:rPr>
          <w:color w:val="auto"/>
          <w:szCs w:val="21"/>
          <w:highlight w:val="none"/>
          <w:lang w:bidi="ar"/>
        </w:rPr>
      </w:pPr>
    </w:p>
    <w:p w14:paraId="61CD12CE">
      <w:pPr>
        <w:spacing w:line="360" w:lineRule="auto"/>
        <w:ind w:firstLine="3990" w:firstLineChars="1900"/>
        <w:rPr>
          <w:color w:val="auto"/>
          <w:szCs w:val="21"/>
          <w:highlight w:val="none"/>
          <w:lang w:bidi="ar"/>
        </w:rPr>
      </w:pPr>
      <w:r>
        <w:rPr>
          <w:rFonts w:hint="eastAsia"/>
          <w:color w:val="auto"/>
          <w:szCs w:val="21"/>
          <w:highlight w:val="none"/>
          <w:lang w:bidi="ar"/>
        </w:rPr>
        <w:t xml:space="preserve">承包人 (成员方公章)： </w:t>
      </w:r>
    </w:p>
    <w:p w14:paraId="7F100C6B">
      <w:pPr>
        <w:spacing w:line="360" w:lineRule="auto"/>
        <w:ind w:firstLine="3990" w:firstLineChars="1900"/>
        <w:rPr>
          <w:color w:val="auto"/>
          <w:szCs w:val="21"/>
          <w:highlight w:val="none"/>
          <w:lang w:bidi="ar"/>
        </w:rPr>
      </w:pPr>
    </w:p>
    <w:p w14:paraId="7E31BA03">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 xml:space="preserve">  </w:t>
      </w:r>
    </w:p>
    <w:p w14:paraId="01BF53D4">
      <w:pPr>
        <w:widowControl/>
        <w:jc w:val="left"/>
        <w:rPr>
          <w:rFonts w:ascii="宋体" w:hAnsi="宋体" w:cs="宋体"/>
          <w:color w:val="auto"/>
          <w:kern w:val="0"/>
          <w:highlight w:val="none"/>
        </w:rPr>
      </w:pPr>
      <w:r>
        <w:rPr>
          <w:rFonts w:hint="eastAsia" w:ascii="宋体" w:hAnsi="宋体" w:cs="宋体"/>
          <w:color w:val="auto"/>
          <w:kern w:val="0"/>
          <w:highlight w:val="none"/>
        </w:rPr>
        <w:br w:type="page"/>
      </w:r>
    </w:p>
    <w:p w14:paraId="493F489F">
      <w:pPr>
        <w:widowControl/>
        <w:jc w:val="left"/>
        <w:rPr>
          <w:rFonts w:ascii="宋体" w:hAnsi="宋体" w:cs="宋体"/>
          <w:color w:val="auto"/>
          <w:kern w:val="0"/>
          <w:highlight w:val="none"/>
        </w:rPr>
      </w:pPr>
    </w:p>
    <w:p w14:paraId="2CE29856">
      <w:pPr>
        <w:keepNext/>
        <w:keepLines/>
        <w:widowControl/>
        <w:wordWrap w:val="0"/>
        <w:topLinePunct/>
        <w:adjustRightInd w:val="0"/>
        <w:snapToGrid w:val="0"/>
        <w:spacing w:after="163" w:afterLines="50" w:line="360" w:lineRule="auto"/>
        <w:jc w:val="center"/>
        <w:outlineLvl w:val="1"/>
        <w:rPr>
          <w:rFonts w:ascii="宋体" w:hAnsi="宋体" w:cs="宋体"/>
          <w:b/>
          <w:color w:val="auto"/>
          <w:kern w:val="0"/>
          <w:highlight w:val="none"/>
        </w:rPr>
      </w:pPr>
      <w:bookmarkStart w:id="1808" w:name="_Toc20171896"/>
      <w:bookmarkEnd w:id="1808"/>
      <w:bookmarkStart w:id="1809" w:name="_Toc179885419"/>
      <w:r>
        <w:rPr>
          <w:rFonts w:hint="eastAsia" w:ascii="宋体" w:hAnsi="宋体" w:cs="宋体"/>
          <w:b/>
          <w:color w:val="auto"/>
          <w:kern w:val="0"/>
          <w:szCs w:val="21"/>
          <w:highlight w:val="none"/>
          <w:lang w:bidi="ar"/>
        </w:rPr>
        <w:t>附件4  主要建设工程文件目录</w:t>
      </w:r>
      <w:bookmarkEnd w:id="1809"/>
    </w:p>
    <w:tbl>
      <w:tblPr>
        <w:tblStyle w:val="7"/>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25"/>
        <w:gridCol w:w="1276"/>
        <w:gridCol w:w="1450"/>
        <w:gridCol w:w="1243"/>
        <w:gridCol w:w="1450"/>
        <w:gridCol w:w="1670"/>
      </w:tblGrid>
      <w:tr w14:paraId="42825F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25" w:type="dxa"/>
            <w:tcBorders>
              <w:top w:val="single" w:color="auto" w:sz="12" w:space="0"/>
              <w:left w:val="single" w:color="auto" w:sz="12" w:space="0"/>
              <w:bottom w:val="double" w:color="auto" w:sz="2" w:space="0"/>
              <w:right w:val="single" w:color="auto" w:sz="6" w:space="0"/>
            </w:tcBorders>
            <w:shd w:val="clear" w:color="auto" w:fill="auto"/>
            <w:vAlign w:val="center"/>
          </w:tcPr>
          <w:p w14:paraId="021A1026">
            <w:pPr>
              <w:widowControl/>
              <w:adjustRightInd w:val="0"/>
              <w:snapToGrid w:val="0"/>
              <w:spacing w:line="360" w:lineRule="auto"/>
              <w:jc w:val="center"/>
              <w:rPr>
                <w:rFonts w:ascii="宋体" w:hAnsi="宋体" w:cs="宋体"/>
                <w:color w:val="auto"/>
                <w:kern w:val="0"/>
                <w:highlight w:val="none"/>
              </w:rPr>
            </w:pPr>
            <w:r>
              <w:rPr>
                <w:rFonts w:hint="eastAsia" w:ascii="宋体" w:hAnsi="宋体" w:cs="宋体"/>
                <w:color w:val="auto"/>
                <w:kern w:val="0"/>
                <w:szCs w:val="21"/>
                <w:highlight w:val="none"/>
                <w:lang w:bidi="ar"/>
              </w:rPr>
              <w:t>文件名称</w:t>
            </w:r>
          </w:p>
        </w:tc>
        <w:tc>
          <w:tcPr>
            <w:tcW w:w="1276" w:type="dxa"/>
            <w:tcBorders>
              <w:top w:val="single" w:color="auto" w:sz="12" w:space="0"/>
              <w:left w:val="single" w:color="auto" w:sz="6" w:space="0"/>
              <w:bottom w:val="double" w:color="auto" w:sz="2" w:space="0"/>
              <w:right w:val="single" w:color="auto" w:sz="6" w:space="0"/>
            </w:tcBorders>
            <w:shd w:val="clear" w:color="auto" w:fill="auto"/>
            <w:vAlign w:val="center"/>
          </w:tcPr>
          <w:p w14:paraId="57AE32BB">
            <w:pPr>
              <w:widowControl/>
              <w:adjustRightInd w:val="0"/>
              <w:snapToGrid w:val="0"/>
              <w:spacing w:line="360" w:lineRule="auto"/>
              <w:jc w:val="center"/>
              <w:rPr>
                <w:rFonts w:ascii="宋体" w:hAnsi="宋体" w:cs="宋体"/>
                <w:color w:val="auto"/>
                <w:kern w:val="0"/>
                <w:highlight w:val="none"/>
              </w:rPr>
            </w:pPr>
            <w:r>
              <w:rPr>
                <w:rFonts w:hint="eastAsia" w:ascii="宋体" w:hAnsi="宋体" w:cs="宋体"/>
                <w:color w:val="auto"/>
                <w:kern w:val="0"/>
                <w:szCs w:val="21"/>
                <w:highlight w:val="none"/>
                <w:lang w:bidi="ar"/>
              </w:rPr>
              <w:t>套数</w:t>
            </w:r>
          </w:p>
        </w:tc>
        <w:tc>
          <w:tcPr>
            <w:tcW w:w="1450" w:type="dxa"/>
            <w:tcBorders>
              <w:top w:val="single" w:color="auto" w:sz="12" w:space="0"/>
              <w:left w:val="single" w:color="auto" w:sz="6" w:space="0"/>
              <w:bottom w:val="double" w:color="auto" w:sz="2" w:space="0"/>
              <w:right w:val="single" w:color="auto" w:sz="6" w:space="0"/>
            </w:tcBorders>
            <w:shd w:val="clear" w:color="auto" w:fill="auto"/>
            <w:vAlign w:val="center"/>
          </w:tcPr>
          <w:p w14:paraId="0F6409CA">
            <w:pPr>
              <w:widowControl/>
              <w:adjustRightInd w:val="0"/>
              <w:snapToGrid w:val="0"/>
              <w:spacing w:line="360" w:lineRule="auto"/>
              <w:jc w:val="center"/>
              <w:rPr>
                <w:rFonts w:ascii="宋体" w:hAnsi="宋体" w:cs="宋体"/>
                <w:color w:val="auto"/>
                <w:kern w:val="0"/>
                <w:highlight w:val="none"/>
              </w:rPr>
            </w:pPr>
            <w:r>
              <w:rPr>
                <w:rFonts w:hint="eastAsia" w:ascii="宋体" w:hAnsi="宋体" w:cs="宋体"/>
                <w:color w:val="auto"/>
                <w:kern w:val="0"/>
                <w:szCs w:val="21"/>
                <w:highlight w:val="none"/>
                <w:lang w:bidi="ar"/>
              </w:rPr>
              <w:t>费用（元）</w:t>
            </w:r>
          </w:p>
        </w:tc>
        <w:tc>
          <w:tcPr>
            <w:tcW w:w="1243" w:type="dxa"/>
            <w:tcBorders>
              <w:top w:val="single" w:color="auto" w:sz="12" w:space="0"/>
              <w:left w:val="single" w:color="auto" w:sz="6" w:space="0"/>
              <w:bottom w:val="double" w:color="auto" w:sz="2" w:space="0"/>
              <w:right w:val="single" w:color="auto" w:sz="6" w:space="0"/>
            </w:tcBorders>
            <w:shd w:val="clear" w:color="auto" w:fill="auto"/>
            <w:vAlign w:val="center"/>
          </w:tcPr>
          <w:p w14:paraId="17B84208">
            <w:pPr>
              <w:widowControl/>
              <w:adjustRightInd w:val="0"/>
              <w:snapToGrid w:val="0"/>
              <w:spacing w:line="360" w:lineRule="auto"/>
              <w:jc w:val="center"/>
              <w:rPr>
                <w:rFonts w:ascii="宋体" w:hAnsi="宋体" w:cs="宋体"/>
                <w:color w:val="auto"/>
                <w:kern w:val="0"/>
                <w:highlight w:val="none"/>
              </w:rPr>
            </w:pPr>
            <w:r>
              <w:rPr>
                <w:rFonts w:hint="eastAsia" w:ascii="宋体" w:hAnsi="宋体" w:cs="宋体"/>
                <w:color w:val="auto"/>
                <w:kern w:val="0"/>
                <w:szCs w:val="21"/>
                <w:highlight w:val="none"/>
                <w:lang w:bidi="ar"/>
              </w:rPr>
              <w:t>质量</w:t>
            </w:r>
          </w:p>
        </w:tc>
        <w:tc>
          <w:tcPr>
            <w:tcW w:w="1450" w:type="dxa"/>
            <w:tcBorders>
              <w:top w:val="single" w:color="auto" w:sz="12" w:space="0"/>
              <w:left w:val="single" w:color="auto" w:sz="6" w:space="0"/>
              <w:bottom w:val="double" w:color="auto" w:sz="2" w:space="0"/>
              <w:right w:val="single" w:color="auto" w:sz="6" w:space="0"/>
            </w:tcBorders>
            <w:shd w:val="clear" w:color="auto" w:fill="auto"/>
          </w:tcPr>
          <w:p w14:paraId="64692655">
            <w:pPr>
              <w:widowControl/>
              <w:adjustRightInd w:val="0"/>
              <w:snapToGrid w:val="0"/>
              <w:spacing w:line="360" w:lineRule="auto"/>
              <w:jc w:val="center"/>
              <w:rPr>
                <w:rFonts w:ascii="宋体" w:hAnsi="宋体" w:cs="宋体"/>
                <w:color w:val="auto"/>
                <w:kern w:val="0"/>
                <w:highlight w:val="none"/>
              </w:rPr>
            </w:pPr>
            <w:r>
              <w:rPr>
                <w:rFonts w:hint="eastAsia" w:ascii="宋体" w:hAnsi="宋体" w:cs="宋体"/>
                <w:color w:val="auto"/>
                <w:kern w:val="0"/>
                <w:szCs w:val="21"/>
                <w:highlight w:val="none"/>
                <w:lang w:bidi="ar"/>
              </w:rPr>
              <w:t>移交时间</w:t>
            </w:r>
          </w:p>
        </w:tc>
        <w:tc>
          <w:tcPr>
            <w:tcW w:w="1670" w:type="dxa"/>
            <w:tcBorders>
              <w:top w:val="single" w:color="auto" w:sz="12" w:space="0"/>
              <w:left w:val="single" w:color="auto" w:sz="6" w:space="0"/>
              <w:bottom w:val="double" w:color="auto" w:sz="2" w:space="0"/>
              <w:right w:val="single" w:color="auto" w:sz="12" w:space="0"/>
            </w:tcBorders>
            <w:shd w:val="clear" w:color="auto" w:fill="auto"/>
          </w:tcPr>
          <w:p w14:paraId="70629A3C">
            <w:pPr>
              <w:widowControl/>
              <w:adjustRightInd w:val="0"/>
              <w:snapToGrid w:val="0"/>
              <w:spacing w:line="360" w:lineRule="auto"/>
              <w:jc w:val="center"/>
              <w:rPr>
                <w:rFonts w:ascii="宋体" w:hAnsi="宋体" w:cs="宋体"/>
                <w:color w:val="auto"/>
                <w:kern w:val="0"/>
                <w:highlight w:val="none"/>
              </w:rPr>
            </w:pPr>
            <w:r>
              <w:rPr>
                <w:rFonts w:hint="eastAsia" w:ascii="宋体" w:hAnsi="宋体" w:cs="宋体"/>
                <w:color w:val="auto"/>
                <w:kern w:val="0"/>
                <w:szCs w:val="21"/>
                <w:highlight w:val="none"/>
                <w:lang w:bidi="ar"/>
              </w:rPr>
              <w:t>责任人</w:t>
            </w:r>
          </w:p>
        </w:tc>
      </w:tr>
      <w:tr w14:paraId="7A937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2" w:space="0"/>
              <w:left w:val="single" w:color="auto" w:sz="12" w:space="0"/>
              <w:bottom w:val="single" w:color="auto" w:sz="6" w:space="0"/>
              <w:right w:val="single" w:color="auto" w:sz="6" w:space="0"/>
            </w:tcBorders>
            <w:shd w:val="clear" w:color="auto" w:fill="auto"/>
            <w:vAlign w:val="center"/>
          </w:tcPr>
          <w:p w14:paraId="74D39F33">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76" w:type="dxa"/>
            <w:tcBorders>
              <w:top w:val="double" w:color="auto" w:sz="2" w:space="0"/>
              <w:left w:val="single" w:color="auto" w:sz="6" w:space="0"/>
              <w:bottom w:val="single" w:color="auto" w:sz="6" w:space="0"/>
              <w:right w:val="single" w:color="auto" w:sz="6" w:space="0"/>
            </w:tcBorders>
            <w:shd w:val="clear" w:color="auto" w:fill="auto"/>
            <w:vAlign w:val="center"/>
          </w:tcPr>
          <w:p w14:paraId="7D1E81EA">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double" w:color="auto" w:sz="2" w:space="0"/>
              <w:left w:val="single" w:color="auto" w:sz="6" w:space="0"/>
              <w:bottom w:val="single" w:color="auto" w:sz="6" w:space="0"/>
              <w:right w:val="single" w:color="auto" w:sz="6" w:space="0"/>
            </w:tcBorders>
            <w:shd w:val="clear" w:color="auto" w:fill="auto"/>
            <w:vAlign w:val="center"/>
          </w:tcPr>
          <w:p w14:paraId="6BC69572">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43" w:type="dxa"/>
            <w:tcBorders>
              <w:top w:val="double" w:color="auto" w:sz="2" w:space="0"/>
              <w:left w:val="single" w:color="auto" w:sz="6" w:space="0"/>
              <w:bottom w:val="single" w:color="auto" w:sz="6" w:space="0"/>
              <w:right w:val="single" w:color="auto" w:sz="6" w:space="0"/>
            </w:tcBorders>
            <w:shd w:val="clear" w:color="auto" w:fill="auto"/>
            <w:vAlign w:val="center"/>
          </w:tcPr>
          <w:p w14:paraId="76F134C1">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double" w:color="auto" w:sz="2" w:space="0"/>
              <w:left w:val="single" w:color="auto" w:sz="6" w:space="0"/>
              <w:bottom w:val="single" w:color="auto" w:sz="6" w:space="0"/>
              <w:right w:val="single" w:color="auto" w:sz="6" w:space="0"/>
            </w:tcBorders>
            <w:shd w:val="clear" w:color="auto" w:fill="auto"/>
            <w:vAlign w:val="center"/>
          </w:tcPr>
          <w:p w14:paraId="2CDF5904">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670" w:type="dxa"/>
            <w:tcBorders>
              <w:top w:val="double" w:color="auto" w:sz="2" w:space="0"/>
              <w:left w:val="single" w:color="auto" w:sz="6" w:space="0"/>
              <w:bottom w:val="single" w:color="auto" w:sz="6" w:space="0"/>
              <w:right w:val="single" w:color="auto" w:sz="12" w:space="0"/>
            </w:tcBorders>
            <w:shd w:val="clear" w:color="auto" w:fill="auto"/>
            <w:vAlign w:val="center"/>
          </w:tcPr>
          <w:p w14:paraId="1D4437D6">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183EB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nil"/>
              <w:left w:val="single" w:color="auto" w:sz="12" w:space="0"/>
              <w:bottom w:val="single" w:color="auto" w:sz="6" w:space="0"/>
              <w:right w:val="single" w:color="auto" w:sz="6" w:space="0"/>
            </w:tcBorders>
            <w:shd w:val="clear" w:color="auto" w:fill="auto"/>
            <w:vAlign w:val="center"/>
          </w:tcPr>
          <w:p w14:paraId="55A0BC65">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76" w:type="dxa"/>
            <w:tcBorders>
              <w:top w:val="nil"/>
              <w:left w:val="single" w:color="auto" w:sz="6" w:space="0"/>
              <w:bottom w:val="single" w:color="auto" w:sz="6" w:space="0"/>
              <w:right w:val="single" w:color="auto" w:sz="6" w:space="0"/>
            </w:tcBorders>
            <w:shd w:val="clear" w:color="auto" w:fill="auto"/>
            <w:vAlign w:val="center"/>
          </w:tcPr>
          <w:p w14:paraId="351B83C0">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nil"/>
              <w:left w:val="single" w:color="auto" w:sz="6" w:space="0"/>
              <w:bottom w:val="single" w:color="auto" w:sz="6" w:space="0"/>
              <w:right w:val="single" w:color="auto" w:sz="6" w:space="0"/>
            </w:tcBorders>
            <w:shd w:val="clear" w:color="auto" w:fill="auto"/>
            <w:vAlign w:val="center"/>
          </w:tcPr>
          <w:p w14:paraId="423CBE17">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43" w:type="dxa"/>
            <w:tcBorders>
              <w:top w:val="nil"/>
              <w:left w:val="single" w:color="auto" w:sz="6" w:space="0"/>
              <w:bottom w:val="single" w:color="auto" w:sz="6" w:space="0"/>
              <w:right w:val="single" w:color="auto" w:sz="6" w:space="0"/>
            </w:tcBorders>
            <w:shd w:val="clear" w:color="auto" w:fill="auto"/>
            <w:vAlign w:val="center"/>
          </w:tcPr>
          <w:p w14:paraId="66303315">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nil"/>
              <w:left w:val="single" w:color="auto" w:sz="6" w:space="0"/>
              <w:bottom w:val="single" w:color="auto" w:sz="6" w:space="0"/>
              <w:right w:val="single" w:color="auto" w:sz="6" w:space="0"/>
            </w:tcBorders>
            <w:shd w:val="clear" w:color="auto" w:fill="auto"/>
            <w:vAlign w:val="center"/>
          </w:tcPr>
          <w:p w14:paraId="03AB845E">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670" w:type="dxa"/>
            <w:tcBorders>
              <w:top w:val="nil"/>
              <w:left w:val="single" w:color="auto" w:sz="6" w:space="0"/>
              <w:bottom w:val="single" w:color="auto" w:sz="6" w:space="0"/>
              <w:right w:val="single" w:color="auto" w:sz="12" w:space="0"/>
            </w:tcBorders>
            <w:shd w:val="clear" w:color="auto" w:fill="auto"/>
            <w:vAlign w:val="center"/>
          </w:tcPr>
          <w:p w14:paraId="4886BD83">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4E1BA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center"/>
          </w:tcPr>
          <w:p w14:paraId="264AF1B1">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14:paraId="01D35A7D">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56E12B33">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center"/>
          </w:tcPr>
          <w:p w14:paraId="69D6667F">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34E49614">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670" w:type="dxa"/>
            <w:tcBorders>
              <w:top w:val="single" w:color="auto" w:sz="6" w:space="0"/>
              <w:left w:val="single" w:color="auto" w:sz="6" w:space="0"/>
              <w:bottom w:val="single" w:color="auto" w:sz="6" w:space="0"/>
              <w:right w:val="single" w:color="auto" w:sz="12" w:space="0"/>
            </w:tcBorders>
            <w:shd w:val="clear" w:color="auto" w:fill="auto"/>
            <w:vAlign w:val="center"/>
          </w:tcPr>
          <w:p w14:paraId="3895D9F3">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14FA9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center"/>
          </w:tcPr>
          <w:p w14:paraId="22BD82EA">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14:paraId="12F1A739">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2CE60CFC">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center"/>
          </w:tcPr>
          <w:p w14:paraId="7D5E4F1A">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5E128992">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670" w:type="dxa"/>
            <w:tcBorders>
              <w:top w:val="single" w:color="auto" w:sz="6" w:space="0"/>
              <w:left w:val="single" w:color="auto" w:sz="6" w:space="0"/>
              <w:bottom w:val="single" w:color="auto" w:sz="6" w:space="0"/>
              <w:right w:val="single" w:color="auto" w:sz="12" w:space="0"/>
            </w:tcBorders>
            <w:shd w:val="clear" w:color="auto" w:fill="auto"/>
            <w:vAlign w:val="center"/>
          </w:tcPr>
          <w:p w14:paraId="61B82FA5">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592082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center"/>
          </w:tcPr>
          <w:p w14:paraId="4953BCCE">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14:paraId="71C609B7">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3ACE646B">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center"/>
          </w:tcPr>
          <w:p w14:paraId="011D2ABF">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14857BC3">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670" w:type="dxa"/>
            <w:tcBorders>
              <w:top w:val="single" w:color="auto" w:sz="6" w:space="0"/>
              <w:left w:val="single" w:color="auto" w:sz="6" w:space="0"/>
              <w:bottom w:val="single" w:color="auto" w:sz="6" w:space="0"/>
              <w:right w:val="single" w:color="auto" w:sz="12" w:space="0"/>
            </w:tcBorders>
            <w:shd w:val="clear" w:color="auto" w:fill="auto"/>
            <w:vAlign w:val="center"/>
          </w:tcPr>
          <w:p w14:paraId="23D4D1C4">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0C2C2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center"/>
          </w:tcPr>
          <w:p w14:paraId="20DCCB1C">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14:paraId="4A4D58A2">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30975FEA">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center"/>
          </w:tcPr>
          <w:p w14:paraId="19D8A412">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6C8466AF">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670" w:type="dxa"/>
            <w:tcBorders>
              <w:top w:val="single" w:color="auto" w:sz="6" w:space="0"/>
              <w:left w:val="single" w:color="auto" w:sz="6" w:space="0"/>
              <w:bottom w:val="single" w:color="auto" w:sz="6" w:space="0"/>
              <w:right w:val="single" w:color="auto" w:sz="12" w:space="0"/>
            </w:tcBorders>
            <w:shd w:val="clear" w:color="auto" w:fill="auto"/>
            <w:vAlign w:val="center"/>
          </w:tcPr>
          <w:p w14:paraId="3B2CE580">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6771CF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center"/>
          </w:tcPr>
          <w:p w14:paraId="4216A4BD">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14:paraId="79BE7F60">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780DE6E1">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center"/>
          </w:tcPr>
          <w:p w14:paraId="15476392">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2E3A6665">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670" w:type="dxa"/>
            <w:tcBorders>
              <w:top w:val="single" w:color="auto" w:sz="6" w:space="0"/>
              <w:left w:val="single" w:color="auto" w:sz="6" w:space="0"/>
              <w:bottom w:val="single" w:color="auto" w:sz="6" w:space="0"/>
              <w:right w:val="single" w:color="auto" w:sz="12" w:space="0"/>
            </w:tcBorders>
            <w:shd w:val="clear" w:color="auto" w:fill="auto"/>
            <w:vAlign w:val="center"/>
          </w:tcPr>
          <w:p w14:paraId="03C779E0">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0D27FF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center"/>
          </w:tcPr>
          <w:p w14:paraId="461B330A">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14:paraId="22264918">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1A4AEB1D">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center"/>
          </w:tcPr>
          <w:p w14:paraId="4586CB47">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48795543">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670" w:type="dxa"/>
            <w:tcBorders>
              <w:top w:val="single" w:color="auto" w:sz="6" w:space="0"/>
              <w:left w:val="single" w:color="auto" w:sz="6" w:space="0"/>
              <w:bottom w:val="single" w:color="auto" w:sz="6" w:space="0"/>
              <w:right w:val="single" w:color="auto" w:sz="12" w:space="0"/>
            </w:tcBorders>
            <w:shd w:val="clear" w:color="auto" w:fill="auto"/>
            <w:vAlign w:val="center"/>
          </w:tcPr>
          <w:p w14:paraId="070F049E">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6839C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tcPr>
          <w:p w14:paraId="3759D655">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76" w:type="dxa"/>
            <w:tcBorders>
              <w:top w:val="single" w:color="auto" w:sz="6" w:space="0"/>
              <w:left w:val="single" w:color="auto" w:sz="6" w:space="0"/>
              <w:bottom w:val="single" w:color="auto" w:sz="6" w:space="0"/>
              <w:right w:val="single" w:color="auto" w:sz="6" w:space="0"/>
            </w:tcBorders>
            <w:shd w:val="clear" w:color="auto" w:fill="auto"/>
          </w:tcPr>
          <w:p w14:paraId="1A009A10">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tcPr>
          <w:p w14:paraId="1B1C015A">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43" w:type="dxa"/>
            <w:tcBorders>
              <w:top w:val="single" w:color="auto" w:sz="6" w:space="0"/>
              <w:left w:val="single" w:color="auto" w:sz="6" w:space="0"/>
              <w:bottom w:val="single" w:color="auto" w:sz="6" w:space="0"/>
              <w:right w:val="single" w:color="auto" w:sz="6" w:space="0"/>
            </w:tcBorders>
            <w:shd w:val="clear" w:color="auto" w:fill="auto"/>
          </w:tcPr>
          <w:p w14:paraId="66F37BFF">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tcPr>
          <w:p w14:paraId="3FB9EA9D">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670" w:type="dxa"/>
            <w:tcBorders>
              <w:top w:val="single" w:color="auto" w:sz="6" w:space="0"/>
              <w:left w:val="single" w:color="auto" w:sz="6" w:space="0"/>
              <w:bottom w:val="single" w:color="auto" w:sz="6" w:space="0"/>
              <w:right w:val="single" w:color="auto" w:sz="12" w:space="0"/>
            </w:tcBorders>
            <w:shd w:val="clear" w:color="auto" w:fill="auto"/>
          </w:tcPr>
          <w:p w14:paraId="75ED05BC">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7227B9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center"/>
          </w:tcPr>
          <w:p w14:paraId="7DA34E8B">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14:paraId="76CBEA39">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3D0027CA">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center"/>
          </w:tcPr>
          <w:p w14:paraId="68DAA142">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05DD6F5D">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670" w:type="dxa"/>
            <w:tcBorders>
              <w:top w:val="single" w:color="auto" w:sz="6" w:space="0"/>
              <w:left w:val="single" w:color="auto" w:sz="6" w:space="0"/>
              <w:bottom w:val="single" w:color="auto" w:sz="6" w:space="0"/>
              <w:right w:val="single" w:color="auto" w:sz="12" w:space="0"/>
            </w:tcBorders>
            <w:shd w:val="clear" w:color="auto" w:fill="auto"/>
            <w:vAlign w:val="center"/>
          </w:tcPr>
          <w:p w14:paraId="71233BED">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2CDE4F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tcPr>
          <w:p w14:paraId="22A30790">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76" w:type="dxa"/>
            <w:tcBorders>
              <w:top w:val="single" w:color="auto" w:sz="6" w:space="0"/>
              <w:left w:val="single" w:color="auto" w:sz="6" w:space="0"/>
              <w:bottom w:val="single" w:color="auto" w:sz="6" w:space="0"/>
              <w:right w:val="single" w:color="auto" w:sz="6" w:space="0"/>
            </w:tcBorders>
            <w:shd w:val="clear" w:color="auto" w:fill="auto"/>
          </w:tcPr>
          <w:p w14:paraId="2E1DC802">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tcPr>
          <w:p w14:paraId="1D5CF992">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43" w:type="dxa"/>
            <w:tcBorders>
              <w:top w:val="single" w:color="auto" w:sz="6" w:space="0"/>
              <w:left w:val="single" w:color="auto" w:sz="6" w:space="0"/>
              <w:bottom w:val="single" w:color="auto" w:sz="6" w:space="0"/>
              <w:right w:val="single" w:color="auto" w:sz="6" w:space="0"/>
            </w:tcBorders>
            <w:shd w:val="clear" w:color="auto" w:fill="auto"/>
          </w:tcPr>
          <w:p w14:paraId="78527BB7">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tcPr>
          <w:p w14:paraId="67588C2E">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670" w:type="dxa"/>
            <w:tcBorders>
              <w:top w:val="single" w:color="auto" w:sz="6" w:space="0"/>
              <w:left w:val="single" w:color="auto" w:sz="6" w:space="0"/>
              <w:bottom w:val="single" w:color="auto" w:sz="6" w:space="0"/>
              <w:right w:val="single" w:color="auto" w:sz="12" w:space="0"/>
            </w:tcBorders>
            <w:shd w:val="clear" w:color="auto" w:fill="auto"/>
          </w:tcPr>
          <w:p w14:paraId="342AD15A">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59436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tcPr>
          <w:p w14:paraId="7894CD9F">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76" w:type="dxa"/>
            <w:tcBorders>
              <w:top w:val="single" w:color="auto" w:sz="6" w:space="0"/>
              <w:left w:val="single" w:color="auto" w:sz="6" w:space="0"/>
              <w:bottom w:val="single" w:color="auto" w:sz="6" w:space="0"/>
              <w:right w:val="single" w:color="auto" w:sz="6" w:space="0"/>
            </w:tcBorders>
            <w:shd w:val="clear" w:color="auto" w:fill="auto"/>
          </w:tcPr>
          <w:p w14:paraId="70C2AEAA">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tcPr>
          <w:p w14:paraId="6AEC74CB">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43" w:type="dxa"/>
            <w:tcBorders>
              <w:top w:val="single" w:color="auto" w:sz="6" w:space="0"/>
              <w:left w:val="single" w:color="auto" w:sz="6" w:space="0"/>
              <w:bottom w:val="single" w:color="auto" w:sz="6" w:space="0"/>
              <w:right w:val="single" w:color="auto" w:sz="6" w:space="0"/>
            </w:tcBorders>
            <w:shd w:val="clear" w:color="auto" w:fill="auto"/>
          </w:tcPr>
          <w:p w14:paraId="426A81FA">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tcPr>
          <w:p w14:paraId="2DFA8E04">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670" w:type="dxa"/>
            <w:tcBorders>
              <w:top w:val="single" w:color="auto" w:sz="6" w:space="0"/>
              <w:left w:val="single" w:color="auto" w:sz="6" w:space="0"/>
              <w:bottom w:val="single" w:color="auto" w:sz="6" w:space="0"/>
              <w:right w:val="single" w:color="auto" w:sz="12" w:space="0"/>
            </w:tcBorders>
            <w:shd w:val="clear" w:color="auto" w:fill="auto"/>
          </w:tcPr>
          <w:p w14:paraId="68A2F8F9">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44319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tcPr>
          <w:p w14:paraId="00C4C0E8">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76" w:type="dxa"/>
            <w:tcBorders>
              <w:top w:val="single" w:color="auto" w:sz="6" w:space="0"/>
              <w:left w:val="single" w:color="auto" w:sz="6" w:space="0"/>
              <w:bottom w:val="single" w:color="auto" w:sz="6" w:space="0"/>
              <w:right w:val="single" w:color="auto" w:sz="6" w:space="0"/>
            </w:tcBorders>
            <w:shd w:val="clear" w:color="auto" w:fill="auto"/>
          </w:tcPr>
          <w:p w14:paraId="23F6DFE8">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tcPr>
          <w:p w14:paraId="2034703F">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43" w:type="dxa"/>
            <w:tcBorders>
              <w:top w:val="single" w:color="auto" w:sz="6" w:space="0"/>
              <w:left w:val="single" w:color="auto" w:sz="6" w:space="0"/>
              <w:bottom w:val="single" w:color="auto" w:sz="6" w:space="0"/>
              <w:right w:val="single" w:color="auto" w:sz="6" w:space="0"/>
            </w:tcBorders>
            <w:shd w:val="clear" w:color="auto" w:fill="auto"/>
          </w:tcPr>
          <w:p w14:paraId="21DA9102">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tcPr>
          <w:p w14:paraId="643E3DF2">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670" w:type="dxa"/>
            <w:tcBorders>
              <w:top w:val="single" w:color="auto" w:sz="6" w:space="0"/>
              <w:left w:val="single" w:color="auto" w:sz="6" w:space="0"/>
              <w:bottom w:val="single" w:color="auto" w:sz="6" w:space="0"/>
              <w:right w:val="single" w:color="auto" w:sz="12" w:space="0"/>
            </w:tcBorders>
            <w:shd w:val="clear" w:color="auto" w:fill="auto"/>
          </w:tcPr>
          <w:p w14:paraId="71F40199">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483E7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tcPr>
          <w:p w14:paraId="0318ED50">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76" w:type="dxa"/>
            <w:tcBorders>
              <w:top w:val="single" w:color="auto" w:sz="6" w:space="0"/>
              <w:left w:val="single" w:color="auto" w:sz="6" w:space="0"/>
              <w:bottom w:val="single" w:color="auto" w:sz="6" w:space="0"/>
              <w:right w:val="single" w:color="auto" w:sz="6" w:space="0"/>
            </w:tcBorders>
            <w:shd w:val="clear" w:color="auto" w:fill="auto"/>
          </w:tcPr>
          <w:p w14:paraId="0416D251">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tcPr>
          <w:p w14:paraId="1775AE2D">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43" w:type="dxa"/>
            <w:tcBorders>
              <w:top w:val="single" w:color="auto" w:sz="6" w:space="0"/>
              <w:left w:val="single" w:color="auto" w:sz="6" w:space="0"/>
              <w:bottom w:val="single" w:color="auto" w:sz="6" w:space="0"/>
              <w:right w:val="single" w:color="auto" w:sz="6" w:space="0"/>
            </w:tcBorders>
            <w:shd w:val="clear" w:color="auto" w:fill="auto"/>
          </w:tcPr>
          <w:p w14:paraId="62FCB2F6">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tcPr>
          <w:p w14:paraId="4454EC26">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670" w:type="dxa"/>
            <w:tcBorders>
              <w:top w:val="single" w:color="auto" w:sz="6" w:space="0"/>
              <w:left w:val="single" w:color="auto" w:sz="6" w:space="0"/>
              <w:bottom w:val="single" w:color="auto" w:sz="6" w:space="0"/>
              <w:right w:val="single" w:color="auto" w:sz="12" w:space="0"/>
            </w:tcBorders>
            <w:shd w:val="clear" w:color="auto" w:fill="auto"/>
          </w:tcPr>
          <w:p w14:paraId="17836241">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3E9011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tcPr>
          <w:p w14:paraId="42DE0800">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76" w:type="dxa"/>
            <w:tcBorders>
              <w:top w:val="single" w:color="auto" w:sz="6" w:space="0"/>
              <w:left w:val="single" w:color="auto" w:sz="6" w:space="0"/>
              <w:bottom w:val="single" w:color="auto" w:sz="6" w:space="0"/>
              <w:right w:val="single" w:color="auto" w:sz="6" w:space="0"/>
            </w:tcBorders>
            <w:shd w:val="clear" w:color="auto" w:fill="auto"/>
          </w:tcPr>
          <w:p w14:paraId="00EE54FC">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tcPr>
          <w:p w14:paraId="3597BAE9">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43" w:type="dxa"/>
            <w:tcBorders>
              <w:top w:val="single" w:color="auto" w:sz="6" w:space="0"/>
              <w:left w:val="single" w:color="auto" w:sz="6" w:space="0"/>
              <w:bottom w:val="single" w:color="auto" w:sz="6" w:space="0"/>
              <w:right w:val="single" w:color="auto" w:sz="6" w:space="0"/>
            </w:tcBorders>
            <w:shd w:val="clear" w:color="auto" w:fill="auto"/>
          </w:tcPr>
          <w:p w14:paraId="66293517">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tcPr>
          <w:p w14:paraId="7146B78A">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670" w:type="dxa"/>
            <w:tcBorders>
              <w:top w:val="single" w:color="auto" w:sz="6" w:space="0"/>
              <w:left w:val="single" w:color="auto" w:sz="6" w:space="0"/>
              <w:bottom w:val="single" w:color="auto" w:sz="6" w:space="0"/>
              <w:right w:val="single" w:color="auto" w:sz="12" w:space="0"/>
            </w:tcBorders>
            <w:shd w:val="clear" w:color="auto" w:fill="auto"/>
          </w:tcPr>
          <w:p w14:paraId="4B3C01FF">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3A9BD0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tcPr>
          <w:p w14:paraId="358BEA73">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76" w:type="dxa"/>
            <w:tcBorders>
              <w:top w:val="single" w:color="auto" w:sz="6" w:space="0"/>
              <w:left w:val="single" w:color="auto" w:sz="6" w:space="0"/>
              <w:bottom w:val="single" w:color="auto" w:sz="6" w:space="0"/>
              <w:right w:val="single" w:color="auto" w:sz="6" w:space="0"/>
            </w:tcBorders>
            <w:shd w:val="clear" w:color="auto" w:fill="auto"/>
          </w:tcPr>
          <w:p w14:paraId="25A4CD11">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tcPr>
          <w:p w14:paraId="1854D322">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43" w:type="dxa"/>
            <w:tcBorders>
              <w:top w:val="single" w:color="auto" w:sz="6" w:space="0"/>
              <w:left w:val="single" w:color="auto" w:sz="6" w:space="0"/>
              <w:bottom w:val="single" w:color="auto" w:sz="6" w:space="0"/>
              <w:right w:val="single" w:color="auto" w:sz="6" w:space="0"/>
            </w:tcBorders>
            <w:shd w:val="clear" w:color="auto" w:fill="auto"/>
          </w:tcPr>
          <w:p w14:paraId="16BE52D3">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tcPr>
          <w:p w14:paraId="1A2E1F80">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670" w:type="dxa"/>
            <w:tcBorders>
              <w:top w:val="single" w:color="auto" w:sz="6" w:space="0"/>
              <w:left w:val="single" w:color="auto" w:sz="6" w:space="0"/>
              <w:bottom w:val="single" w:color="auto" w:sz="6" w:space="0"/>
              <w:right w:val="single" w:color="auto" w:sz="12" w:space="0"/>
            </w:tcBorders>
            <w:shd w:val="clear" w:color="auto" w:fill="auto"/>
          </w:tcPr>
          <w:p w14:paraId="433D605B">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34852E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tcPr>
          <w:p w14:paraId="3B34B87B">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76" w:type="dxa"/>
            <w:tcBorders>
              <w:top w:val="single" w:color="auto" w:sz="6" w:space="0"/>
              <w:left w:val="single" w:color="auto" w:sz="6" w:space="0"/>
              <w:bottom w:val="single" w:color="auto" w:sz="6" w:space="0"/>
              <w:right w:val="single" w:color="auto" w:sz="6" w:space="0"/>
            </w:tcBorders>
            <w:shd w:val="clear" w:color="auto" w:fill="auto"/>
          </w:tcPr>
          <w:p w14:paraId="220D3E69">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tcPr>
          <w:p w14:paraId="6280F0C4">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43" w:type="dxa"/>
            <w:tcBorders>
              <w:top w:val="single" w:color="auto" w:sz="6" w:space="0"/>
              <w:left w:val="single" w:color="auto" w:sz="6" w:space="0"/>
              <w:bottom w:val="single" w:color="auto" w:sz="6" w:space="0"/>
              <w:right w:val="single" w:color="auto" w:sz="6" w:space="0"/>
            </w:tcBorders>
            <w:shd w:val="clear" w:color="auto" w:fill="auto"/>
          </w:tcPr>
          <w:p w14:paraId="42A75639">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tcPr>
          <w:p w14:paraId="5BB9CB8C">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670" w:type="dxa"/>
            <w:tcBorders>
              <w:top w:val="single" w:color="auto" w:sz="6" w:space="0"/>
              <w:left w:val="single" w:color="auto" w:sz="6" w:space="0"/>
              <w:bottom w:val="single" w:color="auto" w:sz="6" w:space="0"/>
              <w:right w:val="single" w:color="auto" w:sz="12" w:space="0"/>
            </w:tcBorders>
            <w:shd w:val="clear" w:color="auto" w:fill="auto"/>
          </w:tcPr>
          <w:p w14:paraId="214E0EB7">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72EF2E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tcPr>
          <w:p w14:paraId="1768CC2A">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76" w:type="dxa"/>
            <w:tcBorders>
              <w:top w:val="single" w:color="auto" w:sz="6" w:space="0"/>
              <w:left w:val="single" w:color="auto" w:sz="6" w:space="0"/>
              <w:bottom w:val="single" w:color="auto" w:sz="6" w:space="0"/>
              <w:right w:val="single" w:color="auto" w:sz="6" w:space="0"/>
            </w:tcBorders>
            <w:shd w:val="clear" w:color="auto" w:fill="auto"/>
          </w:tcPr>
          <w:p w14:paraId="613D1F1B">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tcPr>
          <w:p w14:paraId="0166C996">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43" w:type="dxa"/>
            <w:tcBorders>
              <w:top w:val="single" w:color="auto" w:sz="6" w:space="0"/>
              <w:left w:val="single" w:color="auto" w:sz="6" w:space="0"/>
              <w:bottom w:val="single" w:color="auto" w:sz="6" w:space="0"/>
              <w:right w:val="single" w:color="auto" w:sz="6" w:space="0"/>
            </w:tcBorders>
            <w:shd w:val="clear" w:color="auto" w:fill="auto"/>
          </w:tcPr>
          <w:p w14:paraId="398B91B4">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6" w:space="0"/>
              <w:right w:val="single" w:color="auto" w:sz="6" w:space="0"/>
            </w:tcBorders>
            <w:shd w:val="clear" w:color="auto" w:fill="auto"/>
          </w:tcPr>
          <w:p w14:paraId="66CD7B6D">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670" w:type="dxa"/>
            <w:tcBorders>
              <w:top w:val="single" w:color="auto" w:sz="6" w:space="0"/>
              <w:left w:val="single" w:color="auto" w:sz="6" w:space="0"/>
              <w:bottom w:val="single" w:color="auto" w:sz="6" w:space="0"/>
              <w:right w:val="single" w:color="auto" w:sz="12" w:space="0"/>
            </w:tcBorders>
            <w:shd w:val="clear" w:color="auto" w:fill="auto"/>
          </w:tcPr>
          <w:p w14:paraId="72BC5492">
            <w:pPr>
              <w:widowControl/>
              <w:adjustRightInd w:val="0"/>
              <w:snapToGrid w:val="0"/>
              <w:spacing w:after="163" w:afterLines="50" w:line="360" w:lineRule="auto"/>
              <w:ind w:firstLine="420" w:firstLineChars="200"/>
              <w:rPr>
                <w:rFonts w:ascii="宋体" w:hAnsi="宋体" w:cs="宋体"/>
                <w:color w:val="auto"/>
                <w:kern w:val="0"/>
                <w:highlight w:val="none"/>
              </w:rPr>
            </w:pPr>
          </w:p>
        </w:tc>
      </w:tr>
      <w:tr w14:paraId="418652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12" w:space="0"/>
              <w:right w:val="single" w:color="auto" w:sz="6" w:space="0"/>
            </w:tcBorders>
            <w:shd w:val="clear" w:color="auto" w:fill="auto"/>
          </w:tcPr>
          <w:p w14:paraId="288418DC">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76" w:type="dxa"/>
            <w:tcBorders>
              <w:top w:val="single" w:color="auto" w:sz="6" w:space="0"/>
              <w:left w:val="single" w:color="auto" w:sz="6" w:space="0"/>
              <w:bottom w:val="single" w:color="auto" w:sz="12" w:space="0"/>
              <w:right w:val="single" w:color="auto" w:sz="6" w:space="0"/>
            </w:tcBorders>
            <w:shd w:val="clear" w:color="auto" w:fill="auto"/>
          </w:tcPr>
          <w:p w14:paraId="34744220">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12" w:space="0"/>
              <w:right w:val="single" w:color="auto" w:sz="6" w:space="0"/>
            </w:tcBorders>
            <w:shd w:val="clear" w:color="auto" w:fill="auto"/>
          </w:tcPr>
          <w:p w14:paraId="32925E68">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243" w:type="dxa"/>
            <w:tcBorders>
              <w:top w:val="single" w:color="auto" w:sz="6" w:space="0"/>
              <w:left w:val="single" w:color="auto" w:sz="6" w:space="0"/>
              <w:bottom w:val="single" w:color="auto" w:sz="12" w:space="0"/>
              <w:right w:val="single" w:color="auto" w:sz="6" w:space="0"/>
            </w:tcBorders>
            <w:shd w:val="clear" w:color="auto" w:fill="auto"/>
          </w:tcPr>
          <w:p w14:paraId="6602800A">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450" w:type="dxa"/>
            <w:tcBorders>
              <w:top w:val="single" w:color="auto" w:sz="6" w:space="0"/>
              <w:left w:val="single" w:color="auto" w:sz="6" w:space="0"/>
              <w:bottom w:val="single" w:color="auto" w:sz="12" w:space="0"/>
              <w:right w:val="single" w:color="auto" w:sz="6" w:space="0"/>
            </w:tcBorders>
            <w:shd w:val="clear" w:color="auto" w:fill="auto"/>
          </w:tcPr>
          <w:p w14:paraId="1B72B592">
            <w:pPr>
              <w:widowControl/>
              <w:adjustRightInd w:val="0"/>
              <w:snapToGrid w:val="0"/>
              <w:spacing w:after="163" w:afterLines="50" w:line="360" w:lineRule="auto"/>
              <w:ind w:firstLine="420" w:firstLineChars="200"/>
              <w:rPr>
                <w:rFonts w:ascii="宋体" w:hAnsi="宋体" w:cs="宋体"/>
                <w:color w:val="auto"/>
                <w:kern w:val="0"/>
                <w:highlight w:val="none"/>
              </w:rPr>
            </w:pPr>
          </w:p>
        </w:tc>
        <w:tc>
          <w:tcPr>
            <w:tcW w:w="1670" w:type="dxa"/>
            <w:tcBorders>
              <w:top w:val="single" w:color="auto" w:sz="6" w:space="0"/>
              <w:left w:val="single" w:color="auto" w:sz="6" w:space="0"/>
              <w:bottom w:val="single" w:color="auto" w:sz="12" w:space="0"/>
              <w:right w:val="single" w:color="auto" w:sz="12" w:space="0"/>
            </w:tcBorders>
            <w:shd w:val="clear" w:color="auto" w:fill="auto"/>
          </w:tcPr>
          <w:p w14:paraId="230DE988">
            <w:pPr>
              <w:widowControl/>
              <w:adjustRightInd w:val="0"/>
              <w:snapToGrid w:val="0"/>
              <w:spacing w:after="163" w:afterLines="50" w:line="360" w:lineRule="auto"/>
              <w:ind w:firstLine="420" w:firstLineChars="200"/>
              <w:rPr>
                <w:rFonts w:ascii="宋体" w:hAnsi="宋体" w:cs="宋体"/>
                <w:color w:val="auto"/>
                <w:kern w:val="0"/>
                <w:highlight w:val="none"/>
              </w:rPr>
            </w:pPr>
          </w:p>
        </w:tc>
      </w:tr>
    </w:tbl>
    <w:p w14:paraId="7DA8DF82">
      <w:pPr>
        <w:widowControl/>
        <w:adjustRightInd w:val="0"/>
        <w:snapToGrid w:val="0"/>
        <w:spacing w:after="163" w:afterLines="50" w:line="360" w:lineRule="auto"/>
        <w:ind w:firstLine="422" w:firstLineChars="200"/>
        <w:rPr>
          <w:rFonts w:ascii="宋体" w:hAnsi="宋体" w:cs="宋体"/>
          <w:color w:val="auto"/>
          <w:kern w:val="0"/>
          <w:highlight w:val="none"/>
        </w:rPr>
      </w:pPr>
      <w:r>
        <w:rPr>
          <w:rFonts w:hint="eastAsia"/>
          <w:b/>
          <w:bCs/>
          <w:color w:val="auto"/>
          <w:szCs w:val="21"/>
          <w:highlight w:val="none"/>
          <w:lang w:bidi="zh-CN"/>
        </w:rPr>
        <w:t>特别约定：</w:t>
      </w:r>
      <w:r>
        <w:rPr>
          <w:color w:val="auto"/>
          <w:szCs w:val="21"/>
          <w:highlight w:val="none"/>
          <w:lang w:bidi="zh-CN"/>
        </w:rPr>
        <w:t>上表未列的</w:t>
      </w:r>
      <w:r>
        <w:rPr>
          <w:rFonts w:hint="eastAsia"/>
          <w:color w:val="auto"/>
          <w:szCs w:val="21"/>
          <w:highlight w:val="none"/>
          <w:lang w:bidi="zh-CN"/>
        </w:rPr>
        <w:t>主要建设工程</w:t>
      </w:r>
      <w:r>
        <w:rPr>
          <w:color w:val="auto"/>
          <w:szCs w:val="21"/>
          <w:highlight w:val="none"/>
          <w:lang w:bidi="zh-CN"/>
        </w:rPr>
        <w:t>文件,由</w:t>
      </w:r>
      <w:r>
        <w:rPr>
          <w:rFonts w:hint="eastAsia"/>
          <w:color w:val="auto"/>
          <w:szCs w:val="21"/>
          <w:highlight w:val="none"/>
          <w:lang w:bidi="zh-CN"/>
        </w:rPr>
        <w:t>承包人</w:t>
      </w:r>
      <w:r>
        <w:rPr>
          <w:color w:val="auto"/>
          <w:szCs w:val="21"/>
          <w:highlight w:val="none"/>
          <w:lang w:bidi="zh-CN"/>
        </w:rPr>
        <w:t>根据</w:t>
      </w:r>
      <w:r>
        <w:rPr>
          <w:rFonts w:hint="eastAsia"/>
          <w:color w:val="auto"/>
          <w:szCs w:val="21"/>
          <w:highlight w:val="none"/>
          <w:lang w:bidi="zh-CN"/>
        </w:rPr>
        <w:t>发包</w:t>
      </w:r>
      <w:r>
        <w:rPr>
          <w:color w:val="auto"/>
          <w:szCs w:val="21"/>
          <w:highlight w:val="none"/>
          <w:lang w:bidi="zh-CN"/>
        </w:rPr>
        <w:t>人</w:t>
      </w:r>
      <w:r>
        <w:rPr>
          <w:rFonts w:hint="eastAsia"/>
          <w:color w:val="auto"/>
          <w:szCs w:val="21"/>
          <w:highlight w:val="none"/>
          <w:lang w:bidi="zh-CN"/>
        </w:rPr>
        <w:t>及发包人管理团队</w:t>
      </w:r>
      <w:r>
        <w:rPr>
          <w:color w:val="auto"/>
          <w:szCs w:val="21"/>
          <w:highlight w:val="none"/>
          <w:lang w:bidi="zh-CN"/>
        </w:rPr>
        <w:t>的对工程建设管理的具体要求另行</w:t>
      </w:r>
      <w:r>
        <w:rPr>
          <w:rFonts w:hint="eastAsia"/>
          <w:color w:val="auto"/>
          <w:szCs w:val="21"/>
          <w:highlight w:val="none"/>
          <w:lang w:bidi="zh-CN"/>
        </w:rPr>
        <w:t>约定</w:t>
      </w:r>
      <w:r>
        <w:rPr>
          <w:color w:val="auto"/>
          <w:szCs w:val="21"/>
          <w:highlight w:val="none"/>
          <w:lang w:bidi="zh-CN"/>
        </w:rPr>
        <w:t>。</w:t>
      </w:r>
      <w:r>
        <w:rPr>
          <w:rFonts w:hint="eastAsia" w:ascii="宋体" w:hAnsi="宋体" w:cs="宋体"/>
          <w:color w:val="auto"/>
          <w:kern w:val="0"/>
          <w:szCs w:val="21"/>
          <w:highlight w:val="none"/>
          <w:lang w:bidi="ar"/>
        </w:rPr>
        <w:t xml:space="preserve"> </w:t>
      </w:r>
    </w:p>
    <w:p w14:paraId="210B1804">
      <w:pPr>
        <w:widowControl/>
        <w:adjustRightInd w:val="0"/>
        <w:snapToGrid w:val="0"/>
        <w:spacing w:after="163" w:afterLines="50" w:line="360" w:lineRule="auto"/>
        <w:ind w:firstLine="420" w:firstLineChars="200"/>
        <w:rPr>
          <w:rFonts w:ascii="宋体" w:hAnsi="宋体" w:cs="宋体"/>
          <w:color w:val="auto"/>
          <w:kern w:val="0"/>
          <w:highlight w:val="none"/>
        </w:rPr>
      </w:pPr>
      <w:r>
        <w:rPr>
          <w:rFonts w:hint="eastAsia" w:ascii="宋体" w:hAnsi="宋体" w:cs="宋体"/>
          <w:color w:val="auto"/>
          <w:kern w:val="0"/>
          <w:szCs w:val="21"/>
          <w:highlight w:val="none"/>
          <w:lang w:bidi="ar"/>
        </w:rPr>
        <w:t xml:space="preserve"> </w:t>
      </w:r>
    </w:p>
    <w:p w14:paraId="0CA1BBD8">
      <w:pPr>
        <w:spacing w:line="360" w:lineRule="auto"/>
        <w:rPr>
          <w:rFonts w:ascii="宋体" w:hAnsi="宋体"/>
          <w:b/>
          <w:color w:val="auto"/>
          <w:szCs w:val="21"/>
          <w:highlight w:val="none"/>
          <w:lang w:bidi="ar"/>
        </w:rPr>
        <w:sectPr>
          <w:pgSz w:w="11906" w:h="16838"/>
          <w:pgMar w:top="1304" w:right="1135" w:bottom="1304" w:left="1304" w:header="720" w:footer="720" w:gutter="0"/>
          <w:cols w:space="720" w:num="1"/>
          <w:docGrid w:type="lines" w:linePitch="326" w:charSpace="0"/>
        </w:sectPr>
      </w:pPr>
    </w:p>
    <w:p w14:paraId="5B8487EA">
      <w:pPr>
        <w:keepNext/>
        <w:keepLines/>
        <w:widowControl/>
        <w:wordWrap w:val="0"/>
        <w:topLinePunct/>
        <w:adjustRightInd w:val="0"/>
        <w:snapToGrid w:val="0"/>
        <w:spacing w:after="120" w:afterLines="50" w:line="360" w:lineRule="auto"/>
        <w:jc w:val="center"/>
        <w:outlineLvl w:val="1"/>
        <w:rPr>
          <w:rFonts w:ascii="宋体" w:hAnsi="宋体" w:cs="宋体"/>
          <w:b/>
          <w:color w:val="auto"/>
          <w:kern w:val="0"/>
          <w:szCs w:val="21"/>
          <w:highlight w:val="none"/>
          <w:lang w:bidi="ar"/>
        </w:rPr>
      </w:pPr>
      <w:bookmarkStart w:id="1810" w:name="_Toc20171897"/>
      <w:bookmarkEnd w:id="1810"/>
      <w:bookmarkStart w:id="1811" w:name="_Toc54862356"/>
      <w:bookmarkStart w:id="1812" w:name="_Toc179885420"/>
      <w:r>
        <w:rPr>
          <w:rFonts w:hint="eastAsia" w:ascii="宋体" w:hAnsi="宋体" w:cs="宋体"/>
          <w:b/>
          <w:color w:val="auto"/>
          <w:kern w:val="0"/>
          <w:szCs w:val="21"/>
          <w:highlight w:val="none"/>
          <w:lang w:bidi="ar"/>
        </w:rPr>
        <w:t>附件</w:t>
      </w:r>
      <w:r>
        <w:rPr>
          <w:rFonts w:ascii="宋体" w:hAnsi="宋体" w:cs="宋体"/>
          <w:b/>
          <w:color w:val="auto"/>
          <w:kern w:val="0"/>
          <w:szCs w:val="21"/>
          <w:highlight w:val="none"/>
          <w:lang w:bidi="ar"/>
        </w:rPr>
        <w:t>5 承包人主要管理人员表</w:t>
      </w:r>
      <w:bookmarkEnd w:id="1811"/>
      <w:bookmarkEnd w:id="1812"/>
    </w:p>
    <w:tbl>
      <w:tblPr>
        <w:tblStyle w:val="7"/>
        <w:tblW w:w="90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05"/>
        <w:gridCol w:w="1418"/>
        <w:gridCol w:w="1134"/>
        <w:gridCol w:w="1371"/>
        <w:gridCol w:w="3659"/>
      </w:tblGrid>
      <w:tr w14:paraId="16C6A3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12" w:space="0"/>
              <w:bottom w:val="double" w:color="auto" w:sz="6" w:space="0"/>
            </w:tcBorders>
            <w:vAlign w:val="center"/>
          </w:tcPr>
          <w:p w14:paraId="02BC68A5">
            <w:pPr>
              <w:spacing w:line="360" w:lineRule="auto"/>
              <w:ind w:firstLine="360"/>
              <w:rPr>
                <w:color w:val="auto"/>
                <w:szCs w:val="21"/>
                <w:highlight w:val="none"/>
                <w:lang w:val="zh-CN" w:bidi="zh-CN"/>
              </w:rPr>
            </w:pPr>
            <w:r>
              <w:rPr>
                <w:rFonts w:hint="eastAsia"/>
                <w:color w:val="auto"/>
                <w:szCs w:val="21"/>
                <w:highlight w:val="none"/>
                <w:lang w:val="zh-CN" w:bidi="zh-CN"/>
              </w:rPr>
              <w:t>名  称</w:t>
            </w:r>
          </w:p>
        </w:tc>
        <w:tc>
          <w:tcPr>
            <w:tcW w:w="1418" w:type="dxa"/>
            <w:tcBorders>
              <w:top w:val="single" w:color="auto" w:sz="12" w:space="0"/>
              <w:bottom w:val="double" w:color="auto" w:sz="6" w:space="0"/>
            </w:tcBorders>
            <w:vAlign w:val="center"/>
          </w:tcPr>
          <w:p w14:paraId="022232B5">
            <w:pPr>
              <w:spacing w:line="360" w:lineRule="auto"/>
              <w:ind w:firstLine="360"/>
              <w:rPr>
                <w:color w:val="auto"/>
                <w:szCs w:val="21"/>
                <w:highlight w:val="none"/>
                <w:lang w:val="zh-CN" w:bidi="zh-CN"/>
              </w:rPr>
            </w:pPr>
            <w:r>
              <w:rPr>
                <w:rFonts w:hint="eastAsia"/>
                <w:color w:val="auto"/>
                <w:szCs w:val="21"/>
                <w:highlight w:val="none"/>
                <w:lang w:val="zh-CN" w:bidi="zh-CN"/>
              </w:rPr>
              <w:t>姓名</w:t>
            </w:r>
          </w:p>
        </w:tc>
        <w:tc>
          <w:tcPr>
            <w:tcW w:w="1134" w:type="dxa"/>
            <w:tcBorders>
              <w:top w:val="single" w:color="auto" w:sz="12" w:space="0"/>
              <w:bottom w:val="double" w:color="auto" w:sz="6" w:space="0"/>
            </w:tcBorders>
            <w:vAlign w:val="center"/>
          </w:tcPr>
          <w:p w14:paraId="3347586A">
            <w:pPr>
              <w:spacing w:line="360" w:lineRule="auto"/>
              <w:ind w:firstLine="360"/>
              <w:rPr>
                <w:color w:val="auto"/>
                <w:szCs w:val="21"/>
                <w:highlight w:val="none"/>
                <w:lang w:val="zh-CN" w:bidi="zh-CN"/>
              </w:rPr>
            </w:pPr>
            <w:r>
              <w:rPr>
                <w:rFonts w:hint="eastAsia"/>
                <w:color w:val="auto"/>
                <w:szCs w:val="21"/>
                <w:highlight w:val="none"/>
                <w:lang w:val="zh-CN" w:bidi="zh-CN"/>
              </w:rPr>
              <w:t>职务</w:t>
            </w:r>
          </w:p>
        </w:tc>
        <w:tc>
          <w:tcPr>
            <w:tcW w:w="1371" w:type="dxa"/>
            <w:tcBorders>
              <w:top w:val="single" w:color="auto" w:sz="12" w:space="0"/>
              <w:bottom w:val="double" w:color="auto" w:sz="6" w:space="0"/>
            </w:tcBorders>
            <w:vAlign w:val="center"/>
          </w:tcPr>
          <w:p w14:paraId="5E5FA32D">
            <w:pPr>
              <w:spacing w:line="360" w:lineRule="auto"/>
              <w:ind w:firstLine="360"/>
              <w:rPr>
                <w:color w:val="auto"/>
                <w:szCs w:val="21"/>
                <w:highlight w:val="none"/>
                <w:lang w:val="zh-CN" w:bidi="zh-CN"/>
              </w:rPr>
            </w:pPr>
            <w:r>
              <w:rPr>
                <w:rFonts w:hint="eastAsia"/>
                <w:color w:val="auto"/>
                <w:szCs w:val="21"/>
                <w:highlight w:val="none"/>
                <w:lang w:val="zh-CN" w:bidi="zh-CN"/>
              </w:rPr>
              <w:t>职称</w:t>
            </w:r>
          </w:p>
        </w:tc>
        <w:tc>
          <w:tcPr>
            <w:tcW w:w="3659" w:type="dxa"/>
            <w:tcBorders>
              <w:top w:val="single" w:color="auto" w:sz="12" w:space="0"/>
              <w:bottom w:val="double" w:color="auto" w:sz="6" w:space="0"/>
            </w:tcBorders>
            <w:vAlign w:val="center"/>
          </w:tcPr>
          <w:p w14:paraId="6208C28D">
            <w:pPr>
              <w:spacing w:line="360" w:lineRule="auto"/>
              <w:ind w:firstLine="360"/>
              <w:rPr>
                <w:color w:val="auto"/>
                <w:szCs w:val="21"/>
                <w:highlight w:val="none"/>
                <w:lang w:val="zh-CN" w:bidi="zh-CN"/>
              </w:rPr>
            </w:pPr>
            <w:r>
              <w:rPr>
                <w:rFonts w:hint="eastAsia"/>
                <w:color w:val="auto"/>
                <w:szCs w:val="21"/>
                <w:highlight w:val="none"/>
                <w:lang w:val="zh-CN" w:bidi="zh-CN"/>
              </w:rPr>
              <w:t>主要资历、经验及承担过的项目</w:t>
            </w:r>
          </w:p>
        </w:tc>
      </w:tr>
      <w:tr w14:paraId="40339D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double" w:color="auto" w:sz="6" w:space="0"/>
              <w:bottom w:val="single" w:color="auto" w:sz="6" w:space="0"/>
            </w:tcBorders>
            <w:vAlign w:val="center"/>
          </w:tcPr>
          <w:p w14:paraId="34211F72">
            <w:pPr>
              <w:spacing w:line="360" w:lineRule="auto"/>
              <w:ind w:firstLine="360"/>
              <w:rPr>
                <w:color w:val="auto"/>
                <w:szCs w:val="21"/>
                <w:highlight w:val="none"/>
                <w:lang w:val="zh-CN" w:bidi="zh-CN"/>
              </w:rPr>
            </w:pPr>
            <w:r>
              <w:rPr>
                <w:rFonts w:hint="eastAsia"/>
                <w:color w:val="auto"/>
                <w:szCs w:val="21"/>
                <w:highlight w:val="none"/>
                <w:lang w:val="zh-CN" w:bidi="zh-CN"/>
              </w:rPr>
              <w:t>一、总部人员</w:t>
            </w:r>
          </w:p>
        </w:tc>
      </w:tr>
      <w:tr w14:paraId="286803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14:paraId="051BA378">
            <w:pPr>
              <w:spacing w:line="360" w:lineRule="auto"/>
              <w:jc w:val="center"/>
              <w:rPr>
                <w:color w:val="auto"/>
                <w:szCs w:val="21"/>
                <w:highlight w:val="none"/>
                <w:lang w:val="zh-CN" w:bidi="zh-CN"/>
              </w:rPr>
            </w:pPr>
          </w:p>
        </w:tc>
        <w:tc>
          <w:tcPr>
            <w:tcW w:w="1418" w:type="dxa"/>
            <w:tcBorders>
              <w:top w:val="nil"/>
            </w:tcBorders>
            <w:vAlign w:val="center"/>
          </w:tcPr>
          <w:p w14:paraId="58D54FF2">
            <w:pPr>
              <w:spacing w:line="360" w:lineRule="auto"/>
              <w:ind w:firstLine="360"/>
              <w:rPr>
                <w:color w:val="auto"/>
                <w:szCs w:val="21"/>
                <w:highlight w:val="none"/>
                <w:lang w:bidi="zh-CN"/>
              </w:rPr>
            </w:pPr>
          </w:p>
        </w:tc>
        <w:tc>
          <w:tcPr>
            <w:tcW w:w="1134" w:type="dxa"/>
            <w:tcBorders>
              <w:top w:val="nil"/>
            </w:tcBorders>
            <w:vAlign w:val="center"/>
          </w:tcPr>
          <w:p w14:paraId="28BBACFB">
            <w:pPr>
              <w:spacing w:line="360" w:lineRule="auto"/>
              <w:jc w:val="center"/>
              <w:rPr>
                <w:color w:val="auto"/>
                <w:szCs w:val="21"/>
                <w:highlight w:val="none"/>
                <w:lang w:bidi="zh-CN"/>
              </w:rPr>
            </w:pPr>
          </w:p>
        </w:tc>
        <w:tc>
          <w:tcPr>
            <w:tcW w:w="1371" w:type="dxa"/>
            <w:tcBorders>
              <w:top w:val="nil"/>
            </w:tcBorders>
            <w:vAlign w:val="center"/>
          </w:tcPr>
          <w:p w14:paraId="5868E751">
            <w:pPr>
              <w:spacing w:line="360" w:lineRule="auto"/>
              <w:jc w:val="center"/>
              <w:rPr>
                <w:color w:val="auto"/>
                <w:szCs w:val="21"/>
                <w:highlight w:val="none"/>
                <w:lang w:bidi="zh-CN"/>
              </w:rPr>
            </w:pPr>
          </w:p>
        </w:tc>
        <w:tc>
          <w:tcPr>
            <w:tcW w:w="3659" w:type="dxa"/>
            <w:tcBorders>
              <w:top w:val="nil"/>
            </w:tcBorders>
            <w:vAlign w:val="center"/>
          </w:tcPr>
          <w:p w14:paraId="7C2CD9D8">
            <w:pPr>
              <w:spacing w:line="360" w:lineRule="auto"/>
              <w:ind w:firstLine="360"/>
              <w:jc w:val="center"/>
              <w:rPr>
                <w:color w:val="auto"/>
                <w:szCs w:val="21"/>
                <w:highlight w:val="none"/>
                <w:lang w:val="zh-CN" w:bidi="zh-CN"/>
              </w:rPr>
            </w:pPr>
          </w:p>
        </w:tc>
      </w:tr>
      <w:tr w14:paraId="288913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nil"/>
            </w:tcBorders>
            <w:vAlign w:val="center"/>
          </w:tcPr>
          <w:p w14:paraId="7991BC8E">
            <w:pPr>
              <w:spacing w:line="360" w:lineRule="auto"/>
              <w:jc w:val="center"/>
              <w:rPr>
                <w:color w:val="auto"/>
                <w:szCs w:val="21"/>
                <w:highlight w:val="none"/>
                <w:lang w:val="zh-CN" w:bidi="zh-CN"/>
              </w:rPr>
            </w:pPr>
          </w:p>
        </w:tc>
        <w:tc>
          <w:tcPr>
            <w:tcW w:w="1418" w:type="dxa"/>
            <w:vAlign w:val="center"/>
          </w:tcPr>
          <w:p w14:paraId="31C8EB87">
            <w:pPr>
              <w:spacing w:line="360" w:lineRule="auto"/>
              <w:ind w:firstLine="360"/>
              <w:rPr>
                <w:color w:val="auto"/>
                <w:szCs w:val="21"/>
                <w:highlight w:val="none"/>
                <w:lang w:val="zh-CN" w:bidi="zh-CN"/>
              </w:rPr>
            </w:pPr>
          </w:p>
        </w:tc>
        <w:tc>
          <w:tcPr>
            <w:tcW w:w="1134" w:type="dxa"/>
            <w:vAlign w:val="center"/>
          </w:tcPr>
          <w:p w14:paraId="649E175D">
            <w:pPr>
              <w:spacing w:line="360" w:lineRule="auto"/>
              <w:ind w:firstLine="360"/>
              <w:jc w:val="center"/>
              <w:rPr>
                <w:color w:val="auto"/>
                <w:szCs w:val="21"/>
                <w:highlight w:val="none"/>
                <w:lang w:val="zh-CN" w:bidi="zh-CN"/>
              </w:rPr>
            </w:pPr>
          </w:p>
        </w:tc>
        <w:tc>
          <w:tcPr>
            <w:tcW w:w="1371" w:type="dxa"/>
            <w:vAlign w:val="center"/>
          </w:tcPr>
          <w:p w14:paraId="2AF2DA0E">
            <w:pPr>
              <w:spacing w:line="360" w:lineRule="auto"/>
              <w:jc w:val="center"/>
              <w:rPr>
                <w:color w:val="auto"/>
                <w:szCs w:val="21"/>
                <w:highlight w:val="none"/>
                <w:lang w:bidi="zh-CN"/>
              </w:rPr>
            </w:pPr>
          </w:p>
        </w:tc>
        <w:tc>
          <w:tcPr>
            <w:tcW w:w="3659" w:type="dxa"/>
            <w:vAlign w:val="center"/>
          </w:tcPr>
          <w:p w14:paraId="2F58392D">
            <w:pPr>
              <w:spacing w:line="360" w:lineRule="auto"/>
              <w:ind w:firstLine="360"/>
              <w:jc w:val="center"/>
              <w:rPr>
                <w:color w:val="auto"/>
                <w:szCs w:val="21"/>
                <w:highlight w:val="none"/>
                <w:lang w:val="zh-CN" w:bidi="zh-CN"/>
              </w:rPr>
            </w:pPr>
          </w:p>
        </w:tc>
      </w:tr>
      <w:tr w14:paraId="13499F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single" w:color="auto" w:sz="6" w:space="0"/>
              <w:bottom w:val="single" w:color="auto" w:sz="6" w:space="0"/>
            </w:tcBorders>
            <w:vAlign w:val="center"/>
          </w:tcPr>
          <w:p w14:paraId="138B1A75">
            <w:pPr>
              <w:spacing w:line="360" w:lineRule="auto"/>
              <w:ind w:firstLine="360"/>
              <w:rPr>
                <w:color w:val="auto"/>
                <w:szCs w:val="21"/>
                <w:highlight w:val="none"/>
                <w:lang w:val="zh-CN" w:bidi="zh-CN"/>
              </w:rPr>
            </w:pPr>
            <w:r>
              <w:rPr>
                <w:rFonts w:hint="eastAsia"/>
                <w:color w:val="auto"/>
                <w:szCs w:val="21"/>
                <w:highlight w:val="none"/>
                <w:lang w:val="zh-CN" w:bidi="zh-CN"/>
              </w:rPr>
              <w:t>二、现场人员</w:t>
            </w:r>
          </w:p>
        </w:tc>
      </w:tr>
      <w:tr w14:paraId="37DA1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7141E5F6">
            <w:pPr>
              <w:spacing w:line="360" w:lineRule="auto"/>
              <w:jc w:val="center"/>
              <w:rPr>
                <w:color w:val="auto"/>
                <w:szCs w:val="21"/>
                <w:highlight w:val="none"/>
                <w:lang w:val="zh-CN" w:bidi="zh-CN"/>
              </w:rPr>
            </w:pPr>
          </w:p>
        </w:tc>
        <w:tc>
          <w:tcPr>
            <w:tcW w:w="1418" w:type="dxa"/>
            <w:vAlign w:val="center"/>
          </w:tcPr>
          <w:p w14:paraId="0EA29A12">
            <w:pPr>
              <w:spacing w:line="360" w:lineRule="auto"/>
              <w:ind w:firstLine="360"/>
              <w:rPr>
                <w:color w:val="auto"/>
                <w:szCs w:val="21"/>
                <w:highlight w:val="none"/>
                <w:lang w:val="zh-CN" w:bidi="zh-CN"/>
              </w:rPr>
            </w:pPr>
          </w:p>
        </w:tc>
        <w:tc>
          <w:tcPr>
            <w:tcW w:w="1134" w:type="dxa"/>
            <w:vAlign w:val="center"/>
          </w:tcPr>
          <w:p w14:paraId="5BBD9E12">
            <w:pPr>
              <w:spacing w:line="360" w:lineRule="auto"/>
              <w:jc w:val="center"/>
              <w:rPr>
                <w:color w:val="auto"/>
                <w:szCs w:val="21"/>
                <w:highlight w:val="none"/>
                <w:lang w:val="zh-CN" w:bidi="zh-CN"/>
              </w:rPr>
            </w:pPr>
          </w:p>
        </w:tc>
        <w:tc>
          <w:tcPr>
            <w:tcW w:w="1371" w:type="dxa"/>
            <w:vAlign w:val="center"/>
          </w:tcPr>
          <w:p w14:paraId="289540FE">
            <w:pPr>
              <w:spacing w:line="360" w:lineRule="auto"/>
              <w:jc w:val="center"/>
              <w:rPr>
                <w:color w:val="auto"/>
                <w:szCs w:val="21"/>
                <w:highlight w:val="none"/>
                <w:lang w:val="zh-CN" w:bidi="zh-CN"/>
              </w:rPr>
            </w:pPr>
          </w:p>
        </w:tc>
        <w:tc>
          <w:tcPr>
            <w:tcW w:w="3659" w:type="dxa"/>
            <w:vAlign w:val="center"/>
          </w:tcPr>
          <w:p w14:paraId="3124CA91">
            <w:pPr>
              <w:adjustRightInd w:val="0"/>
              <w:snapToGrid w:val="0"/>
              <w:spacing w:line="360" w:lineRule="auto"/>
              <w:ind w:firstLine="420"/>
              <w:jc w:val="center"/>
              <w:rPr>
                <w:color w:val="auto"/>
                <w:szCs w:val="21"/>
                <w:highlight w:val="none"/>
                <w:lang w:val="zh-CN" w:bidi="zh-CN"/>
              </w:rPr>
            </w:pPr>
          </w:p>
        </w:tc>
      </w:tr>
      <w:tr w14:paraId="59D79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0B6EDF63">
            <w:pPr>
              <w:spacing w:line="360" w:lineRule="auto"/>
              <w:jc w:val="center"/>
              <w:rPr>
                <w:color w:val="auto"/>
                <w:szCs w:val="21"/>
                <w:highlight w:val="none"/>
                <w:lang w:val="zh-CN" w:bidi="zh-CN"/>
              </w:rPr>
            </w:pPr>
          </w:p>
        </w:tc>
        <w:tc>
          <w:tcPr>
            <w:tcW w:w="1418" w:type="dxa"/>
            <w:vAlign w:val="center"/>
          </w:tcPr>
          <w:p w14:paraId="178B1CB3">
            <w:pPr>
              <w:spacing w:line="360" w:lineRule="auto"/>
              <w:ind w:firstLine="360"/>
              <w:rPr>
                <w:color w:val="auto"/>
                <w:szCs w:val="21"/>
                <w:highlight w:val="none"/>
                <w:lang w:bidi="zh-CN"/>
              </w:rPr>
            </w:pPr>
          </w:p>
        </w:tc>
        <w:tc>
          <w:tcPr>
            <w:tcW w:w="1134" w:type="dxa"/>
            <w:vAlign w:val="center"/>
          </w:tcPr>
          <w:p w14:paraId="394C2BEC">
            <w:pPr>
              <w:spacing w:line="360" w:lineRule="auto"/>
              <w:jc w:val="center"/>
              <w:rPr>
                <w:rFonts w:ascii="Calibri" w:hAnsi="Calibri" w:cs="Calibri"/>
                <w:color w:val="auto"/>
                <w:highlight w:val="none"/>
              </w:rPr>
            </w:pPr>
          </w:p>
        </w:tc>
        <w:tc>
          <w:tcPr>
            <w:tcW w:w="1371" w:type="dxa"/>
            <w:vAlign w:val="center"/>
          </w:tcPr>
          <w:p w14:paraId="22EBAF11">
            <w:pPr>
              <w:spacing w:line="360" w:lineRule="auto"/>
              <w:jc w:val="center"/>
              <w:rPr>
                <w:color w:val="auto"/>
                <w:szCs w:val="21"/>
                <w:highlight w:val="none"/>
                <w:lang w:val="zh-CN" w:bidi="zh-CN"/>
              </w:rPr>
            </w:pPr>
          </w:p>
        </w:tc>
        <w:tc>
          <w:tcPr>
            <w:tcW w:w="3659" w:type="dxa"/>
            <w:vAlign w:val="center"/>
          </w:tcPr>
          <w:p w14:paraId="187A7ECE">
            <w:pPr>
              <w:spacing w:line="360" w:lineRule="auto"/>
              <w:ind w:firstLine="360"/>
              <w:jc w:val="center"/>
              <w:rPr>
                <w:color w:val="auto"/>
                <w:szCs w:val="21"/>
                <w:highlight w:val="none"/>
                <w:lang w:val="zh-CN" w:bidi="zh-CN"/>
              </w:rPr>
            </w:pPr>
          </w:p>
        </w:tc>
      </w:tr>
      <w:tr w14:paraId="29D01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5C60991E">
            <w:pPr>
              <w:spacing w:line="360" w:lineRule="auto"/>
              <w:jc w:val="center"/>
              <w:rPr>
                <w:color w:val="auto"/>
                <w:szCs w:val="21"/>
                <w:highlight w:val="none"/>
                <w:lang w:val="zh-CN" w:bidi="zh-CN"/>
              </w:rPr>
            </w:pPr>
          </w:p>
        </w:tc>
        <w:tc>
          <w:tcPr>
            <w:tcW w:w="1418" w:type="dxa"/>
            <w:vAlign w:val="center"/>
          </w:tcPr>
          <w:p w14:paraId="49EE9BD4">
            <w:pPr>
              <w:spacing w:line="360" w:lineRule="auto"/>
              <w:ind w:firstLine="360"/>
              <w:rPr>
                <w:color w:val="auto"/>
                <w:szCs w:val="21"/>
                <w:highlight w:val="none"/>
                <w:lang w:val="zh-CN" w:bidi="zh-CN"/>
              </w:rPr>
            </w:pPr>
          </w:p>
        </w:tc>
        <w:tc>
          <w:tcPr>
            <w:tcW w:w="1134" w:type="dxa"/>
            <w:vAlign w:val="center"/>
          </w:tcPr>
          <w:p w14:paraId="59E38C3F">
            <w:pPr>
              <w:spacing w:line="360" w:lineRule="auto"/>
              <w:jc w:val="center"/>
              <w:rPr>
                <w:color w:val="auto"/>
                <w:szCs w:val="21"/>
                <w:highlight w:val="none"/>
                <w:lang w:val="zh-CN" w:bidi="zh-CN"/>
              </w:rPr>
            </w:pPr>
          </w:p>
        </w:tc>
        <w:tc>
          <w:tcPr>
            <w:tcW w:w="1371" w:type="dxa"/>
            <w:vAlign w:val="center"/>
          </w:tcPr>
          <w:p w14:paraId="46155853">
            <w:pPr>
              <w:spacing w:line="360" w:lineRule="auto"/>
              <w:jc w:val="center"/>
              <w:rPr>
                <w:color w:val="auto"/>
                <w:szCs w:val="21"/>
                <w:highlight w:val="none"/>
                <w:lang w:val="zh-CN" w:bidi="zh-CN"/>
              </w:rPr>
            </w:pPr>
          </w:p>
        </w:tc>
        <w:tc>
          <w:tcPr>
            <w:tcW w:w="3659" w:type="dxa"/>
            <w:vAlign w:val="center"/>
          </w:tcPr>
          <w:p w14:paraId="02A016F6">
            <w:pPr>
              <w:spacing w:line="360" w:lineRule="auto"/>
              <w:ind w:firstLine="360"/>
              <w:jc w:val="center"/>
              <w:rPr>
                <w:color w:val="auto"/>
                <w:szCs w:val="21"/>
                <w:highlight w:val="none"/>
                <w:lang w:val="zh-CN" w:bidi="zh-CN"/>
              </w:rPr>
            </w:pPr>
          </w:p>
        </w:tc>
      </w:tr>
      <w:tr w14:paraId="2BC58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01430888">
            <w:pPr>
              <w:spacing w:line="360" w:lineRule="auto"/>
              <w:jc w:val="center"/>
              <w:rPr>
                <w:color w:val="auto"/>
                <w:szCs w:val="21"/>
                <w:highlight w:val="none"/>
                <w:lang w:val="zh-CN" w:bidi="zh-CN"/>
              </w:rPr>
            </w:pPr>
          </w:p>
        </w:tc>
        <w:tc>
          <w:tcPr>
            <w:tcW w:w="1418" w:type="dxa"/>
            <w:vAlign w:val="center"/>
          </w:tcPr>
          <w:p w14:paraId="5C87FFE3">
            <w:pPr>
              <w:spacing w:line="360" w:lineRule="auto"/>
              <w:ind w:firstLine="360"/>
              <w:rPr>
                <w:color w:val="auto"/>
                <w:szCs w:val="21"/>
                <w:highlight w:val="none"/>
                <w:lang w:val="zh-CN" w:bidi="zh-CN"/>
              </w:rPr>
            </w:pPr>
          </w:p>
        </w:tc>
        <w:tc>
          <w:tcPr>
            <w:tcW w:w="1134" w:type="dxa"/>
            <w:vAlign w:val="center"/>
          </w:tcPr>
          <w:p w14:paraId="5B98DC5D">
            <w:pPr>
              <w:spacing w:line="360" w:lineRule="auto"/>
              <w:jc w:val="center"/>
              <w:rPr>
                <w:color w:val="auto"/>
                <w:szCs w:val="21"/>
                <w:highlight w:val="none"/>
                <w:lang w:val="zh-CN" w:bidi="zh-CN"/>
              </w:rPr>
            </w:pPr>
          </w:p>
        </w:tc>
        <w:tc>
          <w:tcPr>
            <w:tcW w:w="1371" w:type="dxa"/>
            <w:vAlign w:val="center"/>
          </w:tcPr>
          <w:p w14:paraId="5737A400">
            <w:pPr>
              <w:spacing w:line="360" w:lineRule="auto"/>
              <w:jc w:val="center"/>
              <w:rPr>
                <w:color w:val="auto"/>
                <w:szCs w:val="21"/>
                <w:highlight w:val="none"/>
                <w:lang w:val="zh-CN" w:bidi="zh-CN"/>
              </w:rPr>
            </w:pPr>
          </w:p>
        </w:tc>
        <w:tc>
          <w:tcPr>
            <w:tcW w:w="3659" w:type="dxa"/>
            <w:vAlign w:val="center"/>
          </w:tcPr>
          <w:p w14:paraId="0CBA924B">
            <w:pPr>
              <w:spacing w:line="360" w:lineRule="auto"/>
              <w:ind w:firstLine="360"/>
              <w:jc w:val="center"/>
              <w:rPr>
                <w:color w:val="auto"/>
                <w:szCs w:val="21"/>
                <w:highlight w:val="none"/>
                <w:lang w:val="zh-CN" w:bidi="zh-CN"/>
              </w:rPr>
            </w:pPr>
          </w:p>
        </w:tc>
      </w:tr>
      <w:tr w14:paraId="13749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04385B7E">
            <w:pPr>
              <w:spacing w:line="360" w:lineRule="auto"/>
              <w:jc w:val="center"/>
              <w:rPr>
                <w:color w:val="auto"/>
                <w:szCs w:val="21"/>
                <w:highlight w:val="none"/>
                <w:lang w:bidi="zh-CN"/>
              </w:rPr>
            </w:pPr>
          </w:p>
        </w:tc>
        <w:tc>
          <w:tcPr>
            <w:tcW w:w="1418" w:type="dxa"/>
            <w:vAlign w:val="center"/>
          </w:tcPr>
          <w:p w14:paraId="5124D1DC">
            <w:pPr>
              <w:spacing w:line="360" w:lineRule="auto"/>
              <w:ind w:firstLine="360"/>
              <w:rPr>
                <w:color w:val="auto"/>
                <w:szCs w:val="21"/>
                <w:highlight w:val="none"/>
                <w:lang w:bidi="zh-CN"/>
              </w:rPr>
            </w:pPr>
          </w:p>
        </w:tc>
        <w:tc>
          <w:tcPr>
            <w:tcW w:w="1134" w:type="dxa"/>
            <w:vAlign w:val="center"/>
          </w:tcPr>
          <w:p w14:paraId="6E36CA42">
            <w:pPr>
              <w:spacing w:line="360" w:lineRule="auto"/>
              <w:jc w:val="center"/>
              <w:rPr>
                <w:color w:val="auto"/>
                <w:szCs w:val="21"/>
                <w:highlight w:val="none"/>
                <w:lang w:bidi="zh-CN"/>
              </w:rPr>
            </w:pPr>
          </w:p>
        </w:tc>
        <w:tc>
          <w:tcPr>
            <w:tcW w:w="1371" w:type="dxa"/>
            <w:vAlign w:val="center"/>
          </w:tcPr>
          <w:p w14:paraId="46A7D629">
            <w:pPr>
              <w:spacing w:line="360" w:lineRule="auto"/>
              <w:jc w:val="center"/>
              <w:rPr>
                <w:rFonts w:ascii="Calibri" w:hAnsi="Calibri" w:cs="Calibri"/>
                <w:color w:val="auto"/>
                <w:highlight w:val="none"/>
              </w:rPr>
            </w:pPr>
          </w:p>
        </w:tc>
        <w:tc>
          <w:tcPr>
            <w:tcW w:w="3659" w:type="dxa"/>
            <w:vAlign w:val="center"/>
          </w:tcPr>
          <w:p w14:paraId="300963E7">
            <w:pPr>
              <w:spacing w:line="360" w:lineRule="auto"/>
              <w:ind w:firstLine="360"/>
              <w:jc w:val="center"/>
              <w:rPr>
                <w:color w:val="auto"/>
                <w:szCs w:val="21"/>
                <w:highlight w:val="none"/>
                <w:lang w:val="zh-CN" w:bidi="zh-CN"/>
              </w:rPr>
            </w:pPr>
          </w:p>
        </w:tc>
      </w:tr>
      <w:tr w14:paraId="664AA8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7A154AFC">
            <w:pPr>
              <w:spacing w:line="360" w:lineRule="auto"/>
              <w:jc w:val="center"/>
              <w:rPr>
                <w:color w:val="auto"/>
                <w:szCs w:val="21"/>
                <w:highlight w:val="none"/>
                <w:lang w:val="zh-CN" w:bidi="zh-CN"/>
              </w:rPr>
            </w:pPr>
          </w:p>
        </w:tc>
        <w:tc>
          <w:tcPr>
            <w:tcW w:w="1418" w:type="dxa"/>
            <w:vAlign w:val="center"/>
          </w:tcPr>
          <w:p w14:paraId="0E0D6C0E">
            <w:pPr>
              <w:spacing w:line="360" w:lineRule="auto"/>
              <w:ind w:firstLine="360"/>
              <w:rPr>
                <w:color w:val="auto"/>
                <w:szCs w:val="21"/>
                <w:highlight w:val="none"/>
                <w:lang w:bidi="zh-CN"/>
              </w:rPr>
            </w:pPr>
          </w:p>
        </w:tc>
        <w:tc>
          <w:tcPr>
            <w:tcW w:w="1134" w:type="dxa"/>
            <w:vAlign w:val="center"/>
          </w:tcPr>
          <w:p w14:paraId="3C80B400">
            <w:pPr>
              <w:spacing w:line="360" w:lineRule="auto"/>
              <w:jc w:val="center"/>
              <w:rPr>
                <w:color w:val="auto"/>
                <w:szCs w:val="21"/>
                <w:highlight w:val="none"/>
                <w:lang w:val="zh-CN" w:bidi="zh-CN"/>
              </w:rPr>
            </w:pPr>
          </w:p>
        </w:tc>
        <w:tc>
          <w:tcPr>
            <w:tcW w:w="1371" w:type="dxa"/>
            <w:vAlign w:val="center"/>
          </w:tcPr>
          <w:p w14:paraId="6C7EE74C">
            <w:pPr>
              <w:spacing w:line="360" w:lineRule="auto"/>
              <w:jc w:val="center"/>
              <w:rPr>
                <w:color w:val="auto"/>
                <w:szCs w:val="21"/>
                <w:highlight w:val="none"/>
                <w:lang w:val="zh-CN" w:bidi="zh-CN"/>
              </w:rPr>
            </w:pPr>
          </w:p>
        </w:tc>
        <w:tc>
          <w:tcPr>
            <w:tcW w:w="3659" w:type="dxa"/>
            <w:vAlign w:val="center"/>
          </w:tcPr>
          <w:p w14:paraId="5A7935F0">
            <w:pPr>
              <w:spacing w:line="360" w:lineRule="auto"/>
              <w:ind w:firstLine="360"/>
              <w:jc w:val="center"/>
              <w:rPr>
                <w:color w:val="auto"/>
                <w:szCs w:val="21"/>
                <w:highlight w:val="none"/>
                <w:lang w:val="zh-CN" w:bidi="zh-CN"/>
              </w:rPr>
            </w:pPr>
          </w:p>
        </w:tc>
      </w:tr>
      <w:tr w14:paraId="0B658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7CBBE274">
            <w:pPr>
              <w:spacing w:line="360" w:lineRule="auto"/>
              <w:jc w:val="center"/>
              <w:rPr>
                <w:color w:val="auto"/>
                <w:szCs w:val="21"/>
                <w:highlight w:val="none"/>
                <w:lang w:bidi="zh-CN"/>
              </w:rPr>
            </w:pPr>
          </w:p>
        </w:tc>
        <w:tc>
          <w:tcPr>
            <w:tcW w:w="1418" w:type="dxa"/>
            <w:vAlign w:val="center"/>
          </w:tcPr>
          <w:p w14:paraId="283ED3FE">
            <w:pPr>
              <w:spacing w:line="360" w:lineRule="auto"/>
              <w:ind w:firstLine="360"/>
              <w:rPr>
                <w:color w:val="auto"/>
                <w:szCs w:val="21"/>
                <w:highlight w:val="none"/>
                <w:lang w:bidi="zh-CN"/>
              </w:rPr>
            </w:pPr>
          </w:p>
        </w:tc>
        <w:tc>
          <w:tcPr>
            <w:tcW w:w="1134" w:type="dxa"/>
            <w:vAlign w:val="center"/>
          </w:tcPr>
          <w:p w14:paraId="359B6F09">
            <w:pPr>
              <w:spacing w:line="360" w:lineRule="auto"/>
              <w:jc w:val="center"/>
              <w:rPr>
                <w:color w:val="auto"/>
                <w:szCs w:val="21"/>
                <w:highlight w:val="none"/>
                <w:lang w:val="zh-CN" w:bidi="zh-CN"/>
              </w:rPr>
            </w:pPr>
          </w:p>
        </w:tc>
        <w:tc>
          <w:tcPr>
            <w:tcW w:w="1371" w:type="dxa"/>
            <w:vAlign w:val="center"/>
          </w:tcPr>
          <w:p w14:paraId="06FF2477">
            <w:pPr>
              <w:spacing w:line="360" w:lineRule="auto"/>
              <w:jc w:val="center"/>
              <w:rPr>
                <w:color w:val="auto"/>
                <w:szCs w:val="21"/>
                <w:highlight w:val="none"/>
                <w:lang w:val="zh-CN" w:bidi="zh-CN"/>
              </w:rPr>
            </w:pPr>
          </w:p>
        </w:tc>
        <w:tc>
          <w:tcPr>
            <w:tcW w:w="3659" w:type="dxa"/>
            <w:vAlign w:val="center"/>
          </w:tcPr>
          <w:p w14:paraId="53BD5B24">
            <w:pPr>
              <w:spacing w:line="360" w:lineRule="auto"/>
              <w:ind w:firstLine="360"/>
              <w:jc w:val="center"/>
              <w:rPr>
                <w:color w:val="auto"/>
                <w:szCs w:val="21"/>
                <w:highlight w:val="none"/>
                <w:lang w:bidi="zh-CN"/>
              </w:rPr>
            </w:pPr>
          </w:p>
        </w:tc>
      </w:tr>
      <w:tr w14:paraId="46863D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456417D0">
            <w:pPr>
              <w:spacing w:line="360" w:lineRule="auto"/>
              <w:jc w:val="center"/>
              <w:rPr>
                <w:color w:val="auto"/>
                <w:szCs w:val="21"/>
                <w:highlight w:val="none"/>
                <w:lang w:val="zh-CN" w:bidi="zh-CN"/>
              </w:rPr>
            </w:pPr>
          </w:p>
        </w:tc>
        <w:tc>
          <w:tcPr>
            <w:tcW w:w="1418" w:type="dxa"/>
            <w:vAlign w:val="center"/>
          </w:tcPr>
          <w:p w14:paraId="531D7931">
            <w:pPr>
              <w:spacing w:line="360" w:lineRule="auto"/>
              <w:ind w:firstLine="360"/>
              <w:rPr>
                <w:color w:val="auto"/>
                <w:szCs w:val="21"/>
                <w:highlight w:val="none"/>
                <w:lang w:bidi="zh-CN"/>
              </w:rPr>
            </w:pPr>
          </w:p>
        </w:tc>
        <w:tc>
          <w:tcPr>
            <w:tcW w:w="1134" w:type="dxa"/>
            <w:vAlign w:val="center"/>
          </w:tcPr>
          <w:p w14:paraId="4E82B8D0">
            <w:pPr>
              <w:spacing w:line="360" w:lineRule="auto"/>
              <w:jc w:val="center"/>
              <w:rPr>
                <w:color w:val="auto"/>
                <w:szCs w:val="21"/>
                <w:highlight w:val="none"/>
                <w:lang w:val="zh-CN" w:bidi="zh-CN"/>
              </w:rPr>
            </w:pPr>
          </w:p>
        </w:tc>
        <w:tc>
          <w:tcPr>
            <w:tcW w:w="1371" w:type="dxa"/>
            <w:vAlign w:val="center"/>
          </w:tcPr>
          <w:p w14:paraId="5C352B80">
            <w:pPr>
              <w:spacing w:line="360" w:lineRule="auto"/>
              <w:jc w:val="center"/>
              <w:rPr>
                <w:color w:val="auto"/>
                <w:szCs w:val="21"/>
                <w:highlight w:val="none"/>
                <w:lang w:val="zh-CN" w:bidi="zh-CN"/>
              </w:rPr>
            </w:pPr>
          </w:p>
        </w:tc>
        <w:tc>
          <w:tcPr>
            <w:tcW w:w="3659" w:type="dxa"/>
            <w:vAlign w:val="center"/>
          </w:tcPr>
          <w:p w14:paraId="1E09C389">
            <w:pPr>
              <w:spacing w:line="360" w:lineRule="auto"/>
              <w:ind w:firstLine="360"/>
              <w:jc w:val="center"/>
              <w:rPr>
                <w:color w:val="auto"/>
                <w:szCs w:val="21"/>
                <w:highlight w:val="none"/>
                <w:lang w:bidi="zh-CN"/>
              </w:rPr>
            </w:pPr>
          </w:p>
        </w:tc>
      </w:tr>
      <w:tr w14:paraId="3738D0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2874BC57">
            <w:pPr>
              <w:spacing w:line="360" w:lineRule="auto"/>
              <w:jc w:val="center"/>
              <w:rPr>
                <w:color w:val="auto"/>
                <w:szCs w:val="21"/>
                <w:highlight w:val="none"/>
                <w:lang w:val="zh-CN" w:bidi="zh-CN"/>
              </w:rPr>
            </w:pPr>
          </w:p>
        </w:tc>
        <w:tc>
          <w:tcPr>
            <w:tcW w:w="1418" w:type="dxa"/>
            <w:vAlign w:val="center"/>
          </w:tcPr>
          <w:p w14:paraId="1E6F7979">
            <w:pPr>
              <w:spacing w:line="360" w:lineRule="auto"/>
              <w:ind w:firstLine="360"/>
              <w:rPr>
                <w:color w:val="auto"/>
                <w:szCs w:val="21"/>
                <w:highlight w:val="none"/>
                <w:lang w:bidi="zh-CN"/>
              </w:rPr>
            </w:pPr>
          </w:p>
        </w:tc>
        <w:tc>
          <w:tcPr>
            <w:tcW w:w="1134" w:type="dxa"/>
            <w:vAlign w:val="center"/>
          </w:tcPr>
          <w:p w14:paraId="69DF09F0">
            <w:pPr>
              <w:spacing w:line="360" w:lineRule="auto"/>
              <w:jc w:val="center"/>
              <w:rPr>
                <w:color w:val="auto"/>
                <w:szCs w:val="21"/>
                <w:highlight w:val="none"/>
                <w:lang w:val="zh-CN" w:bidi="zh-CN"/>
              </w:rPr>
            </w:pPr>
          </w:p>
        </w:tc>
        <w:tc>
          <w:tcPr>
            <w:tcW w:w="1371" w:type="dxa"/>
            <w:vAlign w:val="center"/>
          </w:tcPr>
          <w:p w14:paraId="28F494A5">
            <w:pPr>
              <w:spacing w:line="360" w:lineRule="auto"/>
              <w:jc w:val="center"/>
              <w:rPr>
                <w:color w:val="auto"/>
                <w:szCs w:val="21"/>
                <w:highlight w:val="none"/>
                <w:lang w:bidi="zh-CN"/>
              </w:rPr>
            </w:pPr>
          </w:p>
        </w:tc>
        <w:tc>
          <w:tcPr>
            <w:tcW w:w="3659" w:type="dxa"/>
            <w:vAlign w:val="center"/>
          </w:tcPr>
          <w:p w14:paraId="0F12607B">
            <w:pPr>
              <w:spacing w:line="360" w:lineRule="auto"/>
              <w:ind w:firstLine="360"/>
              <w:jc w:val="center"/>
              <w:rPr>
                <w:color w:val="auto"/>
                <w:szCs w:val="21"/>
                <w:highlight w:val="none"/>
                <w:lang w:bidi="zh-CN"/>
              </w:rPr>
            </w:pPr>
          </w:p>
        </w:tc>
      </w:tr>
      <w:tr w14:paraId="1166D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64EBBCFE">
            <w:pPr>
              <w:spacing w:line="360" w:lineRule="auto"/>
              <w:jc w:val="center"/>
              <w:rPr>
                <w:color w:val="auto"/>
                <w:szCs w:val="21"/>
                <w:highlight w:val="none"/>
                <w:lang w:val="zh-CN" w:bidi="zh-CN"/>
              </w:rPr>
            </w:pPr>
          </w:p>
        </w:tc>
        <w:tc>
          <w:tcPr>
            <w:tcW w:w="1418" w:type="dxa"/>
            <w:vAlign w:val="center"/>
          </w:tcPr>
          <w:p w14:paraId="052C08BA">
            <w:pPr>
              <w:spacing w:line="360" w:lineRule="auto"/>
              <w:ind w:firstLine="360"/>
              <w:rPr>
                <w:color w:val="auto"/>
                <w:szCs w:val="21"/>
                <w:highlight w:val="none"/>
                <w:lang w:bidi="zh-CN"/>
              </w:rPr>
            </w:pPr>
          </w:p>
        </w:tc>
        <w:tc>
          <w:tcPr>
            <w:tcW w:w="1134" w:type="dxa"/>
            <w:vAlign w:val="center"/>
          </w:tcPr>
          <w:p w14:paraId="2BE2D228">
            <w:pPr>
              <w:spacing w:line="360" w:lineRule="auto"/>
              <w:jc w:val="center"/>
              <w:rPr>
                <w:color w:val="auto"/>
                <w:szCs w:val="21"/>
                <w:highlight w:val="none"/>
                <w:lang w:val="zh-CN" w:bidi="zh-CN"/>
              </w:rPr>
            </w:pPr>
          </w:p>
        </w:tc>
        <w:tc>
          <w:tcPr>
            <w:tcW w:w="1371" w:type="dxa"/>
            <w:vAlign w:val="center"/>
          </w:tcPr>
          <w:p w14:paraId="60001D77">
            <w:pPr>
              <w:spacing w:line="360" w:lineRule="auto"/>
              <w:jc w:val="center"/>
              <w:rPr>
                <w:color w:val="auto"/>
                <w:szCs w:val="21"/>
                <w:highlight w:val="none"/>
                <w:lang w:val="zh-CN" w:bidi="zh-CN"/>
              </w:rPr>
            </w:pPr>
          </w:p>
        </w:tc>
        <w:tc>
          <w:tcPr>
            <w:tcW w:w="3659" w:type="dxa"/>
            <w:vAlign w:val="center"/>
          </w:tcPr>
          <w:p w14:paraId="1EE596AA">
            <w:pPr>
              <w:spacing w:line="360" w:lineRule="auto"/>
              <w:ind w:firstLine="360"/>
              <w:jc w:val="center"/>
              <w:rPr>
                <w:color w:val="auto"/>
                <w:szCs w:val="21"/>
                <w:highlight w:val="none"/>
                <w:lang w:val="zh-CN" w:bidi="zh-CN"/>
              </w:rPr>
            </w:pPr>
          </w:p>
        </w:tc>
      </w:tr>
      <w:tr w14:paraId="5D148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271311F2">
            <w:pPr>
              <w:spacing w:line="360" w:lineRule="auto"/>
              <w:jc w:val="center"/>
              <w:rPr>
                <w:color w:val="auto"/>
                <w:szCs w:val="21"/>
                <w:highlight w:val="none"/>
                <w:lang w:val="zh-CN" w:bidi="zh-CN"/>
              </w:rPr>
            </w:pPr>
          </w:p>
        </w:tc>
        <w:tc>
          <w:tcPr>
            <w:tcW w:w="1418" w:type="dxa"/>
            <w:vAlign w:val="center"/>
          </w:tcPr>
          <w:p w14:paraId="3697834B">
            <w:pPr>
              <w:spacing w:line="360" w:lineRule="auto"/>
              <w:ind w:firstLine="360"/>
              <w:rPr>
                <w:color w:val="auto"/>
                <w:szCs w:val="21"/>
                <w:highlight w:val="none"/>
                <w:lang w:bidi="zh-CN"/>
              </w:rPr>
            </w:pPr>
          </w:p>
        </w:tc>
        <w:tc>
          <w:tcPr>
            <w:tcW w:w="1134" w:type="dxa"/>
            <w:vAlign w:val="center"/>
          </w:tcPr>
          <w:p w14:paraId="682663CA">
            <w:pPr>
              <w:spacing w:line="360" w:lineRule="auto"/>
              <w:jc w:val="center"/>
              <w:rPr>
                <w:color w:val="auto"/>
                <w:szCs w:val="21"/>
                <w:highlight w:val="none"/>
                <w:lang w:val="zh-CN" w:bidi="zh-CN"/>
              </w:rPr>
            </w:pPr>
          </w:p>
        </w:tc>
        <w:tc>
          <w:tcPr>
            <w:tcW w:w="1371" w:type="dxa"/>
            <w:vAlign w:val="center"/>
          </w:tcPr>
          <w:p w14:paraId="69375364">
            <w:pPr>
              <w:spacing w:line="360" w:lineRule="auto"/>
              <w:jc w:val="center"/>
              <w:rPr>
                <w:color w:val="auto"/>
                <w:szCs w:val="21"/>
                <w:highlight w:val="none"/>
                <w:lang w:val="zh-CN" w:bidi="zh-CN"/>
              </w:rPr>
            </w:pPr>
          </w:p>
        </w:tc>
        <w:tc>
          <w:tcPr>
            <w:tcW w:w="3659" w:type="dxa"/>
            <w:vAlign w:val="center"/>
          </w:tcPr>
          <w:p w14:paraId="3237986B">
            <w:pPr>
              <w:spacing w:line="360" w:lineRule="auto"/>
              <w:ind w:firstLine="360"/>
              <w:jc w:val="center"/>
              <w:rPr>
                <w:color w:val="auto"/>
                <w:szCs w:val="21"/>
                <w:highlight w:val="none"/>
                <w:lang w:bidi="zh-CN"/>
              </w:rPr>
            </w:pPr>
          </w:p>
        </w:tc>
      </w:tr>
      <w:tr w14:paraId="38452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146441E3">
            <w:pPr>
              <w:spacing w:line="360" w:lineRule="auto"/>
              <w:jc w:val="center"/>
              <w:rPr>
                <w:color w:val="auto"/>
                <w:szCs w:val="21"/>
                <w:highlight w:val="none"/>
                <w:lang w:val="zh-CN" w:bidi="zh-CN"/>
              </w:rPr>
            </w:pPr>
          </w:p>
        </w:tc>
        <w:tc>
          <w:tcPr>
            <w:tcW w:w="1418" w:type="dxa"/>
            <w:vAlign w:val="center"/>
          </w:tcPr>
          <w:p w14:paraId="525B6F92">
            <w:pPr>
              <w:spacing w:line="360" w:lineRule="auto"/>
              <w:ind w:firstLine="360"/>
              <w:rPr>
                <w:color w:val="auto"/>
                <w:szCs w:val="21"/>
                <w:highlight w:val="none"/>
                <w:lang w:bidi="zh-CN"/>
              </w:rPr>
            </w:pPr>
          </w:p>
        </w:tc>
        <w:tc>
          <w:tcPr>
            <w:tcW w:w="1134" w:type="dxa"/>
            <w:vAlign w:val="center"/>
          </w:tcPr>
          <w:p w14:paraId="6C89B0C4">
            <w:pPr>
              <w:spacing w:line="360" w:lineRule="auto"/>
              <w:jc w:val="center"/>
              <w:rPr>
                <w:color w:val="auto"/>
                <w:szCs w:val="21"/>
                <w:highlight w:val="none"/>
                <w:lang w:bidi="zh-CN"/>
              </w:rPr>
            </w:pPr>
          </w:p>
        </w:tc>
        <w:tc>
          <w:tcPr>
            <w:tcW w:w="1371" w:type="dxa"/>
            <w:vAlign w:val="center"/>
          </w:tcPr>
          <w:p w14:paraId="298925BD">
            <w:pPr>
              <w:spacing w:line="360" w:lineRule="auto"/>
              <w:jc w:val="center"/>
              <w:rPr>
                <w:color w:val="auto"/>
                <w:szCs w:val="21"/>
                <w:highlight w:val="none"/>
                <w:lang w:val="zh-CN" w:bidi="zh-CN"/>
              </w:rPr>
            </w:pPr>
          </w:p>
        </w:tc>
        <w:tc>
          <w:tcPr>
            <w:tcW w:w="3659" w:type="dxa"/>
            <w:vAlign w:val="center"/>
          </w:tcPr>
          <w:p w14:paraId="656EB4B0">
            <w:pPr>
              <w:spacing w:line="360" w:lineRule="auto"/>
              <w:ind w:firstLine="360"/>
              <w:jc w:val="center"/>
              <w:rPr>
                <w:color w:val="auto"/>
                <w:szCs w:val="21"/>
                <w:highlight w:val="none"/>
                <w:lang w:val="zh-CN" w:bidi="zh-CN"/>
              </w:rPr>
            </w:pPr>
          </w:p>
        </w:tc>
      </w:tr>
      <w:tr w14:paraId="638C4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5C6CF595">
            <w:pPr>
              <w:spacing w:line="360" w:lineRule="auto"/>
              <w:jc w:val="center"/>
              <w:rPr>
                <w:color w:val="auto"/>
                <w:szCs w:val="21"/>
                <w:highlight w:val="none"/>
                <w:lang w:val="zh-CN" w:bidi="zh-CN"/>
              </w:rPr>
            </w:pPr>
          </w:p>
        </w:tc>
        <w:tc>
          <w:tcPr>
            <w:tcW w:w="1418" w:type="dxa"/>
            <w:vAlign w:val="center"/>
          </w:tcPr>
          <w:p w14:paraId="497A849D">
            <w:pPr>
              <w:spacing w:line="360" w:lineRule="auto"/>
              <w:ind w:firstLine="360"/>
              <w:rPr>
                <w:color w:val="auto"/>
                <w:szCs w:val="21"/>
                <w:highlight w:val="none"/>
                <w:lang w:bidi="zh-CN"/>
              </w:rPr>
            </w:pPr>
          </w:p>
        </w:tc>
        <w:tc>
          <w:tcPr>
            <w:tcW w:w="1134" w:type="dxa"/>
            <w:vAlign w:val="center"/>
          </w:tcPr>
          <w:p w14:paraId="52CA0674">
            <w:pPr>
              <w:spacing w:line="360" w:lineRule="auto"/>
              <w:jc w:val="center"/>
              <w:rPr>
                <w:color w:val="auto"/>
                <w:szCs w:val="21"/>
                <w:highlight w:val="none"/>
                <w:lang w:bidi="zh-CN"/>
              </w:rPr>
            </w:pPr>
          </w:p>
        </w:tc>
        <w:tc>
          <w:tcPr>
            <w:tcW w:w="1371" w:type="dxa"/>
            <w:vAlign w:val="center"/>
          </w:tcPr>
          <w:p w14:paraId="70F76C82">
            <w:pPr>
              <w:spacing w:line="360" w:lineRule="auto"/>
              <w:jc w:val="center"/>
              <w:rPr>
                <w:color w:val="auto"/>
                <w:szCs w:val="21"/>
                <w:highlight w:val="none"/>
                <w:lang w:bidi="zh-CN"/>
              </w:rPr>
            </w:pPr>
          </w:p>
        </w:tc>
        <w:tc>
          <w:tcPr>
            <w:tcW w:w="3659" w:type="dxa"/>
            <w:vAlign w:val="center"/>
          </w:tcPr>
          <w:p w14:paraId="10523228">
            <w:pPr>
              <w:spacing w:line="360" w:lineRule="auto"/>
              <w:ind w:firstLine="360"/>
              <w:jc w:val="center"/>
              <w:rPr>
                <w:color w:val="auto"/>
                <w:szCs w:val="21"/>
                <w:highlight w:val="none"/>
                <w:lang w:val="zh-CN" w:bidi="zh-CN"/>
              </w:rPr>
            </w:pPr>
          </w:p>
        </w:tc>
      </w:tr>
    </w:tbl>
    <w:p w14:paraId="22FDD6E4">
      <w:pPr>
        <w:rPr>
          <w:color w:val="auto"/>
          <w:highlight w:val="none"/>
          <w:lang w:val="zh-CN" w:bidi="zh-CN"/>
        </w:rPr>
      </w:pPr>
    </w:p>
    <w:p w14:paraId="48881D1A">
      <w:pPr>
        <w:widowControl/>
        <w:adjustRightInd w:val="0"/>
        <w:snapToGrid w:val="0"/>
        <w:spacing w:after="120" w:afterLines="50" w:line="360" w:lineRule="auto"/>
        <w:ind w:firstLine="420" w:firstLineChars="200"/>
        <w:rPr>
          <w:rFonts w:ascii="宋体" w:hAnsi="宋体" w:cs="宋体"/>
          <w:color w:val="auto"/>
          <w:kern w:val="0"/>
          <w:highlight w:val="none"/>
        </w:rPr>
      </w:pPr>
      <w:r>
        <w:rPr>
          <w:rFonts w:hint="eastAsia" w:ascii="宋体" w:hAnsi="宋体"/>
          <w:color w:val="auto"/>
          <w:szCs w:val="21"/>
          <w:highlight w:val="none"/>
          <w:lang w:bidi="ar"/>
        </w:rPr>
        <w:br w:type="page"/>
      </w:r>
    </w:p>
    <w:p w14:paraId="67491E53">
      <w:pPr>
        <w:widowControl/>
        <w:jc w:val="left"/>
        <w:rPr>
          <w:rFonts w:ascii="宋体" w:hAnsi="宋体" w:cs="宋体"/>
          <w:color w:val="auto"/>
          <w:kern w:val="0"/>
          <w:highlight w:val="none"/>
        </w:rPr>
      </w:pPr>
      <w:bookmarkStart w:id="1813" w:name="_Toc20171898"/>
      <w:bookmarkEnd w:id="1813"/>
    </w:p>
    <w:p w14:paraId="1F0CB2BC">
      <w:pPr>
        <w:keepNext/>
        <w:keepLines/>
        <w:widowControl/>
        <w:wordWrap w:val="0"/>
        <w:topLinePunct/>
        <w:adjustRightInd w:val="0"/>
        <w:snapToGrid w:val="0"/>
        <w:spacing w:after="120" w:afterLines="50" w:line="360" w:lineRule="auto"/>
        <w:jc w:val="center"/>
        <w:outlineLvl w:val="1"/>
        <w:rPr>
          <w:rFonts w:ascii="宋体" w:hAnsi="宋体" w:cs="宋体"/>
          <w:b/>
          <w:color w:val="auto"/>
          <w:kern w:val="0"/>
          <w:szCs w:val="21"/>
          <w:highlight w:val="none"/>
          <w:lang w:bidi="ar"/>
        </w:rPr>
      </w:pPr>
      <w:bookmarkStart w:id="1814" w:name="_Toc179885421"/>
      <w:r>
        <w:rPr>
          <w:rFonts w:hint="eastAsia" w:ascii="宋体" w:hAnsi="宋体" w:cs="宋体"/>
          <w:b/>
          <w:color w:val="auto"/>
          <w:kern w:val="0"/>
          <w:szCs w:val="21"/>
          <w:highlight w:val="none"/>
          <w:lang w:bidi="ar"/>
        </w:rPr>
        <w:t>附件</w:t>
      </w:r>
      <w:r>
        <w:rPr>
          <w:rFonts w:ascii="宋体" w:hAnsi="宋体" w:cs="宋体"/>
          <w:b/>
          <w:color w:val="auto"/>
          <w:kern w:val="0"/>
          <w:szCs w:val="21"/>
          <w:highlight w:val="none"/>
          <w:lang w:bidi="ar"/>
        </w:rPr>
        <w:t xml:space="preserve">6 </w:t>
      </w:r>
      <w:r>
        <w:rPr>
          <w:rFonts w:hint="eastAsia" w:ascii="宋体" w:hAnsi="宋体" w:cs="宋体"/>
          <w:b/>
          <w:color w:val="auto"/>
          <w:kern w:val="0"/>
          <w:szCs w:val="21"/>
          <w:highlight w:val="none"/>
          <w:lang w:bidi="ar"/>
        </w:rPr>
        <w:t>安全生产协议</w:t>
      </w:r>
      <w:bookmarkEnd w:id="1814"/>
    </w:p>
    <w:p w14:paraId="2ACD0D86">
      <w:pPr>
        <w:spacing w:line="320" w:lineRule="exact"/>
        <w:ind w:firstLine="420" w:firstLineChars="200"/>
        <w:jc w:val="center"/>
        <w:rPr>
          <w:rFonts w:ascii="黑体" w:eastAsia="黑体"/>
          <w:color w:val="auto"/>
          <w:highlight w:val="none"/>
          <w:lang w:val="zh-CN" w:bidi="zh-CN"/>
        </w:rPr>
      </w:pPr>
    </w:p>
    <w:p w14:paraId="7D50871C">
      <w:pPr>
        <w:tabs>
          <w:tab w:val="left" w:pos="0"/>
        </w:tabs>
        <w:snapToGrid w:val="0"/>
        <w:spacing w:before="120" w:beforeLines="50" w:line="360" w:lineRule="auto"/>
        <w:ind w:firstLine="420" w:firstLineChars="200"/>
        <w:rPr>
          <w:rFonts w:cs="Courier New"/>
          <w:color w:val="auto"/>
          <w:szCs w:val="21"/>
          <w:highlight w:val="none"/>
          <w:lang w:val="zh-CN" w:bidi="zh-CN"/>
        </w:rPr>
      </w:pPr>
      <w:r>
        <w:rPr>
          <w:rFonts w:hint="eastAsia" w:cs="Courier New"/>
          <w:color w:val="auto"/>
          <w:szCs w:val="21"/>
          <w:highlight w:val="none"/>
          <w:lang w:val="zh-CN" w:bidi="zh-CN"/>
        </w:rPr>
        <w:t>发包人（甲方）：</w:t>
      </w:r>
    </w:p>
    <w:p w14:paraId="062F2F3D">
      <w:pPr>
        <w:tabs>
          <w:tab w:val="left" w:pos="0"/>
        </w:tabs>
        <w:snapToGrid w:val="0"/>
        <w:spacing w:before="120" w:beforeLines="50" w:line="360" w:lineRule="auto"/>
        <w:ind w:firstLine="420" w:firstLineChars="200"/>
        <w:rPr>
          <w:rFonts w:cs="Courier New"/>
          <w:color w:val="auto"/>
          <w:szCs w:val="21"/>
          <w:highlight w:val="none"/>
          <w:lang w:val="zh-CN" w:bidi="zh-CN"/>
        </w:rPr>
      </w:pPr>
      <w:r>
        <w:rPr>
          <w:rFonts w:hint="eastAsia" w:cs="Courier New"/>
          <w:color w:val="auto"/>
          <w:szCs w:val="21"/>
          <w:highlight w:val="none"/>
          <w:lang w:val="zh-CN" w:bidi="zh-CN"/>
        </w:rPr>
        <w:t>承包人1（联合体主办方）：</w:t>
      </w:r>
    </w:p>
    <w:p w14:paraId="57FFA21A">
      <w:pPr>
        <w:tabs>
          <w:tab w:val="left" w:pos="0"/>
        </w:tabs>
        <w:snapToGrid w:val="0"/>
        <w:spacing w:before="120" w:beforeLines="50" w:line="360" w:lineRule="auto"/>
        <w:ind w:firstLine="420" w:firstLineChars="200"/>
        <w:rPr>
          <w:rFonts w:cs="Courier New"/>
          <w:color w:val="auto"/>
          <w:szCs w:val="21"/>
          <w:highlight w:val="none"/>
          <w:lang w:val="zh-CN" w:bidi="zh-CN"/>
        </w:rPr>
      </w:pPr>
      <w:r>
        <w:rPr>
          <w:rFonts w:hint="eastAsia" w:cs="Courier New"/>
          <w:color w:val="auto"/>
          <w:szCs w:val="21"/>
          <w:highlight w:val="none"/>
          <w:lang w:val="zh-CN" w:bidi="zh-CN"/>
        </w:rPr>
        <w:t xml:space="preserve">承包人2（联合体成员）： </w:t>
      </w:r>
    </w:p>
    <w:p w14:paraId="14A1CAC4">
      <w:pPr>
        <w:tabs>
          <w:tab w:val="left" w:pos="0"/>
        </w:tabs>
        <w:snapToGrid w:val="0"/>
        <w:spacing w:before="120" w:beforeLines="50" w:line="360" w:lineRule="auto"/>
        <w:ind w:firstLine="420" w:firstLineChars="200"/>
        <w:rPr>
          <w:rFonts w:cs="Courier New"/>
          <w:color w:val="auto"/>
          <w:szCs w:val="21"/>
          <w:highlight w:val="none"/>
          <w:lang w:val="zh-CN" w:bidi="zh-CN"/>
        </w:rPr>
      </w:pPr>
      <w:bookmarkStart w:id="1815" w:name="OLE_LINK29"/>
      <w:r>
        <w:rPr>
          <w:rFonts w:hint="eastAsia" w:cs="Courier New"/>
          <w:color w:val="auto"/>
          <w:szCs w:val="21"/>
          <w:highlight w:val="none"/>
          <w:lang w:val="zh-CN" w:bidi="zh-CN"/>
        </w:rPr>
        <w:t>为认真贯彻“安全第一、预防为主、综合治理”的方针，全面落实安全生产责任，进一步提高安全生产管理水平，使安全管理工作真正做到“横向到边”、“纵向到底”，确保工程建设的顺利进行，切实保障国家财产和人民群众生命财产安全。现根据有关法律法规，经甲乙双方共同协商，签订本协议，协议内容如下：</w:t>
      </w:r>
    </w:p>
    <w:p w14:paraId="373CB87A">
      <w:pPr>
        <w:tabs>
          <w:tab w:val="left" w:pos="0"/>
        </w:tabs>
        <w:snapToGrid w:val="0"/>
        <w:spacing w:before="120" w:beforeLines="50" w:line="360" w:lineRule="auto"/>
        <w:ind w:firstLine="420" w:firstLineChars="200"/>
        <w:rPr>
          <w:rFonts w:cs="Courier New"/>
          <w:color w:val="auto"/>
          <w:szCs w:val="21"/>
          <w:highlight w:val="none"/>
          <w:lang w:val="zh-CN" w:bidi="zh-CN"/>
        </w:rPr>
      </w:pPr>
      <w:r>
        <w:rPr>
          <w:rFonts w:hint="eastAsia" w:cs="Courier New"/>
          <w:color w:val="auto"/>
          <w:szCs w:val="21"/>
          <w:highlight w:val="none"/>
          <w:lang w:val="zh-CN" w:bidi="zh-CN"/>
        </w:rPr>
        <w:t>一、本工程乙方必须严格按照建设部《建筑施工安全检查标准》(JGJ59—20</w:t>
      </w:r>
      <w:r>
        <w:rPr>
          <w:rFonts w:hint="eastAsia" w:cs="Courier New"/>
          <w:color w:val="auto"/>
          <w:szCs w:val="21"/>
          <w:highlight w:val="none"/>
          <w:lang w:bidi="zh-CN"/>
        </w:rPr>
        <w:t>2</w:t>
      </w:r>
      <w:r>
        <w:rPr>
          <w:rFonts w:hint="eastAsia" w:cs="Courier New"/>
          <w:color w:val="auto"/>
          <w:szCs w:val="21"/>
          <w:highlight w:val="none"/>
          <w:lang w:val="zh-CN" w:bidi="zh-CN"/>
        </w:rPr>
        <w:t>1)进行安全管理；建立安全生产保证体系，制定各项有针对性的安全管理措施，落实各项安全防护、文明施工的资金和现场管理措施，做好管理台帐，确保工程建设中不发生各类因安全责任不落实而引发的事故、事件。</w:t>
      </w:r>
    </w:p>
    <w:p w14:paraId="57E66B4D">
      <w:pPr>
        <w:tabs>
          <w:tab w:val="left" w:pos="0"/>
        </w:tabs>
        <w:snapToGrid w:val="0"/>
        <w:spacing w:before="120" w:beforeLines="50" w:line="360" w:lineRule="auto"/>
        <w:ind w:firstLine="420" w:firstLineChars="200"/>
        <w:rPr>
          <w:rFonts w:cs="Courier New"/>
          <w:color w:val="auto"/>
          <w:szCs w:val="21"/>
          <w:highlight w:val="none"/>
          <w:lang w:val="zh-CN" w:bidi="zh-CN"/>
        </w:rPr>
      </w:pPr>
      <w:r>
        <w:rPr>
          <w:rFonts w:hint="eastAsia" w:cs="Courier New"/>
          <w:color w:val="auto"/>
          <w:szCs w:val="21"/>
          <w:highlight w:val="none"/>
          <w:lang w:val="zh-CN" w:bidi="zh-CN"/>
        </w:rPr>
        <w:t>二、甲方在施工开始前向乙方提交规划许可的施工场地，同时对乙方进行安全生产、文明施工、劳动保护和环境保护等方面的书面交底，要求乙方贯彻执行国家和本市政府主管部门颁发的法律法规、标准规范、条例规定等；乙方必须严格执行甲方制定（含过程中）的各类文件要求，并及时收取，纳入安全管理台帐。</w:t>
      </w:r>
    </w:p>
    <w:p w14:paraId="4F45D1A2">
      <w:pPr>
        <w:tabs>
          <w:tab w:val="left" w:pos="0"/>
        </w:tabs>
        <w:snapToGrid w:val="0"/>
        <w:spacing w:before="120" w:beforeLines="50" w:line="360" w:lineRule="auto"/>
        <w:ind w:firstLine="420" w:firstLineChars="200"/>
        <w:rPr>
          <w:rFonts w:cs="Courier New"/>
          <w:color w:val="auto"/>
          <w:szCs w:val="21"/>
          <w:highlight w:val="none"/>
          <w:lang w:val="zh-CN" w:bidi="zh-CN"/>
        </w:rPr>
      </w:pPr>
      <w:r>
        <w:rPr>
          <w:rFonts w:hint="eastAsia" w:cs="Courier New"/>
          <w:color w:val="auto"/>
          <w:szCs w:val="21"/>
          <w:highlight w:val="none"/>
          <w:lang w:val="zh-CN" w:bidi="zh-CN"/>
        </w:rPr>
        <w:t>三、按照“总承包单位对施工现场的安全生产负总责”的原则，施工责任区域的安全生产责任和管理工作由乙方负责。乙方必须按要求建立健全安全生产保证体系，落实各级安全责任制，完善各项安全生产制度(包括奖惩制度和有针对性的安全技术交底制度)和操作规程，做到层层签约，落实安全责任，其相关文件报甲方备案。</w:t>
      </w:r>
    </w:p>
    <w:p w14:paraId="1471F4FF">
      <w:pPr>
        <w:tabs>
          <w:tab w:val="left" w:pos="0"/>
        </w:tabs>
        <w:snapToGrid w:val="0"/>
        <w:spacing w:before="120" w:beforeLines="50" w:line="360" w:lineRule="auto"/>
        <w:ind w:firstLine="420" w:firstLineChars="200"/>
        <w:rPr>
          <w:rFonts w:cs="Courier New"/>
          <w:color w:val="auto"/>
          <w:szCs w:val="21"/>
          <w:highlight w:val="none"/>
          <w:lang w:val="zh-CN" w:bidi="zh-CN"/>
        </w:rPr>
      </w:pPr>
      <w:r>
        <w:rPr>
          <w:rFonts w:hint="eastAsia" w:cs="Courier New"/>
          <w:color w:val="auto"/>
          <w:szCs w:val="21"/>
          <w:highlight w:val="none"/>
          <w:lang w:val="zh-CN" w:bidi="zh-CN"/>
        </w:rPr>
        <w:t>四、甲方应督促、指导乙方开展各类安全生产活动，及时传达和部署上级的有关安全生产精神和要求，经常性组织对乙方执行安全生产、文明施工、劳动保护和环境保护等情况进行检查，并进行考核，对严重违法违规的行为进行通报、批评，情节严重的按“安全责任违约” 进行经济处理。</w:t>
      </w:r>
    </w:p>
    <w:p w14:paraId="388D74F4">
      <w:pPr>
        <w:tabs>
          <w:tab w:val="left" w:pos="0"/>
        </w:tabs>
        <w:snapToGrid w:val="0"/>
        <w:spacing w:before="120" w:beforeLines="50" w:line="360" w:lineRule="auto"/>
        <w:ind w:firstLine="420" w:firstLineChars="200"/>
        <w:rPr>
          <w:rFonts w:cs="Courier New"/>
          <w:color w:val="auto"/>
          <w:szCs w:val="21"/>
          <w:highlight w:val="none"/>
          <w:lang w:val="zh-CN" w:bidi="zh-CN"/>
        </w:rPr>
      </w:pPr>
      <w:r>
        <w:rPr>
          <w:rFonts w:cs="Courier New"/>
          <w:color w:val="auto"/>
          <w:szCs w:val="21"/>
          <w:highlight w:val="none"/>
          <w:lang w:val="zh-CN" w:bidi="zh-CN"/>
        </w:rPr>
        <w:t>承包人（包括其分包人），在项目管理范围内，发生的一切职业健康、安全与环境事故事件、治安及刑事案件等，承包人应立即口头向发包人项目部与安全管理部门、监理人报告，同时应积极抢救受伤人员、保护现场。在事故事件发生后1小时内将事故事件初步报告以书面形式报发包人、监理人。事故事件报告应当及时、准确、完整，不得迟报、漏报、谎报或者瞒报。事故造成的经济损失及因承包人责任给发包人造成的连带经济损失全部由承包人承担。承包人发生生产安全等事故后应按规定上报当地应急管理部门。</w:t>
      </w:r>
    </w:p>
    <w:p w14:paraId="5ED36C4D">
      <w:pPr>
        <w:tabs>
          <w:tab w:val="left" w:pos="0"/>
        </w:tabs>
        <w:snapToGrid w:val="0"/>
        <w:spacing w:before="120" w:beforeLines="50" w:line="360" w:lineRule="auto"/>
        <w:ind w:firstLine="420" w:firstLineChars="200"/>
        <w:rPr>
          <w:rFonts w:cs="Courier New"/>
          <w:color w:val="auto"/>
          <w:szCs w:val="21"/>
          <w:highlight w:val="none"/>
          <w:lang w:val="zh-CN" w:bidi="zh-CN"/>
        </w:rPr>
      </w:pPr>
      <w:r>
        <w:rPr>
          <w:rFonts w:hint="eastAsia" w:cs="Courier New"/>
          <w:color w:val="auto"/>
          <w:szCs w:val="21"/>
          <w:highlight w:val="none"/>
          <w:lang w:val="zh-CN" w:bidi="zh-CN"/>
        </w:rPr>
        <w:t>五、乙方要按照“安全自查，隐患自改、责任自负”的原则加强对施工责任区的日常安全检查，及时制止和处理各类违法违规行为，对发现的安全隐患要按“三定”原则及时落实整改措施，对严重的安全隐患要暂停施工，消除隐患。</w:t>
      </w:r>
    </w:p>
    <w:p w14:paraId="3EECF9B5">
      <w:pPr>
        <w:tabs>
          <w:tab w:val="left" w:pos="0"/>
        </w:tabs>
        <w:snapToGrid w:val="0"/>
        <w:spacing w:before="120" w:beforeLines="50" w:line="360" w:lineRule="auto"/>
        <w:ind w:firstLine="420" w:firstLineChars="200"/>
        <w:rPr>
          <w:rFonts w:cs="Courier New"/>
          <w:color w:val="auto"/>
          <w:szCs w:val="21"/>
          <w:highlight w:val="none"/>
          <w:lang w:val="zh-CN" w:bidi="zh-CN"/>
        </w:rPr>
      </w:pPr>
      <w:r>
        <w:rPr>
          <w:rFonts w:hint="eastAsia" w:cs="Courier New"/>
          <w:color w:val="auto"/>
          <w:szCs w:val="21"/>
          <w:highlight w:val="none"/>
          <w:lang w:val="zh-CN" w:bidi="zh-CN"/>
        </w:rPr>
        <w:t>六、乙方必须主动接受甲方及甲方派出机构人员在安全管理工作上的业务指导，服从管理；对甲方的工作布置积极贯彻实施，组织的活动要积极参加。</w:t>
      </w:r>
    </w:p>
    <w:p w14:paraId="3D732415">
      <w:pPr>
        <w:tabs>
          <w:tab w:val="left" w:pos="0"/>
        </w:tabs>
        <w:snapToGrid w:val="0"/>
        <w:spacing w:before="120" w:beforeLines="50" w:line="360" w:lineRule="auto"/>
        <w:ind w:firstLine="420" w:firstLineChars="200"/>
        <w:rPr>
          <w:rFonts w:cs="Courier New"/>
          <w:color w:val="auto"/>
          <w:szCs w:val="21"/>
          <w:highlight w:val="none"/>
          <w:lang w:val="zh-CN" w:bidi="zh-CN"/>
        </w:rPr>
      </w:pPr>
      <w:r>
        <w:rPr>
          <w:rFonts w:hint="eastAsia" w:cs="Courier New"/>
          <w:color w:val="auto"/>
          <w:szCs w:val="21"/>
          <w:highlight w:val="none"/>
          <w:lang w:val="zh-CN" w:bidi="zh-CN"/>
        </w:rPr>
        <w:t>七、乙方必须按投标承诺配置现场管理人员，现场项目经理为施工现场安全生产第一责任人。如遇特定或不可抗力因素现场管理人员确需调动（变更）的，必须按有关程序上报，经批准后方可调换。凡乙方未经批准擅自调动（变更）或调动人员超出允许范围内的，甲方一律按承诺书内容及安全责任违约进行经济处理。</w:t>
      </w:r>
    </w:p>
    <w:p w14:paraId="22250C16">
      <w:pPr>
        <w:tabs>
          <w:tab w:val="left" w:pos="0"/>
        </w:tabs>
        <w:snapToGrid w:val="0"/>
        <w:spacing w:before="120" w:beforeLines="50" w:line="360" w:lineRule="auto"/>
        <w:ind w:firstLine="420" w:firstLineChars="200"/>
        <w:rPr>
          <w:rFonts w:cs="Courier New"/>
          <w:color w:val="auto"/>
          <w:szCs w:val="21"/>
          <w:highlight w:val="none"/>
          <w:lang w:val="zh-CN" w:bidi="zh-CN"/>
        </w:rPr>
      </w:pPr>
      <w:r>
        <w:rPr>
          <w:rFonts w:hint="eastAsia" w:cs="Courier New"/>
          <w:color w:val="auto"/>
          <w:szCs w:val="21"/>
          <w:highlight w:val="none"/>
          <w:lang w:val="zh-CN" w:bidi="zh-CN"/>
        </w:rPr>
        <w:t>八、乙方进入施工现场后必须根据《省建筑工程施工项目部和现场监理部关键岗位人员管理办法》（）及甲方相关文件要求配置专职安全管理人员（从事同类工作经历满2年，年龄不超过60周岁），并将人员名单、职称、证书号等报甲方备案。</w:t>
      </w:r>
    </w:p>
    <w:p w14:paraId="52772EBE">
      <w:pPr>
        <w:tabs>
          <w:tab w:val="left" w:pos="0"/>
        </w:tabs>
        <w:snapToGrid w:val="0"/>
        <w:spacing w:before="120" w:beforeLines="50" w:line="360" w:lineRule="auto"/>
        <w:ind w:firstLine="420" w:firstLineChars="200"/>
        <w:rPr>
          <w:rFonts w:cs="Courier New"/>
          <w:color w:val="auto"/>
          <w:szCs w:val="21"/>
          <w:highlight w:val="none"/>
          <w:lang w:val="zh-CN" w:bidi="zh-CN"/>
        </w:rPr>
      </w:pPr>
      <w:r>
        <w:rPr>
          <w:rFonts w:hint="eastAsia" w:cs="Courier New"/>
          <w:color w:val="auto"/>
          <w:szCs w:val="21"/>
          <w:highlight w:val="none"/>
          <w:lang w:val="zh-CN" w:bidi="zh-CN"/>
        </w:rPr>
        <w:t>九、乙方必须督促各分包单位配备专职安全管理人员，对各分包单位及外聘人员的安全生产工作要纳入本单位统一管理的范围，明确要求，签订安全协议；定期对全体施工人员进行安全生产、文明施工及自我保护的宣传和教育，提高安全生产意识，增强法制观念；做好每天上岗前的安全技术交底，做好“三上岗、一讲评”工作，特殊工种、人员上岗必须符合上级主管部门要求，做到持证上岗，禁止实习、学习人员到现场作业，严格执行各种安全操作规程，为施工作业人员配备“安全帽、护目镜、反光背心、安全鞋”等劳动防护用品。切实为施工作业人员提供一个良好的工作和生活环境，确保安全生产。</w:t>
      </w:r>
    </w:p>
    <w:p w14:paraId="2EEF7E4C">
      <w:pPr>
        <w:tabs>
          <w:tab w:val="left" w:pos="0"/>
        </w:tabs>
        <w:snapToGrid w:val="0"/>
        <w:spacing w:before="120" w:beforeLines="50" w:line="360" w:lineRule="auto"/>
        <w:ind w:firstLine="420" w:firstLineChars="200"/>
        <w:rPr>
          <w:rFonts w:cs="Courier New"/>
          <w:color w:val="auto"/>
          <w:szCs w:val="21"/>
          <w:highlight w:val="none"/>
          <w:lang w:val="zh-CN" w:bidi="zh-CN"/>
        </w:rPr>
      </w:pPr>
      <w:r>
        <w:rPr>
          <w:rFonts w:hint="eastAsia" w:cs="Courier New"/>
          <w:color w:val="auto"/>
          <w:szCs w:val="21"/>
          <w:highlight w:val="none"/>
          <w:lang w:val="zh-CN" w:bidi="zh-CN"/>
        </w:rPr>
        <w:t>十、乙方因疏于管理发生的安全事故、事件或造成人员伤亡的，由乙方承担全部责任；乙方在积极组织抢险、抢救受伤人员、保护现场的同时，必须严格按照甲方制定的事故报告及应急管理规定在限定的时间内按程序向建设行政主管部门、政府安全监督部门和甲方上报，不得迟报、瞒报。</w:t>
      </w:r>
    </w:p>
    <w:p w14:paraId="10A9069A">
      <w:pPr>
        <w:tabs>
          <w:tab w:val="left" w:pos="0"/>
        </w:tabs>
        <w:snapToGrid w:val="0"/>
        <w:spacing w:before="120" w:beforeLines="50" w:line="360" w:lineRule="auto"/>
        <w:ind w:firstLine="420" w:firstLineChars="200"/>
        <w:rPr>
          <w:rFonts w:cs="Courier New"/>
          <w:color w:val="auto"/>
          <w:szCs w:val="21"/>
          <w:highlight w:val="none"/>
          <w:lang w:val="zh-CN" w:bidi="zh-CN"/>
        </w:rPr>
      </w:pPr>
      <w:r>
        <w:rPr>
          <w:rFonts w:hint="eastAsia" w:cs="Courier New"/>
          <w:color w:val="auto"/>
          <w:szCs w:val="21"/>
          <w:highlight w:val="none"/>
          <w:lang w:val="zh-CN" w:bidi="zh-CN"/>
        </w:rPr>
        <w:t>十一、乙方必须严格按照《建设工程安全生产管理条例》国务院第393号令，针对本工程项目的特点、性质、规模以及施工现场水文地质情况，编制《施工组织设计》和各类《危险性较大的分部分项工程安全技术专项施工方案》。必须按规定程序办理报审手续，审批人必须是“合同”施工总承包单位总工程师本人签字，不得委托他人冒签或用私章代替。未制定或未办理《施工组织设计》和《危险性较大的分部分项工程安全技术专项施工方案》报审手续的项目不得施工；乙方开工前必须制定和落实各项施工安全技术措施，并向全体施工人员进行安全技术交底，严格按照《施工组织设计》和《危险性较大的分部分项工程安全技术专项施工方案》有关要求施工。方案实施过程中，如需变更按规定程序办理相关手续。</w:t>
      </w:r>
    </w:p>
    <w:p w14:paraId="556ED32E">
      <w:pPr>
        <w:tabs>
          <w:tab w:val="left" w:pos="0"/>
        </w:tabs>
        <w:snapToGrid w:val="0"/>
        <w:spacing w:before="120" w:beforeLines="50" w:line="360" w:lineRule="auto"/>
        <w:ind w:firstLine="420" w:firstLineChars="200"/>
        <w:rPr>
          <w:rFonts w:cs="Courier New"/>
          <w:color w:val="auto"/>
          <w:szCs w:val="21"/>
          <w:highlight w:val="none"/>
          <w:lang w:val="zh-CN" w:bidi="zh-CN"/>
        </w:rPr>
      </w:pPr>
      <w:r>
        <w:rPr>
          <w:rFonts w:hint="eastAsia" w:cs="Courier New"/>
          <w:color w:val="auto"/>
          <w:szCs w:val="21"/>
          <w:highlight w:val="none"/>
          <w:lang w:val="zh-CN" w:bidi="zh-CN"/>
        </w:rPr>
        <w:t>十二、凡乙方发生安全生产事故或其他有不良社会影响的事件，甲方派员参与调查处理，并按其造成的后果及影响，对乙方按“安全责任违约”进行经济处理。事故造成的直接经济损失及因乙方责任给甲方造成的间接经济损失全部由乙方承担。</w:t>
      </w:r>
    </w:p>
    <w:p w14:paraId="049C286D">
      <w:pPr>
        <w:tabs>
          <w:tab w:val="left" w:pos="0"/>
        </w:tabs>
        <w:snapToGrid w:val="0"/>
        <w:spacing w:before="120" w:beforeLines="50" w:line="360" w:lineRule="auto"/>
        <w:ind w:firstLine="420" w:firstLineChars="200"/>
        <w:rPr>
          <w:rFonts w:cs="Courier New"/>
          <w:color w:val="auto"/>
          <w:szCs w:val="21"/>
          <w:highlight w:val="none"/>
          <w:lang w:val="zh-CN" w:bidi="zh-CN"/>
        </w:rPr>
      </w:pPr>
      <w:r>
        <w:rPr>
          <w:rFonts w:hint="eastAsia" w:cs="Courier New"/>
          <w:color w:val="auto"/>
          <w:szCs w:val="21"/>
          <w:highlight w:val="none"/>
          <w:lang w:val="zh-CN" w:bidi="zh-CN"/>
        </w:rPr>
        <w:t>十三、甲方对乙方及有关人员在安全</w:t>
      </w:r>
      <w:bookmarkEnd w:id="1815"/>
      <w:r>
        <w:rPr>
          <w:rFonts w:hint="eastAsia" w:cs="Courier New"/>
          <w:color w:val="auto"/>
          <w:szCs w:val="21"/>
          <w:highlight w:val="none"/>
          <w:lang w:val="zh-CN" w:bidi="zh-CN"/>
        </w:rPr>
        <w:t>生产工作中有突出贡献或成绩显著的集体、个人应给予表彰和物资奖励；对乙方及有关人员发生的违法、违规行为和存在的问题以及在安全生产、文明施工等创优达标活动中不积极配合的，甲方有权制止、教育，并责成其限期整改，情节严重的按违约责任进行处理。</w:t>
      </w:r>
    </w:p>
    <w:p w14:paraId="32A6CFEC">
      <w:pPr>
        <w:tabs>
          <w:tab w:val="left" w:pos="0"/>
        </w:tabs>
        <w:snapToGrid w:val="0"/>
        <w:spacing w:before="120" w:beforeLines="50" w:line="360" w:lineRule="auto"/>
        <w:ind w:firstLine="420" w:firstLineChars="200"/>
        <w:rPr>
          <w:rFonts w:cs="Courier New"/>
          <w:color w:val="auto"/>
          <w:szCs w:val="21"/>
          <w:highlight w:val="none"/>
          <w:lang w:val="zh-CN" w:bidi="zh-CN"/>
        </w:rPr>
      </w:pPr>
      <w:r>
        <w:rPr>
          <w:rFonts w:hint="eastAsia" w:cs="Courier New"/>
          <w:color w:val="auto"/>
          <w:szCs w:val="21"/>
          <w:highlight w:val="none"/>
          <w:lang w:val="zh-CN" w:bidi="zh-CN"/>
        </w:rPr>
        <w:t>十四、凡乙方违反上述条款内容的，甲方可对乙方进行经济处理，乙方对甲方给予因安全责任违约的经济处理如有异议可要求复核；对甲方工作人员利用职权营私舞弊、故意刁难的行为，有权检举揭发，要求处理。</w:t>
      </w:r>
    </w:p>
    <w:p w14:paraId="354E7F1B">
      <w:pPr>
        <w:tabs>
          <w:tab w:val="left" w:pos="0"/>
        </w:tabs>
        <w:snapToGrid w:val="0"/>
        <w:spacing w:before="120" w:beforeLines="50" w:line="360" w:lineRule="auto"/>
        <w:ind w:firstLine="420" w:firstLineChars="200"/>
        <w:rPr>
          <w:rFonts w:cs="Courier New"/>
          <w:color w:val="auto"/>
          <w:szCs w:val="21"/>
          <w:highlight w:val="none"/>
          <w:lang w:val="zh-CN" w:bidi="zh-CN"/>
        </w:rPr>
      </w:pPr>
      <w:r>
        <w:rPr>
          <w:rFonts w:hint="eastAsia" w:cs="Courier New"/>
          <w:color w:val="auto"/>
          <w:szCs w:val="21"/>
          <w:highlight w:val="none"/>
          <w:lang w:val="zh-CN" w:bidi="zh-CN"/>
        </w:rPr>
        <w:t>十五、乙方承诺：为保证本工程建设安全生产工作的顺利进行，在施工期间乙方指派同志（从事过安全管理工作或具有同类工作经历三年以上）专职负责本工程的安全生产、文明施工、劳动保护和环境保护等管理工作，如该同志调动（变更）及时向甲方办理调动（变更）手续。</w:t>
      </w:r>
    </w:p>
    <w:p w14:paraId="31E0945C">
      <w:pPr>
        <w:tabs>
          <w:tab w:val="left" w:pos="0"/>
        </w:tabs>
        <w:snapToGrid w:val="0"/>
        <w:spacing w:before="120" w:beforeLines="50" w:line="360" w:lineRule="auto"/>
        <w:ind w:firstLine="420" w:firstLineChars="200"/>
        <w:rPr>
          <w:rFonts w:cs="Courier New"/>
          <w:color w:val="auto"/>
          <w:szCs w:val="21"/>
          <w:highlight w:val="none"/>
          <w:lang w:val="zh-CN" w:bidi="zh-CN"/>
        </w:rPr>
      </w:pPr>
      <w:r>
        <w:rPr>
          <w:rFonts w:hint="eastAsia" w:cs="Courier New"/>
          <w:color w:val="auto"/>
          <w:szCs w:val="21"/>
          <w:highlight w:val="none"/>
          <w:lang w:val="zh-CN" w:bidi="zh-CN"/>
        </w:rPr>
        <w:t>十六、本协议中未涉及的有关条款，甲乙双方可根据需要协商补充修改。如遇有国家和本市的有关法规、规定不符的，应按国家和本市有关法规、规定执行。</w:t>
      </w:r>
    </w:p>
    <w:p w14:paraId="05A14B9D">
      <w:pPr>
        <w:tabs>
          <w:tab w:val="left" w:pos="0"/>
        </w:tabs>
        <w:snapToGrid w:val="0"/>
        <w:spacing w:before="120" w:beforeLines="50" w:line="360" w:lineRule="auto"/>
        <w:ind w:firstLine="420" w:firstLineChars="200"/>
        <w:rPr>
          <w:rFonts w:cs="Courier New"/>
          <w:color w:val="auto"/>
          <w:szCs w:val="21"/>
          <w:highlight w:val="none"/>
          <w:lang w:val="zh-CN" w:bidi="zh-CN"/>
        </w:rPr>
      </w:pPr>
      <w:r>
        <w:rPr>
          <w:rFonts w:hint="eastAsia" w:cs="Courier New"/>
          <w:color w:val="auto"/>
          <w:szCs w:val="21"/>
          <w:highlight w:val="none"/>
          <w:lang w:val="zh-CN" w:bidi="zh-CN"/>
        </w:rPr>
        <w:t>十七、本协议作为甲乙双方工程合同的附件，在工程合同签约后生效，与工程合同具有同等法律效力。工程合同期满，本协议终止。</w:t>
      </w:r>
    </w:p>
    <w:p w14:paraId="2A166A09">
      <w:pPr>
        <w:tabs>
          <w:tab w:val="left" w:pos="0"/>
        </w:tabs>
        <w:snapToGrid w:val="0"/>
        <w:spacing w:before="120" w:beforeLines="50" w:line="360" w:lineRule="auto"/>
        <w:ind w:firstLine="420" w:firstLineChars="200"/>
        <w:rPr>
          <w:rFonts w:cs="Courier New"/>
          <w:color w:val="auto"/>
          <w:szCs w:val="21"/>
          <w:highlight w:val="none"/>
          <w:lang w:val="zh-CN" w:bidi="zh-CN"/>
        </w:rPr>
      </w:pPr>
      <w:r>
        <w:rPr>
          <w:rFonts w:hint="eastAsia" w:cs="Courier New"/>
          <w:color w:val="auto"/>
          <w:szCs w:val="21"/>
          <w:highlight w:val="none"/>
          <w:lang w:val="zh-CN" w:bidi="zh-CN"/>
        </w:rPr>
        <w:t>十八、承包人在施工过程中出现下列违规现象（详见下表）时，发包人将从工程承包人的工程款项中扣除相应违约金。</w:t>
      </w:r>
    </w:p>
    <w:p w14:paraId="631DEC9E">
      <w:pPr>
        <w:snapToGrid w:val="0"/>
        <w:spacing w:before="120" w:beforeLines="50" w:line="360" w:lineRule="auto"/>
        <w:ind w:firstLine="560"/>
        <w:rPr>
          <w:rFonts w:hAnsi="Courier New" w:cs="Courier New"/>
          <w:color w:val="auto"/>
          <w:szCs w:val="21"/>
          <w:highlight w:val="none"/>
          <w:lang w:val="zh-CN" w:bidi="zh-CN"/>
        </w:rPr>
      </w:pPr>
    </w:p>
    <w:p w14:paraId="7A69BA3B">
      <w:pPr>
        <w:spacing w:line="360" w:lineRule="auto"/>
        <w:ind w:firstLine="420" w:firstLineChars="200"/>
        <w:rPr>
          <w:color w:val="auto"/>
          <w:highlight w:val="none"/>
          <w:lang w:val="zh-CN" w:bidi="zh-CN"/>
        </w:rPr>
      </w:pPr>
      <w:r>
        <w:rPr>
          <w:rFonts w:hint="eastAsia"/>
          <w:color w:val="auto"/>
          <w:highlight w:val="none"/>
          <w:lang w:val="zh-CN" w:bidi="zh-CN"/>
        </w:rPr>
        <w:t xml:space="preserve">发包人： </w:t>
      </w:r>
      <w:r>
        <w:rPr>
          <w:color w:val="auto"/>
          <w:highlight w:val="none"/>
          <w:lang w:val="zh-CN" w:bidi="zh-CN"/>
        </w:rPr>
        <w:t xml:space="preserve">                   </w:t>
      </w:r>
      <w:r>
        <w:rPr>
          <w:rFonts w:hint="eastAsia"/>
          <w:color w:val="auto"/>
          <w:highlight w:val="none"/>
          <w:lang w:val="zh-CN" w:bidi="zh-CN"/>
        </w:rPr>
        <w:t xml:space="preserve">    承包人</w:t>
      </w:r>
      <w:r>
        <w:rPr>
          <w:rFonts w:hint="eastAsia"/>
          <w:color w:val="auto"/>
          <w:highlight w:val="none"/>
          <w:lang w:bidi="zh-CN"/>
        </w:rPr>
        <w:t>1</w:t>
      </w:r>
      <w:r>
        <w:rPr>
          <w:rFonts w:hint="eastAsia"/>
          <w:color w:val="auto"/>
          <w:highlight w:val="none"/>
          <w:lang w:val="zh-CN" w:bidi="zh-CN"/>
        </w:rPr>
        <w:t>：</w:t>
      </w:r>
    </w:p>
    <w:p w14:paraId="52430542">
      <w:pPr>
        <w:spacing w:line="360" w:lineRule="auto"/>
        <w:rPr>
          <w:color w:val="auto"/>
          <w:highlight w:val="none"/>
        </w:rPr>
      </w:pPr>
      <w:r>
        <w:rPr>
          <w:rFonts w:hint="eastAsia"/>
          <w:color w:val="auto"/>
          <w:highlight w:val="none"/>
        </w:rPr>
        <w:t xml:space="preserve">   （公章）                           （公章）</w:t>
      </w:r>
    </w:p>
    <w:p w14:paraId="2EE547BE">
      <w:pPr>
        <w:ind w:firstLine="4620" w:firstLineChars="2200"/>
        <w:rPr>
          <w:color w:val="auto"/>
          <w:highlight w:val="none"/>
          <w:lang w:bidi="zh-CN"/>
        </w:rPr>
      </w:pPr>
    </w:p>
    <w:p w14:paraId="3D16DF5A">
      <w:pPr>
        <w:ind w:firstLine="4830" w:firstLineChars="2300"/>
        <w:rPr>
          <w:color w:val="auto"/>
          <w:highlight w:val="none"/>
          <w:lang w:bidi="zh-CN"/>
        </w:rPr>
      </w:pPr>
    </w:p>
    <w:p w14:paraId="5E626D4F">
      <w:pPr>
        <w:ind w:firstLine="4830" w:firstLineChars="2300"/>
        <w:rPr>
          <w:color w:val="auto"/>
          <w:highlight w:val="none"/>
          <w:lang w:bidi="zh-CN"/>
        </w:rPr>
      </w:pPr>
    </w:p>
    <w:p w14:paraId="3828F18A">
      <w:pPr>
        <w:ind w:firstLine="3780" w:firstLineChars="1800"/>
        <w:rPr>
          <w:color w:val="auto"/>
          <w:highlight w:val="none"/>
          <w:lang w:bidi="zh-CN"/>
        </w:rPr>
      </w:pPr>
      <w:r>
        <w:rPr>
          <w:rFonts w:hint="eastAsia"/>
          <w:color w:val="auto"/>
          <w:highlight w:val="none"/>
          <w:lang w:bidi="zh-CN"/>
        </w:rPr>
        <w:t xml:space="preserve"> </w:t>
      </w:r>
      <w:r>
        <w:rPr>
          <w:rFonts w:hint="eastAsia"/>
          <w:color w:val="auto"/>
          <w:highlight w:val="none"/>
          <w:lang w:val="zh-CN" w:bidi="zh-CN"/>
        </w:rPr>
        <w:t>承包人</w:t>
      </w:r>
      <w:r>
        <w:rPr>
          <w:rFonts w:hint="eastAsia"/>
          <w:color w:val="auto"/>
          <w:highlight w:val="none"/>
          <w:lang w:bidi="zh-CN"/>
        </w:rPr>
        <w:t>2：</w:t>
      </w:r>
    </w:p>
    <w:p w14:paraId="7197BD9A">
      <w:pPr>
        <w:rPr>
          <w:color w:val="auto"/>
          <w:highlight w:val="none"/>
          <w:lang w:bidi="zh-CN"/>
        </w:rPr>
      </w:pPr>
    </w:p>
    <w:p w14:paraId="24868578">
      <w:pPr>
        <w:rPr>
          <w:color w:val="auto"/>
          <w:highlight w:val="none"/>
          <w:lang w:bidi="zh-CN"/>
        </w:rPr>
        <w:sectPr>
          <w:pgSz w:w="11907" w:h="16840"/>
          <w:pgMar w:top="1304" w:right="1474" w:bottom="1304" w:left="1474" w:header="737" w:footer="737" w:gutter="0"/>
          <w:cols w:space="720" w:num="1"/>
          <w:docGrid w:linePitch="326" w:charSpace="0"/>
        </w:sectPr>
      </w:pPr>
      <w:r>
        <w:rPr>
          <w:rFonts w:hint="eastAsia"/>
          <w:color w:val="auto"/>
          <w:highlight w:val="none"/>
          <w:lang w:bidi="zh-CN"/>
        </w:rPr>
        <w:t xml:space="preserve">                                       （公章）</w:t>
      </w:r>
    </w:p>
    <w:p w14:paraId="1BF1A907">
      <w:pPr>
        <w:jc w:val="center"/>
        <w:rPr>
          <w:rFonts w:cs="Courier New"/>
          <w:b/>
          <w:bCs/>
          <w:color w:val="auto"/>
          <w:sz w:val="28"/>
          <w:szCs w:val="28"/>
          <w:highlight w:val="none"/>
          <w:lang w:val="zh-CN" w:bidi="zh-CN"/>
        </w:rPr>
      </w:pPr>
      <w:r>
        <w:rPr>
          <w:rFonts w:hint="eastAsia" w:cs="Courier New"/>
          <w:b/>
          <w:bCs/>
          <w:color w:val="auto"/>
          <w:sz w:val="28"/>
          <w:szCs w:val="28"/>
          <w:highlight w:val="none"/>
          <w:lang w:val="zh-CN" w:bidi="zh-CN"/>
        </w:rPr>
        <w:t>违规现场处罚情况表</w:t>
      </w:r>
    </w:p>
    <w:tbl>
      <w:tblPr>
        <w:tblStyle w:val="7"/>
        <w:tblW w:w="905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254"/>
        <w:gridCol w:w="1984"/>
        <w:gridCol w:w="2121"/>
      </w:tblGrid>
      <w:tr w14:paraId="6FBB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8" w:type="dxa"/>
            <w:noWrap/>
            <w:vAlign w:val="center"/>
          </w:tcPr>
          <w:p w14:paraId="59A85BC4">
            <w:pPr>
              <w:widowControl/>
              <w:jc w:val="center"/>
              <w:rPr>
                <w:b/>
                <w:bCs/>
                <w:color w:val="auto"/>
                <w:szCs w:val="21"/>
                <w:highlight w:val="none"/>
              </w:rPr>
            </w:pPr>
            <w:r>
              <w:rPr>
                <w:rFonts w:hint="eastAsia"/>
                <w:b/>
                <w:bCs/>
                <w:color w:val="auto"/>
                <w:szCs w:val="21"/>
                <w:highlight w:val="none"/>
              </w:rPr>
              <w:t>序号</w:t>
            </w:r>
          </w:p>
        </w:tc>
        <w:tc>
          <w:tcPr>
            <w:tcW w:w="4254" w:type="dxa"/>
            <w:noWrap/>
            <w:vAlign w:val="center"/>
          </w:tcPr>
          <w:p w14:paraId="1FA82BDB">
            <w:pPr>
              <w:widowControl/>
              <w:jc w:val="center"/>
              <w:rPr>
                <w:b/>
                <w:bCs/>
                <w:color w:val="auto"/>
                <w:szCs w:val="21"/>
                <w:highlight w:val="none"/>
              </w:rPr>
            </w:pPr>
            <w:r>
              <w:rPr>
                <w:rFonts w:hint="eastAsia"/>
                <w:b/>
                <w:bCs/>
                <w:color w:val="auto"/>
                <w:szCs w:val="21"/>
                <w:highlight w:val="none"/>
              </w:rPr>
              <w:t>违规内容</w:t>
            </w:r>
          </w:p>
        </w:tc>
        <w:tc>
          <w:tcPr>
            <w:tcW w:w="1984" w:type="dxa"/>
            <w:noWrap/>
            <w:vAlign w:val="center"/>
          </w:tcPr>
          <w:p w14:paraId="0BF693D3">
            <w:pPr>
              <w:widowControl/>
              <w:jc w:val="center"/>
              <w:rPr>
                <w:b/>
                <w:bCs/>
                <w:color w:val="auto"/>
                <w:szCs w:val="21"/>
                <w:highlight w:val="none"/>
              </w:rPr>
            </w:pPr>
            <w:r>
              <w:rPr>
                <w:rFonts w:hint="eastAsia"/>
                <w:b/>
                <w:bCs/>
                <w:color w:val="auto"/>
                <w:szCs w:val="21"/>
                <w:highlight w:val="none"/>
              </w:rPr>
              <w:t>承包人违约金</w:t>
            </w:r>
          </w:p>
        </w:tc>
        <w:tc>
          <w:tcPr>
            <w:tcW w:w="2121" w:type="dxa"/>
            <w:noWrap/>
            <w:vAlign w:val="center"/>
          </w:tcPr>
          <w:p w14:paraId="021A149B">
            <w:pPr>
              <w:widowControl/>
              <w:jc w:val="center"/>
              <w:rPr>
                <w:b/>
                <w:bCs/>
                <w:color w:val="auto"/>
                <w:szCs w:val="21"/>
                <w:highlight w:val="none"/>
              </w:rPr>
            </w:pPr>
            <w:r>
              <w:rPr>
                <w:rFonts w:hint="eastAsia"/>
                <w:b/>
                <w:bCs/>
                <w:color w:val="auto"/>
                <w:szCs w:val="21"/>
                <w:highlight w:val="none"/>
              </w:rPr>
              <w:t>备注</w:t>
            </w:r>
          </w:p>
        </w:tc>
      </w:tr>
      <w:tr w14:paraId="4481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98" w:type="dxa"/>
            <w:noWrap/>
            <w:vAlign w:val="center"/>
          </w:tcPr>
          <w:p w14:paraId="6A36603D">
            <w:pPr>
              <w:widowControl/>
              <w:jc w:val="center"/>
              <w:rPr>
                <w:color w:val="auto"/>
                <w:szCs w:val="21"/>
                <w:highlight w:val="none"/>
              </w:rPr>
            </w:pPr>
            <w:r>
              <w:rPr>
                <w:rFonts w:hint="eastAsia"/>
                <w:color w:val="auto"/>
                <w:szCs w:val="21"/>
                <w:highlight w:val="none"/>
              </w:rPr>
              <w:t>1</w:t>
            </w:r>
          </w:p>
        </w:tc>
        <w:tc>
          <w:tcPr>
            <w:tcW w:w="4254" w:type="dxa"/>
            <w:noWrap/>
            <w:vAlign w:val="center"/>
          </w:tcPr>
          <w:p w14:paraId="36230F7A">
            <w:pPr>
              <w:widowControl/>
              <w:rPr>
                <w:color w:val="auto"/>
                <w:szCs w:val="21"/>
                <w:highlight w:val="none"/>
              </w:rPr>
            </w:pPr>
            <w:r>
              <w:rPr>
                <w:rFonts w:hint="eastAsia"/>
                <w:color w:val="auto"/>
                <w:szCs w:val="21"/>
                <w:highlight w:val="none"/>
              </w:rPr>
              <w:t>进入施工现场吸烟、不戴安全帽或工作牌</w:t>
            </w:r>
          </w:p>
        </w:tc>
        <w:tc>
          <w:tcPr>
            <w:tcW w:w="1984" w:type="dxa"/>
            <w:noWrap/>
            <w:vAlign w:val="center"/>
          </w:tcPr>
          <w:p w14:paraId="5CA2BDCC">
            <w:pPr>
              <w:widowControl/>
              <w:rPr>
                <w:color w:val="auto"/>
                <w:szCs w:val="21"/>
                <w:highlight w:val="none"/>
              </w:rPr>
            </w:pPr>
            <w:r>
              <w:rPr>
                <w:color w:val="auto"/>
                <w:szCs w:val="21"/>
                <w:highlight w:val="none"/>
              </w:rPr>
              <w:t>200</w:t>
            </w:r>
            <w:r>
              <w:rPr>
                <w:rFonts w:hint="eastAsia"/>
                <w:color w:val="auto"/>
                <w:szCs w:val="21"/>
                <w:highlight w:val="none"/>
              </w:rPr>
              <w:t>元/次×人</w:t>
            </w:r>
          </w:p>
        </w:tc>
        <w:tc>
          <w:tcPr>
            <w:tcW w:w="2121" w:type="dxa"/>
            <w:noWrap/>
            <w:vAlign w:val="center"/>
          </w:tcPr>
          <w:p w14:paraId="48602955">
            <w:pPr>
              <w:widowControl/>
              <w:rPr>
                <w:color w:val="auto"/>
                <w:szCs w:val="21"/>
                <w:highlight w:val="none"/>
              </w:rPr>
            </w:pPr>
            <w:r>
              <w:rPr>
                <w:rFonts w:hint="eastAsia"/>
                <w:color w:val="auto"/>
                <w:szCs w:val="21"/>
                <w:highlight w:val="none"/>
              </w:rPr>
              <w:t>　</w:t>
            </w:r>
          </w:p>
        </w:tc>
      </w:tr>
      <w:tr w14:paraId="1F3C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98" w:type="dxa"/>
            <w:noWrap/>
            <w:vAlign w:val="center"/>
          </w:tcPr>
          <w:p w14:paraId="03EBBBE9">
            <w:pPr>
              <w:widowControl/>
              <w:jc w:val="center"/>
              <w:rPr>
                <w:color w:val="auto"/>
                <w:szCs w:val="21"/>
                <w:highlight w:val="none"/>
              </w:rPr>
            </w:pPr>
            <w:r>
              <w:rPr>
                <w:rFonts w:hint="eastAsia"/>
                <w:color w:val="auto"/>
                <w:szCs w:val="21"/>
                <w:highlight w:val="none"/>
              </w:rPr>
              <w:t>2</w:t>
            </w:r>
          </w:p>
        </w:tc>
        <w:tc>
          <w:tcPr>
            <w:tcW w:w="4254" w:type="dxa"/>
            <w:noWrap/>
            <w:vAlign w:val="center"/>
          </w:tcPr>
          <w:p w14:paraId="7031EA7D">
            <w:pPr>
              <w:widowControl/>
              <w:rPr>
                <w:color w:val="auto"/>
                <w:szCs w:val="21"/>
                <w:highlight w:val="none"/>
              </w:rPr>
            </w:pPr>
            <w:r>
              <w:rPr>
                <w:rFonts w:hint="eastAsia"/>
                <w:color w:val="auto"/>
                <w:szCs w:val="21"/>
                <w:highlight w:val="none"/>
              </w:rPr>
              <w:t>安全网空洞，楼梯、电梯井口、通道口无围栏</w:t>
            </w:r>
          </w:p>
        </w:tc>
        <w:tc>
          <w:tcPr>
            <w:tcW w:w="1984" w:type="dxa"/>
            <w:noWrap/>
            <w:vAlign w:val="center"/>
          </w:tcPr>
          <w:p w14:paraId="7DB86D19">
            <w:pPr>
              <w:widowControl/>
              <w:rPr>
                <w:color w:val="auto"/>
                <w:szCs w:val="21"/>
                <w:highlight w:val="none"/>
              </w:rPr>
            </w:pPr>
            <w:r>
              <w:rPr>
                <w:rFonts w:hint="eastAsia"/>
                <w:color w:val="auto"/>
                <w:szCs w:val="21"/>
                <w:highlight w:val="none"/>
              </w:rPr>
              <w:t>500元/处</w:t>
            </w:r>
          </w:p>
        </w:tc>
        <w:tc>
          <w:tcPr>
            <w:tcW w:w="2121" w:type="dxa"/>
            <w:noWrap/>
            <w:vAlign w:val="center"/>
          </w:tcPr>
          <w:p w14:paraId="47D3302A">
            <w:pPr>
              <w:widowControl/>
              <w:rPr>
                <w:color w:val="auto"/>
                <w:szCs w:val="21"/>
                <w:highlight w:val="none"/>
              </w:rPr>
            </w:pPr>
            <w:r>
              <w:rPr>
                <w:rFonts w:hint="eastAsia"/>
                <w:color w:val="auto"/>
                <w:szCs w:val="21"/>
                <w:highlight w:val="none"/>
              </w:rPr>
              <w:t>　</w:t>
            </w:r>
          </w:p>
        </w:tc>
      </w:tr>
      <w:tr w14:paraId="4869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98" w:type="dxa"/>
            <w:noWrap/>
            <w:vAlign w:val="center"/>
          </w:tcPr>
          <w:p w14:paraId="37AC6139">
            <w:pPr>
              <w:widowControl/>
              <w:jc w:val="center"/>
              <w:rPr>
                <w:color w:val="auto"/>
                <w:szCs w:val="21"/>
                <w:highlight w:val="none"/>
              </w:rPr>
            </w:pPr>
            <w:r>
              <w:rPr>
                <w:rFonts w:hint="eastAsia"/>
                <w:color w:val="auto"/>
                <w:szCs w:val="21"/>
                <w:highlight w:val="none"/>
              </w:rPr>
              <w:t>3</w:t>
            </w:r>
          </w:p>
        </w:tc>
        <w:tc>
          <w:tcPr>
            <w:tcW w:w="4254" w:type="dxa"/>
            <w:noWrap/>
            <w:vAlign w:val="center"/>
          </w:tcPr>
          <w:p w14:paraId="5302C048">
            <w:pPr>
              <w:widowControl/>
              <w:rPr>
                <w:color w:val="auto"/>
                <w:szCs w:val="21"/>
                <w:highlight w:val="none"/>
              </w:rPr>
            </w:pPr>
            <w:r>
              <w:rPr>
                <w:rFonts w:hint="eastAsia"/>
                <w:color w:val="auto"/>
                <w:szCs w:val="21"/>
                <w:highlight w:val="none"/>
              </w:rPr>
              <w:t>临时围墙、大门破损</w:t>
            </w:r>
          </w:p>
        </w:tc>
        <w:tc>
          <w:tcPr>
            <w:tcW w:w="1984" w:type="dxa"/>
            <w:noWrap/>
            <w:vAlign w:val="center"/>
          </w:tcPr>
          <w:p w14:paraId="3EC59781">
            <w:pPr>
              <w:widowControl/>
              <w:rPr>
                <w:color w:val="auto"/>
                <w:szCs w:val="21"/>
                <w:highlight w:val="none"/>
              </w:rPr>
            </w:pPr>
            <w:r>
              <w:rPr>
                <w:rFonts w:hint="eastAsia"/>
                <w:color w:val="auto"/>
                <w:szCs w:val="21"/>
                <w:highlight w:val="none"/>
              </w:rPr>
              <w:t>500元/处</w:t>
            </w:r>
          </w:p>
        </w:tc>
        <w:tc>
          <w:tcPr>
            <w:tcW w:w="2121" w:type="dxa"/>
            <w:noWrap/>
            <w:vAlign w:val="center"/>
          </w:tcPr>
          <w:p w14:paraId="07EB6307">
            <w:pPr>
              <w:widowControl/>
              <w:rPr>
                <w:color w:val="auto"/>
                <w:szCs w:val="21"/>
                <w:highlight w:val="none"/>
              </w:rPr>
            </w:pPr>
            <w:r>
              <w:rPr>
                <w:rFonts w:hint="eastAsia"/>
                <w:color w:val="auto"/>
                <w:szCs w:val="21"/>
                <w:highlight w:val="none"/>
              </w:rPr>
              <w:t>　</w:t>
            </w:r>
          </w:p>
        </w:tc>
      </w:tr>
      <w:tr w14:paraId="3816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8" w:type="dxa"/>
            <w:noWrap/>
            <w:vAlign w:val="center"/>
          </w:tcPr>
          <w:p w14:paraId="56322D8B">
            <w:pPr>
              <w:widowControl/>
              <w:jc w:val="center"/>
              <w:rPr>
                <w:color w:val="auto"/>
                <w:szCs w:val="21"/>
                <w:highlight w:val="none"/>
              </w:rPr>
            </w:pPr>
            <w:r>
              <w:rPr>
                <w:rFonts w:hint="eastAsia"/>
                <w:color w:val="auto"/>
                <w:szCs w:val="21"/>
                <w:highlight w:val="none"/>
              </w:rPr>
              <w:t>4</w:t>
            </w:r>
          </w:p>
        </w:tc>
        <w:tc>
          <w:tcPr>
            <w:tcW w:w="4254" w:type="dxa"/>
            <w:noWrap/>
            <w:vAlign w:val="center"/>
          </w:tcPr>
          <w:p w14:paraId="3088DBD4">
            <w:pPr>
              <w:widowControl/>
              <w:rPr>
                <w:color w:val="auto"/>
                <w:szCs w:val="21"/>
                <w:highlight w:val="none"/>
              </w:rPr>
            </w:pPr>
            <w:r>
              <w:rPr>
                <w:rFonts w:hint="eastAsia"/>
                <w:color w:val="auto"/>
                <w:szCs w:val="21"/>
                <w:highlight w:val="none"/>
              </w:rPr>
              <w:t>现场材料乱堆乱放</w:t>
            </w:r>
          </w:p>
        </w:tc>
        <w:tc>
          <w:tcPr>
            <w:tcW w:w="1984" w:type="dxa"/>
            <w:noWrap/>
            <w:vAlign w:val="center"/>
          </w:tcPr>
          <w:p w14:paraId="0E278F6A">
            <w:pPr>
              <w:widowControl/>
              <w:rPr>
                <w:color w:val="auto"/>
                <w:szCs w:val="21"/>
                <w:highlight w:val="none"/>
              </w:rPr>
            </w:pPr>
            <w:r>
              <w:rPr>
                <w:rFonts w:hint="eastAsia"/>
                <w:color w:val="auto"/>
                <w:szCs w:val="21"/>
                <w:highlight w:val="none"/>
              </w:rPr>
              <w:t>500元/次</w:t>
            </w:r>
          </w:p>
        </w:tc>
        <w:tc>
          <w:tcPr>
            <w:tcW w:w="2121" w:type="dxa"/>
            <w:noWrap/>
            <w:vAlign w:val="center"/>
          </w:tcPr>
          <w:p w14:paraId="3EA070F0">
            <w:pPr>
              <w:widowControl/>
              <w:rPr>
                <w:color w:val="auto"/>
                <w:szCs w:val="21"/>
                <w:highlight w:val="none"/>
              </w:rPr>
            </w:pPr>
            <w:r>
              <w:rPr>
                <w:rFonts w:hint="eastAsia"/>
                <w:color w:val="auto"/>
                <w:szCs w:val="21"/>
                <w:highlight w:val="none"/>
              </w:rPr>
              <w:t>　</w:t>
            </w:r>
          </w:p>
        </w:tc>
      </w:tr>
      <w:tr w14:paraId="029F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698" w:type="dxa"/>
            <w:vAlign w:val="center"/>
          </w:tcPr>
          <w:p w14:paraId="59A6DA0B">
            <w:pPr>
              <w:widowControl/>
              <w:jc w:val="center"/>
              <w:rPr>
                <w:color w:val="auto"/>
                <w:szCs w:val="21"/>
                <w:highlight w:val="none"/>
              </w:rPr>
            </w:pPr>
            <w:r>
              <w:rPr>
                <w:color w:val="auto"/>
                <w:szCs w:val="21"/>
                <w:highlight w:val="none"/>
              </w:rPr>
              <w:t>5</w:t>
            </w:r>
          </w:p>
        </w:tc>
        <w:tc>
          <w:tcPr>
            <w:tcW w:w="4254" w:type="dxa"/>
            <w:vAlign w:val="center"/>
          </w:tcPr>
          <w:p w14:paraId="39D50381">
            <w:pPr>
              <w:widowControl/>
              <w:rPr>
                <w:color w:val="auto"/>
                <w:szCs w:val="21"/>
                <w:highlight w:val="none"/>
              </w:rPr>
            </w:pPr>
            <w:r>
              <w:rPr>
                <w:rFonts w:hint="eastAsia"/>
                <w:color w:val="auto"/>
                <w:szCs w:val="21"/>
                <w:highlight w:val="none"/>
              </w:rPr>
              <w:t>　</w:t>
            </w:r>
          </w:p>
          <w:p w14:paraId="624CDD61">
            <w:pPr>
              <w:widowControl/>
              <w:rPr>
                <w:color w:val="auto"/>
                <w:szCs w:val="21"/>
                <w:highlight w:val="none"/>
              </w:rPr>
            </w:pPr>
            <w:r>
              <w:rPr>
                <w:rFonts w:hint="eastAsia"/>
                <w:color w:val="auto"/>
                <w:szCs w:val="21"/>
                <w:highlight w:val="none"/>
              </w:rPr>
              <w:t>工程总承包项目负责人及项目组成员不参加或擅自离开或无故缺席项目例会</w:t>
            </w:r>
          </w:p>
        </w:tc>
        <w:tc>
          <w:tcPr>
            <w:tcW w:w="1984" w:type="dxa"/>
            <w:vAlign w:val="center"/>
          </w:tcPr>
          <w:p w14:paraId="04CADD46">
            <w:pPr>
              <w:widowControl/>
              <w:rPr>
                <w:color w:val="auto"/>
                <w:szCs w:val="21"/>
                <w:highlight w:val="none"/>
              </w:rPr>
            </w:pPr>
            <w:r>
              <w:rPr>
                <w:color w:val="auto"/>
                <w:szCs w:val="21"/>
                <w:highlight w:val="none"/>
              </w:rPr>
              <w:t>2</w:t>
            </w:r>
            <w:r>
              <w:rPr>
                <w:rFonts w:hint="eastAsia"/>
                <w:color w:val="auto"/>
                <w:szCs w:val="21"/>
                <w:highlight w:val="none"/>
              </w:rPr>
              <w:t>000元／次</w:t>
            </w:r>
          </w:p>
        </w:tc>
        <w:tc>
          <w:tcPr>
            <w:tcW w:w="2121" w:type="dxa"/>
            <w:vAlign w:val="center"/>
          </w:tcPr>
          <w:p w14:paraId="01B4892C">
            <w:pPr>
              <w:widowControl/>
              <w:rPr>
                <w:color w:val="auto"/>
                <w:szCs w:val="21"/>
                <w:highlight w:val="none"/>
              </w:rPr>
            </w:pPr>
            <w:r>
              <w:rPr>
                <w:rFonts w:hint="eastAsia"/>
                <w:color w:val="auto"/>
                <w:szCs w:val="21"/>
                <w:highlight w:val="none"/>
              </w:rPr>
              <w:t>累计发生三次（含三次）以上，则发包人有权要求对此工程总承包项目经理进行撤换，承包人向发包人另行承担人民币10 万元违约金。</w:t>
            </w:r>
          </w:p>
        </w:tc>
      </w:tr>
      <w:tr w14:paraId="1ECC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98" w:type="dxa"/>
            <w:vAlign w:val="center"/>
          </w:tcPr>
          <w:p w14:paraId="0D8CBF6F">
            <w:pPr>
              <w:widowControl/>
              <w:jc w:val="center"/>
              <w:rPr>
                <w:color w:val="auto"/>
                <w:szCs w:val="21"/>
                <w:highlight w:val="none"/>
              </w:rPr>
            </w:pPr>
            <w:r>
              <w:rPr>
                <w:rFonts w:hint="eastAsia"/>
                <w:color w:val="auto"/>
                <w:szCs w:val="21"/>
                <w:highlight w:val="none"/>
              </w:rPr>
              <w:t>6</w:t>
            </w:r>
          </w:p>
        </w:tc>
        <w:tc>
          <w:tcPr>
            <w:tcW w:w="4254" w:type="dxa"/>
            <w:vAlign w:val="center"/>
          </w:tcPr>
          <w:p w14:paraId="7F765EAB">
            <w:pPr>
              <w:widowControl/>
              <w:rPr>
                <w:color w:val="auto"/>
                <w:szCs w:val="21"/>
                <w:highlight w:val="none"/>
              </w:rPr>
            </w:pPr>
            <w:r>
              <w:rPr>
                <w:rFonts w:hint="eastAsia"/>
                <w:color w:val="auto"/>
                <w:szCs w:val="21"/>
                <w:highlight w:val="none"/>
              </w:rPr>
              <w:t>承包人在接到通知后10天后，增派的人员未到岗</w:t>
            </w:r>
          </w:p>
        </w:tc>
        <w:tc>
          <w:tcPr>
            <w:tcW w:w="1984" w:type="dxa"/>
            <w:vAlign w:val="center"/>
          </w:tcPr>
          <w:p w14:paraId="6AA8BB2A">
            <w:pPr>
              <w:widowControl/>
              <w:rPr>
                <w:color w:val="auto"/>
                <w:szCs w:val="21"/>
                <w:highlight w:val="none"/>
              </w:rPr>
            </w:pPr>
            <w:r>
              <w:rPr>
                <w:rFonts w:hint="eastAsia"/>
                <w:color w:val="auto"/>
                <w:szCs w:val="21"/>
                <w:highlight w:val="none"/>
              </w:rPr>
              <w:t>20000元／人／天</w:t>
            </w:r>
          </w:p>
        </w:tc>
        <w:tc>
          <w:tcPr>
            <w:tcW w:w="2121" w:type="dxa"/>
            <w:vAlign w:val="center"/>
          </w:tcPr>
          <w:p w14:paraId="58F0D8E1">
            <w:pPr>
              <w:widowControl/>
              <w:jc w:val="center"/>
              <w:rPr>
                <w:color w:val="auto"/>
                <w:szCs w:val="21"/>
                <w:highlight w:val="none"/>
              </w:rPr>
            </w:pPr>
            <w:r>
              <w:rPr>
                <w:rFonts w:hint="eastAsia"/>
                <w:color w:val="auto"/>
                <w:szCs w:val="21"/>
                <w:highlight w:val="none"/>
              </w:rPr>
              <w:t>　</w:t>
            </w:r>
          </w:p>
        </w:tc>
      </w:tr>
      <w:tr w14:paraId="492D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98" w:type="dxa"/>
            <w:vAlign w:val="center"/>
          </w:tcPr>
          <w:p w14:paraId="7FEE3273">
            <w:pPr>
              <w:widowControl/>
              <w:jc w:val="center"/>
              <w:rPr>
                <w:color w:val="auto"/>
                <w:szCs w:val="21"/>
                <w:highlight w:val="none"/>
              </w:rPr>
            </w:pPr>
            <w:r>
              <w:rPr>
                <w:rFonts w:hint="eastAsia"/>
                <w:color w:val="auto"/>
                <w:szCs w:val="21"/>
                <w:highlight w:val="none"/>
              </w:rPr>
              <w:t>7</w:t>
            </w:r>
          </w:p>
        </w:tc>
        <w:tc>
          <w:tcPr>
            <w:tcW w:w="4254" w:type="dxa"/>
            <w:vAlign w:val="center"/>
          </w:tcPr>
          <w:p w14:paraId="639F18C5">
            <w:pPr>
              <w:widowControl/>
              <w:rPr>
                <w:color w:val="auto"/>
                <w:szCs w:val="21"/>
                <w:highlight w:val="none"/>
              </w:rPr>
            </w:pPr>
            <w:r>
              <w:rPr>
                <w:rFonts w:hint="eastAsia"/>
                <w:color w:val="auto"/>
                <w:szCs w:val="21"/>
                <w:highlight w:val="none"/>
              </w:rPr>
              <w:t>承包人不称职的管理人员，经工程师提出，发包人同意，未在24小时内调离本工程范围</w:t>
            </w:r>
          </w:p>
        </w:tc>
        <w:tc>
          <w:tcPr>
            <w:tcW w:w="1984" w:type="dxa"/>
            <w:vAlign w:val="center"/>
          </w:tcPr>
          <w:p w14:paraId="2DE81DB4">
            <w:pPr>
              <w:widowControl/>
              <w:rPr>
                <w:color w:val="auto"/>
                <w:szCs w:val="21"/>
                <w:highlight w:val="none"/>
              </w:rPr>
            </w:pPr>
            <w:r>
              <w:rPr>
                <w:rFonts w:hint="eastAsia"/>
                <w:color w:val="auto"/>
                <w:szCs w:val="21"/>
                <w:highlight w:val="none"/>
              </w:rPr>
              <w:t>5000元／人</w:t>
            </w:r>
          </w:p>
        </w:tc>
        <w:tc>
          <w:tcPr>
            <w:tcW w:w="2121" w:type="dxa"/>
            <w:vAlign w:val="center"/>
          </w:tcPr>
          <w:p w14:paraId="5E323C33">
            <w:pPr>
              <w:widowControl/>
              <w:jc w:val="center"/>
              <w:rPr>
                <w:color w:val="auto"/>
                <w:szCs w:val="21"/>
                <w:highlight w:val="none"/>
              </w:rPr>
            </w:pPr>
            <w:r>
              <w:rPr>
                <w:rFonts w:hint="eastAsia"/>
                <w:color w:val="auto"/>
                <w:szCs w:val="21"/>
                <w:highlight w:val="none"/>
              </w:rPr>
              <w:t>　</w:t>
            </w:r>
          </w:p>
        </w:tc>
      </w:tr>
      <w:tr w14:paraId="3B88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8" w:type="dxa"/>
            <w:vAlign w:val="center"/>
          </w:tcPr>
          <w:p w14:paraId="00D03520">
            <w:pPr>
              <w:widowControl/>
              <w:jc w:val="center"/>
              <w:rPr>
                <w:color w:val="auto"/>
                <w:szCs w:val="21"/>
                <w:highlight w:val="none"/>
              </w:rPr>
            </w:pPr>
            <w:r>
              <w:rPr>
                <w:rFonts w:hint="eastAsia"/>
                <w:color w:val="auto"/>
                <w:szCs w:val="21"/>
                <w:highlight w:val="none"/>
              </w:rPr>
              <w:t>8</w:t>
            </w:r>
          </w:p>
        </w:tc>
        <w:tc>
          <w:tcPr>
            <w:tcW w:w="4254" w:type="dxa"/>
            <w:vAlign w:val="center"/>
          </w:tcPr>
          <w:p w14:paraId="782547EA">
            <w:pPr>
              <w:widowControl/>
              <w:rPr>
                <w:color w:val="auto"/>
                <w:szCs w:val="21"/>
                <w:highlight w:val="none"/>
              </w:rPr>
            </w:pPr>
            <w:r>
              <w:rPr>
                <w:rFonts w:hint="eastAsia"/>
                <w:color w:val="auto"/>
                <w:szCs w:val="21"/>
                <w:highlight w:val="none"/>
              </w:rPr>
              <w:t>承包人未在3天内完成用合格的人员（发包人批准）代替上述调离的任何人员</w:t>
            </w:r>
          </w:p>
        </w:tc>
        <w:tc>
          <w:tcPr>
            <w:tcW w:w="1984" w:type="dxa"/>
            <w:vAlign w:val="center"/>
          </w:tcPr>
          <w:p w14:paraId="1CD9A971">
            <w:pPr>
              <w:widowControl/>
              <w:rPr>
                <w:color w:val="auto"/>
                <w:szCs w:val="21"/>
                <w:highlight w:val="none"/>
              </w:rPr>
            </w:pPr>
            <w:r>
              <w:rPr>
                <w:rFonts w:hint="eastAsia"/>
                <w:color w:val="auto"/>
                <w:szCs w:val="21"/>
                <w:highlight w:val="none"/>
              </w:rPr>
              <w:t>5000元／人／天</w:t>
            </w:r>
          </w:p>
        </w:tc>
        <w:tc>
          <w:tcPr>
            <w:tcW w:w="2121" w:type="dxa"/>
            <w:vAlign w:val="center"/>
          </w:tcPr>
          <w:p w14:paraId="25356C63">
            <w:pPr>
              <w:widowControl/>
              <w:jc w:val="center"/>
              <w:rPr>
                <w:color w:val="auto"/>
                <w:szCs w:val="21"/>
                <w:highlight w:val="none"/>
              </w:rPr>
            </w:pPr>
            <w:r>
              <w:rPr>
                <w:rFonts w:hint="eastAsia"/>
                <w:color w:val="auto"/>
                <w:szCs w:val="21"/>
                <w:highlight w:val="none"/>
              </w:rPr>
              <w:t>　</w:t>
            </w:r>
          </w:p>
        </w:tc>
      </w:tr>
      <w:tr w14:paraId="3847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8" w:type="dxa"/>
            <w:noWrap/>
            <w:vAlign w:val="center"/>
          </w:tcPr>
          <w:p w14:paraId="383E0E48">
            <w:pPr>
              <w:widowControl/>
              <w:jc w:val="center"/>
              <w:rPr>
                <w:color w:val="auto"/>
                <w:szCs w:val="21"/>
                <w:highlight w:val="none"/>
              </w:rPr>
            </w:pPr>
            <w:r>
              <w:rPr>
                <w:color w:val="auto"/>
                <w:szCs w:val="21"/>
                <w:highlight w:val="none"/>
              </w:rPr>
              <w:t>9</w:t>
            </w:r>
          </w:p>
        </w:tc>
        <w:tc>
          <w:tcPr>
            <w:tcW w:w="4254" w:type="dxa"/>
            <w:noWrap/>
            <w:vAlign w:val="center"/>
          </w:tcPr>
          <w:p w14:paraId="219BA4AC">
            <w:pPr>
              <w:widowControl/>
              <w:rPr>
                <w:color w:val="auto"/>
                <w:szCs w:val="21"/>
                <w:highlight w:val="none"/>
              </w:rPr>
            </w:pPr>
            <w:r>
              <w:rPr>
                <w:rFonts w:hint="eastAsia"/>
                <w:color w:val="auto"/>
                <w:szCs w:val="21"/>
                <w:highlight w:val="none"/>
              </w:rPr>
              <w:t>生活区(办公室、宿舍、厨房及厕所等)卫生差</w:t>
            </w:r>
          </w:p>
        </w:tc>
        <w:tc>
          <w:tcPr>
            <w:tcW w:w="1984" w:type="dxa"/>
            <w:noWrap/>
            <w:vAlign w:val="center"/>
          </w:tcPr>
          <w:p w14:paraId="41709D77">
            <w:pPr>
              <w:widowControl/>
              <w:rPr>
                <w:color w:val="auto"/>
                <w:szCs w:val="21"/>
                <w:highlight w:val="none"/>
              </w:rPr>
            </w:pPr>
            <w:r>
              <w:rPr>
                <w:rFonts w:hint="eastAsia"/>
                <w:color w:val="auto"/>
                <w:szCs w:val="21"/>
                <w:highlight w:val="none"/>
              </w:rPr>
              <w:t>1000元/次</w:t>
            </w:r>
          </w:p>
        </w:tc>
        <w:tc>
          <w:tcPr>
            <w:tcW w:w="2121" w:type="dxa"/>
            <w:noWrap/>
            <w:vAlign w:val="center"/>
          </w:tcPr>
          <w:p w14:paraId="51D7E1ED">
            <w:pPr>
              <w:widowControl/>
              <w:rPr>
                <w:color w:val="auto"/>
                <w:szCs w:val="21"/>
                <w:highlight w:val="none"/>
              </w:rPr>
            </w:pPr>
            <w:r>
              <w:rPr>
                <w:rFonts w:hint="eastAsia"/>
                <w:color w:val="auto"/>
                <w:szCs w:val="21"/>
                <w:highlight w:val="none"/>
              </w:rPr>
              <w:t>　</w:t>
            </w:r>
          </w:p>
        </w:tc>
      </w:tr>
      <w:tr w14:paraId="2825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98" w:type="dxa"/>
            <w:noWrap/>
            <w:vAlign w:val="center"/>
          </w:tcPr>
          <w:p w14:paraId="6A9BF7DC">
            <w:pPr>
              <w:widowControl/>
              <w:jc w:val="center"/>
              <w:rPr>
                <w:color w:val="auto"/>
                <w:szCs w:val="21"/>
                <w:highlight w:val="none"/>
              </w:rPr>
            </w:pPr>
            <w:r>
              <w:rPr>
                <w:color w:val="auto"/>
                <w:szCs w:val="21"/>
                <w:highlight w:val="none"/>
              </w:rPr>
              <w:t>10</w:t>
            </w:r>
          </w:p>
        </w:tc>
        <w:tc>
          <w:tcPr>
            <w:tcW w:w="4254" w:type="dxa"/>
            <w:noWrap/>
            <w:vAlign w:val="center"/>
          </w:tcPr>
          <w:p w14:paraId="58626390">
            <w:pPr>
              <w:widowControl/>
              <w:rPr>
                <w:color w:val="auto"/>
                <w:szCs w:val="21"/>
                <w:highlight w:val="none"/>
              </w:rPr>
            </w:pPr>
            <w:r>
              <w:rPr>
                <w:rFonts w:hint="eastAsia"/>
                <w:color w:val="auto"/>
                <w:szCs w:val="21"/>
                <w:highlight w:val="none"/>
              </w:rPr>
              <w:t>未在规定时间内完成监理工程师或发承包人口头或书面下达的指令</w:t>
            </w:r>
          </w:p>
        </w:tc>
        <w:tc>
          <w:tcPr>
            <w:tcW w:w="1984" w:type="dxa"/>
            <w:noWrap/>
            <w:vAlign w:val="center"/>
          </w:tcPr>
          <w:p w14:paraId="24134ABA">
            <w:pPr>
              <w:widowControl/>
              <w:rPr>
                <w:color w:val="auto"/>
                <w:szCs w:val="21"/>
                <w:highlight w:val="none"/>
              </w:rPr>
            </w:pPr>
            <w:r>
              <w:rPr>
                <w:rFonts w:hint="eastAsia"/>
                <w:color w:val="auto"/>
                <w:szCs w:val="21"/>
                <w:highlight w:val="none"/>
              </w:rPr>
              <w:t>1000-10000元/次</w:t>
            </w:r>
          </w:p>
        </w:tc>
        <w:tc>
          <w:tcPr>
            <w:tcW w:w="2121" w:type="dxa"/>
            <w:noWrap/>
            <w:vAlign w:val="center"/>
          </w:tcPr>
          <w:p w14:paraId="521F8771">
            <w:pPr>
              <w:widowControl/>
              <w:rPr>
                <w:color w:val="auto"/>
                <w:szCs w:val="21"/>
                <w:highlight w:val="none"/>
              </w:rPr>
            </w:pPr>
            <w:r>
              <w:rPr>
                <w:rFonts w:hint="eastAsia"/>
                <w:color w:val="auto"/>
                <w:szCs w:val="21"/>
                <w:highlight w:val="none"/>
              </w:rPr>
              <w:t>累计重犯，翻倍处罚</w:t>
            </w:r>
          </w:p>
        </w:tc>
      </w:tr>
      <w:tr w14:paraId="4768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8" w:type="dxa"/>
            <w:noWrap/>
            <w:vAlign w:val="center"/>
          </w:tcPr>
          <w:p w14:paraId="40223C10">
            <w:pPr>
              <w:widowControl/>
              <w:jc w:val="center"/>
              <w:rPr>
                <w:color w:val="auto"/>
                <w:szCs w:val="21"/>
                <w:highlight w:val="none"/>
              </w:rPr>
            </w:pPr>
            <w:r>
              <w:rPr>
                <w:color w:val="auto"/>
                <w:szCs w:val="21"/>
                <w:highlight w:val="none"/>
              </w:rPr>
              <w:t>11</w:t>
            </w:r>
          </w:p>
        </w:tc>
        <w:tc>
          <w:tcPr>
            <w:tcW w:w="4254" w:type="dxa"/>
            <w:noWrap/>
            <w:vAlign w:val="center"/>
          </w:tcPr>
          <w:p w14:paraId="22EB4050">
            <w:pPr>
              <w:widowControl/>
              <w:rPr>
                <w:color w:val="auto"/>
                <w:szCs w:val="21"/>
                <w:highlight w:val="none"/>
              </w:rPr>
            </w:pPr>
            <w:r>
              <w:rPr>
                <w:rFonts w:hint="eastAsia"/>
                <w:color w:val="auto"/>
                <w:szCs w:val="21"/>
                <w:highlight w:val="none"/>
              </w:rPr>
              <w:t>工地范围内发生打架斗殴</w:t>
            </w:r>
          </w:p>
        </w:tc>
        <w:tc>
          <w:tcPr>
            <w:tcW w:w="1984" w:type="dxa"/>
            <w:noWrap/>
            <w:vAlign w:val="center"/>
          </w:tcPr>
          <w:p w14:paraId="023D9381">
            <w:pPr>
              <w:widowControl/>
              <w:rPr>
                <w:color w:val="auto"/>
                <w:szCs w:val="21"/>
                <w:highlight w:val="none"/>
              </w:rPr>
            </w:pPr>
            <w:r>
              <w:rPr>
                <w:rFonts w:hint="eastAsia"/>
                <w:color w:val="auto"/>
                <w:szCs w:val="21"/>
                <w:highlight w:val="none"/>
              </w:rPr>
              <w:t>5000元/例</w:t>
            </w:r>
          </w:p>
        </w:tc>
        <w:tc>
          <w:tcPr>
            <w:tcW w:w="2121" w:type="dxa"/>
            <w:noWrap/>
            <w:vAlign w:val="center"/>
          </w:tcPr>
          <w:p w14:paraId="48B8C68E">
            <w:pPr>
              <w:widowControl/>
              <w:rPr>
                <w:color w:val="auto"/>
                <w:szCs w:val="21"/>
                <w:highlight w:val="none"/>
              </w:rPr>
            </w:pPr>
            <w:r>
              <w:rPr>
                <w:rFonts w:hint="eastAsia"/>
                <w:color w:val="auto"/>
                <w:szCs w:val="21"/>
                <w:highlight w:val="none"/>
              </w:rPr>
              <w:t>　</w:t>
            </w:r>
          </w:p>
        </w:tc>
      </w:tr>
      <w:tr w14:paraId="367B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98" w:type="dxa"/>
            <w:noWrap/>
            <w:vAlign w:val="center"/>
          </w:tcPr>
          <w:p w14:paraId="288B9845">
            <w:pPr>
              <w:widowControl/>
              <w:jc w:val="center"/>
              <w:rPr>
                <w:color w:val="auto"/>
                <w:szCs w:val="21"/>
                <w:highlight w:val="none"/>
              </w:rPr>
            </w:pPr>
            <w:r>
              <w:rPr>
                <w:color w:val="auto"/>
                <w:szCs w:val="21"/>
                <w:highlight w:val="none"/>
              </w:rPr>
              <w:t>12</w:t>
            </w:r>
          </w:p>
        </w:tc>
        <w:tc>
          <w:tcPr>
            <w:tcW w:w="4254" w:type="dxa"/>
            <w:noWrap/>
            <w:vAlign w:val="center"/>
          </w:tcPr>
          <w:p w14:paraId="13E9D04D">
            <w:pPr>
              <w:widowControl/>
              <w:rPr>
                <w:color w:val="auto"/>
                <w:szCs w:val="21"/>
                <w:highlight w:val="none"/>
              </w:rPr>
            </w:pPr>
            <w:r>
              <w:rPr>
                <w:rFonts w:hint="eastAsia"/>
                <w:color w:val="auto"/>
                <w:szCs w:val="21"/>
                <w:highlight w:val="none"/>
              </w:rPr>
              <w:t>高空作业不系安全带</w:t>
            </w:r>
          </w:p>
        </w:tc>
        <w:tc>
          <w:tcPr>
            <w:tcW w:w="1984" w:type="dxa"/>
            <w:noWrap/>
            <w:vAlign w:val="center"/>
          </w:tcPr>
          <w:p w14:paraId="2BF61A92">
            <w:pPr>
              <w:widowControl/>
              <w:rPr>
                <w:color w:val="auto"/>
                <w:szCs w:val="21"/>
                <w:highlight w:val="none"/>
              </w:rPr>
            </w:pPr>
            <w:r>
              <w:rPr>
                <w:rFonts w:hint="eastAsia"/>
                <w:color w:val="auto"/>
                <w:szCs w:val="21"/>
                <w:highlight w:val="none"/>
              </w:rPr>
              <w:t>5000元/次</w:t>
            </w:r>
          </w:p>
        </w:tc>
        <w:tc>
          <w:tcPr>
            <w:tcW w:w="2121" w:type="dxa"/>
            <w:noWrap/>
            <w:vAlign w:val="center"/>
          </w:tcPr>
          <w:p w14:paraId="0669067B">
            <w:pPr>
              <w:widowControl/>
              <w:rPr>
                <w:color w:val="auto"/>
                <w:szCs w:val="21"/>
                <w:highlight w:val="none"/>
              </w:rPr>
            </w:pPr>
            <w:r>
              <w:rPr>
                <w:rFonts w:hint="eastAsia"/>
                <w:color w:val="auto"/>
                <w:szCs w:val="21"/>
                <w:highlight w:val="none"/>
              </w:rPr>
              <w:t>　</w:t>
            </w:r>
          </w:p>
        </w:tc>
      </w:tr>
      <w:tr w14:paraId="465D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8" w:type="dxa"/>
            <w:noWrap/>
            <w:vAlign w:val="center"/>
          </w:tcPr>
          <w:p w14:paraId="721D87EB">
            <w:pPr>
              <w:widowControl/>
              <w:jc w:val="center"/>
              <w:rPr>
                <w:color w:val="auto"/>
                <w:szCs w:val="21"/>
                <w:highlight w:val="none"/>
              </w:rPr>
            </w:pPr>
            <w:r>
              <w:rPr>
                <w:color w:val="auto"/>
                <w:szCs w:val="21"/>
                <w:highlight w:val="none"/>
              </w:rPr>
              <w:t>13</w:t>
            </w:r>
          </w:p>
        </w:tc>
        <w:tc>
          <w:tcPr>
            <w:tcW w:w="4254" w:type="dxa"/>
            <w:noWrap/>
            <w:vAlign w:val="center"/>
          </w:tcPr>
          <w:p w14:paraId="07E7821E">
            <w:pPr>
              <w:widowControl/>
              <w:rPr>
                <w:color w:val="auto"/>
                <w:szCs w:val="21"/>
                <w:highlight w:val="none"/>
              </w:rPr>
            </w:pPr>
            <w:r>
              <w:rPr>
                <w:rFonts w:hint="eastAsia"/>
                <w:color w:val="auto"/>
                <w:szCs w:val="21"/>
                <w:highlight w:val="none"/>
              </w:rPr>
              <w:t>工人随地大小便</w:t>
            </w:r>
          </w:p>
        </w:tc>
        <w:tc>
          <w:tcPr>
            <w:tcW w:w="1984" w:type="dxa"/>
            <w:noWrap/>
            <w:vAlign w:val="center"/>
          </w:tcPr>
          <w:p w14:paraId="12302DB6">
            <w:pPr>
              <w:widowControl/>
              <w:rPr>
                <w:color w:val="auto"/>
                <w:szCs w:val="21"/>
                <w:highlight w:val="none"/>
              </w:rPr>
            </w:pPr>
            <w:r>
              <w:rPr>
                <w:rFonts w:hint="eastAsia"/>
                <w:color w:val="auto"/>
                <w:szCs w:val="21"/>
                <w:highlight w:val="none"/>
              </w:rPr>
              <w:t>500元/次</w:t>
            </w:r>
          </w:p>
        </w:tc>
        <w:tc>
          <w:tcPr>
            <w:tcW w:w="2121" w:type="dxa"/>
            <w:noWrap/>
            <w:vAlign w:val="center"/>
          </w:tcPr>
          <w:p w14:paraId="772658E2">
            <w:pPr>
              <w:widowControl/>
              <w:rPr>
                <w:color w:val="auto"/>
                <w:szCs w:val="21"/>
                <w:highlight w:val="none"/>
              </w:rPr>
            </w:pPr>
            <w:r>
              <w:rPr>
                <w:rFonts w:hint="eastAsia"/>
                <w:color w:val="auto"/>
                <w:szCs w:val="21"/>
                <w:highlight w:val="none"/>
              </w:rPr>
              <w:t>　</w:t>
            </w:r>
          </w:p>
        </w:tc>
      </w:tr>
      <w:tr w14:paraId="409E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98" w:type="dxa"/>
            <w:noWrap/>
            <w:vAlign w:val="center"/>
          </w:tcPr>
          <w:p w14:paraId="59AB1C36">
            <w:pPr>
              <w:widowControl/>
              <w:jc w:val="center"/>
              <w:rPr>
                <w:color w:val="auto"/>
                <w:szCs w:val="21"/>
                <w:highlight w:val="none"/>
              </w:rPr>
            </w:pPr>
            <w:r>
              <w:rPr>
                <w:color w:val="auto"/>
                <w:szCs w:val="21"/>
                <w:highlight w:val="none"/>
              </w:rPr>
              <w:t>14</w:t>
            </w:r>
          </w:p>
        </w:tc>
        <w:tc>
          <w:tcPr>
            <w:tcW w:w="4254" w:type="dxa"/>
            <w:noWrap/>
            <w:vAlign w:val="center"/>
          </w:tcPr>
          <w:p w14:paraId="08F4D15F">
            <w:pPr>
              <w:widowControl/>
              <w:rPr>
                <w:color w:val="auto"/>
                <w:szCs w:val="21"/>
                <w:highlight w:val="none"/>
              </w:rPr>
            </w:pPr>
            <w:r>
              <w:rPr>
                <w:rFonts w:hint="eastAsia"/>
                <w:color w:val="auto"/>
                <w:szCs w:val="21"/>
                <w:highlight w:val="none"/>
              </w:rPr>
              <w:t>未经监理验收合格即进行下道工序施工</w:t>
            </w:r>
          </w:p>
        </w:tc>
        <w:tc>
          <w:tcPr>
            <w:tcW w:w="1984" w:type="dxa"/>
            <w:noWrap/>
            <w:vAlign w:val="center"/>
          </w:tcPr>
          <w:p w14:paraId="352E5F20">
            <w:pPr>
              <w:widowControl/>
              <w:rPr>
                <w:color w:val="auto"/>
                <w:szCs w:val="21"/>
                <w:highlight w:val="none"/>
              </w:rPr>
            </w:pPr>
            <w:r>
              <w:rPr>
                <w:rFonts w:hint="eastAsia"/>
                <w:color w:val="auto"/>
                <w:szCs w:val="21"/>
                <w:highlight w:val="none"/>
              </w:rPr>
              <w:t>5000元/次</w:t>
            </w:r>
          </w:p>
        </w:tc>
        <w:tc>
          <w:tcPr>
            <w:tcW w:w="2121" w:type="dxa"/>
            <w:noWrap/>
            <w:vAlign w:val="center"/>
          </w:tcPr>
          <w:p w14:paraId="174EE54D">
            <w:pPr>
              <w:widowControl/>
              <w:rPr>
                <w:color w:val="auto"/>
                <w:szCs w:val="21"/>
                <w:highlight w:val="none"/>
              </w:rPr>
            </w:pPr>
            <w:r>
              <w:rPr>
                <w:rFonts w:hint="eastAsia"/>
                <w:color w:val="auto"/>
                <w:szCs w:val="21"/>
                <w:highlight w:val="none"/>
              </w:rPr>
              <w:t>　</w:t>
            </w:r>
          </w:p>
        </w:tc>
      </w:tr>
      <w:tr w14:paraId="1B43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98" w:type="dxa"/>
            <w:noWrap/>
            <w:vAlign w:val="center"/>
          </w:tcPr>
          <w:p w14:paraId="12842699">
            <w:pPr>
              <w:widowControl/>
              <w:jc w:val="center"/>
              <w:rPr>
                <w:color w:val="auto"/>
                <w:szCs w:val="21"/>
                <w:highlight w:val="none"/>
              </w:rPr>
            </w:pPr>
            <w:r>
              <w:rPr>
                <w:rFonts w:hint="eastAsia"/>
                <w:color w:val="auto"/>
                <w:szCs w:val="21"/>
                <w:highlight w:val="none"/>
              </w:rPr>
              <w:t>1</w:t>
            </w:r>
            <w:r>
              <w:rPr>
                <w:color w:val="auto"/>
                <w:szCs w:val="21"/>
                <w:highlight w:val="none"/>
              </w:rPr>
              <w:t>5</w:t>
            </w:r>
          </w:p>
        </w:tc>
        <w:tc>
          <w:tcPr>
            <w:tcW w:w="4254" w:type="dxa"/>
            <w:noWrap/>
            <w:vAlign w:val="center"/>
          </w:tcPr>
          <w:p w14:paraId="1B657715">
            <w:pPr>
              <w:widowControl/>
              <w:rPr>
                <w:color w:val="auto"/>
                <w:szCs w:val="21"/>
                <w:highlight w:val="none"/>
              </w:rPr>
            </w:pPr>
            <w:r>
              <w:rPr>
                <w:rFonts w:hint="eastAsia"/>
                <w:color w:val="auto"/>
                <w:szCs w:val="21"/>
                <w:highlight w:val="none"/>
              </w:rPr>
              <w:t>施工用电存在严重安全隐患</w:t>
            </w:r>
          </w:p>
        </w:tc>
        <w:tc>
          <w:tcPr>
            <w:tcW w:w="1984" w:type="dxa"/>
            <w:noWrap/>
            <w:vAlign w:val="center"/>
          </w:tcPr>
          <w:p w14:paraId="1579DF92">
            <w:pPr>
              <w:widowControl/>
              <w:rPr>
                <w:color w:val="auto"/>
                <w:szCs w:val="21"/>
                <w:highlight w:val="none"/>
              </w:rPr>
            </w:pPr>
            <w:r>
              <w:rPr>
                <w:rFonts w:hint="eastAsia"/>
                <w:color w:val="auto"/>
                <w:szCs w:val="21"/>
                <w:highlight w:val="none"/>
              </w:rPr>
              <w:t>5000元/处</w:t>
            </w:r>
          </w:p>
        </w:tc>
        <w:tc>
          <w:tcPr>
            <w:tcW w:w="2121" w:type="dxa"/>
            <w:noWrap/>
            <w:vAlign w:val="center"/>
          </w:tcPr>
          <w:p w14:paraId="0E985C78">
            <w:pPr>
              <w:widowControl/>
              <w:rPr>
                <w:color w:val="auto"/>
                <w:szCs w:val="21"/>
                <w:highlight w:val="none"/>
              </w:rPr>
            </w:pPr>
            <w:r>
              <w:rPr>
                <w:rFonts w:hint="eastAsia"/>
                <w:color w:val="auto"/>
                <w:szCs w:val="21"/>
                <w:highlight w:val="none"/>
              </w:rPr>
              <w:t>　</w:t>
            </w:r>
          </w:p>
        </w:tc>
      </w:tr>
      <w:tr w14:paraId="648C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8" w:type="dxa"/>
            <w:noWrap/>
            <w:vAlign w:val="center"/>
          </w:tcPr>
          <w:p w14:paraId="69E2EAF9">
            <w:pPr>
              <w:widowControl/>
              <w:jc w:val="center"/>
              <w:rPr>
                <w:color w:val="auto"/>
                <w:szCs w:val="21"/>
                <w:highlight w:val="none"/>
              </w:rPr>
            </w:pPr>
            <w:r>
              <w:rPr>
                <w:rFonts w:hint="eastAsia"/>
                <w:color w:val="auto"/>
                <w:szCs w:val="21"/>
                <w:highlight w:val="none"/>
              </w:rPr>
              <w:t>1</w:t>
            </w:r>
            <w:r>
              <w:rPr>
                <w:color w:val="auto"/>
                <w:szCs w:val="21"/>
                <w:highlight w:val="none"/>
              </w:rPr>
              <w:t>6</w:t>
            </w:r>
          </w:p>
        </w:tc>
        <w:tc>
          <w:tcPr>
            <w:tcW w:w="4254" w:type="dxa"/>
            <w:noWrap/>
            <w:vAlign w:val="center"/>
          </w:tcPr>
          <w:p w14:paraId="747DDFC3">
            <w:pPr>
              <w:widowControl/>
              <w:rPr>
                <w:color w:val="auto"/>
                <w:szCs w:val="21"/>
                <w:highlight w:val="none"/>
              </w:rPr>
            </w:pPr>
            <w:r>
              <w:rPr>
                <w:rFonts w:hint="eastAsia"/>
                <w:color w:val="auto"/>
                <w:szCs w:val="21"/>
                <w:highlight w:val="none"/>
              </w:rPr>
              <w:t>起重吊装方案未经监理审批</w:t>
            </w:r>
          </w:p>
        </w:tc>
        <w:tc>
          <w:tcPr>
            <w:tcW w:w="1984" w:type="dxa"/>
            <w:noWrap/>
            <w:vAlign w:val="center"/>
          </w:tcPr>
          <w:p w14:paraId="47A2466E">
            <w:pPr>
              <w:widowControl/>
              <w:rPr>
                <w:color w:val="auto"/>
                <w:szCs w:val="21"/>
                <w:highlight w:val="none"/>
              </w:rPr>
            </w:pPr>
            <w:r>
              <w:rPr>
                <w:rFonts w:hint="eastAsia"/>
                <w:color w:val="auto"/>
                <w:szCs w:val="21"/>
                <w:highlight w:val="none"/>
              </w:rPr>
              <w:t>10000元/次</w:t>
            </w:r>
          </w:p>
        </w:tc>
        <w:tc>
          <w:tcPr>
            <w:tcW w:w="2121" w:type="dxa"/>
            <w:noWrap/>
            <w:vAlign w:val="center"/>
          </w:tcPr>
          <w:p w14:paraId="404B6A28">
            <w:pPr>
              <w:widowControl/>
              <w:rPr>
                <w:color w:val="auto"/>
                <w:szCs w:val="21"/>
                <w:highlight w:val="none"/>
              </w:rPr>
            </w:pPr>
            <w:r>
              <w:rPr>
                <w:rFonts w:hint="eastAsia"/>
                <w:color w:val="auto"/>
                <w:szCs w:val="21"/>
                <w:highlight w:val="none"/>
              </w:rPr>
              <w:t>　</w:t>
            </w:r>
          </w:p>
        </w:tc>
      </w:tr>
      <w:tr w14:paraId="418C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98" w:type="dxa"/>
            <w:noWrap/>
            <w:vAlign w:val="center"/>
          </w:tcPr>
          <w:p w14:paraId="7E0950AA">
            <w:pPr>
              <w:widowControl/>
              <w:jc w:val="center"/>
              <w:rPr>
                <w:color w:val="auto"/>
                <w:szCs w:val="21"/>
                <w:highlight w:val="none"/>
              </w:rPr>
            </w:pPr>
            <w:r>
              <w:rPr>
                <w:rFonts w:hint="eastAsia"/>
                <w:color w:val="auto"/>
                <w:szCs w:val="21"/>
                <w:highlight w:val="none"/>
              </w:rPr>
              <w:t>1</w:t>
            </w:r>
            <w:r>
              <w:rPr>
                <w:color w:val="auto"/>
                <w:szCs w:val="21"/>
                <w:highlight w:val="none"/>
              </w:rPr>
              <w:t>7</w:t>
            </w:r>
          </w:p>
        </w:tc>
        <w:tc>
          <w:tcPr>
            <w:tcW w:w="4254" w:type="dxa"/>
            <w:noWrap/>
            <w:vAlign w:val="center"/>
          </w:tcPr>
          <w:p w14:paraId="19A8744E">
            <w:pPr>
              <w:widowControl/>
              <w:rPr>
                <w:color w:val="auto"/>
                <w:szCs w:val="21"/>
                <w:highlight w:val="none"/>
              </w:rPr>
            </w:pPr>
            <w:r>
              <w:rPr>
                <w:rFonts w:hint="eastAsia"/>
                <w:color w:val="auto"/>
                <w:szCs w:val="21"/>
                <w:highlight w:val="none"/>
              </w:rPr>
              <w:t>施工现场、生活区发生火灾</w:t>
            </w:r>
          </w:p>
        </w:tc>
        <w:tc>
          <w:tcPr>
            <w:tcW w:w="1984" w:type="dxa"/>
            <w:noWrap/>
            <w:vAlign w:val="center"/>
          </w:tcPr>
          <w:p w14:paraId="526341C3">
            <w:pPr>
              <w:widowControl/>
              <w:rPr>
                <w:color w:val="auto"/>
                <w:szCs w:val="21"/>
                <w:highlight w:val="none"/>
              </w:rPr>
            </w:pPr>
            <w:r>
              <w:rPr>
                <w:rFonts w:hint="eastAsia"/>
                <w:color w:val="auto"/>
                <w:szCs w:val="21"/>
                <w:highlight w:val="none"/>
              </w:rPr>
              <w:t>50000元/次</w:t>
            </w:r>
          </w:p>
        </w:tc>
        <w:tc>
          <w:tcPr>
            <w:tcW w:w="2121" w:type="dxa"/>
            <w:noWrap/>
            <w:vAlign w:val="center"/>
          </w:tcPr>
          <w:p w14:paraId="0EEA88D1">
            <w:pPr>
              <w:widowControl/>
              <w:rPr>
                <w:color w:val="auto"/>
                <w:szCs w:val="21"/>
                <w:highlight w:val="none"/>
              </w:rPr>
            </w:pPr>
            <w:r>
              <w:rPr>
                <w:rFonts w:hint="eastAsia"/>
                <w:color w:val="auto"/>
                <w:szCs w:val="21"/>
                <w:highlight w:val="none"/>
              </w:rPr>
              <w:t>　</w:t>
            </w:r>
          </w:p>
        </w:tc>
      </w:tr>
      <w:tr w14:paraId="68FC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98" w:type="dxa"/>
            <w:noWrap/>
            <w:vAlign w:val="center"/>
          </w:tcPr>
          <w:p w14:paraId="40A0A68F">
            <w:pPr>
              <w:widowControl/>
              <w:jc w:val="center"/>
              <w:rPr>
                <w:color w:val="auto"/>
                <w:szCs w:val="21"/>
                <w:highlight w:val="none"/>
              </w:rPr>
            </w:pPr>
            <w:r>
              <w:rPr>
                <w:rFonts w:hint="eastAsia"/>
                <w:color w:val="auto"/>
                <w:szCs w:val="21"/>
                <w:highlight w:val="none"/>
              </w:rPr>
              <w:t>1</w:t>
            </w:r>
            <w:r>
              <w:rPr>
                <w:color w:val="auto"/>
                <w:szCs w:val="21"/>
                <w:highlight w:val="none"/>
              </w:rPr>
              <w:t>8</w:t>
            </w:r>
          </w:p>
        </w:tc>
        <w:tc>
          <w:tcPr>
            <w:tcW w:w="4254" w:type="dxa"/>
            <w:noWrap/>
            <w:vAlign w:val="center"/>
          </w:tcPr>
          <w:p w14:paraId="37F69A1D">
            <w:pPr>
              <w:widowControl/>
              <w:rPr>
                <w:color w:val="auto"/>
                <w:szCs w:val="21"/>
                <w:highlight w:val="none"/>
              </w:rPr>
            </w:pPr>
            <w:r>
              <w:rPr>
                <w:rFonts w:hint="eastAsia"/>
                <w:color w:val="auto"/>
                <w:szCs w:val="21"/>
                <w:highlight w:val="none"/>
              </w:rPr>
              <w:t>土方车运输过程中有抛、洒、漏、滴现象</w:t>
            </w:r>
          </w:p>
        </w:tc>
        <w:tc>
          <w:tcPr>
            <w:tcW w:w="1984" w:type="dxa"/>
            <w:noWrap/>
            <w:vAlign w:val="center"/>
          </w:tcPr>
          <w:p w14:paraId="14FC6823">
            <w:pPr>
              <w:widowControl/>
              <w:rPr>
                <w:color w:val="auto"/>
                <w:szCs w:val="21"/>
                <w:highlight w:val="none"/>
              </w:rPr>
            </w:pPr>
            <w:r>
              <w:rPr>
                <w:rFonts w:hint="eastAsia"/>
                <w:color w:val="auto"/>
                <w:szCs w:val="21"/>
                <w:highlight w:val="none"/>
              </w:rPr>
              <w:t>5000元/次</w:t>
            </w:r>
          </w:p>
        </w:tc>
        <w:tc>
          <w:tcPr>
            <w:tcW w:w="2121" w:type="dxa"/>
            <w:noWrap/>
            <w:vAlign w:val="center"/>
          </w:tcPr>
          <w:p w14:paraId="3E6CF5D9">
            <w:pPr>
              <w:widowControl/>
              <w:rPr>
                <w:color w:val="auto"/>
                <w:szCs w:val="21"/>
                <w:highlight w:val="none"/>
              </w:rPr>
            </w:pPr>
            <w:r>
              <w:rPr>
                <w:rFonts w:hint="eastAsia"/>
                <w:color w:val="auto"/>
                <w:szCs w:val="21"/>
                <w:highlight w:val="none"/>
              </w:rPr>
              <w:t>　</w:t>
            </w:r>
          </w:p>
        </w:tc>
      </w:tr>
      <w:tr w14:paraId="318F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98" w:type="dxa"/>
            <w:noWrap/>
            <w:vAlign w:val="center"/>
          </w:tcPr>
          <w:p w14:paraId="378B7129">
            <w:pPr>
              <w:widowControl/>
              <w:jc w:val="center"/>
              <w:rPr>
                <w:color w:val="auto"/>
                <w:szCs w:val="21"/>
                <w:highlight w:val="none"/>
              </w:rPr>
            </w:pPr>
            <w:r>
              <w:rPr>
                <w:color w:val="auto"/>
                <w:szCs w:val="21"/>
                <w:highlight w:val="none"/>
              </w:rPr>
              <w:t>19</w:t>
            </w:r>
          </w:p>
        </w:tc>
        <w:tc>
          <w:tcPr>
            <w:tcW w:w="4254" w:type="dxa"/>
            <w:noWrap/>
            <w:vAlign w:val="center"/>
          </w:tcPr>
          <w:p w14:paraId="552E9265">
            <w:pPr>
              <w:widowControl/>
              <w:rPr>
                <w:color w:val="auto"/>
                <w:szCs w:val="21"/>
                <w:highlight w:val="none"/>
              </w:rPr>
            </w:pPr>
            <w:r>
              <w:rPr>
                <w:rFonts w:hint="eastAsia"/>
                <w:color w:val="auto"/>
                <w:szCs w:val="21"/>
                <w:highlight w:val="none"/>
              </w:rPr>
              <w:t>严重施工质量缺陷(除常规处理外)</w:t>
            </w:r>
          </w:p>
        </w:tc>
        <w:tc>
          <w:tcPr>
            <w:tcW w:w="1984" w:type="dxa"/>
            <w:noWrap/>
            <w:vAlign w:val="center"/>
          </w:tcPr>
          <w:p w14:paraId="57C3C40D">
            <w:pPr>
              <w:widowControl/>
              <w:rPr>
                <w:color w:val="auto"/>
                <w:szCs w:val="21"/>
                <w:highlight w:val="none"/>
              </w:rPr>
            </w:pPr>
            <w:r>
              <w:rPr>
                <w:rFonts w:hint="eastAsia"/>
                <w:color w:val="auto"/>
                <w:szCs w:val="21"/>
                <w:highlight w:val="none"/>
              </w:rPr>
              <w:t>5000元/处×次</w:t>
            </w:r>
          </w:p>
        </w:tc>
        <w:tc>
          <w:tcPr>
            <w:tcW w:w="2121" w:type="dxa"/>
            <w:noWrap/>
            <w:vAlign w:val="center"/>
          </w:tcPr>
          <w:p w14:paraId="6C25FF7E">
            <w:pPr>
              <w:widowControl/>
              <w:rPr>
                <w:color w:val="auto"/>
                <w:szCs w:val="21"/>
                <w:highlight w:val="none"/>
              </w:rPr>
            </w:pPr>
            <w:r>
              <w:rPr>
                <w:rFonts w:hint="eastAsia"/>
                <w:color w:val="auto"/>
                <w:szCs w:val="21"/>
                <w:highlight w:val="none"/>
              </w:rPr>
              <w:t>　</w:t>
            </w:r>
          </w:p>
        </w:tc>
      </w:tr>
      <w:tr w14:paraId="5207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8" w:type="dxa"/>
            <w:noWrap/>
            <w:vAlign w:val="center"/>
          </w:tcPr>
          <w:p w14:paraId="3EC90507">
            <w:pPr>
              <w:widowControl/>
              <w:jc w:val="center"/>
              <w:rPr>
                <w:color w:val="auto"/>
                <w:szCs w:val="21"/>
                <w:highlight w:val="none"/>
              </w:rPr>
            </w:pPr>
            <w:r>
              <w:rPr>
                <w:rFonts w:hint="eastAsia"/>
                <w:color w:val="auto"/>
                <w:szCs w:val="21"/>
                <w:highlight w:val="none"/>
              </w:rPr>
              <w:t>2</w:t>
            </w:r>
            <w:r>
              <w:rPr>
                <w:color w:val="auto"/>
                <w:szCs w:val="21"/>
                <w:highlight w:val="none"/>
              </w:rPr>
              <w:t>0</w:t>
            </w:r>
          </w:p>
        </w:tc>
        <w:tc>
          <w:tcPr>
            <w:tcW w:w="4254" w:type="dxa"/>
            <w:noWrap/>
            <w:vAlign w:val="center"/>
          </w:tcPr>
          <w:p w14:paraId="3B1FDA24">
            <w:pPr>
              <w:widowControl/>
              <w:rPr>
                <w:color w:val="auto"/>
                <w:szCs w:val="21"/>
                <w:highlight w:val="none"/>
              </w:rPr>
            </w:pPr>
            <w:r>
              <w:rPr>
                <w:rFonts w:hint="eastAsia"/>
                <w:color w:val="auto"/>
                <w:szCs w:val="21"/>
                <w:highlight w:val="none"/>
              </w:rPr>
              <w:t>无经过审批同意并落实安全保护措施的高空抛物</w:t>
            </w:r>
          </w:p>
        </w:tc>
        <w:tc>
          <w:tcPr>
            <w:tcW w:w="1984" w:type="dxa"/>
            <w:noWrap/>
            <w:vAlign w:val="center"/>
          </w:tcPr>
          <w:p w14:paraId="7F020C23">
            <w:pPr>
              <w:widowControl/>
              <w:rPr>
                <w:color w:val="auto"/>
                <w:szCs w:val="21"/>
                <w:highlight w:val="none"/>
              </w:rPr>
            </w:pPr>
            <w:r>
              <w:rPr>
                <w:rFonts w:hint="eastAsia"/>
                <w:color w:val="auto"/>
                <w:szCs w:val="21"/>
                <w:highlight w:val="none"/>
              </w:rPr>
              <w:t>10000元/次</w:t>
            </w:r>
          </w:p>
        </w:tc>
        <w:tc>
          <w:tcPr>
            <w:tcW w:w="2121" w:type="dxa"/>
            <w:noWrap/>
            <w:vAlign w:val="center"/>
          </w:tcPr>
          <w:p w14:paraId="07E7DAB2">
            <w:pPr>
              <w:widowControl/>
              <w:rPr>
                <w:color w:val="auto"/>
                <w:szCs w:val="21"/>
                <w:highlight w:val="none"/>
              </w:rPr>
            </w:pPr>
            <w:r>
              <w:rPr>
                <w:rFonts w:hint="eastAsia"/>
                <w:color w:val="auto"/>
                <w:szCs w:val="21"/>
                <w:highlight w:val="none"/>
              </w:rPr>
              <w:t>　</w:t>
            </w:r>
          </w:p>
        </w:tc>
      </w:tr>
      <w:tr w14:paraId="7FA0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98" w:type="dxa"/>
            <w:noWrap/>
            <w:vAlign w:val="center"/>
          </w:tcPr>
          <w:p w14:paraId="60E7AB72">
            <w:pPr>
              <w:widowControl/>
              <w:jc w:val="center"/>
              <w:rPr>
                <w:color w:val="auto"/>
                <w:szCs w:val="21"/>
                <w:highlight w:val="none"/>
              </w:rPr>
            </w:pPr>
            <w:r>
              <w:rPr>
                <w:rFonts w:hint="eastAsia"/>
                <w:color w:val="auto"/>
                <w:szCs w:val="21"/>
                <w:highlight w:val="none"/>
              </w:rPr>
              <w:t>2</w:t>
            </w:r>
            <w:r>
              <w:rPr>
                <w:color w:val="auto"/>
                <w:szCs w:val="21"/>
                <w:highlight w:val="none"/>
              </w:rPr>
              <w:t>1</w:t>
            </w:r>
          </w:p>
        </w:tc>
        <w:tc>
          <w:tcPr>
            <w:tcW w:w="4254" w:type="dxa"/>
            <w:noWrap/>
            <w:vAlign w:val="center"/>
          </w:tcPr>
          <w:p w14:paraId="2F1C9A98">
            <w:pPr>
              <w:widowControl/>
              <w:rPr>
                <w:color w:val="auto"/>
                <w:szCs w:val="21"/>
                <w:highlight w:val="none"/>
              </w:rPr>
            </w:pPr>
            <w:r>
              <w:rPr>
                <w:rFonts w:hint="eastAsia"/>
                <w:color w:val="auto"/>
                <w:szCs w:val="21"/>
                <w:highlight w:val="none"/>
              </w:rPr>
              <w:t>机械设备未按要求(经批准的施工组织文件)进场</w:t>
            </w:r>
          </w:p>
        </w:tc>
        <w:tc>
          <w:tcPr>
            <w:tcW w:w="1984" w:type="dxa"/>
            <w:noWrap/>
            <w:vAlign w:val="center"/>
          </w:tcPr>
          <w:p w14:paraId="1245BF95">
            <w:pPr>
              <w:widowControl/>
              <w:rPr>
                <w:color w:val="auto"/>
                <w:szCs w:val="21"/>
                <w:highlight w:val="none"/>
              </w:rPr>
            </w:pPr>
            <w:r>
              <w:rPr>
                <w:rFonts w:hint="eastAsia"/>
                <w:color w:val="auto"/>
                <w:szCs w:val="21"/>
                <w:highlight w:val="none"/>
              </w:rPr>
              <w:t>3000-30000元/次</w:t>
            </w:r>
          </w:p>
        </w:tc>
        <w:tc>
          <w:tcPr>
            <w:tcW w:w="2121" w:type="dxa"/>
            <w:noWrap/>
            <w:vAlign w:val="center"/>
          </w:tcPr>
          <w:p w14:paraId="152BC592">
            <w:pPr>
              <w:widowControl/>
              <w:rPr>
                <w:color w:val="auto"/>
                <w:szCs w:val="21"/>
                <w:highlight w:val="none"/>
              </w:rPr>
            </w:pPr>
            <w:r>
              <w:rPr>
                <w:rFonts w:hint="eastAsia"/>
                <w:color w:val="auto"/>
                <w:szCs w:val="21"/>
                <w:highlight w:val="none"/>
              </w:rPr>
              <w:t>　</w:t>
            </w:r>
          </w:p>
        </w:tc>
      </w:tr>
      <w:tr w14:paraId="02AE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98" w:type="dxa"/>
            <w:noWrap/>
            <w:vAlign w:val="center"/>
          </w:tcPr>
          <w:p w14:paraId="38AA59F3">
            <w:pPr>
              <w:widowControl/>
              <w:jc w:val="center"/>
              <w:rPr>
                <w:color w:val="auto"/>
                <w:szCs w:val="21"/>
                <w:highlight w:val="none"/>
              </w:rPr>
            </w:pPr>
            <w:r>
              <w:rPr>
                <w:color w:val="auto"/>
                <w:szCs w:val="21"/>
                <w:highlight w:val="none"/>
              </w:rPr>
              <w:t>22</w:t>
            </w:r>
          </w:p>
        </w:tc>
        <w:tc>
          <w:tcPr>
            <w:tcW w:w="4254" w:type="dxa"/>
            <w:noWrap/>
            <w:vAlign w:val="center"/>
          </w:tcPr>
          <w:p w14:paraId="58B3E4AF">
            <w:pPr>
              <w:widowControl/>
              <w:rPr>
                <w:color w:val="auto"/>
                <w:szCs w:val="21"/>
                <w:highlight w:val="none"/>
              </w:rPr>
            </w:pPr>
            <w:r>
              <w:rPr>
                <w:rFonts w:hint="eastAsia"/>
                <w:color w:val="auto"/>
                <w:szCs w:val="21"/>
                <w:highlight w:val="none"/>
              </w:rPr>
              <w:t>擅自在未经验收合格的建筑物内住人</w:t>
            </w:r>
          </w:p>
        </w:tc>
        <w:tc>
          <w:tcPr>
            <w:tcW w:w="1984" w:type="dxa"/>
            <w:noWrap/>
            <w:vAlign w:val="center"/>
          </w:tcPr>
          <w:p w14:paraId="3D828743">
            <w:pPr>
              <w:widowControl/>
              <w:rPr>
                <w:color w:val="auto"/>
                <w:szCs w:val="21"/>
                <w:highlight w:val="none"/>
              </w:rPr>
            </w:pPr>
            <w:r>
              <w:rPr>
                <w:rFonts w:hint="eastAsia"/>
                <w:color w:val="auto"/>
                <w:szCs w:val="21"/>
                <w:highlight w:val="none"/>
              </w:rPr>
              <w:t>100元/天×人</w:t>
            </w:r>
          </w:p>
        </w:tc>
        <w:tc>
          <w:tcPr>
            <w:tcW w:w="2121" w:type="dxa"/>
            <w:noWrap/>
            <w:vAlign w:val="center"/>
          </w:tcPr>
          <w:p w14:paraId="12CC260A">
            <w:pPr>
              <w:widowControl/>
              <w:rPr>
                <w:color w:val="auto"/>
                <w:szCs w:val="21"/>
                <w:highlight w:val="none"/>
              </w:rPr>
            </w:pPr>
          </w:p>
        </w:tc>
      </w:tr>
      <w:tr w14:paraId="152F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98" w:type="dxa"/>
            <w:noWrap/>
            <w:vAlign w:val="center"/>
          </w:tcPr>
          <w:p w14:paraId="6466885E">
            <w:pPr>
              <w:widowControl/>
              <w:jc w:val="center"/>
              <w:rPr>
                <w:color w:val="auto"/>
                <w:szCs w:val="21"/>
                <w:highlight w:val="none"/>
              </w:rPr>
            </w:pPr>
            <w:r>
              <w:rPr>
                <w:color w:val="auto"/>
                <w:szCs w:val="21"/>
                <w:highlight w:val="none"/>
              </w:rPr>
              <w:t>23</w:t>
            </w:r>
          </w:p>
        </w:tc>
        <w:tc>
          <w:tcPr>
            <w:tcW w:w="4254" w:type="dxa"/>
            <w:noWrap/>
            <w:vAlign w:val="center"/>
          </w:tcPr>
          <w:p w14:paraId="188E0D2A">
            <w:pPr>
              <w:widowControl/>
              <w:rPr>
                <w:color w:val="auto"/>
                <w:szCs w:val="21"/>
                <w:highlight w:val="none"/>
              </w:rPr>
            </w:pPr>
            <w:r>
              <w:rPr>
                <w:rFonts w:hint="eastAsia"/>
                <w:color w:val="auto"/>
                <w:szCs w:val="21"/>
                <w:highlight w:val="none"/>
              </w:rPr>
              <w:t>擅自更换投标项目组成员</w:t>
            </w:r>
          </w:p>
        </w:tc>
        <w:tc>
          <w:tcPr>
            <w:tcW w:w="1984" w:type="dxa"/>
            <w:noWrap/>
            <w:vAlign w:val="center"/>
          </w:tcPr>
          <w:p w14:paraId="27666B97">
            <w:pPr>
              <w:widowControl/>
              <w:rPr>
                <w:color w:val="auto"/>
                <w:szCs w:val="21"/>
                <w:highlight w:val="none"/>
              </w:rPr>
            </w:pPr>
            <w:r>
              <w:rPr>
                <w:rFonts w:hint="eastAsia"/>
                <w:color w:val="auto"/>
                <w:szCs w:val="21"/>
                <w:highlight w:val="none"/>
              </w:rPr>
              <w:t>20000元/次×人</w:t>
            </w:r>
          </w:p>
        </w:tc>
        <w:tc>
          <w:tcPr>
            <w:tcW w:w="2121" w:type="dxa"/>
            <w:noWrap/>
            <w:vAlign w:val="center"/>
          </w:tcPr>
          <w:p w14:paraId="64E40401">
            <w:pPr>
              <w:widowControl/>
              <w:rPr>
                <w:color w:val="auto"/>
                <w:szCs w:val="21"/>
                <w:highlight w:val="none"/>
              </w:rPr>
            </w:pPr>
            <w:r>
              <w:rPr>
                <w:rFonts w:hint="eastAsia"/>
                <w:color w:val="auto"/>
                <w:szCs w:val="21"/>
                <w:highlight w:val="none"/>
              </w:rPr>
              <w:t>　</w:t>
            </w:r>
          </w:p>
        </w:tc>
      </w:tr>
      <w:tr w14:paraId="76AA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98" w:type="dxa"/>
            <w:noWrap/>
            <w:vAlign w:val="center"/>
          </w:tcPr>
          <w:p w14:paraId="7854BB1C">
            <w:pPr>
              <w:widowControl/>
              <w:jc w:val="center"/>
              <w:rPr>
                <w:color w:val="auto"/>
                <w:szCs w:val="21"/>
                <w:highlight w:val="none"/>
              </w:rPr>
            </w:pPr>
            <w:r>
              <w:rPr>
                <w:rFonts w:hint="eastAsia"/>
                <w:color w:val="auto"/>
                <w:szCs w:val="21"/>
                <w:highlight w:val="none"/>
              </w:rPr>
              <w:t>2</w:t>
            </w:r>
            <w:r>
              <w:rPr>
                <w:color w:val="auto"/>
                <w:szCs w:val="21"/>
                <w:highlight w:val="none"/>
              </w:rPr>
              <w:t>4</w:t>
            </w:r>
          </w:p>
        </w:tc>
        <w:tc>
          <w:tcPr>
            <w:tcW w:w="4254" w:type="dxa"/>
            <w:noWrap/>
            <w:vAlign w:val="center"/>
          </w:tcPr>
          <w:p w14:paraId="05B4EEC8">
            <w:pPr>
              <w:widowControl/>
              <w:rPr>
                <w:color w:val="auto"/>
                <w:szCs w:val="21"/>
                <w:highlight w:val="none"/>
              </w:rPr>
            </w:pPr>
            <w:r>
              <w:rPr>
                <w:rFonts w:hint="eastAsia"/>
                <w:color w:val="auto"/>
                <w:szCs w:val="21"/>
                <w:highlight w:val="none"/>
              </w:rPr>
              <w:t>出入口及周边道路不清洁或清扫不及时</w:t>
            </w:r>
          </w:p>
        </w:tc>
        <w:tc>
          <w:tcPr>
            <w:tcW w:w="1984" w:type="dxa"/>
            <w:noWrap/>
            <w:vAlign w:val="center"/>
          </w:tcPr>
          <w:p w14:paraId="6A4E8D17">
            <w:pPr>
              <w:widowControl/>
              <w:rPr>
                <w:color w:val="auto"/>
                <w:szCs w:val="21"/>
                <w:highlight w:val="none"/>
              </w:rPr>
            </w:pPr>
            <w:r>
              <w:rPr>
                <w:color w:val="auto"/>
                <w:szCs w:val="21"/>
                <w:highlight w:val="none"/>
              </w:rPr>
              <w:t>2</w:t>
            </w:r>
            <w:r>
              <w:rPr>
                <w:rFonts w:hint="eastAsia"/>
                <w:color w:val="auto"/>
                <w:szCs w:val="21"/>
                <w:highlight w:val="none"/>
              </w:rPr>
              <w:t>000元/次</w:t>
            </w:r>
          </w:p>
        </w:tc>
        <w:tc>
          <w:tcPr>
            <w:tcW w:w="2121" w:type="dxa"/>
            <w:noWrap/>
            <w:vAlign w:val="center"/>
          </w:tcPr>
          <w:p w14:paraId="48205319">
            <w:pPr>
              <w:widowControl/>
              <w:rPr>
                <w:color w:val="auto"/>
                <w:szCs w:val="21"/>
                <w:highlight w:val="none"/>
              </w:rPr>
            </w:pPr>
            <w:r>
              <w:rPr>
                <w:rFonts w:hint="eastAsia"/>
                <w:color w:val="auto"/>
                <w:szCs w:val="21"/>
                <w:highlight w:val="none"/>
              </w:rPr>
              <w:t>　</w:t>
            </w:r>
          </w:p>
        </w:tc>
      </w:tr>
      <w:tr w14:paraId="6DC0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98" w:type="dxa"/>
            <w:noWrap/>
            <w:vAlign w:val="center"/>
          </w:tcPr>
          <w:p w14:paraId="15D59232">
            <w:pPr>
              <w:widowControl/>
              <w:jc w:val="center"/>
              <w:rPr>
                <w:color w:val="auto"/>
                <w:szCs w:val="21"/>
                <w:highlight w:val="none"/>
              </w:rPr>
            </w:pPr>
            <w:r>
              <w:rPr>
                <w:rFonts w:hint="eastAsia"/>
                <w:color w:val="auto"/>
                <w:szCs w:val="21"/>
                <w:highlight w:val="none"/>
              </w:rPr>
              <w:t>2</w:t>
            </w:r>
            <w:r>
              <w:rPr>
                <w:color w:val="auto"/>
                <w:szCs w:val="21"/>
                <w:highlight w:val="none"/>
              </w:rPr>
              <w:t>5</w:t>
            </w:r>
          </w:p>
        </w:tc>
        <w:tc>
          <w:tcPr>
            <w:tcW w:w="4254" w:type="dxa"/>
            <w:noWrap/>
            <w:vAlign w:val="center"/>
          </w:tcPr>
          <w:p w14:paraId="31D359F5">
            <w:pPr>
              <w:widowControl/>
              <w:rPr>
                <w:color w:val="auto"/>
                <w:szCs w:val="21"/>
                <w:highlight w:val="none"/>
              </w:rPr>
            </w:pPr>
            <w:r>
              <w:rPr>
                <w:rFonts w:hint="eastAsia"/>
                <w:color w:val="auto"/>
                <w:szCs w:val="21"/>
                <w:highlight w:val="none"/>
              </w:rPr>
              <w:t>工程车未冲洗且带泥出门</w:t>
            </w:r>
          </w:p>
        </w:tc>
        <w:tc>
          <w:tcPr>
            <w:tcW w:w="1984" w:type="dxa"/>
            <w:noWrap/>
            <w:vAlign w:val="center"/>
          </w:tcPr>
          <w:p w14:paraId="4680A51D">
            <w:pPr>
              <w:widowControl/>
              <w:rPr>
                <w:color w:val="auto"/>
                <w:szCs w:val="21"/>
                <w:highlight w:val="none"/>
              </w:rPr>
            </w:pPr>
            <w:r>
              <w:rPr>
                <w:color w:val="auto"/>
                <w:szCs w:val="21"/>
                <w:highlight w:val="none"/>
              </w:rPr>
              <w:t>1</w:t>
            </w:r>
            <w:r>
              <w:rPr>
                <w:rFonts w:hint="eastAsia"/>
                <w:color w:val="auto"/>
                <w:szCs w:val="21"/>
                <w:highlight w:val="none"/>
              </w:rPr>
              <w:t>000元/辆×次</w:t>
            </w:r>
          </w:p>
        </w:tc>
        <w:tc>
          <w:tcPr>
            <w:tcW w:w="2121" w:type="dxa"/>
            <w:noWrap/>
            <w:vAlign w:val="center"/>
          </w:tcPr>
          <w:p w14:paraId="36B01BD0">
            <w:pPr>
              <w:widowControl/>
              <w:rPr>
                <w:color w:val="auto"/>
                <w:szCs w:val="21"/>
                <w:highlight w:val="none"/>
              </w:rPr>
            </w:pPr>
            <w:r>
              <w:rPr>
                <w:rFonts w:hint="eastAsia"/>
                <w:color w:val="auto"/>
                <w:szCs w:val="21"/>
                <w:highlight w:val="none"/>
              </w:rPr>
              <w:t>　</w:t>
            </w:r>
          </w:p>
        </w:tc>
      </w:tr>
      <w:tr w14:paraId="06E0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98" w:type="dxa"/>
            <w:noWrap/>
            <w:vAlign w:val="center"/>
          </w:tcPr>
          <w:p w14:paraId="05AD2B20">
            <w:pPr>
              <w:widowControl/>
              <w:jc w:val="center"/>
              <w:rPr>
                <w:color w:val="auto"/>
                <w:szCs w:val="21"/>
                <w:highlight w:val="none"/>
              </w:rPr>
            </w:pPr>
            <w:r>
              <w:rPr>
                <w:rFonts w:hint="eastAsia"/>
                <w:color w:val="auto"/>
                <w:szCs w:val="21"/>
                <w:highlight w:val="none"/>
              </w:rPr>
              <w:t>2</w:t>
            </w:r>
            <w:r>
              <w:rPr>
                <w:color w:val="auto"/>
                <w:szCs w:val="21"/>
                <w:highlight w:val="none"/>
              </w:rPr>
              <w:t>6</w:t>
            </w:r>
          </w:p>
        </w:tc>
        <w:tc>
          <w:tcPr>
            <w:tcW w:w="4254" w:type="dxa"/>
            <w:noWrap/>
            <w:vAlign w:val="center"/>
          </w:tcPr>
          <w:p w14:paraId="72DBEAF2">
            <w:pPr>
              <w:widowControl/>
              <w:rPr>
                <w:color w:val="auto"/>
                <w:szCs w:val="21"/>
                <w:highlight w:val="none"/>
              </w:rPr>
            </w:pPr>
            <w:r>
              <w:rPr>
                <w:rFonts w:hint="eastAsia"/>
                <w:color w:val="auto"/>
                <w:szCs w:val="21"/>
                <w:highlight w:val="none"/>
              </w:rPr>
              <w:t>偷工减料，弄虚作假，不按图纸和规范施工</w:t>
            </w:r>
          </w:p>
        </w:tc>
        <w:tc>
          <w:tcPr>
            <w:tcW w:w="1984" w:type="dxa"/>
            <w:noWrap/>
            <w:vAlign w:val="center"/>
          </w:tcPr>
          <w:p w14:paraId="6DD5A71F">
            <w:pPr>
              <w:widowControl/>
              <w:rPr>
                <w:color w:val="auto"/>
                <w:szCs w:val="21"/>
                <w:highlight w:val="none"/>
              </w:rPr>
            </w:pPr>
            <w:r>
              <w:rPr>
                <w:rFonts w:hint="eastAsia"/>
                <w:color w:val="auto"/>
                <w:szCs w:val="21"/>
                <w:highlight w:val="none"/>
              </w:rPr>
              <w:t>10000元/次</w:t>
            </w:r>
          </w:p>
        </w:tc>
        <w:tc>
          <w:tcPr>
            <w:tcW w:w="2121" w:type="dxa"/>
            <w:noWrap/>
            <w:vAlign w:val="center"/>
          </w:tcPr>
          <w:p w14:paraId="70614164">
            <w:pPr>
              <w:widowControl/>
              <w:rPr>
                <w:color w:val="auto"/>
                <w:szCs w:val="21"/>
                <w:highlight w:val="none"/>
              </w:rPr>
            </w:pPr>
            <w:r>
              <w:rPr>
                <w:rFonts w:hint="eastAsia"/>
                <w:color w:val="auto"/>
                <w:szCs w:val="21"/>
                <w:highlight w:val="none"/>
              </w:rPr>
              <w:t>承包人按要求整改完毕，额外罚金</w:t>
            </w:r>
          </w:p>
        </w:tc>
      </w:tr>
      <w:tr w14:paraId="1E93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8" w:type="dxa"/>
            <w:noWrap/>
            <w:vAlign w:val="center"/>
          </w:tcPr>
          <w:p w14:paraId="20F0B6BA">
            <w:pPr>
              <w:widowControl/>
              <w:jc w:val="center"/>
              <w:rPr>
                <w:color w:val="auto"/>
                <w:szCs w:val="21"/>
                <w:highlight w:val="none"/>
              </w:rPr>
            </w:pPr>
            <w:r>
              <w:rPr>
                <w:rFonts w:hint="eastAsia"/>
                <w:color w:val="auto"/>
                <w:szCs w:val="21"/>
                <w:highlight w:val="none"/>
              </w:rPr>
              <w:t>2</w:t>
            </w:r>
            <w:r>
              <w:rPr>
                <w:color w:val="auto"/>
                <w:szCs w:val="21"/>
                <w:highlight w:val="none"/>
              </w:rPr>
              <w:t>7</w:t>
            </w:r>
          </w:p>
        </w:tc>
        <w:tc>
          <w:tcPr>
            <w:tcW w:w="4254" w:type="dxa"/>
            <w:noWrap/>
            <w:vAlign w:val="center"/>
          </w:tcPr>
          <w:p w14:paraId="46390DC7">
            <w:pPr>
              <w:widowControl/>
              <w:rPr>
                <w:color w:val="auto"/>
                <w:szCs w:val="21"/>
                <w:highlight w:val="none"/>
              </w:rPr>
            </w:pPr>
            <w:r>
              <w:rPr>
                <w:rFonts w:hint="eastAsia"/>
                <w:color w:val="auto"/>
                <w:szCs w:val="21"/>
                <w:highlight w:val="none"/>
              </w:rPr>
              <w:t>包括但不限于电焊工、塔吊驾驶员、升降机驾驶员等，无国家有关部门颁发的有效操作证</w:t>
            </w:r>
          </w:p>
        </w:tc>
        <w:tc>
          <w:tcPr>
            <w:tcW w:w="1984" w:type="dxa"/>
            <w:noWrap/>
            <w:vAlign w:val="center"/>
          </w:tcPr>
          <w:p w14:paraId="499EA971">
            <w:pPr>
              <w:widowControl/>
              <w:rPr>
                <w:color w:val="auto"/>
                <w:szCs w:val="21"/>
                <w:highlight w:val="none"/>
              </w:rPr>
            </w:pPr>
            <w:r>
              <w:rPr>
                <w:rFonts w:hint="eastAsia"/>
                <w:color w:val="auto"/>
                <w:szCs w:val="21"/>
                <w:highlight w:val="none"/>
              </w:rPr>
              <w:t>10000元/人次</w:t>
            </w:r>
          </w:p>
        </w:tc>
        <w:tc>
          <w:tcPr>
            <w:tcW w:w="2121" w:type="dxa"/>
            <w:noWrap/>
            <w:vAlign w:val="center"/>
          </w:tcPr>
          <w:p w14:paraId="70380144">
            <w:pPr>
              <w:widowControl/>
              <w:rPr>
                <w:color w:val="auto"/>
                <w:szCs w:val="21"/>
                <w:highlight w:val="none"/>
              </w:rPr>
            </w:pPr>
            <w:r>
              <w:rPr>
                <w:rFonts w:hint="eastAsia"/>
                <w:color w:val="auto"/>
                <w:szCs w:val="21"/>
                <w:highlight w:val="none"/>
              </w:rPr>
              <w:t>　</w:t>
            </w:r>
          </w:p>
        </w:tc>
      </w:tr>
      <w:tr w14:paraId="282B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698" w:type="dxa"/>
            <w:noWrap/>
            <w:vAlign w:val="center"/>
          </w:tcPr>
          <w:p w14:paraId="063A70EA">
            <w:pPr>
              <w:widowControl/>
              <w:jc w:val="center"/>
              <w:rPr>
                <w:color w:val="auto"/>
                <w:szCs w:val="21"/>
                <w:highlight w:val="none"/>
              </w:rPr>
            </w:pPr>
            <w:r>
              <w:rPr>
                <w:rFonts w:hint="eastAsia"/>
                <w:color w:val="auto"/>
                <w:szCs w:val="21"/>
                <w:highlight w:val="none"/>
              </w:rPr>
              <w:t>2</w:t>
            </w:r>
            <w:r>
              <w:rPr>
                <w:color w:val="auto"/>
                <w:szCs w:val="21"/>
                <w:highlight w:val="none"/>
              </w:rPr>
              <w:t>8</w:t>
            </w:r>
          </w:p>
        </w:tc>
        <w:tc>
          <w:tcPr>
            <w:tcW w:w="4254" w:type="dxa"/>
            <w:noWrap/>
            <w:vAlign w:val="center"/>
          </w:tcPr>
          <w:p w14:paraId="51A0D748">
            <w:pPr>
              <w:widowControl/>
              <w:rPr>
                <w:color w:val="auto"/>
                <w:szCs w:val="21"/>
                <w:highlight w:val="none"/>
              </w:rPr>
            </w:pPr>
            <w:r>
              <w:rPr>
                <w:rFonts w:hint="eastAsia"/>
                <w:color w:val="auto"/>
                <w:szCs w:val="21"/>
                <w:highlight w:val="none"/>
              </w:rPr>
              <w:t>项目经理（施工负责人）不作为（不管现场具体事务，对现场问题不与发包人及发包人的管理团队及其他分包人及时、主动沟通与协调。）</w:t>
            </w:r>
          </w:p>
        </w:tc>
        <w:tc>
          <w:tcPr>
            <w:tcW w:w="1984" w:type="dxa"/>
            <w:noWrap/>
            <w:vAlign w:val="center"/>
          </w:tcPr>
          <w:p w14:paraId="2570A5B2">
            <w:pPr>
              <w:widowControl/>
              <w:rPr>
                <w:color w:val="auto"/>
                <w:szCs w:val="21"/>
                <w:highlight w:val="none"/>
              </w:rPr>
            </w:pPr>
            <w:r>
              <w:rPr>
                <w:rFonts w:hint="eastAsia"/>
                <w:color w:val="auto"/>
                <w:szCs w:val="21"/>
                <w:highlight w:val="none"/>
              </w:rPr>
              <w:t>10000元/次</w:t>
            </w:r>
          </w:p>
        </w:tc>
        <w:tc>
          <w:tcPr>
            <w:tcW w:w="2121" w:type="dxa"/>
            <w:noWrap/>
            <w:vAlign w:val="center"/>
          </w:tcPr>
          <w:p w14:paraId="15EFAFFF">
            <w:pPr>
              <w:widowControl/>
              <w:rPr>
                <w:color w:val="auto"/>
                <w:szCs w:val="21"/>
                <w:highlight w:val="none"/>
              </w:rPr>
            </w:pPr>
            <w:r>
              <w:rPr>
                <w:rFonts w:hint="eastAsia"/>
                <w:color w:val="auto"/>
                <w:szCs w:val="21"/>
                <w:highlight w:val="none"/>
              </w:rPr>
              <w:t>　</w:t>
            </w:r>
          </w:p>
        </w:tc>
      </w:tr>
      <w:tr w14:paraId="27B0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98" w:type="dxa"/>
            <w:noWrap/>
            <w:vAlign w:val="center"/>
          </w:tcPr>
          <w:p w14:paraId="5A491620">
            <w:pPr>
              <w:widowControl/>
              <w:jc w:val="center"/>
              <w:rPr>
                <w:color w:val="auto"/>
                <w:szCs w:val="21"/>
                <w:highlight w:val="none"/>
              </w:rPr>
            </w:pPr>
            <w:r>
              <w:rPr>
                <w:color w:val="auto"/>
                <w:szCs w:val="21"/>
                <w:highlight w:val="none"/>
              </w:rPr>
              <w:t>29</w:t>
            </w:r>
          </w:p>
        </w:tc>
        <w:tc>
          <w:tcPr>
            <w:tcW w:w="4254" w:type="dxa"/>
            <w:noWrap/>
            <w:vAlign w:val="center"/>
          </w:tcPr>
          <w:p w14:paraId="68226DBA">
            <w:pPr>
              <w:widowControl/>
              <w:rPr>
                <w:color w:val="auto"/>
                <w:szCs w:val="21"/>
                <w:highlight w:val="none"/>
              </w:rPr>
            </w:pPr>
            <w:r>
              <w:rPr>
                <w:rFonts w:hint="eastAsia"/>
                <w:color w:val="auto"/>
                <w:szCs w:val="21"/>
                <w:highlight w:val="none"/>
              </w:rPr>
              <w:t>未按期完成里程碑节点</w:t>
            </w:r>
          </w:p>
        </w:tc>
        <w:tc>
          <w:tcPr>
            <w:tcW w:w="1984" w:type="dxa"/>
            <w:noWrap/>
            <w:vAlign w:val="center"/>
          </w:tcPr>
          <w:p w14:paraId="7C989DAC">
            <w:pPr>
              <w:widowControl/>
              <w:rPr>
                <w:color w:val="auto"/>
                <w:szCs w:val="21"/>
                <w:highlight w:val="none"/>
              </w:rPr>
            </w:pPr>
            <w:r>
              <w:rPr>
                <w:rFonts w:hint="eastAsia"/>
                <w:color w:val="auto"/>
                <w:szCs w:val="21"/>
                <w:highlight w:val="none"/>
              </w:rPr>
              <w:t>20000元/天</w:t>
            </w:r>
          </w:p>
        </w:tc>
        <w:tc>
          <w:tcPr>
            <w:tcW w:w="2121" w:type="dxa"/>
            <w:noWrap/>
            <w:vAlign w:val="center"/>
          </w:tcPr>
          <w:p w14:paraId="3B891C24">
            <w:pPr>
              <w:widowControl/>
              <w:rPr>
                <w:color w:val="auto"/>
                <w:szCs w:val="21"/>
                <w:highlight w:val="none"/>
              </w:rPr>
            </w:pPr>
            <w:r>
              <w:rPr>
                <w:rFonts w:hint="eastAsia"/>
                <w:color w:val="auto"/>
                <w:szCs w:val="21"/>
                <w:highlight w:val="none"/>
              </w:rPr>
              <w:t>　</w:t>
            </w:r>
          </w:p>
        </w:tc>
      </w:tr>
      <w:tr w14:paraId="0A4D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98" w:type="dxa"/>
            <w:noWrap/>
            <w:vAlign w:val="center"/>
          </w:tcPr>
          <w:p w14:paraId="06083A3D">
            <w:pPr>
              <w:widowControl/>
              <w:jc w:val="center"/>
              <w:rPr>
                <w:color w:val="auto"/>
                <w:szCs w:val="21"/>
                <w:highlight w:val="none"/>
              </w:rPr>
            </w:pPr>
            <w:r>
              <w:rPr>
                <w:rFonts w:hint="eastAsia"/>
                <w:color w:val="auto"/>
                <w:szCs w:val="21"/>
                <w:highlight w:val="none"/>
              </w:rPr>
              <w:t>3</w:t>
            </w:r>
            <w:r>
              <w:rPr>
                <w:color w:val="auto"/>
                <w:szCs w:val="21"/>
                <w:highlight w:val="none"/>
              </w:rPr>
              <w:t>0</w:t>
            </w:r>
          </w:p>
        </w:tc>
        <w:tc>
          <w:tcPr>
            <w:tcW w:w="4254" w:type="dxa"/>
            <w:noWrap/>
            <w:vAlign w:val="center"/>
          </w:tcPr>
          <w:p w14:paraId="0D88B85B">
            <w:pPr>
              <w:widowControl/>
              <w:rPr>
                <w:color w:val="auto"/>
                <w:szCs w:val="21"/>
                <w:highlight w:val="none"/>
              </w:rPr>
            </w:pPr>
            <w:r>
              <w:rPr>
                <w:rFonts w:hint="eastAsia"/>
                <w:color w:val="auto"/>
                <w:szCs w:val="21"/>
                <w:highlight w:val="none"/>
              </w:rPr>
              <w:t>安全员、质量员等关键岗位人员未按要求配备或不到场履职的</w:t>
            </w:r>
          </w:p>
        </w:tc>
        <w:tc>
          <w:tcPr>
            <w:tcW w:w="1984" w:type="dxa"/>
            <w:noWrap/>
            <w:vAlign w:val="center"/>
          </w:tcPr>
          <w:p w14:paraId="7A6B647C">
            <w:pPr>
              <w:widowControl/>
              <w:rPr>
                <w:color w:val="auto"/>
                <w:szCs w:val="21"/>
                <w:highlight w:val="none"/>
              </w:rPr>
            </w:pPr>
            <w:r>
              <w:rPr>
                <w:rFonts w:hint="eastAsia"/>
                <w:color w:val="auto"/>
                <w:szCs w:val="21"/>
                <w:highlight w:val="none"/>
              </w:rPr>
              <w:t>20000元/天×人</w:t>
            </w:r>
          </w:p>
        </w:tc>
        <w:tc>
          <w:tcPr>
            <w:tcW w:w="2121" w:type="dxa"/>
            <w:noWrap/>
            <w:vAlign w:val="center"/>
          </w:tcPr>
          <w:p w14:paraId="347FD34E">
            <w:pPr>
              <w:widowControl/>
              <w:rPr>
                <w:color w:val="auto"/>
                <w:szCs w:val="21"/>
                <w:highlight w:val="none"/>
              </w:rPr>
            </w:pPr>
            <w:r>
              <w:rPr>
                <w:rFonts w:hint="eastAsia"/>
                <w:color w:val="auto"/>
                <w:szCs w:val="21"/>
                <w:highlight w:val="none"/>
              </w:rPr>
              <w:t>　</w:t>
            </w:r>
          </w:p>
        </w:tc>
      </w:tr>
      <w:tr w14:paraId="663D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98" w:type="dxa"/>
            <w:noWrap/>
            <w:vAlign w:val="center"/>
          </w:tcPr>
          <w:p w14:paraId="2A718C96">
            <w:pPr>
              <w:widowControl/>
              <w:jc w:val="center"/>
              <w:rPr>
                <w:color w:val="auto"/>
                <w:szCs w:val="21"/>
                <w:highlight w:val="none"/>
              </w:rPr>
            </w:pPr>
            <w:r>
              <w:rPr>
                <w:color w:val="auto"/>
                <w:szCs w:val="21"/>
                <w:highlight w:val="none"/>
              </w:rPr>
              <w:t>31</w:t>
            </w:r>
          </w:p>
        </w:tc>
        <w:tc>
          <w:tcPr>
            <w:tcW w:w="4254" w:type="dxa"/>
            <w:noWrap/>
            <w:vAlign w:val="center"/>
          </w:tcPr>
          <w:p w14:paraId="2B84F3DD">
            <w:pPr>
              <w:widowControl/>
              <w:rPr>
                <w:color w:val="auto"/>
                <w:szCs w:val="21"/>
                <w:highlight w:val="none"/>
              </w:rPr>
            </w:pPr>
            <w:r>
              <w:rPr>
                <w:rFonts w:hint="eastAsia"/>
                <w:color w:val="auto"/>
                <w:szCs w:val="21"/>
                <w:highlight w:val="none"/>
              </w:rPr>
              <w:t>存在非法用工情况的</w:t>
            </w:r>
          </w:p>
        </w:tc>
        <w:tc>
          <w:tcPr>
            <w:tcW w:w="1984" w:type="dxa"/>
            <w:noWrap/>
            <w:vAlign w:val="center"/>
          </w:tcPr>
          <w:p w14:paraId="4E310D28">
            <w:pPr>
              <w:widowControl/>
              <w:rPr>
                <w:color w:val="auto"/>
                <w:szCs w:val="21"/>
                <w:highlight w:val="none"/>
              </w:rPr>
            </w:pPr>
            <w:r>
              <w:rPr>
                <w:rFonts w:hint="eastAsia"/>
                <w:color w:val="auto"/>
                <w:szCs w:val="21"/>
                <w:highlight w:val="none"/>
              </w:rPr>
              <w:t>5000元-10000元/人</w:t>
            </w:r>
          </w:p>
        </w:tc>
        <w:tc>
          <w:tcPr>
            <w:tcW w:w="2121" w:type="dxa"/>
            <w:noWrap/>
            <w:vAlign w:val="center"/>
          </w:tcPr>
          <w:p w14:paraId="1A9EF34D">
            <w:pPr>
              <w:widowControl/>
              <w:rPr>
                <w:color w:val="auto"/>
                <w:szCs w:val="21"/>
                <w:highlight w:val="none"/>
              </w:rPr>
            </w:pPr>
            <w:r>
              <w:rPr>
                <w:rFonts w:hint="eastAsia"/>
                <w:color w:val="auto"/>
                <w:szCs w:val="21"/>
                <w:highlight w:val="none"/>
              </w:rPr>
              <w:t>　</w:t>
            </w:r>
          </w:p>
        </w:tc>
      </w:tr>
      <w:tr w14:paraId="1252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8" w:type="dxa"/>
            <w:noWrap/>
            <w:vAlign w:val="center"/>
          </w:tcPr>
          <w:p w14:paraId="0610B594">
            <w:pPr>
              <w:widowControl/>
              <w:jc w:val="center"/>
              <w:rPr>
                <w:color w:val="auto"/>
                <w:szCs w:val="21"/>
                <w:highlight w:val="none"/>
              </w:rPr>
            </w:pPr>
            <w:r>
              <w:rPr>
                <w:color w:val="auto"/>
                <w:szCs w:val="21"/>
                <w:highlight w:val="none"/>
              </w:rPr>
              <w:t>32</w:t>
            </w:r>
          </w:p>
        </w:tc>
        <w:tc>
          <w:tcPr>
            <w:tcW w:w="4254" w:type="dxa"/>
            <w:noWrap/>
            <w:vAlign w:val="center"/>
          </w:tcPr>
          <w:p w14:paraId="6A5FEFB4">
            <w:pPr>
              <w:widowControl/>
              <w:rPr>
                <w:color w:val="auto"/>
                <w:szCs w:val="21"/>
                <w:highlight w:val="none"/>
              </w:rPr>
            </w:pPr>
            <w:r>
              <w:rPr>
                <w:rFonts w:hint="eastAsia"/>
                <w:color w:val="auto"/>
                <w:szCs w:val="21"/>
                <w:highlight w:val="none"/>
              </w:rPr>
              <w:t>未经安全教育培训或培训不到位的</w:t>
            </w:r>
          </w:p>
        </w:tc>
        <w:tc>
          <w:tcPr>
            <w:tcW w:w="1984" w:type="dxa"/>
            <w:noWrap/>
            <w:vAlign w:val="center"/>
          </w:tcPr>
          <w:p w14:paraId="3EF3526D">
            <w:pPr>
              <w:widowControl/>
              <w:jc w:val="center"/>
              <w:rPr>
                <w:color w:val="auto"/>
                <w:szCs w:val="21"/>
                <w:highlight w:val="none"/>
              </w:rPr>
            </w:pPr>
            <w:r>
              <w:rPr>
                <w:rFonts w:hint="eastAsia"/>
                <w:color w:val="auto"/>
                <w:szCs w:val="21"/>
                <w:highlight w:val="none"/>
              </w:rPr>
              <w:t>1000元-5000元/人</w:t>
            </w:r>
          </w:p>
        </w:tc>
        <w:tc>
          <w:tcPr>
            <w:tcW w:w="2121" w:type="dxa"/>
            <w:noWrap/>
            <w:vAlign w:val="center"/>
          </w:tcPr>
          <w:p w14:paraId="15C88CDF">
            <w:pPr>
              <w:widowControl/>
              <w:jc w:val="center"/>
              <w:rPr>
                <w:color w:val="auto"/>
                <w:szCs w:val="21"/>
                <w:highlight w:val="none"/>
              </w:rPr>
            </w:pPr>
            <w:r>
              <w:rPr>
                <w:rFonts w:hint="eastAsia"/>
                <w:color w:val="auto"/>
                <w:szCs w:val="21"/>
                <w:highlight w:val="none"/>
              </w:rPr>
              <w:t>　</w:t>
            </w:r>
          </w:p>
        </w:tc>
      </w:tr>
      <w:tr w14:paraId="7B31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98" w:type="dxa"/>
            <w:noWrap/>
            <w:vAlign w:val="center"/>
          </w:tcPr>
          <w:p w14:paraId="09E3200F">
            <w:pPr>
              <w:widowControl/>
              <w:jc w:val="center"/>
              <w:rPr>
                <w:color w:val="auto"/>
                <w:szCs w:val="21"/>
                <w:highlight w:val="none"/>
              </w:rPr>
            </w:pPr>
            <w:r>
              <w:rPr>
                <w:color w:val="auto"/>
                <w:szCs w:val="21"/>
                <w:highlight w:val="none"/>
              </w:rPr>
              <w:t>33</w:t>
            </w:r>
          </w:p>
        </w:tc>
        <w:tc>
          <w:tcPr>
            <w:tcW w:w="4254" w:type="dxa"/>
            <w:noWrap/>
            <w:vAlign w:val="center"/>
          </w:tcPr>
          <w:p w14:paraId="12CFF0D9">
            <w:pPr>
              <w:widowControl/>
              <w:rPr>
                <w:color w:val="auto"/>
                <w:szCs w:val="21"/>
                <w:highlight w:val="none"/>
              </w:rPr>
            </w:pPr>
            <w:r>
              <w:rPr>
                <w:rFonts w:hint="eastAsia"/>
                <w:color w:val="auto"/>
                <w:szCs w:val="21"/>
                <w:highlight w:val="none"/>
              </w:rPr>
              <w:t>构成发生轻伤或者设备损坏，折合直接经济损失2万元及以上的工程安全违约条件的</w:t>
            </w:r>
          </w:p>
        </w:tc>
        <w:tc>
          <w:tcPr>
            <w:tcW w:w="1984" w:type="dxa"/>
            <w:noWrap/>
            <w:vAlign w:val="center"/>
          </w:tcPr>
          <w:p w14:paraId="5555DC1E">
            <w:pPr>
              <w:widowControl/>
              <w:rPr>
                <w:color w:val="auto"/>
                <w:szCs w:val="21"/>
                <w:highlight w:val="none"/>
              </w:rPr>
            </w:pPr>
            <w:r>
              <w:rPr>
                <w:rFonts w:hint="eastAsia"/>
                <w:color w:val="auto"/>
                <w:szCs w:val="21"/>
                <w:highlight w:val="none"/>
              </w:rPr>
              <w:t>2万元/次</w:t>
            </w:r>
          </w:p>
        </w:tc>
        <w:tc>
          <w:tcPr>
            <w:tcW w:w="2121" w:type="dxa"/>
            <w:noWrap/>
            <w:vAlign w:val="center"/>
          </w:tcPr>
          <w:p w14:paraId="060DC531">
            <w:pPr>
              <w:widowControl/>
              <w:rPr>
                <w:color w:val="auto"/>
                <w:szCs w:val="21"/>
                <w:highlight w:val="none"/>
              </w:rPr>
            </w:pPr>
            <w:r>
              <w:rPr>
                <w:rFonts w:hint="eastAsia"/>
                <w:color w:val="auto"/>
                <w:szCs w:val="21"/>
                <w:highlight w:val="none"/>
              </w:rPr>
              <w:t>　</w:t>
            </w:r>
          </w:p>
        </w:tc>
      </w:tr>
      <w:tr w14:paraId="3562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98" w:type="dxa"/>
            <w:noWrap/>
            <w:vAlign w:val="center"/>
          </w:tcPr>
          <w:p w14:paraId="2CF493A0">
            <w:pPr>
              <w:widowControl/>
              <w:jc w:val="center"/>
              <w:rPr>
                <w:color w:val="auto"/>
                <w:szCs w:val="21"/>
                <w:highlight w:val="none"/>
              </w:rPr>
            </w:pPr>
            <w:r>
              <w:rPr>
                <w:rFonts w:hint="eastAsia"/>
                <w:color w:val="auto"/>
                <w:szCs w:val="21"/>
                <w:highlight w:val="none"/>
              </w:rPr>
              <w:t>3</w:t>
            </w:r>
            <w:r>
              <w:rPr>
                <w:color w:val="auto"/>
                <w:szCs w:val="21"/>
                <w:highlight w:val="none"/>
              </w:rPr>
              <w:t>4</w:t>
            </w:r>
          </w:p>
        </w:tc>
        <w:tc>
          <w:tcPr>
            <w:tcW w:w="4254" w:type="dxa"/>
            <w:noWrap/>
            <w:vAlign w:val="center"/>
          </w:tcPr>
          <w:p w14:paraId="42A2DE0D">
            <w:pPr>
              <w:widowControl/>
              <w:rPr>
                <w:color w:val="auto"/>
                <w:szCs w:val="21"/>
                <w:highlight w:val="none"/>
              </w:rPr>
            </w:pPr>
            <w:r>
              <w:rPr>
                <w:rFonts w:hint="eastAsia"/>
                <w:color w:val="auto"/>
                <w:szCs w:val="21"/>
                <w:highlight w:val="none"/>
              </w:rPr>
              <w:t xml:space="preserve">构成未发生伤亡事故但造成严重不良社会影响的工程安全违约条件的 </w:t>
            </w:r>
          </w:p>
        </w:tc>
        <w:tc>
          <w:tcPr>
            <w:tcW w:w="1984" w:type="dxa"/>
            <w:noWrap/>
            <w:vAlign w:val="center"/>
          </w:tcPr>
          <w:p w14:paraId="3014FCDC">
            <w:pPr>
              <w:widowControl/>
              <w:rPr>
                <w:color w:val="auto"/>
                <w:szCs w:val="21"/>
                <w:highlight w:val="none"/>
              </w:rPr>
            </w:pPr>
            <w:r>
              <w:rPr>
                <w:rFonts w:hint="eastAsia"/>
                <w:color w:val="auto"/>
                <w:szCs w:val="21"/>
                <w:highlight w:val="none"/>
              </w:rPr>
              <w:t>10万元/次</w:t>
            </w:r>
          </w:p>
        </w:tc>
        <w:tc>
          <w:tcPr>
            <w:tcW w:w="2121" w:type="dxa"/>
            <w:noWrap/>
            <w:vAlign w:val="center"/>
          </w:tcPr>
          <w:p w14:paraId="146F788C">
            <w:pPr>
              <w:widowControl/>
              <w:rPr>
                <w:color w:val="auto"/>
                <w:szCs w:val="21"/>
                <w:highlight w:val="none"/>
              </w:rPr>
            </w:pPr>
            <w:r>
              <w:rPr>
                <w:rFonts w:hint="eastAsia"/>
                <w:color w:val="auto"/>
                <w:szCs w:val="21"/>
                <w:highlight w:val="none"/>
              </w:rPr>
              <w:t>　</w:t>
            </w:r>
          </w:p>
        </w:tc>
      </w:tr>
      <w:tr w14:paraId="32E2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698" w:type="dxa"/>
            <w:noWrap/>
            <w:vAlign w:val="center"/>
          </w:tcPr>
          <w:p w14:paraId="1AB12E0F">
            <w:pPr>
              <w:widowControl/>
              <w:jc w:val="center"/>
              <w:rPr>
                <w:color w:val="auto"/>
                <w:szCs w:val="21"/>
                <w:highlight w:val="none"/>
              </w:rPr>
            </w:pPr>
            <w:r>
              <w:rPr>
                <w:rFonts w:hint="eastAsia"/>
                <w:color w:val="auto"/>
                <w:szCs w:val="21"/>
                <w:highlight w:val="none"/>
              </w:rPr>
              <w:t>3</w:t>
            </w:r>
            <w:r>
              <w:rPr>
                <w:color w:val="auto"/>
                <w:szCs w:val="21"/>
                <w:highlight w:val="none"/>
              </w:rPr>
              <w:t>5</w:t>
            </w:r>
          </w:p>
        </w:tc>
        <w:tc>
          <w:tcPr>
            <w:tcW w:w="4254" w:type="dxa"/>
            <w:noWrap/>
            <w:vAlign w:val="center"/>
          </w:tcPr>
          <w:p w14:paraId="18CB40DC">
            <w:pPr>
              <w:widowControl/>
              <w:rPr>
                <w:color w:val="auto"/>
                <w:szCs w:val="21"/>
                <w:highlight w:val="none"/>
              </w:rPr>
            </w:pPr>
            <w:r>
              <w:rPr>
                <w:rFonts w:hint="eastAsia"/>
                <w:color w:val="auto"/>
                <w:szCs w:val="21"/>
                <w:highlight w:val="none"/>
              </w:rPr>
              <w:t xml:space="preserve">构成发生一般事故工程安全违约条件的 </w:t>
            </w:r>
          </w:p>
        </w:tc>
        <w:tc>
          <w:tcPr>
            <w:tcW w:w="1984" w:type="dxa"/>
            <w:noWrap/>
            <w:vAlign w:val="center"/>
          </w:tcPr>
          <w:p w14:paraId="13131259">
            <w:pPr>
              <w:widowControl/>
              <w:rPr>
                <w:color w:val="auto"/>
                <w:szCs w:val="21"/>
                <w:highlight w:val="none"/>
              </w:rPr>
            </w:pPr>
            <w:r>
              <w:rPr>
                <w:color w:val="auto"/>
                <w:szCs w:val="21"/>
                <w:highlight w:val="none"/>
              </w:rPr>
              <w:t>50</w:t>
            </w:r>
            <w:r>
              <w:rPr>
                <w:rFonts w:hint="eastAsia"/>
                <w:color w:val="auto"/>
                <w:szCs w:val="21"/>
                <w:highlight w:val="none"/>
              </w:rPr>
              <w:t>万元/次</w:t>
            </w:r>
          </w:p>
        </w:tc>
        <w:tc>
          <w:tcPr>
            <w:tcW w:w="2121" w:type="dxa"/>
            <w:noWrap/>
            <w:vAlign w:val="center"/>
          </w:tcPr>
          <w:p w14:paraId="4A9F67CB">
            <w:pPr>
              <w:widowControl/>
              <w:rPr>
                <w:color w:val="auto"/>
                <w:szCs w:val="21"/>
                <w:highlight w:val="none"/>
              </w:rPr>
            </w:pPr>
            <w:r>
              <w:rPr>
                <w:rFonts w:hint="eastAsia"/>
                <w:color w:val="auto"/>
                <w:szCs w:val="21"/>
                <w:highlight w:val="none"/>
              </w:rPr>
              <w:t>　</w:t>
            </w:r>
          </w:p>
        </w:tc>
      </w:tr>
      <w:tr w14:paraId="5F1B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98" w:type="dxa"/>
            <w:noWrap/>
            <w:vAlign w:val="center"/>
          </w:tcPr>
          <w:p w14:paraId="225E1B44">
            <w:pPr>
              <w:widowControl/>
              <w:jc w:val="center"/>
              <w:rPr>
                <w:color w:val="auto"/>
                <w:szCs w:val="21"/>
                <w:highlight w:val="none"/>
              </w:rPr>
            </w:pPr>
            <w:r>
              <w:rPr>
                <w:rFonts w:hint="eastAsia"/>
                <w:color w:val="auto"/>
                <w:szCs w:val="21"/>
                <w:highlight w:val="none"/>
              </w:rPr>
              <w:t>3</w:t>
            </w:r>
            <w:r>
              <w:rPr>
                <w:color w:val="auto"/>
                <w:szCs w:val="21"/>
                <w:highlight w:val="none"/>
              </w:rPr>
              <w:t>6</w:t>
            </w:r>
          </w:p>
        </w:tc>
        <w:tc>
          <w:tcPr>
            <w:tcW w:w="4254" w:type="dxa"/>
            <w:noWrap/>
            <w:vAlign w:val="center"/>
          </w:tcPr>
          <w:p w14:paraId="7F861E1C">
            <w:pPr>
              <w:widowControl/>
              <w:rPr>
                <w:color w:val="auto"/>
                <w:szCs w:val="21"/>
                <w:highlight w:val="none"/>
              </w:rPr>
            </w:pPr>
            <w:r>
              <w:rPr>
                <w:rFonts w:hint="eastAsia"/>
                <w:color w:val="auto"/>
                <w:szCs w:val="21"/>
                <w:highlight w:val="none"/>
              </w:rPr>
              <w:t>构成较大事故工程安全违约条件的</w:t>
            </w:r>
          </w:p>
        </w:tc>
        <w:tc>
          <w:tcPr>
            <w:tcW w:w="1984" w:type="dxa"/>
            <w:noWrap/>
            <w:vAlign w:val="center"/>
          </w:tcPr>
          <w:p w14:paraId="088D3CF3">
            <w:pPr>
              <w:widowControl/>
              <w:rPr>
                <w:color w:val="auto"/>
                <w:szCs w:val="21"/>
                <w:highlight w:val="none"/>
              </w:rPr>
            </w:pPr>
            <w:r>
              <w:rPr>
                <w:rFonts w:hint="eastAsia"/>
                <w:color w:val="auto"/>
                <w:szCs w:val="21"/>
                <w:highlight w:val="none"/>
              </w:rPr>
              <w:t>1</w:t>
            </w:r>
            <w:r>
              <w:rPr>
                <w:color w:val="auto"/>
                <w:szCs w:val="21"/>
                <w:highlight w:val="none"/>
              </w:rPr>
              <w:t>0</w:t>
            </w:r>
            <w:r>
              <w:rPr>
                <w:rFonts w:hint="eastAsia"/>
                <w:color w:val="auto"/>
                <w:szCs w:val="21"/>
                <w:highlight w:val="none"/>
              </w:rPr>
              <w:t>0万元/次</w:t>
            </w:r>
          </w:p>
        </w:tc>
        <w:tc>
          <w:tcPr>
            <w:tcW w:w="2121" w:type="dxa"/>
            <w:noWrap/>
            <w:vAlign w:val="center"/>
          </w:tcPr>
          <w:p w14:paraId="497665EC">
            <w:pPr>
              <w:widowControl/>
              <w:rPr>
                <w:color w:val="auto"/>
                <w:szCs w:val="21"/>
                <w:highlight w:val="none"/>
              </w:rPr>
            </w:pPr>
            <w:r>
              <w:rPr>
                <w:rFonts w:hint="eastAsia"/>
                <w:color w:val="auto"/>
                <w:szCs w:val="21"/>
                <w:highlight w:val="none"/>
              </w:rPr>
              <w:t>　</w:t>
            </w:r>
          </w:p>
        </w:tc>
      </w:tr>
      <w:tr w14:paraId="7FA6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98" w:type="dxa"/>
            <w:noWrap/>
            <w:vAlign w:val="center"/>
          </w:tcPr>
          <w:p w14:paraId="716E2BBA">
            <w:pPr>
              <w:widowControl/>
              <w:jc w:val="center"/>
              <w:rPr>
                <w:color w:val="auto"/>
                <w:szCs w:val="21"/>
                <w:highlight w:val="none"/>
              </w:rPr>
            </w:pPr>
            <w:r>
              <w:rPr>
                <w:rFonts w:hint="eastAsia"/>
                <w:color w:val="auto"/>
                <w:szCs w:val="21"/>
                <w:highlight w:val="none"/>
              </w:rPr>
              <w:t>3</w:t>
            </w:r>
            <w:r>
              <w:rPr>
                <w:color w:val="auto"/>
                <w:szCs w:val="21"/>
                <w:highlight w:val="none"/>
              </w:rPr>
              <w:t>7</w:t>
            </w:r>
          </w:p>
        </w:tc>
        <w:tc>
          <w:tcPr>
            <w:tcW w:w="4254" w:type="dxa"/>
            <w:noWrap/>
            <w:vAlign w:val="center"/>
          </w:tcPr>
          <w:p w14:paraId="66C13DDD">
            <w:pPr>
              <w:widowControl/>
              <w:rPr>
                <w:color w:val="auto"/>
                <w:szCs w:val="21"/>
                <w:highlight w:val="none"/>
              </w:rPr>
            </w:pPr>
            <w:r>
              <w:rPr>
                <w:rFonts w:hint="eastAsia"/>
                <w:color w:val="auto"/>
                <w:szCs w:val="21"/>
                <w:highlight w:val="none"/>
              </w:rPr>
              <w:t>构成重大事故工程安全违约条件的</w:t>
            </w:r>
          </w:p>
        </w:tc>
        <w:tc>
          <w:tcPr>
            <w:tcW w:w="1984" w:type="dxa"/>
            <w:noWrap/>
            <w:vAlign w:val="center"/>
          </w:tcPr>
          <w:p w14:paraId="01065660">
            <w:pPr>
              <w:widowControl/>
              <w:rPr>
                <w:color w:val="auto"/>
                <w:szCs w:val="21"/>
                <w:highlight w:val="none"/>
              </w:rPr>
            </w:pPr>
            <w:r>
              <w:rPr>
                <w:rFonts w:hint="eastAsia"/>
                <w:color w:val="auto"/>
                <w:szCs w:val="21"/>
                <w:highlight w:val="none"/>
              </w:rPr>
              <w:t>150万元/次</w:t>
            </w:r>
          </w:p>
        </w:tc>
        <w:tc>
          <w:tcPr>
            <w:tcW w:w="2121" w:type="dxa"/>
            <w:noWrap/>
            <w:vAlign w:val="center"/>
          </w:tcPr>
          <w:p w14:paraId="439C45C4">
            <w:pPr>
              <w:widowControl/>
              <w:rPr>
                <w:color w:val="auto"/>
                <w:szCs w:val="21"/>
                <w:highlight w:val="none"/>
              </w:rPr>
            </w:pPr>
            <w:r>
              <w:rPr>
                <w:rFonts w:hint="eastAsia"/>
                <w:color w:val="auto"/>
                <w:szCs w:val="21"/>
                <w:highlight w:val="none"/>
              </w:rPr>
              <w:t>　</w:t>
            </w:r>
          </w:p>
        </w:tc>
      </w:tr>
      <w:tr w14:paraId="6DE2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98" w:type="dxa"/>
            <w:noWrap/>
            <w:vAlign w:val="center"/>
          </w:tcPr>
          <w:p w14:paraId="3B5AA143">
            <w:pPr>
              <w:widowControl/>
              <w:jc w:val="center"/>
              <w:rPr>
                <w:color w:val="auto"/>
                <w:szCs w:val="21"/>
                <w:highlight w:val="none"/>
              </w:rPr>
            </w:pPr>
            <w:r>
              <w:rPr>
                <w:rFonts w:hint="eastAsia"/>
                <w:color w:val="auto"/>
                <w:szCs w:val="21"/>
                <w:highlight w:val="none"/>
              </w:rPr>
              <w:t>3</w:t>
            </w:r>
            <w:r>
              <w:rPr>
                <w:color w:val="auto"/>
                <w:szCs w:val="21"/>
                <w:highlight w:val="none"/>
              </w:rPr>
              <w:t>8</w:t>
            </w:r>
          </w:p>
        </w:tc>
        <w:tc>
          <w:tcPr>
            <w:tcW w:w="4254" w:type="dxa"/>
            <w:noWrap/>
            <w:vAlign w:val="center"/>
          </w:tcPr>
          <w:p w14:paraId="69A6922C">
            <w:pPr>
              <w:widowControl/>
              <w:rPr>
                <w:color w:val="auto"/>
                <w:szCs w:val="21"/>
                <w:highlight w:val="none"/>
              </w:rPr>
            </w:pPr>
            <w:r>
              <w:rPr>
                <w:rFonts w:hint="eastAsia"/>
                <w:color w:val="auto"/>
                <w:szCs w:val="21"/>
                <w:highlight w:val="none"/>
              </w:rPr>
              <w:t>构成特大事故工程安全违约条件的</w:t>
            </w:r>
          </w:p>
        </w:tc>
        <w:tc>
          <w:tcPr>
            <w:tcW w:w="1984" w:type="dxa"/>
            <w:noWrap/>
            <w:vAlign w:val="center"/>
          </w:tcPr>
          <w:p w14:paraId="1B17D856">
            <w:pPr>
              <w:widowControl/>
              <w:rPr>
                <w:color w:val="auto"/>
                <w:szCs w:val="21"/>
                <w:highlight w:val="none"/>
              </w:rPr>
            </w:pPr>
            <w:r>
              <w:rPr>
                <w:rFonts w:hint="eastAsia"/>
                <w:color w:val="auto"/>
                <w:szCs w:val="21"/>
                <w:highlight w:val="none"/>
              </w:rPr>
              <w:t>200万元/次</w:t>
            </w:r>
          </w:p>
        </w:tc>
        <w:tc>
          <w:tcPr>
            <w:tcW w:w="2121" w:type="dxa"/>
            <w:noWrap/>
            <w:vAlign w:val="center"/>
          </w:tcPr>
          <w:p w14:paraId="0849BA1A">
            <w:pPr>
              <w:widowControl/>
              <w:rPr>
                <w:color w:val="auto"/>
                <w:szCs w:val="21"/>
                <w:highlight w:val="none"/>
              </w:rPr>
            </w:pPr>
            <w:r>
              <w:rPr>
                <w:rFonts w:hint="eastAsia"/>
                <w:color w:val="auto"/>
                <w:szCs w:val="21"/>
                <w:highlight w:val="none"/>
              </w:rPr>
              <w:t>　</w:t>
            </w:r>
          </w:p>
        </w:tc>
      </w:tr>
    </w:tbl>
    <w:p w14:paraId="32FE342F">
      <w:pPr>
        <w:snapToGrid w:val="0"/>
        <w:spacing w:line="320" w:lineRule="exact"/>
        <w:rPr>
          <w:color w:val="auto"/>
          <w:szCs w:val="21"/>
          <w:highlight w:val="none"/>
          <w:lang w:val="zh-CN"/>
        </w:rPr>
      </w:pPr>
    </w:p>
    <w:p w14:paraId="48CDD128">
      <w:pPr>
        <w:rPr>
          <w:color w:val="auto"/>
          <w:highlight w:val="none"/>
          <w:lang w:val="zh-CN" w:bidi="zh-CN"/>
        </w:rPr>
      </w:pPr>
      <w:r>
        <w:rPr>
          <w:rFonts w:hint="eastAsia"/>
          <w:color w:val="auto"/>
          <w:szCs w:val="21"/>
          <w:highlight w:val="none"/>
        </w:rPr>
        <w:t>备注：承包人出现上述违约情形的，除合同另有约定外，按照上表约定的违约责任进行。</w:t>
      </w:r>
      <w:bookmarkStart w:id="1816" w:name="_Toc142406706"/>
      <w:bookmarkEnd w:id="1816"/>
    </w:p>
    <w:p w14:paraId="62964723">
      <w:pPr>
        <w:rPr>
          <w:color w:val="auto"/>
          <w:highlight w:val="none"/>
          <w:lang w:bidi="zh-CN"/>
        </w:rPr>
        <w:sectPr>
          <w:pgSz w:w="11907" w:h="16840"/>
          <w:pgMar w:top="1304" w:right="1474" w:bottom="1304" w:left="1474" w:header="737" w:footer="737" w:gutter="0"/>
          <w:cols w:space="720" w:num="1"/>
          <w:docGrid w:linePitch="326" w:charSpace="0"/>
        </w:sectPr>
      </w:pPr>
    </w:p>
    <w:p w14:paraId="56F9108B">
      <w:pPr>
        <w:keepNext/>
        <w:keepLines/>
        <w:widowControl/>
        <w:wordWrap w:val="0"/>
        <w:topLinePunct/>
        <w:adjustRightInd w:val="0"/>
        <w:snapToGrid w:val="0"/>
        <w:spacing w:after="156" w:afterLines="50" w:line="360" w:lineRule="auto"/>
        <w:jc w:val="center"/>
        <w:outlineLvl w:val="1"/>
        <w:rPr>
          <w:rFonts w:ascii="宋体" w:hAnsi="宋体" w:cs="宋体"/>
          <w:b/>
          <w:color w:val="auto"/>
          <w:kern w:val="0"/>
          <w:szCs w:val="21"/>
          <w:highlight w:val="none"/>
          <w:lang w:bidi="ar"/>
        </w:rPr>
      </w:pPr>
      <w:bookmarkStart w:id="1817" w:name="_Toc179885422"/>
      <w:r>
        <w:rPr>
          <w:rFonts w:hint="eastAsia" w:ascii="宋体" w:hAnsi="宋体" w:cs="宋体"/>
          <w:b/>
          <w:color w:val="auto"/>
          <w:kern w:val="0"/>
          <w:szCs w:val="21"/>
          <w:highlight w:val="none"/>
          <w:lang w:bidi="ar"/>
        </w:rPr>
        <w:t>附件7 主材品牌选用</w:t>
      </w:r>
      <w:bookmarkEnd w:id="1817"/>
    </w:p>
    <w:p w14:paraId="4C6EA1EC">
      <w:pPr>
        <w:widowControl/>
        <w:jc w:val="left"/>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br w:type="page"/>
      </w:r>
    </w:p>
    <w:p w14:paraId="6602C5C1">
      <w:pPr>
        <w:keepNext/>
        <w:keepLines/>
        <w:widowControl/>
        <w:wordWrap w:val="0"/>
        <w:topLinePunct/>
        <w:adjustRightInd w:val="0"/>
        <w:snapToGrid w:val="0"/>
        <w:spacing w:after="156" w:afterLines="50" w:line="360" w:lineRule="auto"/>
        <w:jc w:val="center"/>
        <w:outlineLvl w:val="1"/>
        <w:rPr>
          <w:rFonts w:ascii="宋体" w:hAnsi="宋体" w:cs="宋体"/>
          <w:b/>
          <w:color w:val="auto"/>
          <w:kern w:val="0"/>
          <w:highlight w:val="none"/>
        </w:rPr>
      </w:pPr>
      <w:bookmarkStart w:id="1818" w:name="_Toc179885423"/>
      <w:bookmarkStart w:id="1819" w:name="OLE_LINK30"/>
      <w:r>
        <w:rPr>
          <w:rFonts w:hint="eastAsia" w:ascii="宋体" w:hAnsi="宋体" w:cs="宋体"/>
          <w:b/>
          <w:color w:val="auto"/>
          <w:kern w:val="0"/>
          <w:szCs w:val="21"/>
          <w:highlight w:val="none"/>
          <w:lang w:bidi="ar"/>
        </w:rPr>
        <w:t>附件</w:t>
      </w:r>
      <w:r>
        <w:rPr>
          <w:rFonts w:ascii="宋体" w:hAnsi="宋体" w:cs="宋体"/>
          <w:b/>
          <w:color w:val="auto"/>
          <w:kern w:val="0"/>
          <w:szCs w:val="21"/>
          <w:highlight w:val="none"/>
          <w:lang w:bidi="ar"/>
        </w:rPr>
        <w:t>8：廉洁从业协议</w:t>
      </w:r>
      <w:bookmarkEnd w:id="1818"/>
    </w:p>
    <w:p w14:paraId="5FA12E92">
      <w:pPr>
        <w:widowControl/>
        <w:spacing w:line="360" w:lineRule="auto"/>
        <w:ind w:firstLine="420" w:firstLineChars="200"/>
        <w:jc w:val="left"/>
        <w:rPr>
          <w:rFonts w:ascii="宋体" w:hAnsi="宋体" w:cs="宋体"/>
          <w:color w:val="auto"/>
          <w:kern w:val="0"/>
          <w:szCs w:val="21"/>
          <w:highlight w:val="none"/>
          <w:lang w:bidi="ar"/>
        </w:rPr>
      </w:pPr>
      <w:r>
        <w:rPr>
          <w:rFonts w:ascii="宋体" w:hAnsi="宋体" w:cs="宋体"/>
          <w:color w:val="auto"/>
          <w:kern w:val="0"/>
          <w:szCs w:val="21"/>
          <w:highlight w:val="none"/>
          <w:lang w:bidi="ar"/>
        </w:rPr>
        <w:t xml:space="preserve"> </w:t>
      </w:r>
    </w:p>
    <w:p w14:paraId="5550AD01">
      <w:pPr>
        <w:pStyle w:val="4"/>
        <w:rPr>
          <w:color w:val="auto"/>
          <w:highlight w:val="none"/>
          <w:lang w:bidi="ar"/>
        </w:rPr>
      </w:pPr>
      <w:r>
        <w:rPr>
          <w:rFonts w:hint="eastAsia"/>
          <w:color w:val="auto"/>
          <w:highlight w:val="none"/>
          <w:lang w:bidi="ar"/>
        </w:rPr>
        <w:t>发包人（全称）：</w:t>
      </w:r>
      <w:r>
        <w:rPr>
          <w:color w:val="auto"/>
          <w:highlight w:val="none"/>
          <w:u w:val="single"/>
          <w:lang w:bidi="ar"/>
        </w:rPr>
        <w:t xml:space="preserve">                                  </w:t>
      </w:r>
    </w:p>
    <w:p w14:paraId="54430650">
      <w:pPr>
        <w:pStyle w:val="4"/>
        <w:rPr>
          <w:color w:val="auto"/>
          <w:highlight w:val="none"/>
          <w:lang w:bidi="ar"/>
        </w:rPr>
      </w:pPr>
      <w:r>
        <w:rPr>
          <w:rFonts w:hint="eastAsia"/>
          <w:color w:val="auto"/>
          <w:highlight w:val="none"/>
          <w:lang w:bidi="ar"/>
        </w:rPr>
        <w:t>承包人（全称）：</w:t>
      </w:r>
      <w:r>
        <w:rPr>
          <w:color w:val="auto"/>
          <w:highlight w:val="none"/>
          <w:u w:val="single"/>
          <w:lang w:bidi="ar"/>
        </w:rPr>
        <w:t xml:space="preserve">                                  </w:t>
      </w:r>
    </w:p>
    <w:p w14:paraId="7D327540">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0DA135F1">
      <w:pPr>
        <w:widowControl/>
        <w:spacing w:line="360" w:lineRule="auto"/>
        <w:ind w:firstLine="420" w:firstLineChars="200"/>
        <w:jc w:val="left"/>
        <w:rPr>
          <w:rFonts w:ascii="宋体" w:hAnsi="宋体" w:cs="宋体"/>
          <w:color w:val="auto"/>
          <w:kern w:val="0"/>
          <w:highlight w:val="none"/>
        </w:rPr>
      </w:pPr>
      <w:r>
        <w:rPr>
          <w:rFonts w:ascii="宋体" w:hAnsi="宋体" w:cs="宋体"/>
          <w:color w:val="auto"/>
          <w:kern w:val="0"/>
          <w:szCs w:val="21"/>
          <w:highlight w:val="none"/>
          <w:lang w:bidi="ar"/>
        </w:rPr>
        <w:t xml:space="preserve"> 1. 发包人承包人的权利和义务</w:t>
      </w:r>
    </w:p>
    <w:p w14:paraId="0BF97CA1">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1）严格遵守党的政策规定和国家有关法律法规及相关部门的有关规定。</w:t>
      </w:r>
    </w:p>
    <w:p w14:paraId="0BE0F8F0">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 xml:space="preserve">2）严格执行 </w:t>
      </w:r>
      <w:r>
        <w:rPr>
          <w:rFonts w:hint="eastAsia" w:ascii="宋体" w:hAnsi="宋体" w:cs="宋体"/>
          <w:color w:val="auto"/>
          <w:kern w:val="0"/>
          <w:szCs w:val="21"/>
          <w:highlight w:val="none"/>
          <w:lang w:bidi="ar"/>
        </w:rPr>
        <w:t>工程的合同文件，自觉按合同办事。</w:t>
      </w:r>
    </w:p>
    <w:p w14:paraId="6E3C67CC">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3）双方的业务活动坚持公开、公正、诚信、透明的原则（法律认定的商业秘密和合同文件另有规定除外），不得损害国家和集体利益，违反工程建设管理规章制度。</w:t>
      </w:r>
    </w:p>
    <w:p w14:paraId="15A874C9">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4）建立健全廉政制度，开展廉政教育，设立廉政告示牌，公布举报电话，监督并认真查处违法违纪行为。</w:t>
      </w:r>
    </w:p>
    <w:p w14:paraId="7087E04E">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5）发现对方在业务活动中有违反廉政规定的行为，有及时提醒对方纠正的权利和义务。</w:t>
      </w:r>
    </w:p>
    <w:p w14:paraId="093D662E">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6）发现对方严重违反协议义务条款的行为，有向其上级有关部门举报、建议给予处理并要求告知处理结果的权利。</w:t>
      </w:r>
    </w:p>
    <w:p w14:paraId="77E15B4F">
      <w:pPr>
        <w:widowControl/>
        <w:spacing w:line="360" w:lineRule="auto"/>
        <w:ind w:firstLine="420" w:firstLineChars="200"/>
        <w:jc w:val="left"/>
        <w:rPr>
          <w:rFonts w:ascii="宋体" w:hAnsi="宋体" w:cs="宋体"/>
          <w:color w:val="auto"/>
          <w:kern w:val="0"/>
          <w:highlight w:val="none"/>
        </w:rPr>
      </w:pPr>
      <w:r>
        <w:rPr>
          <w:rFonts w:ascii="宋体" w:hAnsi="宋体" w:cs="宋体"/>
          <w:color w:val="auto"/>
          <w:kern w:val="0"/>
          <w:szCs w:val="21"/>
          <w:highlight w:val="none"/>
          <w:lang w:bidi="ar"/>
        </w:rPr>
        <w:t xml:space="preserve">2. </w:t>
      </w:r>
      <w:r>
        <w:rPr>
          <w:rFonts w:hint="eastAsia" w:ascii="宋体" w:hAnsi="宋体" w:cs="宋体"/>
          <w:color w:val="auto"/>
          <w:kern w:val="0"/>
          <w:szCs w:val="21"/>
          <w:highlight w:val="none"/>
          <w:lang w:bidi="ar"/>
        </w:rPr>
        <w:t>发包人的义务</w:t>
      </w:r>
    </w:p>
    <w:p w14:paraId="2C8F755E">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1）发包人及其工作人员不得索要或接受承包人的礼金、有价证券和贵重物品，不得在承包人报销任何应由发包人或发包人工作人员个人支付的费用等。</w:t>
      </w:r>
    </w:p>
    <w:p w14:paraId="56A7C52E">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2）发包人工作人员不得参加承包人安排的超标准宴请和娱乐活动；不得接受承包人提供的通讯工具、交通工具和高档办公用品等。</w:t>
      </w:r>
    </w:p>
    <w:p w14:paraId="5746A6E0">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3）发包人及其工作人员不得要求或者接受承包人为其住房装修、婚丧嫁娶活动、配偶子女的工作安排以及出国出境、旅游等提供方便等。</w:t>
      </w:r>
    </w:p>
    <w:p w14:paraId="76259BCB">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4）发包人工作人员及其配偶、子女不得从事与发包人工程有关的材料设备供应、工程分包、劳务等经济活动等。</w:t>
      </w:r>
    </w:p>
    <w:p w14:paraId="38F5554E">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5）发包人及其工作人员不得以任何理由向承包人推荐分包单位或推销材料，不得要求承包人购买合同规定外的材料和设备。</w:t>
      </w:r>
    </w:p>
    <w:p w14:paraId="6A3BB269">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6）发包人工作人员要秉公办事，不准营私舞弊，不准利用职权从事各种个人有偿中介活动和安排个人施工队伍。</w:t>
      </w:r>
    </w:p>
    <w:p w14:paraId="12A39C2A">
      <w:pPr>
        <w:widowControl/>
        <w:spacing w:line="360" w:lineRule="auto"/>
        <w:ind w:firstLine="420" w:firstLineChars="200"/>
        <w:jc w:val="left"/>
        <w:rPr>
          <w:rFonts w:ascii="宋体" w:hAnsi="宋体" w:cs="宋体"/>
          <w:color w:val="auto"/>
          <w:kern w:val="0"/>
          <w:highlight w:val="none"/>
        </w:rPr>
      </w:pPr>
      <w:r>
        <w:rPr>
          <w:rFonts w:ascii="宋体" w:hAnsi="宋体" w:cs="宋体"/>
          <w:color w:val="auto"/>
          <w:kern w:val="0"/>
          <w:szCs w:val="21"/>
          <w:highlight w:val="none"/>
          <w:lang w:bidi="ar"/>
        </w:rPr>
        <w:t xml:space="preserve">3. </w:t>
      </w:r>
      <w:r>
        <w:rPr>
          <w:rFonts w:hint="eastAsia" w:ascii="宋体" w:hAnsi="宋体" w:cs="宋体"/>
          <w:color w:val="auto"/>
          <w:kern w:val="0"/>
          <w:szCs w:val="21"/>
          <w:highlight w:val="none"/>
          <w:lang w:bidi="ar"/>
        </w:rPr>
        <w:t>承包人义务</w:t>
      </w:r>
    </w:p>
    <w:p w14:paraId="760AA4DE">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1）承包人不得以任何理由向发包人及其工作人员行贿或馈赠礼金、有价证券、贵重礼品。</w:t>
      </w:r>
    </w:p>
    <w:p w14:paraId="01E7F816">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2）承包人不得以任何名义为发包人及其工作人员报销应由发包人单位或个人支付的任何费用。</w:t>
      </w:r>
    </w:p>
    <w:p w14:paraId="5FDCD77F">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3）承包人不得以任何理由安排发包人工作人员参加超标准宴请及娱乐活动。</w:t>
      </w:r>
    </w:p>
    <w:p w14:paraId="6ACF34A5">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4）承包人不得为发包人单位和个人购置或提供通讯工具、交通工具和高档办公用品等。</w:t>
      </w:r>
    </w:p>
    <w:p w14:paraId="543374F1">
      <w:pPr>
        <w:widowControl/>
        <w:spacing w:line="360" w:lineRule="auto"/>
        <w:ind w:firstLine="420" w:firstLineChars="200"/>
        <w:jc w:val="left"/>
        <w:rPr>
          <w:rFonts w:ascii="宋体" w:hAnsi="宋体" w:cs="宋体"/>
          <w:color w:val="auto"/>
          <w:kern w:val="0"/>
          <w:highlight w:val="none"/>
        </w:rPr>
      </w:pPr>
      <w:r>
        <w:rPr>
          <w:rFonts w:ascii="宋体" w:hAnsi="宋体" w:cs="宋体"/>
          <w:color w:val="auto"/>
          <w:kern w:val="0"/>
          <w:szCs w:val="21"/>
          <w:highlight w:val="none"/>
          <w:lang w:bidi="ar"/>
        </w:rPr>
        <w:t xml:space="preserve">4. </w:t>
      </w:r>
      <w:r>
        <w:rPr>
          <w:rFonts w:hint="eastAsia" w:ascii="宋体" w:hAnsi="宋体" w:cs="宋体"/>
          <w:color w:val="auto"/>
          <w:kern w:val="0"/>
          <w:szCs w:val="21"/>
          <w:highlight w:val="none"/>
          <w:lang w:bidi="ar"/>
        </w:rPr>
        <w:t>违约责任</w:t>
      </w:r>
    </w:p>
    <w:p w14:paraId="25058CCC">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1）发包人及其工作人员违反合同第1、2条，按管理权限，依据有关规定给予党纪、政纪或组织处理；涉嫌犯罪的，移交司法机关追究刑事责任；给承包人单位造成经济损失的，应予以赔偿。</w:t>
      </w:r>
    </w:p>
    <w:p w14:paraId="7FE64C9E">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2）承包人及其工作人员违反合同第1、3条，按管理权限，依据有关规定给予党纪、政纪或组织处理；给发包人单位造成经济损失的，应予以赔偿。</w:t>
      </w:r>
    </w:p>
    <w:p w14:paraId="7F0607C8">
      <w:pPr>
        <w:widowControl/>
        <w:spacing w:line="360" w:lineRule="auto"/>
        <w:ind w:firstLine="420" w:firstLineChars="200"/>
        <w:jc w:val="left"/>
        <w:rPr>
          <w:rFonts w:ascii="宋体" w:hAnsi="宋体" w:cs="宋体"/>
          <w:color w:val="auto"/>
          <w:kern w:val="0"/>
          <w:highlight w:val="none"/>
        </w:rPr>
      </w:pPr>
      <w:r>
        <w:rPr>
          <w:rFonts w:ascii="宋体" w:hAnsi="宋体" w:cs="宋体"/>
          <w:color w:val="auto"/>
          <w:kern w:val="0"/>
          <w:szCs w:val="21"/>
          <w:highlight w:val="none"/>
          <w:lang w:bidi="ar"/>
        </w:rPr>
        <w:t xml:space="preserve">5. </w:t>
      </w:r>
      <w:r>
        <w:rPr>
          <w:rFonts w:hint="eastAsia" w:ascii="宋体" w:hAnsi="宋体" w:cs="宋体"/>
          <w:color w:val="auto"/>
          <w:kern w:val="0"/>
          <w:szCs w:val="21"/>
          <w:highlight w:val="none"/>
          <w:lang w:bidi="ar"/>
        </w:rPr>
        <w:t>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3B400103">
      <w:pPr>
        <w:widowControl/>
        <w:spacing w:line="360" w:lineRule="auto"/>
        <w:ind w:firstLine="420" w:firstLineChars="200"/>
        <w:jc w:val="left"/>
        <w:rPr>
          <w:rFonts w:ascii="宋体" w:hAnsi="宋体" w:cs="宋体"/>
          <w:color w:val="auto"/>
          <w:kern w:val="0"/>
          <w:highlight w:val="none"/>
        </w:rPr>
      </w:pPr>
      <w:r>
        <w:rPr>
          <w:rFonts w:ascii="宋体" w:hAnsi="宋体" w:cs="宋体"/>
          <w:color w:val="auto"/>
          <w:kern w:val="0"/>
          <w:szCs w:val="21"/>
          <w:highlight w:val="none"/>
          <w:lang w:bidi="ar"/>
        </w:rPr>
        <w:t xml:space="preserve">6. </w:t>
      </w:r>
      <w:r>
        <w:rPr>
          <w:rFonts w:hint="eastAsia" w:ascii="宋体" w:hAnsi="宋体" w:cs="宋体"/>
          <w:color w:val="auto"/>
          <w:kern w:val="0"/>
          <w:szCs w:val="21"/>
          <w:highlight w:val="none"/>
          <w:lang w:bidi="ar"/>
        </w:rPr>
        <w:t>协议有效期为甲乙双方签署之日起至该工程项目竣工验收后止。</w:t>
      </w:r>
    </w:p>
    <w:p w14:paraId="3B9B2834">
      <w:pPr>
        <w:widowControl/>
        <w:spacing w:line="360" w:lineRule="auto"/>
        <w:ind w:firstLine="420" w:firstLineChars="200"/>
        <w:jc w:val="left"/>
        <w:rPr>
          <w:rFonts w:ascii="宋体" w:hAnsi="宋体" w:cs="宋体"/>
          <w:color w:val="auto"/>
          <w:kern w:val="0"/>
          <w:highlight w:val="none"/>
        </w:rPr>
      </w:pPr>
      <w:r>
        <w:rPr>
          <w:rFonts w:ascii="宋体" w:hAnsi="宋体" w:cs="宋体"/>
          <w:color w:val="auto"/>
          <w:kern w:val="0"/>
          <w:szCs w:val="21"/>
          <w:highlight w:val="none"/>
          <w:lang w:bidi="ar"/>
        </w:rPr>
        <w:t xml:space="preserve">7.协议作为 </w:t>
      </w:r>
      <w:r>
        <w:rPr>
          <w:rFonts w:hint="eastAsia" w:ascii="宋体" w:hAnsi="宋体" w:cs="宋体"/>
          <w:color w:val="auto"/>
          <w:kern w:val="0"/>
          <w:szCs w:val="21"/>
          <w:highlight w:val="none"/>
          <w:lang w:bidi="ar"/>
        </w:rPr>
        <w:t>工程施工合同的附件，与工程施工合同具有同等的法律效力，经合同双方签署立即生效。</w:t>
      </w:r>
    </w:p>
    <w:p w14:paraId="18F87384">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（以下无正文）</w:t>
      </w:r>
    </w:p>
    <w:p w14:paraId="4F264262">
      <w:pPr>
        <w:widowControl/>
        <w:spacing w:line="360" w:lineRule="auto"/>
        <w:ind w:firstLine="420" w:firstLineChars="200"/>
        <w:jc w:val="left"/>
        <w:rPr>
          <w:rFonts w:ascii="宋体" w:hAnsi="宋体" w:cs="宋体"/>
          <w:color w:val="auto"/>
          <w:kern w:val="0"/>
          <w:highlight w:val="none"/>
        </w:rPr>
      </w:pPr>
      <w:r>
        <w:rPr>
          <w:rFonts w:ascii="宋体" w:hAnsi="宋体" w:cs="宋体"/>
          <w:color w:val="auto"/>
          <w:kern w:val="0"/>
          <w:szCs w:val="21"/>
          <w:highlight w:val="none"/>
          <w:lang w:bidi="ar"/>
        </w:rPr>
        <w:t xml:space="preserve"> </w:t>
      </w:r>
    </w:p>
    <w:p w14:paraId="7E11F4E1">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甲</w:t>
      </w:r>
      <w:r>
        <w:rPr>
          <w:rFonts w:ascii="宋体" w:hAnsi="宋体" w:cs="宋体"/>
          <w:color w:val="auto"/>
          <w:kern w:val="0"/>
          <w:szCs w:val="21"/>
          <w:highlight w:val="none"/>
          <w:lang w:bidi="ar"/>
        </w:rPr>
        <w:t xml:space="preserve">     </w:t>
      </w:r>
      <w:r>
        <w:rPr>
          <w:rFonts w:hint="eastAsia" w:ascii="宋体" w:hAnsi="宋体" w:cs="宋体"/>
          <w:color w:val="auto"/>
          <w:kern w:val="0"/>
          <w:szCs w:val="21"/>
          <w:highlight w:val="none"/>
          <w:lang w:bidi="ar"/>
        </w:rPr>
        <w:t>方：</w:t>
      </w:r>
      <w:r>
        <w:rPr>
          <w:rFonts w:ascii="宋体" w:hAnsi="宋体" w:cs="宋体"/>
          <w:color w:val="auto"/>
          <w:kern w:val="0"/>
          <w:szCs w:val="21"/>
          <w:highlight w:val="none"/>
          <w:lang w:bidi="ar"/>
        </w:rPr>
        <w:t xml:space="preserve">                         </w:t>
      </w:r>
      <w:r>
        <w:rPr>
          <w:rFonts w:hint="eastAsia" w:ascii="宋体" w:hAnsi="宋体" w:cs="宋体"/>
          <w:color w:val="auto"/>
          <w:kern w:val="0"/>
          <w:szCs w:val="21"/>
          <w:highlight w:val="none"/>
          <w:lang w:bidi="ar"/>
        </w:rPr>
        <w:t>乙</w:t>
      </w:r>
      <w:r>
        <w:rPr>
          <w:rFonts w:ascii="宋体" w:hAnsi="宋体" w:cs="宋体"/>
          <w:color w:val="auto"/>
          <w:kern w:val="0"/>
          <w:szCs w:val="21"/>
          <w:highlight w:val="none"/>
          <w:lang w:bidi="ar"/>
        </w:rPr>
        <w:t xml:space="preserve">     </w:t>
      </w:r>
      <w:r>
        <w:rPr>
          <w:rFonts w:hint="eastAsia" w:ascii="宋体" w:hAnsi="宋体" w:cs="宋体"/>
          <w:color w:val="auto"/>
          <w:kern w:val="0"/>
          <w:szCs w:val="21"/>
          <w:highlight w:val="none"/>
          <w:lang w:bidi="ar"/>
        </w:rPr>
        <w:t>方：</w:t>
      </w:r>
    </w:p>
    <w:p w14:paraId="093F070C">
      <w:pPr>
        <w:widowControl/>
        <w:spacing w:line="360" w:lineRule="auto"/>
        <w:ind w:firstLine="420" w:firstLineChars="200"/>
        <w:jc w:val="left"/>
        <w:rPr>
          <w:rFonts w:ascii="宋体" w:hAnsi="宋体" w:cs="宋体"/>
          <w:color w:val="auto"/>
          <w:kern w:val="0"/>
          <w:highlight w:val="none"/>
        </w:rPr>
      </w:pPr>
      <w:r>
        <w:rPr>
          <w:rFonts w:ascii="宋体" w:hAnsi="宋体" w:cs="宋体"/>
          <w:color w:val="auto"/>
          <w:kern w:val="0"/>
          <w:szCs w:val="21"/>
          <w:highlight w:val="none"/>
          <w:lang w:bidi="ar"/>
        </w:rPr>
        <w:t xml:space="preserve"> </w:t>
      </w:r>
    </w:p>
    <w:p w14:paraId="1D86EC1E">
      <w:pPr>
        <w:widowControl/>
        <w:spacing w:line="360" w:lineRule="auto"/>
        <w:ind w:firstLine="420" w:firstLineChars="200"/>
        <w:jc w:val="left"/>
        <w:rPr>
          <w:rFonts w:ascii="宋体" w:hAnsi="宋体" w:cs="宋体"/>
          <w:color w:val="auto"/>
          <w:kern w:val="0"/>
          <w:highlight w:val="none"/>
        </w:rPr>
      </w:pPr>
      <w:r>
        <w:rPr>
          <w:rFonts w:ascii="宋体" w:hAnsi="宋体" w:cs="宋体"/>
          <w:color w:val="auto"/>
          <w:kern w:val="0"/>
          <w:szCs w:val="21"/>
          <w:highlight w:val="none"/>
          <w:lang w:bidi="ar"/>
        </w:rPr>
        <w:t xml:space="preserve"> </w:t>
      </w:r>
    </w:p>
    <w:p w14:paraId="238A15FA">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法定代表人</w:t>
      </w:r>
      <w:r>
        <w:rPr>
          <w:rFonts w:ascii="宋体" w:hAnsi="宋体" w:cs="宋体"/>
          <w:color w:val="auto"/>
          <w:kern w:val="0"/>
          <w:szCs w:val="21"/>
          <w:highlight w:val="none"/>
          <w:lang w:bidi="ar"/>
        </w:rPr>
        <w:t xml:space="preserve">                          法定代表人                      </w:t>
      </w:r>
    </w:p>
    <w:p w14:paraId="45864B85">
      <w:pPr>
        <w:widowControl/>
        <w:spacing w:line="360" w:lineRule="auto"/>
        <w:ind w:firstLine="420" w:firstLineChars="200"/>
        <w:jc w:val="left"/>
        <w:rPr>
          <w:rFonts w:ascii="宋体" w:hAnsi="宋体" w:cs="宋体"/>
          <w:color w:val="auto"/>
          <w:kern w:val="0"/>
          <w:highlight w:val="none"/>
        </w:rPr>
      </w:pPr>
      <w:r>
        <w:rPr>
          <w:rFonts w:ascii="宋体" w:hAnsi="宋体" w:cs="宋体"/>
          <w:color w:val="auto"/>
          <w:kern w:val="0"/>
          <w:szCs w:val="21"/>
          <w:highlight w:val="none"/>
          <w:lang w:bidi="ar"/>
        </w:rPr>
        <w:t xml:space="preserve"> </w:t>
      </w:r>
    </w:p>
    <w:p w14:paraId="086DE1FE">
      <w:pPr>
        <w:widowControl/>
        <w:spacing w:line="360" w:lineRule="auto"/>
        <w:ind w:firstLine="420" w:firstLineChars="200"/>
        <w:jc w:val="left"/>
        <w:rPr>
          <w:rFonts w:ascii="宋体" w:hAnsi="宋体" w:cs="宋体"/>
          <w:color w:val="auto"/>
          <w:kern w:val="0"/>
          <w:highlight w:val="none"/>
        </w:rPr>
      </w:pPr>
      <w:r>
        <w:rPr>
          <w:rFonts w:ascii="宋体" w:hAnsi="宋体" w:cs="宋体"/>
          <w:color w:val="auto"/>
          <w:kern w:val="0"/>
          <w:szCs w:val="21"/>
          <w:highlight w:val="none"/>
          <w:lang w:bidi="ar"/>
        </w:rPr>
        <w:t xml:space="preserve"> </w:t>
      </w:r>
    </w:p>
    <w:p w14:paraId="1E989BF3">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或其授权的代理人：</w:t>
      </w:r>
      <w:r>
        <w:rPr>
          <w:rFonts w:ascii="宋体" w:hAnsi="宋体" w:cs="宋体"/>
          <w:color w:val="auto"/>
          <w:kern w:val="0"/>
          <w:szCs w:val="21"/>
          <w:highlight w:val="none"/>
          <w:lang w:bidi="ar"/>
        </w:rPr>
        <w:t xml:space="preserve">                  </w:t>
      </w:r>
      <w:r>
        <w:rPr>
          <w:rFonts w:hint="eastAsia" w:ascii="宋体" w:hAnsi="宋体" w:cs="宋体"/>
          <w:color w:val="auto"/>
          <w:kern w:val="0"/>
          <w:szCs w:val="21"/>
          <w:highlight w:val="none"/>
          <w:lang w:bidi="ar"/>
        </w:rPr>
        <w:t>或授权的代理人：</w:t>
      </w:r>
    </w:p>
    <w:bookmarkEnd w:id="1819"/>
    <w:p w14:paraId="0983AD2E">
      <w:pPr>
        <w:widowControl/>
        <w:spacing w:line="360" w:lineRule="auto"/>
        <w:ind w:firstLine="420" w:firstLineChars="200"/>
        <w:jc w:val="left"/>
        <w:rPr>
          <w:rFonts w:ascii="宋体" w:hAnsi="宋体" w:cs="宋体"/>
          <w:color w:val="auto"/>
          <w:kern w:val="0"/>
          <w:highlight w:val="none"/>
        </w:rPr>
      </w:pPr>
      <w:r>
        <w:rPr>
          <w:rFonts w:hint="eastAsia" w:ascii="宋体" w:hAnsi="宋体"/>
          <w:color w:val="auto"/>
          <w:szCs w:val="21"/>
          <w:highlight w:val="none"/>
          <w:lang w:bidi="ar"/>
        </w:rPr>
        <w:br w:type="page"/>
      </w:r>
      <w:bookmarkStart w:id="1820" w:name="_Toc247431441"/>
      <w:bookmarkEnd w:id="1820"/>
      <w:bookmarkStart w:id="1821" w:name="_Toc247431429"/>
      <w:bookmarkEnd w:id="1821"/>
      <w:bookmarkStart w:id="1822" w:name="_Toc247418265"/>
      <w:bookmarkEnd w:id="1822"/>
      <w:bookmarkStart w:id="1823" w:name="_Toc247431440"/>
      <w:bookmarkEnd w:id="1823"/>
      <w:bookmarkStart w:id="1824" w:name="_Toc239510301"/>
      <w:bookmarkEnd w:id="1824"/>
      <w:bookmarkStart w:id="1825" w:name="_Toc239510295"/>
      <w:bookmarkEnd w:id="1825"/>
      <w:bookmarkStart w:id="1826" w:name="_Toc247431438"/>
      <w:bookmarkEnd w:id="1826"/>
      <w:bookmarkStart w:id="1827" w:name="_Toc239510289"/>
      <w:bookmarkEnd w:id="1827"/>
      <w:bookmarkStart w:id="1828" w:name="_Toc247418281"/>
      <w:bookmarkEnd w:id="1828"/>
      <w:bookmarkStart w:id="1829" w:name="_Toc239510303"/>
      <w:bookmarkEnd w:id="1829"/>
      <w:bookmarkStart w:id="1830" w:name="_Toc247431432"/>
      <w:bookmarkEnd w:id="1830"/>
      <w:bookmarkStart w:id="1831" w:name="_Toc247418280"/>
      <w:bookmarkEnd w:id="1831"/>
      <w:bookmarkStart w:id="1832" w:name="_Toc247431431"/>
      <w:bookmarkEnd w:id="1832"/>
      <w:bookmarkStart w:id="1833" w:name="_Toc239510298"/>
      <w:bookmarkEnd w:id="1833"/>
      <w:bookmarkStart w:id="1834" w:name="_Toc532375710"/>
      <w:bookmarkEnd w:id="1834"/>
      <w:bookmarkStart w:id="1835" w:name="_Toc532375712"/>
      <w:bookmarkEnd w:id="1835"/>
      <w:bookmarkStart w:id="1836" w:name="_Toc239510300"/>
      <w:bookmarkEnd w:id="1836"/>
      <w:bookmarkStart w:id="1837" w:name="_Toc532375709"/>
      <w:bookmarkEnd w:id="1837"/>
      <w:bookmarkStart w:id="1838" w:name="_Toc239510305"/>
      <w:bookmarkEnd w:id="1838"/>
      <w:bookmarkStart w:id="1839" w:name="_Toc247418266"/>
      <w:bookmarkEnd w:id="1839"/>
      <w:bookmarkStart w:id="1840" w:name="_Toc247418267"/>
      <w:bookmarkEnd w:id="1840"/>
      <w:bookmarkStart w:id="1841" w:name="_Toc247431437"/>
      <w:bookmarkEnd w:id="1841"/>
      <w:bookmarkStart w:id="1842" w:name="_Toc247418276"/>
      <w:bookmarkEnd w:id="1842"/>
      <w:bookmarkStart w:id="1843" w:name="_Toc247431424"/>
      <w:bookmarkEnd w:id="1843"/>
      <w:bookmarkStart w:id="1844" w:name="_Toc532375717"/>
      <w:bookmarkEnd w:id="1844"/>
      <w:bookmarkStart w:id="1845" w:name="_Toc239510294"/>
      <w:bookmarkEnd w:id="1845"/>
      <w:bookmarkStart w:id="1846" w:name="_Toc247418279"/>
      <w:bookmarkEnd w:id="1846"/>
      <w:bookmarkStart w:id="1847" w:name="_Toc239510302"/>
      <w:bookmarkEnd w:id="1847"/>
      <w:bookmarkStart w:id="1848" w:name="_Toc247418277"/>
      <w:bookmarkEnd w:id="1848"/>
      <w:bookmarkStart w:id="1849" w:name="_Toc247431428"/>
      <w:bookmarkEnd w:id="1849"/>
      <w:bookmarkStart w:id="1850" w:name="_Toc239510308"/>
      <w:bookmarkEnd w:id="1850"/>
      <w:bookmarkStart w:id="1851" w:name="_Toc247431423"/>
      <w:bookmarkEnd w:id="1851"/>
      <w:bookmarkStart w:id="1852" w:name="_Toc247418274"/>
      <w:bookmarkEnd w:id="1852"/>
      <w:bookmarkStart w:id="1853" w:name="_Toc532375706"/>
      <w:bookmarkEnd w:id="1853"/>
      <w:bookmarkStart w:id="1854" w:name="_Toc247431425"/>
      <w:bookmarkEnd w:id="1854"/>
      <w:bookmarkStart w:id="1855" w:name="_Toc247431435"/>
      <w:bookmarkEnd w:id="1855"/>
      <w:bookmarkStart w:id="1856" w:name="_Toc532375714"/>
      <w:bookmarkEnd w:id="1856"/>
      <w:bookmarkStart w:id="1857" w:name="_Toc247418264"/>
      <w:bookmarkEnd w:id="1857"/>
      <w:bookmarkStart w:id="1858" w:name="_Toc247431427"/>
      <w:bookmarkEnd w:id="1858"/>
      <w:bookmarkStart w:id="1859" w:name="_Toc247418269"/>
      <w:bookmarkEnd w:id="1859"/>
      <w:bookmarkStart w:id="1860" w:name="_Toc247418282"/>
      <w:bookmarkEnd w:id="1860"/>
      <w:bookmarkStart w:id="1861" w:name="_Toc247418271"/>
      <w:bookmarkEnd w:id="1861"/>
      <w:bookmarkStart w:id="1862" w:name="_Toc239510306"/>
      <w:bookmarkEnd w:id="1862"/>
      <w:bookmarkStart w:id="1863" w:name="_Toc247418268"/>
      <w:bookmarkEnd w:id="1863"/>
      <w:bookmarkStart w:id="1864" w:name="_Toc239510297"/>
      <w:bookmarkEnd w:id="1864"/>
      <w:bookmarkStart w:id="1865" w:name="_Toc247418273"/>
      <w:bookmarkEnd w:id="1865"/>
      <w:bookmarkStart w:id="1866" w:name="_Toc247418275"/>
      <w:bookmarkEnd w:id="1866"/>
      <w:bookmarkStart w:id="1867" w:name="_Toc247431433"/>
      <w:bookmarkEnd w:id="1867"/>
      <w:bookmarkStart w:id="1868" w:name="_Toc239510290"/>
      <w:bookmarkEnd w:id="1868"/>
      <w:bookmarkStart w:id="1869" w:name="_Toc239510293"/>
      <w:bookmarkEnd w:id="1869"/>
      <w:bookmarkStart w:id="1870" w:name="_Toc247418272"/>
      <w:bookmarkEnd w:id="1870"/>
      <w:bookmarkStart w:id="1871" w:name="_Toc247431430"/>
      <w:bookmarkEnd w:id="1871"/>
      <w:bookmarkStart w:id="1872" w:name="_Toc247418278"/>
      <w:bookmarkEnd w:id="1872"/>
      <w:bookmarkStart w:id="1873" w:name="_Toc532375716"/>
      <w:bookmarkEnd w:id="1873"/>
      <w:bookmarkStart w:id="1874" w:name="_Toc532375700"/>
      <w:bookmarkEnd w:id="1874"/>
      <w:bookmarkStart w:id="1875" w:name="_Toc532375702"/>
      <w:bookmarkEnd w:id="1875"/>
      <w:bookmarkStart w:id="1876" w:name="_Toc247418270"/>
      <w:bookmarkEnd w:id="1876"/>
      <w:bookmarkStart w:id="1877" w:name="_Toc247431426"/>
      <w:bookmarkEnd w:id="1877"/>
    </w:p>
    <w:p w14:paraId="1647D015">
      <w:pPr>
        <w:keepNext/>
        <w:keepLines/>
        <w:widowControl/>
        <w:wordWrap w:val="0"/>
        <w:topLinePunct/>
        <w:adjustRightInd w:val="0"/>
        <w:snapToGrid w:val="0"/>
        <w:spacing w:after="156" w:afterLines="50" w:line="360" w:lineRule="auto"/>
        <w:jc w:val="center"/>
        <w:outlineLvl w:val="1"/>
        <w:rPr>
          <w:rFonts w:ascii="宋体" w:hAnsi="宋体" w:cs="宋体"/>
          <w:b/>
          <w:color w:val="auto"/>
          <w:kern w:val="0"/>
          <w:highlight w:val="none"/>
        </w:rPr>
      </w:pPr>
      <w:bookmarkStart w:id="1878" w:name="_Toc179885424"/>
      <w:r>
        <w:rPr>
          <w:rFonts w:hint="eastAsia" w:ascii="宋体" w:hAnsi="宋体" w:cs="宋体"/>
          <w:b/>
          <w:color w:val="auto"/>
          <w:kern w:val="0"/>
          <w:szCs w:val="21"/>
          <w:highlight w:val="none"/>
          <w:lang w:bidi="ar"/>
        </w:rPr>
        <w:t>附件9</w:t>
      </w:r>
      <w:r>
        <w:rPr>
          <w:rFonts w:ascii="宋体" w:hAnsi="宋体" w:cs="宋体"/>
          <w:b/>
          <w:color w:val="auto"/>
          <w:kern w:val="0"/>
          <w:szCs w:val="21"/>
          <w:highlight w:val="none"/>
          <w:lang w:bidi="ar"/>
        </w:rPr>
        <w:t xml:space="preserve"> 保障建筑工人工资支付协议</w:t>
      </w:r>
      <w:bookmarkEnd w:id="1878"/>
    </w:p>
    <w:p w14:paraId="5844833A">
      <w:pPr>
        <w:widowControl/>
        <w:jc w:val="left"/>
        <w:rPr>
          <w:rFonts w:ascii="宋体" w:hAnsi="宋体" w:cs="宋体"/>
          <w:color w:val="auto"/>
          <w:kern w:val="0"/>
          <w:highlight w:val="none"/>
        </w:rPr>
      </w:pPr>
      <w:r>
        <w:rPr>
          <w:rFonts w:hint="eastAsia" w:ascii="宋体" w:hAnsi="宋体" w:cs="宋体"/>
          <w:color w:val="auto"/>
          <w:kern w:val="0"/>
          <w:szCs w:val="21"/>
          <w:highlight w:val="none"/>
          <w:lang w:bidi="ar"/>
        </w:rPr>
        <w:t xml:space="preserve"> </w:t>
      </w:r>
    </w:p>
    <w:p w14:paraId="4972EB3C">
      <w:pPr>
        <w:widowControl/>
        <w:spacing w:line="360" w:lineRule="auto"/>
        <w:jc w:val="left"/>
        <w:rPr>
          <w:rFonts w:ascii="宋体" w:hAnsi="宋体" w:cs="宋体"/>
          <w:color w:val="auto"/>
          <w:kern w:val="0"/>
          <w:highlight w:val="none"/>
        </w:rPr>
      </w:pPr>
      <w:bookmarkStart w:id="1879" w:name="OLE_LINK31"/>
      <w:r>
        <w:rPr>
          <w:rFonts w:hint="eastAsia" w:ascii="宋体" w:hAnsi="宋体" w:cs="宋体"/>
          <w:color w:val="auto"/>
          <w:kern w:val="0"/>
          <w:szCs w:val="21"/>
          <w:highlight w:val="none"/>
          <w:lang w:bidi="ar"/>
        </w:rPr>
        <w:t>发包人（全称）：</w:t>
      </w:r>
      <w:r>
        <w:rPr>
          <w:rFonts w:ascii="宋体" w:hAnsi="宋体" w:cs="宋体"/>
          <w:color w:val="auto"/>
          <w:kern w:val="0"/>
          <w:szCs w:val="21"/>
          <w:highlight w:val="none"/>
          <w:u w:val="single"/>
          <w:lang w:bidi="ar"/>
        </w:rPr>
        <w:t xml:space="preserve">                                 </w:t>
      </w:r>
    </w:p>
    <w:p w14:paraId="35357C2D">
      <w:pPr>
        <w:widowControl/>
        <w:spacing w:line="360" w:lineRule="auto"/>
        <w:jc w:val="left"/>
        <w:rPr>
          <w:rFonts w:ascii="宋体" w:hAnsi="宋体" w:cs="宋体"/>
          <w:color w:val="auto"/>
          <w:kern w:val="0"/>
          <w:highlight w:val="none"/>
        </w:rPr>
      </w:pPr>
      <w:r>
        <w:rPr>
          <w:rFonts w:hint="eastAsia" w:ascii="宋体" w:hAnsi="宋体" w:cs="宋体"/>
          <w:color w:val="auto"/>
          <w:kern w:val="0"/>
          <w:szCs w:val="21"/>
          <w:highlight w:val="none"/>
          <w:lang w:bidi="ar"/>
        </w:rPr>
        <w:t>承包人（全称）：</w:t>
      </w:r>
      <w:r>
        <w:rPr>
          <w:rFonts w:ascii="宋体" w:hAnsi="宋体" w:cs="宋体"/>
          <w:color w:val="auto"/>
          <w:kern w:val="0"/>
          <w:szCs w:val="21"/>
          <w:highlight w:val="none"/>
          <w:u w:val="single"/>
          <w:lang w:bidi="ar"/>
        </w:rPr>
        <w:t xml:space="preserve">                                 </w:t>
      </w:r>
    </w:p>
    <w:p w14:paraId="73390140">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为贯彻落实《住房城乡建设部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w:t>
      </w:r>
      <w:r>
        <w:rPr>
          <w:rFonts w:ascii="宋体" w:hAnsi="宋体" w:cs="宋体"/>
          <w:color w:val="auto"/>
          <w:kern w:val="0"/>
          <w:szCs w:val="21"/>
          <w:highlight w:val="none"/>
          <w:lang w:bidi="ar"/>
        </w:rPr>
        <w:t>，健全预防和解决拖欠建筑工人工资问题的长效机制，切实保障建筑工人劳动报酬权益，维护社会公平正义，促进社会和谐稳定。经甲、乙双方结合实际情况，友好协商，达成如下协议：</w:t>
      </w:r>
    </w:p>
    <w:p w14:paraId="1ED2C6A9">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一、承包人申报工程进度款时，应对上月已支付工程款用于建筑工人工资发放的情况进行说明，并附建筑工人代表按时足额收取了工资的签名确认书。监理单位应对相关情况说明和签名确认书（详附件）进行审查签名后，与工程进度款申报资料一并提交给发包人。发包人审核合格后，才进行当期工程进度款的支付。</w:t>
      </w:r>
    </w:p>
    <w:p w14:paraId="32767A3B">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二、由于工程进度款申报和审查需一定时间，其与建筑工人工资发放时间存在一定时间的延后，承包人应具有垫付不低于</w:t>
      </w:r>
      <w:r>
        <w:rPr>
          <w:rFonts w:ascii="宋体" w:hAnsi="宋体" w:cs="宋体"/>
          <w:color w:val="auto"/>
          <w:kern w:val="0"/>
          <w:szCs w:val="21"/>
          <w:highlight w:val="none"/>
          <w:lang w:bidi="ar"/>
        </w:rPr>
        <w:t>3个月建筑工人工资能力。承包人在本补充协议签订后申请的第一笔工程进度款时应出具垫付不低于3个月建筑工人工资的书面承诺给发包人。发包人将承包人是否做出承诺作为支付工程进度款的前提条件之一。</w:t>
      </w:r>
    </w:p>
    <w:p w14:paraId="194B8477">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三、承包人每月</w:t>
      </w:r>
      <w:r>
        <w:rPr>
          <w:rFonts w:ascii="宋体" w:hAnsi="宋体" w:cs="宋体"/>
          <w:color w:val="auto"/>
          <w:kern w:val="0"/>
          <w:szCs w:val="21"/>
          <w:highlight w:val="none"/>
          <w:lang w:bidi="ar"/>
        </w:rPr>
        <w:t>10日前将本月作业班组、班组人数、建筑工人身份信息等报监理单位，10日～15日分别以作业班组为小组，每小组自行选举产生一名建筑工人代表，监理单位应全程监督，选举结果与当期工程款支付申请一并报送发包人。</w:t>
      </w:r>
    </w:p>
    <w:p w14:paraId="77F01BCB">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四、若发现承包人有下列事项的，发包人在支付当期进度款时暂扣当期应支付进度款</w:t>
      </w:r>
      <w:r>
        <w:rPr>
          <w:rFonts w:ascii="宋体" w:hAnsi="宋体" w:cs="宋体"/>
          <w:color w:val="auto"/>
          <w:kern w:val="0"/>
          <w:szCs w:val="21"/>
          <w:highlight w:val="none"/>
          <w:lang w:bidi="ar"/>
        </w:rPr>
        <w:t>5%比例的款项。</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 xml:space="preserve">    （一）现场检查发现项目存在拖欠建筑工人工资情况并经核查属实的；</w:t>
      </w:r>
    </w:p>
    <w:p w14:paraId="3364B063">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（二）相关行政管理部门检查发现存在拖欠建筑工人工资情况并经核查属实的；</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 xml:space="preserve">    （三）有拖欠建筑工人工资投诉事项并经核查属实的。</w:t>
      </w:r>
      <w:r>
        <w:rPr>
          <w:rFonts w:ascii="宋体" w:hAnsi="宋体" w:cs="宋体"/>
          <w:color w:val="auto"/>
          <w:kern w:val="0"/>
          <w:szCs w:val="21"/>
          <w:highlight w:val="none"/>
          <w:lang w:bidi="ar"/>
        </w:rPr>
        <w:br w:type="textWrapping"/>
      </w:r>
      <w:r>
        <w:rPr>
          <w:rFonts w:ascii="宋体" w:hAnsi="宋体" w:cs="宋体"/>
          <w:color w:val="auto"/>
          <w:kern w:val="0"/>
          <w:szCs w:val="21"/>
          <w:highlight w:val="none"/>
          <w:lang w:bidi="ar"/>
        </w:rPr>
        <w:t xml:space="preserve">    五、对发现的存在拖欠建筑工人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3B059B66">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六、本协议经双方法定代表人或委托代理人签名并加盖公章后生效，履行完毕后自然失效。</w:t>
      </w:r>
    </w:p>
    <w:p w14:paraId="3C31892D">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附件：</w:t>
      </w:r>
    </w:p>
    <w:p w14:paraId="7A2481EE">
      <w:pPr>
        <w:widowControl/>
        <w:spacing w:line="360" w:lineRule="auto"/>
        <w:ind w:firstLine="420" w:firstLineChars="200"/>
        <w:jc w:val="left"/>
        <w:rPr>
          <w:rFonts w:ascii="宋体" w:hAnsi="宋体" w:cs="宋体"/>
          <w:color w:val="auto"/>
          <w:kern w:val="0"/>
          <w:highlight w:val="none"/>
        </w:rPr>
      </w:pPr>
      <w:r>
        <w:rPr>
          <w:rFonts w:ascii="宋体" w:hAnsi="宋体" w:cs="宋体"/>
          <w:color w:val="auto"/>
          <w:kern w:val="0"/>
          <w:szCs w:val="21"/>
          <w:highlight w:val="none"/>
          <w:lang w:bidi="ar"/>
        </w:rPr>
        <w:t>1、关于建筑工人工资发放情况的说明表</w:t>
      </w:r>
    </w:p>
    <w:p w14:paraId="3B84FA1A">
      <w:pPr>
        <w:widowControl/>
        <w:spacing w:line="360" w:lineRule="auto"/>
        <w:ind w:firstLine="420" w:firstLineChars="200"/>
        <w:jc w:val="left"/>
        <w:rPr>
          <w:rFonts w:ascii="宋体" w:hAnsi="宋体" w:cs="宋体"/>
          <w:color w:val="auto"/>
          <w:kern w:val="0"/>
          <w:highlight w:val="none"/>
        </w:rPr>
      </w:pPr>
      <w:r>
        <w:rPr>
          <w:rFonts w:ascii="宋体" w:hAnsi="宋体" w:cs="宋体"/>
          <w:color w:val="auto"/>
          <w:kern w:val="0"/>
          <w:szCs w:val="21"/>
          <w:highlight w:val="none"/>
          <w:lang w:bidi="ar"/>
        </w:rPr>
        <w:t xml:space="preserve"> </w:t>
      </w:r>
    </w:p>
    <w:p w14:paraId="63F456E1">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（以下无正文）</w:t>
      </w:r>
    </w:p>
    <w:bookmarkEnd w:id="1879"/>
    <w:p w14:paraId="449CFA54">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 xml:space="preserve"> </w:t>
      </w:r>
    </w:p>
    <w:p w14:paraId="37E42B71">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发包人：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（发包人）</w:t>
      </w:r>
    </w:p>
    <w:p w14:paraId="18B7A474">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法定代表人：</w:t>
      </w:r>
      <w:r>
        <w:rPr>
          <w:rFonts w:hint="eastAsia" w:ascii="宋体" w:hAnsi="宋体" w:cs="宋体"/>
          <w:color w:val="auto"/>
          <w:kern w:val="0"/>
          <w:szCs w:val="21"/>
          <w:highlight w:val="none"/>
          <w:u w:val="single"/>
          <w:lang w:bidi="ar"/>
        </w:rPr>
        <w:t xml:space="preserve">       </w:t>
      </w:r>
    </w:p>
    <w:p w14:paraId="4B0F4BDC">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或委托代理人：</w:t>
      </w:r>
      <w:r>
        <w:rPr>
          <w:rFonts w:hint="eastAsia" w:ascii="宋体" w:hAnsi="宋体" w:cs="宋体"/>
          <w:color w:val="auto"/>
          <w:kern w:val="0"/>
          <w:szCs w:val="21"/>
          <w:highlight w:val="none"/>
          <w:u w:val="single"/>
          <w:lang w:bidi="ar"/>
        </w:rPr>
        <w:t xml:space="preserve">       </w:t>
      </w:r>
    </w:p>
    <w:p w14:paraId="37654C79">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联系人：</w:t>
      </w:r>
      <w:r>
        <w:rPr>
          <w:rFonts w:hint="eastAsia" w:ascii="宋体" w:hAnsi="宋体" w:cs="宋体"/>
          <w:color w:val="auto"/>
          <w:kern w:val="0"/>
          <w:szCs w:val="21"/>
          <w:highlight w:val="none"/>
          <w:u w:val="single"/>
          <w:lang w:bidi="ar"/>
        </w:rPr>
        <w:t xml:space="preserve">       </w:t>
      </w:r>
    </w:p>
    <w:p w14:paraId="0991B9A8">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 xml:space="preserve"> </w:t>
      </w:r>
    </w:p>
    <w:p w14:paraId="2480110D">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 xml:space="preserve"> </w:t>
      </w:r>
    </w:p>
    <w:p w14:paraId="4E96CF06">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 xml:space="preserve"> </w:t>
      </w:r>
    </w:p>
    <w:p w14:paraId="3964106E">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承包人：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（承包人）</w:t>
      </w:r>
    </w:p>
    <w:p w14:paraId="2AC8734C">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法定代表人：</w:t>
      </w:r>
      <w:r>
        <w:rPr>
          <w:rFonts w:hint="eastAsia" w:ascii="宋体" w:hAnsi="宋体" w:cs="宋体"/>
          <w:color w:val="auto"/>
          <w:kern w:val="0"/>
          <w:szCs w:val="21"/>
          <w:highlight w:val="none"/>
          <w:u w:val="single"/>
          <w:lang w:bidi="ar"/>
        </w:rPr>
        <w:t xml:space="preserve">       </w:t>
      </w:r>
    </w:p>
    <w:p w14:paraId="1A85A0C0">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或委托代理人：</w:t>
      </w:r>
      <w:r>
        <w:rPr>
          <w:rFonts w:hint="eastAsia" w:ascii="宋体" w:hAnsi="宋体" w:cs="宋体"/>
          <w:color w:val="auto"/>
          <w:kern w:val="0"/>
          <w:szCs w:val="21"/>
          <w:highlight w:val="none"/>
          <w:u w:val="single"/>
          <w:lang w:bidi="ar"/>
        </w:rPr>
        <w:t xml:space="preserve">       </w:t>
      </w:r>
    </w:p>
    <w:p w14:paraId="6C7EB93C">
      <w:pPr>
        <w:widowControl/>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lang w:bidi="ar"/>
        </w:rPr>
        <w:t>联系人：</w:t>
      </w:r>
      <w:r>
        <w:rPr>
          <w:rFonts w:hint="eastAsia" w:ascii="宋体" w:hAnsi="宋体" w:cs="宋体"/>
          <w:color w:val="auto"/>
          <w:kern w:val="0"/>
          <w:szCs w:val="21"/>
          <w:highlight w:val="none"/>
          <w:u w:val="single"/>
          <w:lang w:bidi="ar"/>
        </w:rPr>
        <w:t xml:space="preserve">       </w:t>
      </w:r>
    </w:p>
    <w:p w14:paraId="210029B7">
      <w:pPr>
        <w:widowControl/>
        <w:jc w:val="left"/>
        <w:rPr>
          <w:rFonts w:ascii="宋体" w:hAnsi="宋体" w:cs="宋体"/>
          <w:color w:val="auto"/>
          <w:kern w:val="0"/>
          <w:highlight w:val="none"/>
        </w:rPr>
      </w:pPr>
      <w:r>
        <w:rPr>
          <w:rFonts w:hint="eastAsia" w:ascii="宋体" w:hAnsi="宋体" w:cs="宋体"/>
          <w:color w:val="auto"/>
          <w:kern w:val="0"/>
          <w:szCs w:val="21"/>
          <w:highlight w:val="none"/>
          <w:lang w:bidi="ar"/>
        </w:rPr>
        <w:t xml:space="preserve"> </w:t>
      </w:r>
    </w:p>
    <w:p w14:paraId="5734FFD7">
      <w:pPr>
        <w:widowControl/>
        <w:jc w:val="left"/>
        <w:rPr>
          <w:rFonts w:ascii="宋体" w:hAnsi="宋体" w:cs="宋体"/>
          <w:color w:val="auto"/>
          <w:kern w:val="0"/>
          <w:highlight w:val="none"/>
        </w:rPr>
      </w:pPr>
      <w:r>
        <w:rPr>
          <w:rFonts w:hint="eastAsia" w:ascii="宋体" w:hAnsi="宋体"/>
          <w:color w:val="auto"/>
          <w:szCs w:val="21"/>
          <w:highlight w:val="none"/>
          <w:lang w:bidi="ar"/>
        </w:rPr>
        <w:br w:type="page"/>
      </w:r>
    </w:p>
    <w:p w14:paraId="5535E74D">
      <w:pPr>
        <w:widowControl/>
        <w:jc w:val="left"/>
        <w:rPr>
          <w:rFonts w:ascii="宋体" w:hAnsi="宋体" w:cs="宋体"/>
          <w:color w:val="auto"/>
          <w:kern w:val="0"/>
          <w:highlight w:val="none"/>
        </w:rPr>
      </w:pPr>
      <w:r>
        <w:rPr>
          <w:rFonts w:hint="eastAsia" w:ascii="宋体" w:hAnsi="宋体" w:cs="宋体"/>
          <w:color w:val="auto"/>
          <w:kern w:val="0"/>
          <w:szCs w:val="21"/>
          <w:highlight w:val="none"/>
          <w:lang w:bidi="ar"/>
        </w:rPr>
        <w:t>保障建筑工人工资支付协议附件1：</w:t>
      </w:r>
    </w:p>
    <w:p w14:paraId="227FABEC">
      <w:pPr>
        <w:widowControl/>
        <w:jc w:val="center"/>
        <w:rPr>
          <w:rFonts w:ascii="宋体" w:hAnsi="宋体" w:cs="宋体"/>
          <w:color w:val="auto"/>
          <w:kern w:val="0"/>
          <w:highlight w:val="none"/>
        </w:rPr>
      </w:pPr>
      <w:r>
        <w:rPr>
          <w:rFonts w:hint="eastAsia" w:ascii="宋体" w:hAnsi="宋体" w:cs="宋体"/>
          <w:color w:val="auto"/>
          <w:kern w:val="0"/>
          <w:szCs w:val="21"/>
          <w:highlight w:val="none"/>
          <w:lang w:bidi="ar"/>
        </w:rPr>
        <w:t xml:space="preserve"> </w:t>
      </w:r>
    </w:p>
    <w:p w14:paraId="69A50CC5">
      <w:pPr>
        <w:widowControl/>
        <w:jc w:val="center"/>
        <w:rPr>
          <w:rFonts w:ascii="宋体" w:hAnsi="宋体" w:cs="宋体"/>
          <w:color w:val="auto"/>
          <w:kern w:val="0"/>
          <w:highlight w:val="none"/>
        </w:rPr>
      </w:pPr>
      <w:r>
        <w:rPr>
          <w:rFonts w:hint="eastAsia" w:ascii="宋体" w:hAnsi="宋体" w:cs="宋体"/>
          <w:color w:val="auto"/>
          <w:kern w:val="0"/>
          <w:szCs w:val="21"/>
          <w:highlight w:val="none"/>
          <w:lang w:bidi="ar"/>
        </w:rPr>
        <w:t>关于建筑工人工资发放情况的说明表</w:t>
      </w:r>
    </w:p>
    <w:p w14:paraId="33F0AC48">
      <w:pPr>
        <w:widowControl/>
        <w:jc w:val="center"/>
        <w:rPr>
          <w:rFonts w:ascii="宋体" w:hAnsi="宋体" w:cs="宋体"/>
          <w:color w:val="auto"/>
          <w:kern w:val="0"/>
          <w:highlight w:val="none"/>
        </w:rPr>
      </w:pPr>
      <w:r>
        <w:rPr>
          <w:rFonts w:hint="eastAsia" w:ascii="宋体" w:hAnsi="宋体" w:cs="宋体"/>
          <w:color w:val="auto"/>
          <w:kern w:val="0"/>
          <w:szCs w:val="21"/>
          <w:highlight w:val="none"/>
          <w:lang w:bidi="ar"/>
        </w:rPr>
        <w:t xml:space="preserve"> </w:t>
      </w:r>
    </w:p>
    <w:tbl>
      <w:tblPr>
        <w:tblStyle w:val="7"/>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6A27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Borders>
              <w:top w:val="single" w:color="auto" w:sz="4" w:space="0"/>
              <w:left w:val="single" w:color="auto" w:sz="4" w:space="0"/>
              <w:bottom w:val="single" w:color="auto" w:sz="4" w:space="0"/>
              <w:right w:val="single" w:color="auto" w:sz="4" w:space="0"/>
            </w:tcBorders>
            <w:shd w:val="clear" w:color="auto" w:fill="auto"/>
          </w:tcPr>
          <w:p w14:paraId="44A39500">
            <w:pPr>
              <w:widowControl/>
              <w:jc w:val="left"/>
              <w:rPr>
                <w:rFonts w:ascii="宋体" w:hAnsi="宋体" w:cs="宋体"/>
                <w:color w:val="auto"/>
                <w:kern w:val="0"/>
                <w:highlight w:val="none"/>
              </w:rPr>
            </w:pPr>
            <w:r>
              <w:rPr>
                <w:rFonts w:hint="eastAsia" w:ascii="宋体" w:hAnsi="宋体" w:cs="宋体"/>
                <w:color w:val="auto"/>
                <w:kern w:val="0"/>
                <w:szCs w:val="21"/>
                <w:highlight w:val="none"/>
                <w:lang w:bidi="ar"/>
              </w:rPr>
              <w:t>工程名称：</w:t>
            </w:r>
          </w:p>
        </w:tc>
      </w:tr>
      <w:tr w14:paraId="46EE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tcPr>
          <w:p w14:paraId="534BE667">
            <w:pPr>
              <w:widowControl/>
              <w:jc w:val="left"/>
              <w:rPr>
                <w:rFonts w:ascii="宋体" w:hAnsi="宋体" w:cs="宋体"/>
                <w:color w:val="auto"/>
                <w:kern w:val="0"/>
                <w:highlight w:val="none"/>
              </w:rPr>
            </w:pPr>
            <w:r>
              <w:rPr>
                <w:rFonts w:hint="eastAsia" w:ascii="宋体" w:hAnsi="宋体" w:cs="宋体"/>
                <w:color w:val="auto"/>
                <w:kern w:val="0"/>
                <w:szCs w:val="21"/>
                <w:highlight w:val="none"/>
                <w:lang w:bidi="ar"/>
              </w:rPr>
              <w:t>施工单位：</w:t>
            </w:r>
          </w:p>
        </w:tc>
        <w:tc>
          <w:tcPr>
            <w:tcW w:w="6201" w:type="dxa"/>
            <w:tcBorders>
              <w:top w:val="single" w:color="auto" w:sz="4" w:space="0"/>
              <w:left w:val="nil"/>
              <w:bottom w:val="single" w:color="auto" w:sz="4" w:space="0"/>
              <w:right w:val="single" w:color="auto" w:sz="4" w:space="0"/>
            </w:tcBorders>
            <w:shd w:val="clear" w:color="auto" w:fill="auto"/>
          </w:tcPr>
          <w:p w14:paraId="3716D89A">
            <w:pPr>
              <w:widowControl/>
              <w:jc w:val="left"/>
              <w:rPr>
                <w:rFonts w:ascii="宋体" w:hAnsi="宋体" w:cs="宋体"/>
                <w:color w:val="auto"/>
                <w:kern w:val="0"/>
                <w:highlight w:val="none"/>
              </w:rPr>
            </w:pPr>
          </w:p>
        </w:tc>
      </w:tr>
      <w:tr w14:paraId="4954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Borders>
              <w:top w:val="single" w:color="auto" w:sz="4" w:space="0"/>
              <w:left w:val="single" w:color="auto" w:sz="4" w:space="0"/>
              <w:bottom w:val="single" w:color="auto" w:sz="4" w:space="0"/>
              <w:right w:val="single" w:color="auto" w:sz="4" w:space="0"/>
            </w:tcBorders>
            <w:shd w:val="clear" w:color="auto" w:fill="auto"/>
          </w:tcPr>
          <w:p w14:paraId="25D41216">
            <w:pPr>
              <w:widowControl/>
              <w:jc w:val="left"/>
              <w:rPr>
                <w:rFonts w:ascii="宋体" w:hAnsi="宋体" w:cs="宋体"/>
                <w:color w:val="auto"/>
                <w:kern w:val="0"/>
                <w:highlight w:val="none"/>
              </w:rPr>
            </w:pPr>
            <w:r>
              <w:rPr>
                <w:rFonts w:hint="eastAsia" w:ascii="宋体" w:hAnsi="宋体" w:cs="宋体"/>
                <w:color w:val="auto"/>
                <w:kern w:val="0"/>
                <w:szCs w:val="21"/>
                <w:highlight w:val="none"/>
                <w:lang w:bidi="ar"/>
              </w:rPr>
              <w:t>监理单位：</w:t>
            </w:r>
          </w:p>
        </w:tc>
        <w:tc>
          <w:tcPr>
            <w:tcW w:w="6201" w:type="dxa"/>
            <w:tcBorders>
              <w:top w:val="single" w:color="auto" w:sz="4" w:space="0"/>
              <w:left w:val="nil"/>
              <w:bottom w:val="single" w:color="auto" w:sz="4" w:space="0"/>
              <w:right w:val="single" w:color="auto" w:sz="4" w:space="0"/>
            </w:tcBorders>
            <w:shd w:val="clear" w:color="auto" w:fill="auto"/>
          </w:tcPr>
          <w:p w14:paraId="757FF9B9">
            <w:pPr>
              <w:widowControl/>
              <w:jc w:val="left"/>
              <w:rPr>
                <w:rFonts w:ascii="宋体" w:hAnsi="宋体" w:cs="宋体"/>
                <w:color w:val="auto"/>
                <w:kern w:val="0"/>
                <w:highlight w:val="none"/>
              </w:rPr>
            </w:pPr>
          </w:p>
        </w:tc>
      </w:tr>
      <w:tr w14:paraId="646B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Borders>
              <w:top w:val="single" w:color="auto" w:sz="4" w:space="0"/>
              <w:left w:val="single" w:color="auto" w:sz="4" w:space="0"/>
              <w:bottom w:val="single" w:color="auto" w:sz="4" w:space="0"/>
              <w:right w:val="single" w:color="auto" w:sz="4" w:space="0"/>
            </w:tcBorders>
            <w:shd w:val="clear" w:color="auto" w:fill="auto"/>
          </w:tcPr>
          <w:p w14:paraId="0757BA9D">
            <w:pPr>
              <w:widowControl/>
              <w:jc w:val="left"/>
              <w:rPr>
                <w:rFonts w:ascii="宋体" w:hAnsi="宋体" w:cs="宋体"/>
                <w:color w:val="auto"/>
                <w:kern w:val="0"/>
                <w:highlight w:val="none"/>
                <w:u w:val="single"/>
              </w:rPr>
            </w:pPr>
          </w:p>
          <w:p w14:paraId="4756B00F">
            <w:pPr>
              <w:widowControl/>
              <w:jc w:val="left"/>
              <w:rPr>
                <w:rFonts w:ascii="宋体" w:hAnsi="宋体" w:cs="宋体"/>
                <w:color w:val="auto"/>
                <w:kern w:val="0"/>
                <w:highlight w:val="none"/>
              </w:rPr>
            </w:pPr>
            <w:r>
              <w:rPr>
                <w:rFonts w:hint="eastAsia" w:ascii="宋体" w:hAnsi="宋体" w:cs="宋体"/>
                <w:color w:val="auto"/>
                <w:kern w:val="0"/>
                <w:szCs w:val="21"/>
                <w:highlight w:val="none"/>
                <w:lang w:bidi="ar"/>
              </w:rPr>
              <w:t>（项目业主单位名称）：</w:t>
            </w:r>
            <w:r>
              <w:rPr>
                <w:rFonts w:hint="eastAsia" w:ascii="宋体" w:hAnsi="宋体" w:cs="宋体"/>
                <w:color w:val="auto"/>
                <w:kern w:val="0"/>
                <w:szCs w:val="21"/>
                <w:highlight w:val="none"/>
                <w:u w:val="single"/>
                <w:lang w:bidi="ar"/>
              </w:rPr>
              <w:br w:type="textWrapping"/>
            </w:r>
            <w:r>
              <w:rPr>
                <w:rFonts w:hint="eastAsia" w:ascii="宋体" w:hAnsi="宋体" w:cs="宋体"/>
                <w:color w:val="auto"/>
                <w:kern w:val="0"/>
                <w:szCs w:val="21"/>
                <w:highlight w:val="none"/>
                <w:lang w:bidi="ar"/>
              </w:rPr>
              <w:t xml:space="preserve">    我单位负责承建的（工程名称）无拖欠建筑工人工资的情况，贵单位先期支付我单位的工程款已优先用于支付了建筑工人工资，建筑工人工资全部按时足额进行了发放，请贵单位予以审核。</w:t>
            </w:r>
          </w:p>
          <w:p w14:paraId="5922BF38">
            <w:pPr>
              <w:widowControl/>
              <w:jc w:val="left"/>
              <w:rPr>
                <w:rFonts w:ascii="宋体" w:hAnsi="宋体" w:cs="宋体"/>
                <w:color w:val="auto"/>
                <w:kern w:val="0"/>
                <w:highlight w:val="none"/>
                <w:u w:val="single"/>
              </w:rPr>
            </w:pPr>
            <w:r>
              <w:rPr>
                <w:rFonts w:hint="eastAsia" w:ascii="宋体" w:hAnsi="宋体" w:cs="宋体"/>
                <w:color w:val="auto"/>
                <w:kern w:val="0"/>
                <w:szCs w:val="21"/>
                <w:highlight w:val="none"/>
                <w:lang w:bidi="ar"/>
              </w:rPr>
              <w:t>施工单位项目负责人签名（加盖项目章）：</w:t>
            </w:r>
            <w:r>
              <w:rPr>
                <w:rFonts w:hint="eastAsia" w:ascii="宋体" w:hAnsi="宋体" w:cs="宋体"/>
                <w:color w:val="auto"/>
                <w:kern w:val="0"/>
                <w:szCs w:val="21"/>
                <w:highlight w:val="none"/>
                <w:u w:val="single"/>
                <w:lang w:bidi="ar"/>
              </w:rPr>
              <w:t xml:space="preserve">        </w:t>
            </w:r>
          </w:p>
        </w:tc>
      </w:tr>
      <w:tr w14:paraId="0313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14:paraId="52F4ADB6">
            <w:pPr>
              <w:widowControl/>
              <w:jc w:val="left"/>
              <w:rPr>
                <w:rFonts w:ascii="宋体" w:hAnsi="宋体" w:cs="宋体"/>
                <w:color w:val="auto"/>
                <w:kern w:val="0"/>
                <w:highlight w:val="none"/>
              </w:rPr>
            </w:pPr>
            <w:r>
              <w:rPr>
                <w:rFonts w:hint="eastAsia" w:ascii="宋体" w:hAnsi="宋体" w:cs="宋体"/>
                <w:color w:val="auto"/>
                <w:kern w:val="0"/>
                <w:szCs w:val="21"/>
                <w:highlight w:val="none"/>
                <w:lang w:bidi="ar"/>
              </w:rPr>
              <w:t>监理单位意见：</w:t>
            </w:r>
          </w:p>
        </w:tc>
        <w:tc>
          <w:tcPr>
            <w:tcW w:w="6201" w:type="dxa"/>
            <w:tcBorders>
              <w:top w:val="single" w:color="auto" w:sz="4" w:space="0"/>
              <w:left w:val="nil"/>
              <w:bottom w:val="single" w:color="auto" w:sz="4" w:space="0"/>
              <w:right w:val="single" w:color="auto" w:sz="4" w:space="0"/>
            </w:tcBorders>
            <w:shd w:val="clear" w:color="auto" w:fill="auto"/>
          </w:tcPr>
          <w:p w14:paraId="54986834">
            <w:pPr>
              <w:widowControl/>
              <w:jc w:val="left"/>
              <w:rPr>
                <w:rFonts w:ascii="宋体" w:hAnsi="宋体" w:cs="宋体"/>
                <w:color w:val="auto"/>
                <w:kern w:val="0"/>
                <w:highlight w:val="none"/>
                <w:u w:val="single"/>
              </w:rPr>
            </w:pPr>
          </w:p>
          <w:p w14:paraId="34D169B0">
            <w:pPr>
              <w:widowControl/>
              <w:jc w:val="left"/>
              <w:rPr>
                <w:rFonts w:ascii="宋体" w:hAnsi="宋体" w:cs="宋体"/>
                <w:color w:val="auto"/>
                <w:kern w:val="0"/>
                <w:highlight w:val="none"/>
                <w:u w:val="single"/>
              </w:rPr>
            </w:pPr>
            <w:r>
              <w:rPr>
                <w:rFonts w:hint="eastAsia" w:ascii="宋体" w:hAnsi="宋体" w:cs="宋体"/>
                <w:color w:val="auto"/>
                <w:kern w:val="0"/>
                <w:szCs w:val="21"/>
                <w:highlight w:val="none"/>
                <w:lang w:bidi="ar"/>
              </w:rPr>
              <w:t xml:space="preserve">             总监签名并加盖项目章：</w:t>
            </w:r>
            <w:r>
              <w:rPr>
                <w:rFonts w:hint="eastAsia" w:ascii="宋体" w:hAnsi="宋体" w:cs="宋体"/>
                <w:color w:val="auto"/>
                <w:kern w:val="0"/>
                <w:szCs w:val="21"/>
                <w:highlight w:val="none"/>
                <w:u w:val="single"/>
                <w:lang w:bidi="ar"/>
              </w:rPr>
              <w:t xml:space="preserve">        </w:t>
            </w:r>
          </w:p>
        </w:tc>
      </w:tr>
      <w:tr w14:paraId="5505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14:paraId="790C4C19">
            <w:pPr>
              <w:widowControl/>
              <w:jc w:val="left"/>
              <w:rPr>
                <w:rFonts w:ascii="宋体" w:hAnsi="宋体" w:cs="宋体"/>
                <w:color w:val="auto"/>
                <w:kern w:val="0"/>
                <w:highlight w:val="none"/>
              </w:rPr>
            </w:pPr>
            <w:r>
              <w:rPr>
                <w:rFonts w:hint="eastAsia" w:ascii="宋体" w:hAnsi="宋体" w:cs="宋体"/>
                <w:color w:val="auto"/>
                <w:kern w:val="0"/>
                <w:szCs w:val="21"/>
                <w:highlight w:val="none"/>
                <w:lang w:bidi="ar"/>
              </w:rPr>
              <w:t>工程部项目负责人意见：</w:t>
            </w:r>
          </w:p>
        </w:tc>
        <w:tc>
          <w:tcPr>
            <w:tcW w:w="6201" w:type="dxa"/>
            <w:tcBorders>
              <w:top w:val="single" w:color="auto" w:sz="4" w:space="0"/>
              <w:left w:val="nil"/>
              <w:bottom w:val="single" w:color="auto" w:sz="4" w:space="0"/>
              <w:right w:val="single" w:color="auto" w:sz="4" w:space="0"/>
            </w:tcBorders>
            <w:shd w:val="clear" w:color="auto" w:fill="auto"/>
          </w:tcPr>
          <w:p w14:paraId="17E34596">
            <w:pPr>
              <w:widowControl/>
              <w:jc w:val="left"/>
              <w:rPr>
                <w:rFonts w:ascii="宋体" w:hAnsi="宋体" w:cs="宋体"/>
                <w:color w:val="auto"/>
                <w:kern w:val="0"/>
                <w:highlight w:val="none"/>
                <w:u w:val="single"/>
              </w:rPr>
            </w:pPr>
          </w:p>
          <w:p w14:paraId="50AB2224">
            <w:pPr>
              <w:widowControl/>
              <w:jc w:val="left"/>
              <w:rPr>
                <w:rFonts w:ascii="宋体" w:hAnsi="宋体" w:cs="宋体"/>
                <w:color w:val="auto"/>
                <w:kern w:val="0"/>
                <w:highlight w:val="none"/>
                <w:u w:val="single"/>
              </w:rPr>
            </w:pPr>
            <w:r>
              <w:rPr>
                <w:rFonts w:hint="eastAsia" w:ascii="宋体" w:hAnsi="宋体" w:cs="宋体"/>
                <w:color w:val="auto"/>
                <w:kern w:val="0"/>
                <w:szCs w:val="21"/>
                <w:highlight w:val="none"/>
                <w:lang w:bidi="ar"/>
              </w:rPr>
              <w:t xml:space="preserve">                   项目负责人签名：</w:t>
            </w:r>
            <w:r>
              <w:rPr>
                <w:rFonts w:hint="eastAsia" w:ascii="宋体" w:hAnsi="宋体" w:cs="宋体"/>
                <w:color w:val="auto"/>
                <w:kern w:val="0"/>
                <w:szCs w:val="21"/>
                <w:highlight w:val="none"/>
                <w:u w:val="single"/>
                <w:lang w:bidi="ar"/>
              </w:rPr>
              <w:t xml:space="preserve">        </w:t>
            </w:r>
          </w:p>
        </w:tc>
      </w:tr>
    </w:tbl>
    <w:p w14:paraId="6D99A220">
      <w:pPr>
        <w:widowControl/>
        <w:jc w:val="left"/>
        <w:rPr>
          <w:rFonts w:ascii="宋体" w:hAnsi="宋体" w:cs="宋体"/>
          <w:color w:val="auto"/>
          <w:kern w:val="0"/>
          <w:highlight w:val="none"/>
        </w:rPr>
      </w:pPr>
      <w:r>
        <w:rPr>
          <w:rFonts w:hint="eastAsia" w:ascii="宋体" w:hAnsi="宋体" w:cs="宋体"/>
          <w:color w:val="auto"/>
          <w:kern w:val="0"/>
          <w:szCs w:val="21"/>
          <w:highlight w:val="none"/>
          <w:lang w:bidi="ar"/>
        </w:rPr>
        <w:t xml:space="preserve"> </w:t>
      </w:r>
    </w:p>
    <w:p w14:paraId="21BBA0FF">
      <w:pPr>
        <w:widowControl/>
        <w:jc w:val="left"/>
        <w:rPr>
          <w:rFonts w:ascii="宋体" w:hAnsi="宋体"/>
          <w:color w:val="auto"/>
          <w:sz w:val="24"/>
          <w:highlight w:val="none"/>
          <w:lang w:bidi="ar"/>
        </w:rPr>
      </w:pPr>
      <w:r>
        <w:rPr>
          <w:rFonts w:hint="eastAsia" w:ascii="宋体" w:hAnsi="宋体"/>
          <w:color w:val="auto"/>
          <w:sz w:val="24"/>
          <w:highlight w:val="none"/>
          <w:lang w:bidi="ar"/>
        </w:rPr>
        <w:t xml:space="preserve"> </w:t>
      </w:r>
      <w:bookmarkEnd w:id="2"/>
    </w:p>
    <w:p w14:paraId="706199CB">
      <w:pPr>
        <w:widowControl/>
        <w:jc w:val="left"/>
        <w:rPr>
          <w:rFonts w:ascii="宋体" w:hAnsi="宋体"/>
          <w:color w:val="auto"/>
          <w:sz w:val="24"/>
          <w:highlight w:val="none"/>
          <w:lang w:bidi="ar"/>
        </w:rPr>
      </w:pPr>
      <w:r>
        <w:rPr>
          <w:rFonts w:hint="eastAsia" w:ascii="宋体" w:hAnsi="宋体"/>
          <w:color w:val="auto"/>
          <w:sz w:val="24"/>
          <w:highlight w:val="none"/>
          <w:lang w:bidi="ar"/>
        </w:rPr>
        <w:br w:type="page"/>
      </w:r>
    </w:p>
    <w:p w14:paraId="2E2CB5DD">
      <w:pPr>
        <w:rPr>
          <w:color w:val="auto"/>
          <w:highlight w:val="none"/>
        </w:rPr>
      </w:pPr>
      <w:r>
        <w:rPr>
          <w:rFonts w:hint="eastAsia" w:ascii="宋体" w:hAnsi="宋体" w:cs="宋体"/>
          <w:b/>
          <w:color w:val="auto"/>
          <w:kern w:val="0"/>
          <w:szCs w:val="21"/>
          <w:highlight w:val="none"/>
          <w:lang w:bidi="ar"/>
        </w:rPr>
        <w:t>附件</w:t>
      </w:r>
      <w:r>
        <w:rPr>
          <w:rFonts w:ascii="宋体" w:hAnsi="宋体" w:cs="宋体"/>
          <w:b/>
          <w:color w:val="auto"/>
          <w:kern w:val="0"/>
          <w:szCs w:val="21"/>
          <w:highlight w:val="none"/>
          <w:lang w:bidi="ar"/>
        </w:rPr>
        <w:t>10  联合体协议书</w:t>
      </w:r>
      <w:r>
        <w:rPr>
          <w:rFonts w:hint="eastAsia" w:ascii="宋体" w:hAnsi="宋体" w:cs="宋体"/>
          <w:b/>
          <w:color w:val="auto"/>
          <w:kern w:val="0"/>
          <w:szCs w:val="21"/>
          <w:highlight w:val="none"/>
          <w:lang w:bidi="ar"/>
        </w:rPr>
        <w:t>（如有）</w:t>
      </w:r>
      <w:r>
        <w:rPr>
          <w:rFonts w:ascii="宋体" w:hAnsi="宋体" w:cs="宋体"/>
          <w:b/>
          <w:color w:val="auto"/>
          <w:kern w:val="0"/>
          <w:szCs w:val="21"/>
          <w:highlight w:val="none"/>
          <w:lang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MingLiU_HKSCS">
    <w:altName w:val="PMingLiU-ExtB"/>
    <w:panose1 w:val="000000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s">
    <w:altName w:val="Times New Roman"/>
    <w:panose1 w:val="02020603050405020304"/>
    <w:charset w:val="00"/>
    <w:family w:val="roman"/>
    <w:pitch w:val="default"/>
    <w:sig w:usb0="00000000" w:usb1="00000000" w:usb2="00000000" w:usb3="00000000" w:csb0="00000093"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BF9CA">
    <w:pPr>
      <w:pStyle w:val="5"/>
      <w:jc w:val="center"/>
    </w:pPr>
    <w:r>
      <w:t xml:space="preserve">- </w:t>
    </w:r>
    <w:r>
      <w:fldChar w:fldCharType="begin"/>
    </w:r>
    <w:r>
      <w:instrText xml:space="preserve"> PAGE </w:instrText>
    </w:r>
    <w:r>
      <w:fldChar w:fldCharType="separate"/>
    </w:r>
    <w:r>
      <w:t>249</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99033">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264</w:t>
    </w:r>
    <w:r>
      <w:fldChar w:fldCharType="end"/>
    </w:r>
  </w:p>
  <w:p w14:paraId="65EF5F6B">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3814B">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14AEC5"/>
    <w:multiLevelType w:val="singleLevel"/>
    <w:tmpl w:val="D214AEC5"/>
    <w:lvl w:ilvl="0" w:tentative="0">
      <w:start w:val="1"/>
      <w:numFmt w:val="decimalEnclosedCircleChinese"/>
      <w:suff w:val="nothing"/>
      <w:lvlText w:val="%1　"/>
      <w:lvlJc w:val="left"/>
      <w:pPr>
        <w:ind w:left="0" w:firstLine="400"/>
      </w:pPr>
      <w:rPr>
        <w:rFonts w:hint="eastAsia"/>
      </w:rPr>
    </w:lvl>
  </w:abstractNum>
  <w:abstractNum w:abstractNumId="1">
    <w:nsid w:val="13195F01"/>
    <w:multiLevelType w:val="multilevel"/>
    <w:tmpl w:val="13195F01"/>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7474604"/>
    <w:multiLevelType w:val="multilevel"/>
    <w:tmpl w:val="17474604"/>
    <w:lvl w:ilvl="0" w:tentative="0">
      <w:start w:val="1"/>
      <w:numFmt w:val="decimal"/>
      <w:lvlText w:val="第%1条"/>
      <w:lvlJc w:val="left"/>
      <w:pPr>
        <w:ind w:left="0" w:firstLine="0"/>
      </w:pPr>
      <w:rPr>
        <w:rFonts w:hint="default" w:ascii="Times New Roman" w:hAnsi="Times New Roman" w:cs="Times New Roman"/>
      </w:rPr>
    </w:lvl>
    <w:lvl w:ilvl="1" w:tentative="0">
      <w:start w:val="1"/>
      <w:numFmt w:val="decimal"/>
      <w:lvlText w:val="%1.%2"/>
      <w:lvlJc w:val="left"/>
      <w:pPr>
        <w:ind w:left="1843" w:firstLine="0"/>
      </w:pPr>
      <w:rPr>
        <w:rFonts w:hint="default" w:ascii="Times New Roman" w:hAnsi="Times New Roman" w:cs="Times New Roman"/>
      </w:rPr>
    </w:lvl>
    <w:lvl w:ilvl="2" w:tentative="0">
      <w:start w:val="1"/>
      <w:numFmt w:val="decimal"/>
      <w:lvlText w:val="%1.%2.%3"/>
      <w:lvlJc w:val="left"/>
      <w:pPr>
        <w:ind w:left="2126" w:firstLine="0"/>
      </w:pPr>
      <w:rPr>
        <w:rFonts w:hint="default" w:ascii="Times New Roman" w:hAnsi="Times New Roman" w:cs="Times New Roman"/>
      </w:rPr>
    </w:lvl>
    <w:lvl w:ilvl="3" w:tentative="0">
      <w:start w:val="1"/>
      <w:numFmt w:val="decimal"/>
      <w:lvlText w:val="%1.%2.%3.%4"/>
      <w:lvlJc w:val="left"/>
      <w:pPr>
        <w:ind w:left="0" w:firstLine="0"/>
      </w:pPr>
      <w:rPr>
        <w:rFonts w:hint="default" w:ascii="Times New Roman" w:hAnsi="Times New Roman" w:cs="Times New Roman"/>
      </w:rPr>
    </w:lvl>
    <w:lvl w:ilvl="4" w:tentative="0">
      <w:start w:val="1"/>
      <w:numFmt w:val="decimal"/>
      <w:lvlText w:val="%1.%2.%3.%4.%5"/>
      <w:lvlJc w:val="left"/>
      <w:pPr>
        <w:ind w:left="0" w:firstLine="0"/>
      </w:pPr>
      <w:rPr>
        <w:rFonts w:hint="default" w:ascii="Times New Roman" w:hAnsi="Times New Roman" w:cs="Times New Roman"/>
      </w:rPr>
    </w:lvl>
    <w:lvl w:ilvl="5" w:tentative="0">
      <w:start w:val="1"/>
      <w:numFmt w:val="decimal"/>
      <w:lvlText w:val="%1.%2.%3.%4.%5.%6"/>
      <w:lvlJc w:val="left"/>
      <w:pPr>
        <w:ind w:left="0" w:firstLine="0"/>
      </w:pPr>
      <w:rPr>
        <w:rFonts w:hint="default" w:ascii="Times New Roman" w:hAnsi="Times New Roman" w:cs="Times New Roman"/>
      </w:rPr>
    </w:lvl>
    <w:lvl w:ilvl="6" w:tentative="0">
      <w:start w:val="1"/>
      <w:numFmt w:val="decimal"/>
      <w:lvlText w:val="%1.%2.%3.%4.%5.%6.%7"/>
      <w:lvlJc w:val="left"/>
      <w:pPr>
        <w:ind w:left="0" w:firstLine="0"/>
      </w:pPr>
      <w:rPr>
        <w:rFonts w:hint="default" w:ascii="Times New Roman" w:hAnsi="Times New Roman" w:cs="Times New Roman"/>
      </w:rPr>
    </w:lvl>
    <w:lvl w:ilvl="7" w:tentative="0">
      <w:start w:val="1"/>
      <w:numFmt w:val="decimal"/>
      <w:lvlText w:val="%1.%2.%3.%4.%5.%6.%7.%8"/>
      <w:lvlJc w:val="left"/>
      <w:pPr>
        <w:ind w:left="0" w:firstLine="0"/>
      </w:pPr>
      <w:rPr>
        <w:rFonts w:hint="default" w:ascii="Times New Roman" w:hAnsi="Times New Roman" w:cs="Times New Roman"/>
      </w:rPr>
    </w:lvl>
    <w:lvl w:ilvl="8" w:tentative="0">
      <w:start w:val="1"/>
      <w:numFmt w:val="decimal"/>
      <w:lvlText w:val="%1.%2.%3.%4.%5.%6.%7.%8.%9"/>
      <w:lvlJc w:val="left"/>
      <w:pPr>
        <w:ind w:left="0" w:firstLine="0"/>
      </w:pPr>
      <w:rPr>
        <w:rFonts w:hint="default" w:ascii="Times New Roman" w:hAnsi="Times New Roman" w:cs="Times New Roman"/>
      </w:rPr>
    </w:lvl>
  </w:abstractNum>
  <w:abstractNum w:abstractNumId="3">
    <w:nsid w:val="28019B49"/>
    <w:multiLevelType w:val="singleLevel"/>
    <w:tmpl w:val="28019B49"/>
    <w:lvl w:ilvl="0" w:tentative="0">
      <w:start w:val="1"/>
      <w:numFmt w:val="decimalEnclosedCircleChinese"/>
      <w:suff w:val="nothing"/>
      <w:lvlText w:val="%1　"/>
      <w:lvlJc w:val="left"/>
      <w:pPr>
        <w:ind w:left="0" w:firstLine="400"/>
      </w:pPr>
      <w:rPr>
        <w:rFonts w:hint="eastAsia"/>
      </w:rPr>
    </w:lvl>
  </w:abstractNum>
  <w:abstractNum w:abstractNumId="4">
    <w:nsid w:val="29C3276F"/>
    <w:multiLevelType w:val="singleLevel"/>
    <w:tmpl w:val="29C3276F"/>
    <w:lvl w:ilvl="0" w:tentative="0">
      <w:start w:val="1"/>
      <w:numFmt w:val="decimalEnclosedCircleChinese"/>
      <w:suff w:val="nothing"/>
      <w:lvlText w:val="%1　"/>
      <w:lvlJc w:val="left"/>
      <w:pPr>
        <w:ind w:left="0" w:firstLine="400"/>
      </w:pPr>
      <w:rPr>
        <w:rFonts w:hint="eastAsia"/>
      </w:rPr>
    </w:lvl>
  </w:abstractNum>
  <w:abstractNum w:abstractNumId="5">
    <w:nsid w:val="384D2A2A"/>
    <w:multiLevelType w:val="singleLevel"/>
    <w:tmpl w:val="384D2A2A"/>
    <w:lvl w:ilvl="0" w:tentative="0">
      <w:start w:val="10"/>
      <w:numFmt w:val="decimalEnclosedCircleChinese"/>
      <w:suff w:val="nothing"/>
      <w:lvlText w:val="%1"/>
      <w:lvlJc w:val="left"/>
      <w:pPr>
        <w:ind w:left="0" w:firstLine="403"/>
      </w:pPr>
      <w:rPr>
        <w:rFonts w:hint="eastAsia"/>
      </w:rPr>
    </w:lvl>
  </w:abstractNum>
  <w:abstractNum w:abstractNumId="6">
    <w:nsid w:val="485E9475"/>
    <w:multiLevelType w:val="singleLevel"/>
    <w:tmpl w:val="485E9475"/>
    <w:lvl w:ilvl="0" w:tentative="0">
      <w:start w:val="1"/>
      <w:numFmt w:val="decimal"/>
      <w:suff w:val="nothing"/>
      <w:lvlText w:val="%1）"/>
      <w:lvlJc w:val="left"/>
    </w:lvl>
  </w:abstractNum>
  <w:abstractNum w:abstractNumId="7">
    <w:nsid w:val="6CCDE939"/>
    <w:multiLevelType w:val="singleLevel"/>
    <w:tmpl w:val="6CCDE939"/>
    <w:lvl w:ilvl="0" w:tentative="0">
      <w:start w:val="1"/>
      <w:numFmt w:val="decimal"/>
      <w:suff w:val="space"/>
      <w:lvlText w:val="(%1)"/>
      <w:lvlJc w:val="left"/>
    </w:lvl>
  </w:abstractNum>
  <w:abstractNum w:abstractNumId="8">
    <w:nsid w:val="6D7B95BB"/>
    <w:multiLevelType w:val="singleLevel"/>
    <w:tmpl w:val="6D7B95BB"/>
    <w:lvl w:ilvl="0" w:tentative="0">
      <w:start w:val="1"/>
      <w:numFmt w:val="decimalEnclosedCircleChinese"/>
      <w:suff w:val="nothing"/>
      <w:lvlText w:val="%1　"/>
      <w:lvlJc w:val="left"/>
      <w:pPr>
        <w:ind w:left="0" w:firstLine="400"/>
      </w:pPr>
      <w:rPr>
        <w:rFonts w:hint="eastAsia"/>
      </w:rPr>
    </w:lvl>
  </w:abstractNum>
  <w:num w:numId="1">
    <w:abstractNumId w:val="3"/>
  </w:num>
  <w:num w:numId="2">
    <w:abstractNumId w:val="4"/>
  </w:num>
  <w:num w:numId="3">
    <w:abstractNumId w:val="8"/>
  </w:num>
  <w:num w:numId="4">
    <w:abstractNumId w:val="0"/>
  </w:num>
  <w:num w:numId="5">
    <w:abstractNumId w:val="2"/>
  </w:num>
  <w:num w:numId="6">
    <w:abstractNumId w:val="6"/>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66ACF"/>
    <w:rsid w:val="013D4E22"/>
    <w:rsid w:val="02AB78A7"/>
    <w:rsid w:val="032633D2"/>
    <w:rsid w:val="035717DD"/>
    <w:rsid w:val="03AF786B"/>
    <w:rsid w:val="03E944EA"/>
    <w:rsid w:val="04DC01EC"/>
    <w:rsid w:val="04EB6681"/>
    <w:rsid w:val="05CF5FA2"/>
    <w:rsid w:val="063B1934"/>
    <w:rsid w:val="06BE5D1E"/>
    <w:rsid w:val="06E430A5"/>
    <w:rsid w:val="071105A0"/>
    <w:rsid w:val="07126147"/>
    <w:rsid w:val="07927288"/>
    <w:rsid w:val="07FB4E2D"/>
    <w:rsid w:val="08350921"/>
    <w:rsid w:val="088504A0"/>
    <w:rsid w:val="08B96921"/>
    <w:rsid w:val="08D62716"/>
    <w:rsid w:val="09D01709"/>
    <w:rsid w:val="0BBF43C3"/>
    <w:rsid w:val="0C27435E"/>
    <w:rsid w:val="0CA37841"/>
    <w:rsid w:val="0CAF4438"/>
    <w:rsid w:val="0DBA3094"/>
    <w:rsid w:val="0DE46363"/>
    <w:rsid w:val="0DEF2209"/>
    <w:rsid w:val="0DF04F33"/>
    <w:rsid w:val="0EEC3721"/>
    <w:rsid w:val="0EEC5E59"/>
    <w:rsid w:val="0EFD76DC"/>
    <w:rsid w:val="0F22406F"/>
    <w:rsid w:val="0F2C582F"/>
    <w:rsid w:val="0FA07C49"/>
    <w:rsid w:val="0FD9103D"/>
    <w:rsid w:val="10D50464"/>
    <w:rsid w:val="11333889"/>
    <w:rsid w:val="1139421F"/>
    <w:rsid w:val="11A958FA"/>
    <w:rsid w:val="11E31EBD"/>
    <w:rsid w:val="12093884"/>
    <w:rsid w:val="1218482D"/>
    <w:rsid w:val="12647A72"/>
    <w:rsid w:val="12BC165D"/>
    <w:rsid w:val="12CB61E6"/>
    <w:rsid w:val="1469501E"/>
    <w:rsid w:val="148E4CE7"/>
    <w:rsid w:val="15584CFE"/>
    <w:rsid w:val="15891CCA"/>
    <w:rsid w:val="15B550F4"/>
    <w:rsid w:val="15CB1EF1"/>
    <w:rsid w:val="15E85D98"/>
    <w:rsid w:val="161512F9"/>
    <w:rsid w:val="16414353"/>
    <w:rsid w:val="166D339A"/>
    <w:rsid w:val="16C16F4C"/>
    <w:rsid w:val="176F4EEF"/>
    <w:rsid w:val="177D7B3E"/>
    <w:rsid w:val="17C9096B"/>
    <w:rsid w:val="18ED7AB4"/>
    <w:rsid w:val="18F613B2"/>
    <w:rsid w:val="191C2E55"/>
    <w:rsid w:val="19241D0A"/>
    <w:rsid w:val="19705BCC"/>
    <w:rsid w:val="1A367F46"/>
    <w:rsid w:val="1AF73CA9"/>
    <w:rsid w:val="1B381DB6"/>
    <w:rsid w:val="1B6A77EB"/>
    <w:rsid w:val="1C086BBE"/>
    <w:rsid w:val="1C84396F"/>
    <w:rsid w:val="1CDC4DD5"/>
    <w:rsid w:val="1D1B2283"/>
    <w:rsid w:val="1D43004F"/>
    <w:rsid w:val="1DF43759"/>
    <w:rsid w:val="1EB853CE"/>
    <w:rsid w:val="1EBF675C"/>
    <w:rsid w:val="1FC57DA2"/>
    <w:rsid w:val="204C4020"/>
    <w:rsid w:val="207F2647"/>
    <w:rsid w:val="20931C4F"/>
    <w:rsid w:val="21333432"/>
    <w:rsid w:val="214774A8"/>
    <w:rsid w:val="215F7D83"/>
    <w:rsid w:val="21D82F66"/>
    <w:rsid w:val="22385A6A"/>
    <w:rsid w:val="22B242C1"/>
    <w:rsid w:val="22DD2FA3"/>
    <w:rsid w:val="23C97B18"/>
    <w:rsid w:val="246D0A09"/>
    <w:rsid w:val="248664C8"/>
    <w:rsid w:val="28C478E9"/>
    <w:rsid w:val="2ACE70DB"/>
    <w:rsid w:val="2B7C4276"/>
    <w:rsid w:val="2C4B7881"/>
    <w:rsid w:val="2CEC7817"/>
    <w:rsid w:val="2DBB4089"/>
    <w:rsid w:val="2DDE64D3"/>
    <w:rsid w:val="2E020414"/>
    <w:rsid w:val="2EAE322D"/>
    <w:rsid w:val="2FD8767E"/>
    <w:rsid w:val="31927BBF"/>
    <w:rsid w:val="31FB7654"/>
    <w:rsid w:val="31FF4854"/>
    <w:rsid w:val="326A47D9"/>
    <w:rsid w:val="32715B68"/>
    <w:rsid w:val="32821B23"/>
    <w:rsid w:val="328665A3"/>
    <w:rsid w:val="32B20681"/>
    <w:rsid w:val="331B5B31"/>
    <w:rsid w:val="3364661F"/>
    <w:rsid w:val="336B751C"/>
    <w:rsid w:val="337E0FFA"/>
    <w:rsid w:val="352E1AEE"/>
    <w:rsid w:val="369E146D"/>
    <w:rsid w:val="375B7AF4"/>
    <w:rsid w:val="37B409D1"/>
    <w:rsid w:val="39535FC7"/>
    <w:rsid w:val="39590F3C"/>
    <w:rsid w:val="3A1514CF"/>
    <w:rsid w:val="3A922B1F"/>
    <w:rsid w:val="3AC405D0"/>
    <w:rsid w:val="3AD153F6"/>
    <w:rsid w:val="3AEA64B7"/>
    <w:rsid w:val="3D0E511E"/>
    <w:rsid w:val="3D6148B5"/>
    <w:rsid w:val="3D797D33"/>
    <w:rsid w:val="3E250A52"/>
    <w:rsid w:val="3E8B63DF"/>
    <w:rsid w:val="3EF67B21"/>
    <w:rsid w:val="3EFB37CA"/>
    <w:rsid w:val="3FA4132B"/>
    <w:rsid w:val="40026051"/>
    <w:rsid w:val="407A37B0"/>
    <w:rsid w:val="41B761B3"/>
    <w:rsid w:val="423F6A4D"/>
    <w:rsid w:val="42756FAE"/>
    <w:rsid w:val="42D35F74"/>
    <w:rsid w:val="434C0108"/>
    <w:rsid w:val="43E01B51"/>
    <w:rsid w:val="4427252A"/>
    <w:rsid w:val="44353C0A"/>
    <w:rsid w:val="45C51FFB"/>
    <w:rsid w:val="45E96C6A"/>
    <w:rsid w:val="4613720A"/>
    <w:rsid w:val="46C67E1C"/>
    <w:rsid w:val="479561C3"/>
    <w:rsid w:val="482C714F"/>
    <w:rsid w:val="48547C90"/>
    <w:rsid w:val="485D651B"/>
    <w:rsid w:val="48EF38C4"/>
    <w:rsid w:val="49253989"/>
    <w:rsid w:val="49793828"/>
    <w:rsid w:val="4ABC4FD3"/>
    <w:rsid w:val="4AF173B1"/>
    <w:rsid w:val="4B3612A5"/>
    <w:rsid w:val="4B614574"/>
    <w:rsid w:val="4BB01057"/>
    <w:rsid w:val="4C7044A1"/>
    <w:rsid w:val="4C920A9B"/>
    <w:rsid w:val="4D2E75B9"/>
    <w:rsid w:val="4F277882"/>
    <w:rsid w:val="4F455F5A"/>
    <w:rsid w:val="4F841D9D"/>
    <w:rsid w:val="4F8B7E11"/>
    <w:rsid w:val="4FB31116"/>
    <w:rsid w:val="50483F54"/>
    <w:rsid w:val="513400AA"/>
    <w:rsid w:val="51C63383"/>
    <w:rsid w:val="537563B7"/>
    <w:rsid w:val="53971244"/>
    <w:rsid w:val="53EE6BC1"/>
    <w:rsid w:val="54632126"/>
    <w:rsid w:val="54705828"/>
    <w:rsid w:val="558176A7"/>
    <w:rsid w:val="56262642"/>
    <w:rsid w:val="56473967"/>
    <w:rsid w:val="57745FCC"/>
    <w:rsid w:val="57F10A2D"/>
    <w:rsid w:val="58354DBE"/>
    <w:rsid w:val="59AB5B78"/>
    <w:rsid w:val="59D70A8B"/>
    <w:rsid w:val="5A455061"/>
    <w:rsid w:val="5ABD72ED"/>
    <w:rsid w:val="5B17791B"/>
    <w:rsid w:val="5BF1724E"/>
    <w:rsid w:val="5C3B343E"/>
    <w:rsid w:val="5CB14C2F"/>
    <w:rsid w:val="5DA12649"/>
    <w:rsid w:val="5DBC388C"/>
    <w:rsid w:val="5FB011CE"/>
    <w:rsid w:val="5FD56E87"/>
    <w:rsid w:val="606B5A62"/>
    <w:rsid w:val="61D5316E"/>
    <w:rsid w:val="62C84A81"/>
    <w:rsid w:val="649569F9"/>
    <w:rsid w:val="64FB6F02"/>
    <w:rsid w:val="651C32E4"/>
    <w:rsid w:val="65257688"/>
    <w:rsid w:val="6659611C"/>
    <w:rsid w:val="667016B7"/>
    <w:rsid w:val="66AC6B93"/>
    <w:rsid w:val="66AF21DF"/>
    <w:rsid w:val="66D103A8"/>
    <w:rsid w:val="66E0683D"/>
    <w:rsid w:val="6742415F"/>
    <w:rsid w:val="68093B71"/>
    <w:rsid w:val="68751207"/>
    <w:rsid w:val="68C06926"/>
    <w:rsid w:val="68CD2DF1"/>
    <w:rsid w:val="690A73A2"/>
    <w:rsid w:val="69401815"/>
    <w:rsid w:val="6A866E30"/>
    <w:rsid w:val="6B2C43A2"/>
    <w:rsid w:val="6C766086"/>
    <w:rsid w:val="6CEF1588"/>
    <w:rsid w:val="6E270FBE"/>
    <w:rsid w:val="6E4E754E"/>
    <w:rsid w:val="6F571666"/>
    <w:rsid w:val="702A0B29"/>
    <w:rsid w:val="70A72179"/>
    <w:rsid w:val="70AC59E2"/>
    <w:rsid w:val="70BE6BA9"/>
    <w:rsid w:val="71210E11"/>
    <w:rsid w:val="72844CFB"/>
    <w:rsid w:val="734819F2"/>
    <w:rsid w:val="74235FBB"/>
    <w:rsid w:val="749F0C0A"/>
    <w:rsid w:val="750015F4"/>
    <w:rsid w:val="75120731"/>
    <w:rsid w:val="75435DE4"/>
    <w:rsid w:val="759A22AD"/>
    <w:rsid w:val="76CC4583"/>
    <w:rsid w:val="77334767"/>
    <w:rsid w:val="77AF7108"/>
    <w:rsid w:val="77C35AEB"/>
    <w:rsid w:val="79872B48"/>
    <w:rsid w:val="79E62539"/>
    <w:rsid w:val="7A2827E8"/>
    <w:rsid w:val="7A57076C"/>
    <w:rsid w:val="7AAF05A8"/>
    <w:rsid w:val="7C2F7BF3"/>
    <w:rsid w:val="7C6B28A4"/>
    <w:rsid w:val="7CCC2F65"/>
    <w:rsid w:val="7D7B29C4"/>
    <w:rsid w:val="7E551467"/>
    <w:rsid w:val="7EB75B68"/>
    <w:rsid w:val="7EC95E6F"/>
    <w:rsid w:val="7F567244"/>
    <w:rsid w:val="7FCD1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character" w:styleId="9">
    <w:name w:val="page number"/>
    <w:basedOn w:val="8"/>
    <w:qFormat/>
    <w:uiPriority w:val="0"/>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file:///C:\Users\ADMINI~1\AppData\Local\Temp\ksohtml5112\wps2.jpg" TargetMode="Externa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142</Pages>
  <Words>89797</Words>
  <Characters>93634</Characters>
  <Lines>0</Lines>
  <Paragraphs>0</Paragraphs>
  <TotalTime>0</TotalTime>
  <ScaleCrop>false</ScaleCrop>
  <LinksUpToDate>false</LinksUpToDate>
  <CharactersWithSpaces>95182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2025-03-10T05:15:00Z</dcterms:created>
  <dc:creator>GYWL</dc:creator>
  <cp:lastModifiedBy>admin</cp:lastModifiedBy>
  <dcterms:modified xsi:type="dcterms:W3CDTF">2025-05-29T14:05:13Z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196F908A8C0E448798AE6FF8038160E3</vt:lpwstr>
  </property>
  <property fmtid="{D5CDD505-2E9C-101B-9397-08002B2CF9AE}" pid="4" name="KSOTemplateDocerSaveRecord">
    <vt:lpwstr>eyJoZGlkIjoiODY5ZDFkM2M5Y2I1MGVkMmQ2ZGZkNDExMzZjM2E1NDEiLCJ1c2VySWQiOiIzNzc2NDU5MTEifQ==</vt:lpwstr>
  </property>
</Properties>
</file>