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7C31A3">
      <w:pPr>
        <w:rPr>
          <w:rFonts w:hint="eastAsia"/>
          <w:lang w:val="en-US" w:eastAsia="zh-CN"/>
        </w:rPr>
      </w:pPr>
    </w:p>
    <w:p w14:paraId="59AF196A">
      <w:pPr>
        <w:pStyle w:val="4"/>
        <w:keepNext w:val="0"/>
        <w:keepLines w:val="0"/>
        <w:widowControl/>
        <w:suppressLineNumbers w:val="0"/>
        <w:spacing w:before="144" w:beforeAutospacing="0" w:after="144" w:afterAutospacing="0"/>
        <w:ind w:left="0" w:right="0" w:firstLine="0"/>
        <w:jc w:val="center"/>
        <w:rPr>
          <w:b/>
          <w:bCs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控制价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编制说明</w:t>
      </w:r>
    </w:p>
    <w:p w14:paraId="351B31A0">
      <w:pPr>
        <w:pStyle w:val="4"/>
        <w:keepNext w:val="0"/>
        <w:keepLines w:val="0"/>
        <w:widowControl/>
        <w:suppressLineNumbers w:val="0"/>
        <w:spacing w:before="144" w:beforeAutospacing="0" w:after="144" w:afterAutospacing="0"/>
        <w:ind w:left="0" w:right="0" w:firstLine="0"/>
      </w:pPr>
      <w:r>
        <w:rPr>
          <w:rFonts w:ascii="Calibri" w:hAnsi="Calibri" w:cs="Calibri"/>
          <w:sz w:val="24"/>
          <w:szCs w:val="24"/>
        </w:rPr>
        <w:t> </w:t>
      </w:r>
    </w:p>
    <w:p w14:paraId="593AA608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00" w:lineRule="auto"/>
        <w:ind w:left="0" w:right="0" w:firstLine="0"/>
        <w:textAlignment w:val="auto"/>
        <w:rPr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一、工程概况</w:t>
      </w:r>
    </w:p>
    <w:p w14:paraId="2204AE48">
      <w:pPr>
        <w:keepNext w:val="0"/>
        <w:keepLines w:val="0"/>
        <w:widowControl/>
        <w:suppressLineNumbers w:val="0"/>
        <w:spacing w:line="360" w:lineRule="auto"/>
        <w:ind w:firstLine="560" w:firstLineChars="200"/>
        <w:jc w:val="left"/>
        <w:rPr>
          <w:rFonts w:hint="eastAsia" w:ascii="宋体" w:hAnsi="宋体" w:eastAsia="宋体" w:cs="宋体"/>
          <w:color w:val="auto"/>
          <w:spacing w:val="0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eastAsia="宋体" w:cs="宋体"/>
          <w:spacing w:val="0"/>
          <w:sz w:val="28"/>
          <w:szCs w:val="28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spacing w:val="0"/>
          <w:sz w:val="28"/>
          <w:szCs w:val="28"/>
          <w:highlight w:val="none"/>
        </w:rPr>
        <w:t>工程名称：</w:t>
      </w:r>
      <w:r>
        <w:rPr>
          <w:rFonts w:hint="eastAsia" w:ascii="宋体" w:hAnsi="宋体" w:eastAsia="宋体" w:cs="宋体"/>
          <w:color w:val="auto"/>
          <w:spacing w:val="0"/>
          <w:kern w:val="0"/>
          <w:sz w:val="28"/>
          <w:szCs w:val="28"/>
          <w:highlight w:val="none"/>
          <w:lang w:val="en-US" w:eastAsia="zh-CN" w:bidi="ar"/>
        </w:rPr>
        <w:t xml:space="preserve">广州市海珠区东风村城中村改造项目D34安置地块西北侧配套道路工程 </w:t>
      </w:r>
    </w:p>
    <w:p w14:paraId="7074594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auto"/>
        <w:ind w:left="0" w:leftChars="0" w:firstLine="490" w:firstLineChars="175"/>
        <w:jc w:val="left"/>
        <w:textAlignment w:val="auto"/>
        <w:rPr>
          <w:rFonts w:hint="eastAsia" w:ascii="宋体" w:hAnsi="宋体" w:eastAsia="宋体" w:cs="宋体"/>
          <w:color w:val="auto"/>
          <w:spacing w:val="0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8"/>
          <w:szCs w:val="28"/>
          <w:highlight w:val="none"/>
          <w:lang w:val="en-US" w:eastAsia="zh-CN" w:bidi="ar"/>
        </w:rPr>
        <w:t>2.建设规模：项目总改造用地面积约1.95公顷，其中艺苑南路北段(西规划路)用地面积约0.80公顷，维度酒店至畅流园之间道路(东规划路)用地面积约0.95公顷，供销大厦北侧道路(北侧规划路)用地面积约0.20公顷。主要建设内容包括:车行道、人行道，具体以规划部门批复为准。</w:t>
      </w:r>
    </w:p>
    <w:p w14:paraId="50F0D34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auto"/>
        <w:ind w:left="0" w:leftChars="0" w:firstLine="490" w:firstLineChars="175"/>
        <w:jc w:val="left"/>
        <w:textAlignment w:val="auto"/>
        <w:rPr>
          <w:rFonts w:hint="default" w:ascii="宋体" w:hAnsi="宋体" w:eastAsia="宋体" w:cs="宋体"/>
          <w:color w:val="auto"/>
          <w:spacing w:val="0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8"/>
          <w:szCs w:val="28"/>
          <w:highlight w:val="none"/>
          <w:lang w:val="en-US" w:eastAsia="zh-CN" w:bidi="ar"/>
        </w:rPr>
        <w:t>3.招标内容：道路及其附属。</w:t>
      </w:r>
    </w:p>
    <w:p w14:paraId="03C0DB88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auto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二、编制依据</w:t>
      </w:r>
    </w:p>
    <w:p w14:paraId="330A36D0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00" w:lineRule="auto"/>
        <w:ind w:left="0" w:leftChars="0" w:right="0" w:firstLine="490" w:firstLineChars="175"/>
        <w:textAlignment w:val="auto"/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清单规范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及定额</w:t>
      </w:r>
    </w:p>
    <w:p w14:paraId="0612EE5C">
      <w:pPr>
        <w:keepNext w:val="0"/>
        <w:keepLines w:val="0"/>
        <w:widowControl/>
        <w:suppressLineNumbers w:val="0"/>
        <w:spacing w:line="360" w:lineRule="auto"/>
        <w:ind w:firstLine="560" w:firstLineChars="200"/>
        <w:jc w:val="left"/>
        <w:rPr>
          <w:rFonts w:hint="eastAsia" w:ascii="宋体" w:hAnsi="宋体" w:eastAsia="宋体" w:cs="宋体"/>
          <w:color w:val="auto"/>
          <w:spacing w:val="0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8"/>
          <w:szCs w:val="28"/>
          <w:highlight w:val="none"/>
          <w:u w:val="none"/>
          <w:lang w:val="en-US" w:eastAsia="zh-CN"/>
        </w:rPr>
        <w:t>《建设工程工程量清单计价规范》（GB50500-2013）</w:t>
      </w:r>
    </w:p>
    <w:p w14:paraId="48200DCC">
      <w:pPr>
        <w:keepNext w:val="0"/>
        <w:keepLines w:val="0"/>
        <w:widowControl/>
        <w:suppressLineNumbers w:val="0"/>
        <w:spacing w:line="360" w:lineRule="auto"/>
        <w:ind w:firstLine="560" w:firstLineChars="200"/>
        <w:jc w:val="left"/>
        <w:rPr>
          <w:rFonts w:hint="eastAsia" w:ascii="宋体" w:hAnsi="宋体" w:eastAsia="宋体" w:cs="宋体"/>
          <w:color w:val="auto"/>
          <w:spacing w:val="0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8"/>
          <w:szCs w:val="28"/>
          <w:highlight w:val="none"/>
          <w:u w:val="none"/>
          <w:lang w:val="en-US" w:eastAsia="zh-CN"/>
        </w:rPr>
        <w:t>《市政工程工程量计算规范》（GB50857-2013）</w:t>
      </w:r>
    </w:p>
    <w:p w14:paraId="639F7E61">
      <w:pPr>
        <w:keepNext w:val="0"/>
        <w:keepLines w:val="0"/>
        <w:widowControl/>
        <w:suppressLineNumbers w:val="0"/>
        <w:spacing w:line="360" w:lineRule="auto"/>
        <w:ind w:firstLine="560" w:firstLineChars="200"/>
        <w:jc w:val="left"/>
        <w:rPr>
          <w:rFonts w:hint="eastAsia" w:ascii="宋体" w:hAnsi="宋体" w:eastAsia="宋体" w:cs="宋体"/>
          <w:color w:val="auto"/>
          <w:spacing w:val="0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8"/>
          <w:szCs w:val="28"/>
          <w:highlight w:val="none"/>
          <w:u w:val="none"/>
          <w:lang w:val="en-US" w:eastAsia="zh-CN"/>
        </w:rPr>
        <w:t>《通用安装工程工程量计算规范》（GB50856-2013）</w:t>
      </w:r>
    </w:p>
    <w:p w14:paraId="0A3B5124">
      <w:pPr>
        <w:keepNext w:val="0"/>
        <w:keepLines w:val="0"/>
        <w:widowControl/>
        <w:suppressLineNumbers w:val="0"/>
        <w:spacing w:line="360" w:lineRule="auto"/>
        <w:ind w:firstLine="560" w:firstLineChars="200"/>
        <w:jc w:val="left"/>
        <w:rPr>
          <w:rFonts w:hint="eastAsia" w:ascii="宋体" w:hAnsi="宋体" w:eastAsia="宋体" w:cs="宋体"/>
          <w:color w:val="auto"/>
          <w:spacing w:val="0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8"/>
          <w:szCs w:val="28"/>
          <w:highlight w:val="none"/>
          <w:u w:val="none"/>
          <w:lang w:val="en-US" w:eastAsia="zh-CN"/>
        </w:rPr>
        <w:t>《广东省市政工程综合定额（2018）》</w:t>
      </w:r>
    </w:p>
    <w:p w14:paraId="6F19281D">
      <w:pPr>
        <w:keepNext w:val="0"/>
        <w:keepLines w:val="0"/>
        <w:widowControl/>
        <w:suppressLineNumbers w:val="0"/>
        <w:spacing w:line="360" w:lineRule="auto"/>
        <w:ind w:firstLine="560" w:firstLineChars="200"/>
        <w:jc w:val="left"/>
        <w:rPr>
          <w:rFonts w:hint="eastAsia" w:ascii="宋体" w:hAnsi="宋体" w:eastAsia="宋体" w:cs="宋体"/>
          <w:color w:val="auto"/>
          <w:spacing w:val="0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8"/>
          <w:szCs w:val="28"/>
          <w:highlight w:val="none"/>
          <w:u w:val="none"/>
          <w:lang w:val="en-US" w:eastAsia="zh-CN"/>
        </w:rPr>
        <w:t>《广东省通用安装工程综合定额（2018）》</w:t>
      </w:r>
    </w:p>
    <w:p w14:paraId="7060B65E">
      <w:pPr>
        <w:keepNext w:val="0"/>
        <w:keepLines w:val="0"/>
        <w:widowControl/>
        <w:suppressLineNumbers w:val="0"/>
        <w:spacing w:line="360" w:lineRule="auto"/>
        <w:ind w:firstLine="560" w:firstLineChars="200"/>
        <w:jc w:val="left"/>
        <w:rPr>
          <w:rFonts w:hint="eastAsia" w:ascii="宋体" w:hAnsi="宋体" w:eastAsia="宋体" w:cs="宋体"/>
          <w:color w:val="auto"/>
          <w:spacing w:val="0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8"/>
          <w:szCs w:val="28"/>
          <w:highlight w:val="none"/>
          <w:u w:val="none"/>
          <w:lang w:val="en-US" w:eastAsia="zh-CN"/>
        </w:rPr>
        <w:t>《广东省建设工程施工机具台班费用编制规则（2018）》</w:t>
      </w:r>
    </w:p>
    <w:p w14:paraId="38D45A7D">
      <w:pPr>
        <w:keepNext w:val="0"/>
        <w:keepLines w:val="0"/>
        <w:widowControl/>
        <w:suppressLineNumbers w:val="0"/>
        <w:spacing w:line="360" w:lineRule="auto"/>
        <w:ind w:firstLine="560" w:firstLineChars="200"/>
        <w:jc w:val="left"/>
        <w:rPr>
          <w:rFonts w:hint="eastAsia" w:ascii="宋体" w:hAnsi="宋体" w:eastAsia="宋体" w:cs="宋体"/>
          <w:color w:val="auto"/>
          <w:spacing w:val="0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8"/>
          <w:szCs w:val="28"/>
          <w:highlight w:val="none"/>
          <w:u w:val="none"/>
          <w:lang w:val="en-US" w:eastAsia="zh-CN"/>
        </w:rPr>
        <w:t>《工程勘察设计收费标准》（计价格〔2002〕10号）</w:t>
      </w:r>
    </w:p>
    <w:p w14:paraId="712963E1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00" w:lineRule="auto"/>
        <w:ind w:left="0" w:leftChars="0" w:right="0" w:firstLine="490" w:firstLineChars="175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税金</w:t>
      </w:r>
    </w:p>
    <w:p w14:paraId="2967D97E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00" w:lineRule="auto"/>
        <w:ind w:left="0" w:leftChars="0" w:right="0" w:firstLine="490" w:firstLineChars="175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广东省住房和城乡建设厅《关于调整广东省建设工程计价依据增值税税率的通知》（粤建标函〔2019〕</w:t>
      </w:r>
      <w:r>
        <w:rPr>
          <w:rFonts w:hint="eastAsia" w:ascii="宋体" w:hAnsi="宋体" w:eastAsia="宋体" w:cs="宋体"/>
          <w:b w:val="0"/>
          <w:color w:val="auto"/>
          <w:kern w:val="0"/>
          <w:sz w:val="28"/>
          <w:szCs w:val="28"/>
          <w:lang w:val="en-US" w:eastAsia="zh-CN" w:bidi="ar"/>
        </w:rPr>
        <w:t xml:space="preserve">819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号）</w:t>
      </w:r>
    </w:p>
    <w:p w14:paraId="05AFA7F4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00" w:lineRule="auto"/>
        <w:ind w:left="0" w:leftChars="0" w:right="0" w:firstLine="490" w:firstLineChars="175"/>
        <w:textAlignment w:val="auto"/>
        <w:rPr>
          <w:rFonts w:hint="eastAsia" w:ascii="宋体" w:hAnsi="宋体" w:eastAsia="宋体" w:cs="宋体"/>
          <w:b w:val="0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图纸</w:t>
      </w:r>
    </w:p>
    <w:p w14:paraId="521B48BB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00" w:lineRule="auto"/>
        <w:ind w:left="0" w:leftChars="0" w:right="0" w:firstLine="490" w:firstLineChars="175"/>
        <w:textAlignment w:val="auto"/>
        <w:rPr>
          <w:rFonts w:hint="eastAsia" w:ascii="宋体" w:hAnsi="宋体" w:eastAsia="宋体" w:cs="宋体"/>
          <w:b w:val="0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8"/>
          <w:szCs w:val="28"/>
          <w:highlight w:val="none"/>
          <w:lang w:val="en-US" w:eastAsia="zh-CN" w:bidi="ar"/>
        </w:rPr>
        <w:t>广东省建筑设计院有限公司出具的《东风村城中村改造项目D34地块的安置房配套公共空间建设工程》初步设计。</w:t>
      </w:r>
    </w:p>
    <w:p w14:paraId="6D80FCBD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00" w:lineRule="auto"/>
        <w:ind w:right="0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lang w:val="en-US" w:eastAsia="zh-CN" w:bidi="ar"/>
        </w:rPr>
        <w:t>三、编制情况说明</w:t>
      </w:r>
    </w:p>
    <w:p w14:paraId="78F53E96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00" w:lineRule="auto"/>
        <w:ind w:left="0" w:leftChars="0" w:right="0" w:firstLine="490" w:firstLineChars="175"/>
        <w:textAlignment w:val="auto"/>
        <w:rPr>
          <w:rFonts w:hint="eastAsia" w:ascii="宋体" w:hAnsi="宋体" w:eastAsia="宋体" w:cs="宋体"/>
          <w:b w:val="0"/>
          <w:color w:val="auto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color w:val="auto"/>
          <w:kern w:val="0"/>
          <w:sz w:val="28"/>
          <w:szCs w:val="28"/>
          <w:highlight w:val="none"/>
          <w:lang w:val="en-US" w:eastAsia="zh-CN" w:bidi="ar"/>
        </w:rPr>
        <w:t>1、余方运距：综合考虑；</w:t>
      </w:r>
    </w:p>
    <w:p w14:paraId="7C4CF90A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00" w:lineRule="auto"/>
        <w:ind w:left="0" w:leftChars="0" w:right="0" w:firstLine="490" w:firstLineChars="175"/>
        <w:textAlignment w:val="auto"/>
        <w:rPr>
          <w:rFonts w:hint="eastAsia" w:ascii="宋体" w:hAnsi="宋体" w:eastAsia="宋体" w:cs="宋体"/>
          <w:b w:val="0"/>
          <w:color w:val="auto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color w:val="auto"/>
          <w:kern w:val="0"/>
          <w:sz w:val="28"/>
          <w:szCs w:val="28"/>
          <w:highlight w:val="none"/>
          <w:lang w:val="en-US" w:eastAsia="zh-CN" w:bidi="ar"/>
        </w:rPr>
        <w:t>2、借土方运距：综合考虑；</w:t>
      </w:r>
    </w:p>
    <w:p w14:paraId="7E78514A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00" w:lineRule="auto"/>
        <w:ind w:left="0" w:leftChars="0" w:right="0" w:firstLine="490" w:firstLineChars="175"/>
        <w:textAlignment w:val="auto"/>
        <w:rPr>
          <w:rFonts w:hint="eastAsia" w:ascii="宋体" w:hAnsi="宋体" w:eastAsia="宋体" w:cs="宋体"/>
          <w:b w:val="0"/>
          <w:color w:val="auto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color w:val="auto"/>
          <w:kern w:val="0"/>
          <w:sz w:val="28"/>
          <w:szCs w:val="28"/>
          <w:highlight w:val="none"/>
          <w:lang w:val="en-US" w:eastAsia="zh-CN" w:bidi="ar"/>
        </w:rPr>
        <w:t>3、消纳费：按实方15元/m</w:t>
      </w:r>
      <w:r>
        <w:rPr>
          <w:rFonts w:hint="eastAsia" w:ascii="宋体" w:hAnsi="宋体" w:eastAsia="宋体" w:cs="宋体"/>
          <w:b w:val="0"/>
          <w:color w:val="auto"/>
          <w:kern w:val="0"/>
          <w:sz w:val="28"/>
          <w:szCs w:val="28"/>
          <w:highlight w:val="none"/>
          <w:vertAlign w:val="superscript"/>
          <w:lang w:val="en-US" w:eastAsia="zh-CN" w:bidi="ar"/>
        </w:rPr>
        <w:t>3</w:t>
      </w:r>
      <w:r>
        <w:rPr>
          <w:rFonts w:hint="eastAsia" w:ascii="宋体" w:hAnsi="宋体" w:eastAsia="宋体" w:cs="宋体"/>
          <w:b w:val="0"/>
          <w:color w:val="auto"/>
          <w:kern w:val="0"/>
          <w:sz w:val="28"/>
          <w:szCs w:val="28"/>
          <w:highlight w:val="none"/>
          <w:lang w:val="en-US" w:eastAsia="zh-CN" w:bidi="ar"/>
        </w:rPr>
        <w:t>计；</w:t>
      </w:r>
    </w:p>
    <w:p w14:paraId="7C7B7C1C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00" w:lineRule="auto"/>
        <w:ind w:left="0" w:leftChars="0" w:right="0" w:firstLine="490" w:firstLineChars="175"/>
        <w:textAlignment w:val="auto"/>
        <w:rPr>
          <w:rFonts w:hint="eastAsia" w:ascii="宋体" w:hAnsi="宋体" w:eastAsia="宋体" w:cs="宋体"/>
          <w:b w:val="0"/>
          <w:color w:val="auto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color w:val="auto"/>
          <w:kern w:val="0"/>
          <w:sz w:val="28"/>
          <w:szCs w:val="28"/>
          <w:highlight w:val="none"/>
          <w:lang w:val="en-US" w:eastAsia="zh-CN" w:bidi="ar"/>
        </w:rPr>
        <w:t>4、交通疏解工程中，围蔽采用A1-1围蔽；</w:t>
      </w:r>
    </w:p>
    <w:p w14:paraId="40387ABF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00" w:lineRule="auto"/>
        <w:ind w:left="0" w:leftChars="0" w:right="0" w:firstLine="490" w:firstLineChars="175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color w:val="auto"/>
          <w:kern w:val="0"/>
          <w:sz w:val="28"/>
          <w:szCs w:val="28"/>
          <w:highlight w:val="none"/>
          <w:lang w:val="en-US" w:eastAsia="zh-CN" w:bidi="ar"/>
        </w:rPr>
        <w:t>5、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施工围蔽式样及围蔽（养护）时间按设计文件计算，数量按线路外围两侧围蔽范围长度计算，施工期间需要分期围蔽多次装拆而增加的围蔽长度，综合考虑包干，不另行计算；</w:t>
      </w:r>
    </w:p>
    <w:p w14:paraId="3744B258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00" w:lineRule="auto"/>
        <w:ind w:left="0" w:leftChars="0" w:right="0" w:firstLine="490" w:firstLineChars="175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6、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工程量清单项目中项目特征的描述须与本说明和规定共同使用。工程量清单项目的综合单价除包括上述内容外，还应结合招标文件、招标文件所附合同条款、图纸等技术文件、有关技术规范及标准、现场施工条件、施工组织设计及施工方案等阅读、理解并进行报价；</w:t>
      </w:r>
    </w:p>
    <w:p w14:paraId="5390407D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00" w:lineRule="auto"/>
        <w:ind w:left="0" w:leftChars="0" w:right="0" w:firstLine="490" w:firstLineChars="175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7、绿化迁移费用按估算价格计取；</w:t>
      </w:r>
    </w:p>
    <w:p w14:paraId="72997EDE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00" w:lineRule="auto"/>
        <w:ind w:left="0" w:leftChars="0" w:right="0" w:firstLine="490" w:firstLineChars="175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8、设计费按《工程勘察设计收费标准》（计价格〔2002〕10号）下浮20%计取；</w:t>
      </w:r>
    </w:p>
    <w:p w14:paraId="14851A7F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00" w:lineRule="auto"/>
        <w:ind w:left="0" w:leftChars="0" w:right="0" w:firstLine="490" w:firstLineChars="175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9、勘察费：其中地下管线探测按2.40元/m</w:t>
      </w:r>
      <w:r>
        <w:rPr>
          <w:rFonts w:hint="eastAsia" w:ascii="宋体" w:hAnsi="宋体" w:eastAsia="宋体" w:cs="宋体"/>
          <w:sz w:val="28"/>
          <w:szCs w:val="28"/>
          <w:vertAlign w:val="superscript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计取；岩土勘察150元/m计取。</w:t>
      </w:r>
      <w:bookmarkStart w:id="0" w:name="_GoBack"/>
      <w:bookmarkEnd w:id="0"/>
    </w:p>
    <w:p w14:paraId="4487CB71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00" w:lineRule="auto"/>
        <w:ind w:right="0"/>
        <w:textAlignment w:val="auto"/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"/>
        </w:rPr>
        <w:t>四、人材机价格及取费标准说明</w:t>
      </w:r>
    </w:p>
    <w:p w14:paraId="4CC95BB7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00" w:lineRule="auto"/>
        <w:ind w:left="0" w:leftChars="0" w:right="0" w:firstLine="490" w:firstLineChars="175"/>
        <w:textAlignment w:val="auto"/>
        <w:rPr>
          <w:rFonts w:hint="eastAsia" w:ascii="宋体" w:hAnsi="宋体" w:eastAsia="宋体" w:cs="宋体"/>
          <w:b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kern w:val="0"/>
          <w:sz w:val="28"/>
          <w:szCs w:val="28"/>
          <w:lang w:val="en-US" w:eastAsia="zh-CN" w:bidi="ar"/>
        </w:rPr>
        <w:t>（一）人材机价格</w:t>
      </w:r>
    </w:p>
    <w:p w14:paraId="22961D94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00" w:lineRule="auto"/>
        <w:ind w:left="0" w:leftChars="0" w:right="0" w:firstLine="490" w:firstLineChars="175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kern w:val="0"/>
          <w:sz w:val="28"/>
          <w:szCs w:val="28"/>
          <w:lang w:val="en-US" w:eastAsia="zh-CN" w:bidi="ar"/>
        </w:rPr>
        <w:t>人材机价格，优先采用2025年3月份《广州建设工程造价信息》信息价；信息价不足部分采用2025年一季度《广州地区建设工程材料（设备）厂商价格信息》，仍不足部分采取慧讯、广材助手、市场询价等手段进行询价。投标人可根据自身情况报价。</w:t>
      </w:r>
    </w:p>
    <w:p w14:paraId="72F1A3A3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00" w:lineRule="auto"/>
        <w:ind w:left="0" w:leftChars="0" w:right="0" w:firstLine="490" w:firstLineChars="175"/>
        <w:textAlignment w:val="auto"/>
        <w:rPr>
          <w:rFonts w:hint="eastAsia" w:ascii="宋体" w:hAnsi="宋体" w:eastAsia="宋体" w:cs="宋体"/>
          <w:b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kern w:val="0"/>
          <w:sz w:val="28"/>
          <w:szCs w:val="28"/>
          <w:lang w:val="en-US" w:eastAsia="zh-CN" w:bidi="ar"/>
        </w:rPr>
        <w:t>（二）取费标准</w:t>
      </w:r>
    </w:p>
    <w:p w14:paraId="17F33FCF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00" w:lineRule="auto"/>
        <w:ind w:left="0" w:leftChars="0" w:right="0" w:firstLine="490" w:firstLineChars="175"/>
        <w:textAlignment w:val="auto"/>
        <w:rPr>
          <w:rFonts w:hint="eastAsia" w:ascii="宋体" w:hAnsi="宋体" w:eastAsia="宋体" w:cs="宋体"/>
          <w:b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kern w:val="0"/>
          <w:sz w:val="28"/>
          <w:szCs w:val="28"/>
          <w:lang w:val="en-US" w:eastAsia="zh-CN" w:bidi="ar"/>
        </w:rPr>
        <w:t>1、绿色施工安全防护费，道路、交通、给排水工程按（分部分项人工费+机械费）16.5%计算、绿化工程为10%、安装工程为35.77%；</w:t>
      </w:r>
    </w:p>
    <w:p w14:paraId="3EDF0873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00" w:lineRule="auto"/>
        <w:ind w:left="0" w:leftChars="0" w:right="0" w:firstLine="490" w:firstLineChars="175"/>
        <w:textAlignment w:val="auto"/>
        <w:rPr>
          <w:rFonts w:hint="eastAsia" w:ascii="宋体" w:hAnsi="宋体" w:eastAsia="宋体" w:cs="宋体"/>
          <w:b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kern w:val="0"/>
          <w:sz w:val="28"/>
          <w:szCs w:val="28"/>
          <w:lang w:val="en-US" w:eastAsia="zh-CN" w:bidi="ar"/>
        </w:rPr>
        <w:t>2、预算包干费，按（分部分项人工费+机械费）6%计算；</w:t>
      </w:r>
    </w:p>
    <w:p w14:paraId="78ADCC80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00" w:lineRule="auto"/>
        <w:ind w:left="0" w:leftChars="0" w:right="0" w:firstLine="490" w:firstLineChars="175"/>
        <w:textAlignment w:val="auto"/>
        <w:rPr>
          <w:rFonts w:hint="eastAsia" w:ascii="宋体" w:hAnsi="宋体" w:eastAsia="宋体" w:cs="宋体"/>
          <w:b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kern w:val="0"/>
          <w:sz w:val="28"/>
          <w:szCs w:val="28"/>
          <w:lang w:val="en-US" w:eastAsia="zh-CN" w:bidi="ar"/>
        </w:rPr>
        <w:t>3、暂列金额：（分部分项合计）10%计算；</w:t>
      </w:r>
    </w:p>
    <w:p w14:paraId="511C121B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00" w:lineRule="auto"/>
        <w:ind w:left="0" w:leftChars="0" w:right="0" w:firstLine="490" w:firstLineChars="175"/>
        <w:textAlignment w:val="auto"/>
        <w:rPr>
          <w:rFonts w:hint="eastAsia" w:ascii="宋体" w:hAnsi="宋体" w:eastAsia="宋体" w:cs="宋体"/>
          <w:b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kern w:val="0"/>
          <w:sz w:val="28"/>
          <w:szCs w:val="28"/>
          <w:lang w:val="en-US" w:eastAsia="zh-CN" w:bidi="ar"/>
        </w:rPr>
        <w:t>4、税金，增值税9%。</w:t>
      </w:r>
    </w:p>
    <w:p w14:paraId="1510B439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00" w:lineRule="auto"/>
        <w:ind w:left="0" w:right="0" w:firstLine="0"/>
        <w:textAlignment w:val="auto"/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"/>
        </w:rPr>
        <w:t>其他说明</w:t>
      </w:r>
    </w:p>
    <w:p w14:paraId="1BF5E970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kern w:val="0"/>
          <w:sz w:val="28"/>
          <w:szCs w:val="28"/>
          <w:lang w:val="en-US" w:eastAsia="zh-CN" w:bidi="ar"/>
        </w:rPr>
        <w:t>1.</w:t>
      </w:r>
      <w:r>
        <w:rPr>
          <w:rFonts w:hint="eastAsia" w:ascii="宋体" w:hAnsi="宋体" w:eastAsia="宋体" w:cs="宋体"/>
          <w:b w:val="0"/>
          <w:kern w:val="0"/>
          <w:sz w:val="28"/>
          <w:szCs w:val="28"/>
          <w:lang w:val="zh-CN" w:eastAsia="zh-CN" w:bidi="ar"/>
        </w:rPr>
        <w:t>施工围蔽按照广州市建设委员会印发的《广州市建设工程绿色施工围蔽指导图集》（V</w:t>
      </w:r>
      <w:r>
        <w:rPr>
          <w:rFonts w:hint="eastAsia" w:ascii="宋体" w:hAnsi="宋体" w:eastAsia="宋体" w:cs="宋体"/>
          <w:b w:val="0"/>
          <w:kern w:val="0"/>
          <w:sz w:val="28"/>
          <w:szCs w:val="28"/>
          <w:lang w:val="en-US" w:eastAsia="zh-CN" w:bidi="ar"/>
        </w:rPr>
        <w:t>2</w:t>
      </w:r>
      <w:r>
        <w:rPr>
          <w:rFonts w:hint="eastAsia" w:ascii="宋体" w:hAnsi="宋体" w:eastAsia="宋体" w:cs="宋体"/>
          <w:b w:val="0"/>
          <w:kern w:val="0"/>
          <w:sz w:val="28"/>
          <w:szCs w:val="28"/>
          <w:lang w:val="zh-CN" w:eastAsia="zh-CN" w:bidi="ar"/>
        </w:rPr>
        <w:t>.0版）</w:t>
      </w:r>
      <w:r>
        <w:rPr>
          <w:rFonts w:hint="eastAsia" w:ascii="宋体" w:hAnsi="宋体" w:eastAsia="宋体" w:cs="宋体"/>
          <w:b w:val="0"/>
          <w:kern w:val="0"/>
          <w:sz w:val="28"/>
          <w:szCs w:val="28"/>
          <w:lang w:val="en-US" w:eastAsia="zh-CN" w:bidi="ar"/>
        </w:rPr>
        <w:t>计算，高度3m 覆盖仿真绿植。</w:t>
      </w:r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5A10CD"/>
    <w:multiLevelType w:val="singleLevel"/>
    <w:tmpl w:val="895A10CD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wMTFhOThhYWI2MzkwMmExZjcxZTc4NDYzN2Y1ODIifQ=="/>
  </w:docVars>
  <w:rsids>
    <w:rsidRoot w:val="2A073CB2"/>
    <w:rsid w:val="02A66486"/>
    <w:rsid w:val="040C54BF"/>
    <w:rsid w:val="066551D0"/>
    <w:rsid w:val="06D7760A"/>
    <w:rsid w:val="071B3FF2"/>
    <w:rsid w:val="0A4505E1"/>
    <w:rsid w:val="0CD4667A"/>
    <w:rsid w:val="15C8482F"/>
    <w:rsid w:val="1B8C47C4"/>
    <w:rsid w:val="212261A3"/>
    <w:rsid w:val="234310C9"/>
    <w:rsid w:val="23507610"/>
    <w:rsid w:val="23703EB4"/>
    <w:rsid w:val="244C3FB6"/>
    <w:rsid w:val="268148E6"/>
    <w:rsid w:val="26DD3449"/>
    <w:rsid w:val="298204F0"/>
    <w:rsid w:val="2A073CB2"/>
    <w:rsid w:val="2A551B48"/>
    <w:rsid w:val="2B16471D"/>
    <w:rsid w:val="2C64307C"/>
    <w:rsid w:val="2D833499"/>
    <w:rsid w:val="2E3123B8"/>
    <w:rsid w:val="2E4F1B94"/>
    <w:rsid w:val="2F151425"/>
    <w:rsid w:val="2F191EB9"/>
    <w:rsid w:val="31F938DC"/>
    <w:rsid w:val="32121CCE"/>
    <w:rsid w:val="36056025"/>
    <w:rsid w:val="363F266C"/>
    <w:rsid w:val="385D3CA0"/>
    <w:rsid w:val="38852241"/>
    <w:rsid w:val="3DBB7027"/>
    <w:rsid w:val="3E206A44"/>
    <w:rsid w:val="3E966EBD"/>
    <w:rsid w:val="3F721DF8"/>
    <w:rsid w:val="431A3084"/>
    <w:rsid w:val="439A38C1"/>
    <w:rsid w:val="444318E5"/>
    <w:rsid w:val="49F07444"/>
    <w:rsid w:val="4A8F0FFE"/>
    <w:rsid w:val="4AB74A37"/>
    <w:rsid w:val="4E912AAA"/>
    <w:rsid w:val="5220523B"/>
    <w:rsid w:val="55DE7669"/>
    <w:rsid w:val="571E4044"/>
    <w:rsid w:val="57AA2AAE"/>
    <w:rsid w:val="57C71CFC"/>
    <w:rsid w:val="5D040E85"/>
    <w:rsid w:val="5D897A63"/>
    <w:rsid w:val="5E14519F"/>
    <w:rsid w:val="61302411"/>
    <w:rsid w:val="62B05AEF"/>
    <w:rsid w:val="64452565"/>
    <w:rsid w:val="654A2ED9"/>
    <w:rsid w:val="682579D0"/>
    <w:rsid w:val="6CF04535"/>
    <w:rsid w:val="71665AF2"/>
    <w:rsid w:val="77436875"/>
    <w:rsid w:val="77E93939"/>
    <w:rsid w:val="78EE303B"/>
    <w:rsid w:val="7A341E9E"/>
    <w:rsid w:val="7ACC0F15"/>
    <w:rsid w:val="7CC51A5C"/>
    <w:rsid w:val="7E203D2F"/>
    <w:rsid w:val="7E742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2"/>
    <w:basedOn w:val="1"/>
    <w:autoRedefine/>
    <w:qFormat/>
    <w:uiPriority w:val="0"/>
    <w:pPr>
      <w:spacing w:line="400" w:lineRule="exact"/>
      <w:ind w:left="425"/>
    </w:pPr>
    <w:rPr>
      <w:color w:val="000000"/>
      <w:kern w:val="0"/>
      <w:sz w:val="24"/>
    </w:rPr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1082</Words>
  <Characters>1201</Characters>
  <Lines>0</Lines>
  <Paragraphs>0</Paragraphs>
  <TotalTime>22</TotalTime>
  <ScaleCrop>false</ScaleCrop>
  <LinksUpToDate>false</LinksUpToDate>
  <CharactersWithSpaces>1205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2021-11-14T10:49:00Z</dcterms:created>
  <dc:creator>WPS_1482031448</dc:creator>
  <cp:lastModifiedBy>WPS_1482031448</cp:lastModifiedBy>
  <cp:lastPrinted>2022-11-04T00:57:00Z</cp:lastPrinted>
  <dcterms:modified xsi:type="dcterms:W3CDTF">2025-05-24T06:17:44Z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11A77E1FA8F144BC9CB219A9F45A2888</vt:lpwstr>
  </property>
  <property fmtid="{D5CDD505-2E9C-101B-9397-08002B2CF9AE}" pid="4" name="KSOTemplateDocerSaveRecord">
    <vt:lpwstr>eyJoZGlkIjoiZTkwMTFhOThhYWI2MzkwMmExZjcxZTc4NDYzN2Y1ODIiLCJ1c2VySWQiOiIyNTcxNzY4MTIifQ==</vt:lpwstr>
  </property>
</Properties>
</file>