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A66AC">
      <w:pPr>
        <w:pStyle w:val="2"/>
        <w:keepNext w:val="0"/>
        <w:keepLines w:val="0"/>
        <w:spacing w:before="0" w:after="0" w:line="360" w:lineRule="auto"/>
        <w:rPr>
          <w:b/>
          <w:bCs w:val="0"/>
          <w:color w:val="auto"/>
          <w:sz w:val="32"/>
          <w:szCs w:val="32"/>
          <w:highlight w:val="none"/>
        </w:rPr>
      </w:pPr>
      <w:bookmarkStart w:id="14" w:name="_GoBack"/>
      <w:bookmarkEnd w:id="14"/>
      <w:bookmarkStart w:id="0" w:name="_Toc247513933"/>
      <w:bookmarkStart w:id="1" w:name="_Toc247527534"/>
      <w:bookmarkStart w:id="2" w:name="_Toc23200"/>
      <w:bookmarkStart w:id="3" w:name="_Toc300834928"/>
      <w:bookmarkStart w:id="4" w:name="_Toc507590695"/>
      <w:r>
        <w:rPr>
          <w:rFonts w:hint="eastAsia"/>
          <w:b/>
          <w:bCs w:val="0"/>
          <w:color w:val="auto"/>
          <w:sz w:val="32"/>
          <w:szCs w:val="32"/>
          <w:highlight w:val="none"/>
          <w:lang w:eastAsia="zh-CN"/>
        </w:rPr>
        <w:t>广州市海珠区东风村城中村改造项目D34安置地块配套人居环境提升工程</w:t>
      </w:r>
      <w:r>
        <w:rPr>
          <w:rFonts w:hint="eastAsia"/>
          <w:b/>
          <w:bCs w:val="0"/>
          <w:color w:val="auto"/>
          <w:sz w:val="32"/>
          <w:szCs w:val="32"/>
          <w:highlight w:val="none"/>
        </w:rPr>
        <w:t>勘察设计施工总承包</w:t>
      </w:r>
    </w:p>
    <w:p w14:paraId="05A84B58">
      <w:pPr>
        <w:pStyle w:val="2"/>
        <w:keepNext w:val="0"/>
        <w:keepLines w:val="0"/>
        <w:spacing w:before="0" w:after="0" w:line="360" w:lineRule="auto"/>
        <w:rPr>
          <w:b/>
          <w:bCs w:val="0"/>
          <w:color w:val="auto"/>
          <w:sz w:val="32"/>
          <w:szCs w:val="32"/>
          <w:highlight w:val="none"/>
        </w:rPr>
      </w:pPr>
      <w:r>
        <w:rPr>
          <w:rFonts w:hint="eastAsia"/>
          <w:b/>
          <w:bCs w:val="0"/>
          <w:color w:val="auto"/>
          <w:sz w:val="32"/>
          <w:szCs w:val="32"/>
          <w:highlight w:val="none"/>
        </w:rPr>
        <w:t>招标公告</w:t>
      </w:r>
      <w:bookmarkEnd w:id="0"/>
      <w:bookmarkEnd w:id="1"/>
      <w:bookmarkEnd w:id="2"/>
      <w:bookmarkEnd w:id="3"/>
      <w:bookmarkEnd w:id="4"/>
    </w:p>
    <w:p w14:paraId="1AD3EC8C">
      <w:pPr>
        <w:spacing w:line="360" w:lineRule="auto"/>
        <w:ind w:firstLine="400" w:firstLineChars="200"/>
        <w:jc w:val="center"/>
        <w:rPr>
          <w:rFonts w:eastAsia="黑体"/>
          <w:color w:val="auto"/>
          <w:sz w:val="20"/>
          <w:szCs w:val="20"/>
          <w:highlight w:val="none"/>
        </w:rPr>
      </w:pPr>
    </w:p>
    <w:p w14:paraId="28ACE4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广东省企业投资项目备案证（项目代码：2409-440105-04-01-271455）</w:t>
      </w:r>
      <w:r>
        <w:rPr>
          <w:rFonts w:hint="eastAsia" w:ascii="宋体" w:hAnsi="宋体"/>
          <w:color w:val="auto"/>
          <w:sz w:val="24"/>
          <w:highlight w:val="none"/>
        </w:rPr>
        <w:t>批准，资金已经落实，</w:t>
      </w:r>
      <w:r>
        <w:rPr>
          <w:rFonts w:hint="eastAsia" w:ascii="宋体" w:hAnsi="宋体"/>
          <w:color w:val="auto"/>
          <w:sz w:val="24"/>
          <w:highlight w:val="none"/>
          <w:u w:val="single"/>
        </w:rPr>
        <w:t>广州新中轴海珠片区城市更新有限公司</w:t>
      </w:r>
      <w:r>
        <w:rPr>
          <w:rFonts w:hint="eastAsia" w:ascii="宋体" w:hAnsi="宋体"/>
          <w:color w:val="auto"/>
          <w:sz w:val="24"/>
          <w:highlight w:val="none"/>
        </w:rPr>
        <w:t>现对</w:t>
      </w:r>
      <w:r>
        <w:rPr>
          <w:rFonts w:hint="eastAsia" w:ascii="宋体" w:hAnsi="宋体"/>
          <w:color w:val="auto"/>
          <w:sz w:val="24"/>
          <w:highlight w:val="none"/>
          <w:u w:val="single"/>
          <w:lang w:eastAsia="zh-CN"/>
        </w:rPr>
        <w:t>广州市海珠区东风村城中村改造项目D34安置地块配套人居环境提升工程</w:t>
      </w:r>
      <w:r>
        <w:rPr>
          <w:rFonts w:hint="eastAsia" w:ascii="宋体" w:hAnsi="宋体"/>
          <w:color w:val="auto"/>
          <w:sz w:val="24"/>
          <w:highlight w:val="none"/>
        </w:rPr>
        <w:t>进行</w:t>
      </w:r>
      <w:r>
        <w:rPr>
          <w:rFonts w:hint="eastAsia" w:ascii="宋体" w:hAnsi="宋体"/>
          <w:color w:val="auto"/>
          <w:sz w:val="24"/>
          <w:highlight w:val="none"/>
          <w:u w:val="single"/>
        </w:rPr>
        <w:t>勘察设计施工总承包</w:t>
      </w:r>
      <w:r>
        <w:rPr>
          <w:rFonts w:hint="eastAsia" w:ascii="宋体" w:hAnsi="宋体"/>
          <w:color w:val="auto"/>
          <w:sz w:val="24"/>
          <w:highlight w:val="none"/>
        </w:rPr>
        <w:t>公开招标，选定承包人。</w:t>
      </w:r>
    </w:p>
    <w:p w14:paraId="1E0BEF6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广州市海珠区东风村城中村改造项目D34安置地块配套人居环境提升工程</w:t>
      </w:r>
      <w:r>
        <w:rPr>
          <w:rFonts w:hint="eastAsia" w:ascii="宋体" w:hAnsi="宋体"/>
          <w:color w:val="auto"/>
          <w:sz w:val="24"/>
          <w:highlight w:val="none"/>
          <w:u w:val="single"/>
        </w:rPr>
        <w:t>勘察设计施工总承包</w:t>
      </w:r>
    </w:p>
    <w:p w14:paraId="5E160C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二、招标人：</w:t>
      </w:r>
      <w:r>
        <w:rPr>
          <w:rFonts w:hint="eastAsia" w:ascii="宋体" w:hAnsi="宋体"/>
          <w:color w:val="auto"/>
          <w:sz w:val="24"/>
          <w:highlight w:val="none"/>
          <w:u w:val="single"/>
        </w:rPr>
        <w:t>广州新中轴海珠片区城市更新有限公司</w:t>
      </w:r>
    </w:p>
    <w:p w14:paraId="163FB6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联系人：</w:t>
      </w:r>
      <w:r>
        <w:rPr>
          <w:rFonts w:hint="eastAsia" w:ascii="宋体" w:hAnsi="宋体"/>
          <w:color w:val="auto"/>
          <w:sz w:val="24"/>
          <w:highlight w:val="none"/>
          <w:u w:val="single"/>
        </w:rPr>
        <w:t>吴工</w:t>
      </w:r>
      <w:r>
        <w:rPr>
          <w:rFonts w:hint="eastAsia" w:ascii="宋体" w:hAnsi="宋体"/>
          <w:color w:val="auto"/>
          <w:sz w:val="24"/>
          <w:highlight w:val="none"/>
        </w:rPr>
        <w:t xml:space="preserve">    联系电话：</w:t>
      </w:r>
      <w:r>
        <w:rPr>
          <w:rFonts w:hint="eastAsia" w:ascii="宋体" w:hAnsi="宋体"/>
          <w:color w:val="auto"/>
          <w:sz w:val="24"/>
          <w:highlight w:val="none"/>
          <w:u w:val="single"/>
        </w:rPr>
        <w:t>020-31716865</w:t>
      </w:r>
    </w:p>
    <w:p w14:paraId="726432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招标代理机构：</w:t>
      </w:r>
      <w:r>
        <w:rPr>
          <w:rFonts w:hint="eastAsia" w:ascii="宋体" w:hAnsi="宋体"/>
          <w:color w:val="auto"/>
          <w:sz w:val="24"/>
          <w:highlight w:val="none"/>
          <w:u w:val="single"/>
        </w:rPr>
        <w:t>北京中交建设工程咨询有限公司</w:t>
      </w:r>
    </w:p>
    <w:p w14:paraId="6DE005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联系人：</w:t>
      </w:r>
      <w:r>
        <w:rPr>
          <w:rFonts w:hint="eastAsia" w:ascii="宋体" w:hAnsi="宋体"/>
          <w:color w:val="auto"/>
          <w:sz w:val="24"/>
          <w:highlight w:val="none"/>
          <w:u w:val="single"/>
        </w:rPr>
        <w:t>罗海庆</w:t>
      </w:r>
      <w:r>
        <w:rPr>
          <w:rFonts w:hint="eastAsia" w:ascii="宋体" w:hAnsi="宋体"/>
          <w:color w:val="auto"/>
          <w:sz w:val="24"/>
          <w:highlight w:val="none"/>
        </w:rPr>
        <w:t xml:space="preserve">    联系电话：</w:t>
      </w:r>
      <w:r>
        <w:rPr>
          <w:rFonts w:hint="eastAsia" w:ascii="宋体" w:hAnsi="宋体"/>
          <w:color w:val="auto"/>
          <w:sz w:val="24"/>
          <w:highlight w:val="none"/>
          <w:u w:val="single"/>
        </w:rPr>
        <w:t>020-87575800-810</w:t>
      </w:r>
    </w:p>
    <w:p w14:paraId="0BF9A8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招标监督机构：</w:t>
      </w:r>
      <w:r>
        <w:rPr>
          <w:rFonts w:hint="eastAsia" w:ascii="宋体" w:hAnsi="宋体"/>
          <w:color w:val="auto"/>
          <w:sz w:val="24"/>
          <w:highlight w:val="none"/>
          <w:u w:val="single"/>
        </w:rPr>
        <w:t>广州市海珠区建设工程招标管理办公室</w:t>
      </w:r>
    </w:p>
    <w:p w14:paraId="19B58D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监管电话：</w:t>
      </w:r>
      <w:r>
        <w:rPr>
          <w:rFonts w:hint="eastAsia" w:ascii="宋体" w:hAnsi="宋体"/>
          <w:color w:val="auto"/>
          <w:sz w:val="24"/>
          <w:highlight w:val="none"/>
          <w:u w:val="single"/>
        </w:rPr>
        <w:t>020-89885682</w:t>
      </w:r>
    </w:p>
    <w:p w14:paraId="3512C71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三、前期服务机构（含项目建议书、可行性研究报告、规划等编制单位）：</w:t>
      </w:r>
      <w:r>
        <w:rPr>
          <w:rFonts w:hint="eastAsia" w:ascii="宋体" w:hAnsi="宋体"/>
          <w:color w:val="auto"/>
          <w:sz w:val="24"/>
          <w:highlight w:val="none"/>
          <w:u w:val="single"/>
          <w:lang w:val="en-US" w:eastAsia="zh-CN"/>
        </w:rPr>
        <w:t>/</w:t>
      </w:r>
      <w:r>
        <w:rPr>
          <w:rFonts w:hint="eastAsia" w:ascii="宋体" w:hAnsi="宋体"/>
          <w:color w:val="auto"/>
          <w:sz w:val="24"/>
          <w:highlight w:val="none"/>
        </w:rPr>
        <w:t>。</w:t>
      </w:r>
    </w:p>
    <w:p w14:paraId="56EEC3B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四、建设地点：</w:t>
      </w:r>
      <w:r>
        <w:rPr>
          <w:rFonts w:hint="eastAsia" w:ascii="宋体" w:hAnsi="宋体"/>
          <w:color w:val="auto"/>
          <w:sz w:val="24"/>
          <w:highlight w:val="none"/>
          <w:u w:val="single"/>
        </w:rPr>
        <w:t>项目位于广州新中轴规划南段，建设地点为海珠区北部。项目建设范围分为南北地块，北地块北至海珠区T.I.T创意园，南至新港中路，东至赤岗北路，西至艺苑路；南地块北至海珠区鸿运花园南侧，南至广东省外语艺术职业学院、广州市轻工职业学校，东至赤岗路，西至艺苑南路。</w:t>
      </w:r>
    </w:p>
    <w:p w14:paraId="16FB5C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五、项目概况、招标范围和最高投标限价：</w:t>
      </w:r>
    </w:p>
    <w:p w14:paraId="329F00E0">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1.项目概况：</w:t>
      </w:r>
    </w:p>
    <w:p w14:paraId="38D67D6F">
      <w:pPr>
        <w:widowControl/>
        <w:shd w:val="clear" w:color="auto" w:fill="FFFFFF"/>
        <w:adjustRightInd w:val="0"/>
        <w:snapToGrid w:val="0"/>
        <w:spacing w:line="360" w:lineRule="auto"/>
        <w:ind w:firstLine="480" w:firstLineChars="200"/>
        <w:jc w:val="left"/>
        <w:rPr>
          <w:rFonts w:hint="default" w:ascii="宋体" w:hAnsi="宋体" w:eastAsia="宋体"/>
          <w:color w:val="auto"/>
          <w:sz w:val="24"/>
          <w:highlight w:val="none"/>
          <w:u w:val="single"/>
          <w:lang w:val="en-US" w:eastAsia="zh-CN"/>
        </w:rPr>
      </w:pPr>
      <w:r>
        <w:rPr>
          <w:rFonts w:ascii="宋体" w:hAnsi="宋体"/>
          <w:color w:val="auto"/>
          <w:sz w:val="24"/>
          <w:highlight w:val="none"/>
          <w:u w:val="single"/>
        </w:rPr>
        <w:t>项目建设内容是东风村城中村改造项目D34地块的安置房配套公共空间建设工程。项目分为南北两个地块进行建设，拟建设2个复合型社区公共空间。</w:t>
      </w:r>
      <w:r>
        <w:rPr>
          <w:rFonts w:hint="eastAsia" w:ascii="宋体" w:hAnsi="宋体"/>
          <w:color w:val="auto"/>
          <w:sz w:val="24"/>
          <w:highlight w:val="none"/>
          <w:u w:val="single"/>
          <w:lang w:val="en-US" w:eastAsia="zh-CN"/>
        </w:rPr>
        <w:t>总投资为183020.95万元。</w:t>
      </w:r>
    </w:p>
    <w:p w14:paraId="6CAF525D">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北地块复合型社区公共空间用地面积1.4公顷，</w:t>
      </w:r>
      <w:r>
        <w:rPr>
          <w:rFonts w:hint="eastAsia" w:ascii="宋体" w:hAnsi="宋体"/>
          <w:color w:val="auto"/>
          <w:sz w:val="24"/>
          <w:highlight w:val="none"/>
          <w:u w:val="single"/>
          <w:lang w:val="en-US" w:eastAsia="zh-CN"/>
        </w:rPr>
        <w:t>项目为园林绿化工程，</w:t>
      </w:r>
      <w:r>
        <w:rPr>
          <w:rFonts w:ascii="宋体" w:hAnsi="宋体"/>
          <w:color w:val="auto"/>
          <w:sz w:val="24"/>
          <w:highlight w:val="none"/>
          <w:u w:val="single"/>
        </w:rPr>
        <w:t>具体建设内容包括土方调整工程、石材铺地工程、沥青铺地工程、混凝土滑板场（环氧地坪漆）、公共空间服务配套建筑、户外天幕工程，植物种植工程等。南地块复合型社区公共空间用地面积</w:t>
      </w:r>
      <w:r>
        <w:rPr>
          <w:rFonts w:hint="eastAsia" w:ascii="宋体" w:hAnsi="宋体"/>
          <w:color w:val="auto"/>
          <w:sz w:val="24"/>
          <w:highlight w:val="none"/>
          <w:u w:val="single"/>
          <w:lang w:val="en-US" w:eastAsia="zh-CN"/>
        </w:rPr>
        <w:t>3.1</w:t>
      </w:r>
      <w:r>
        <w:rPr>
          <w:rFonts w:ascii="宋体" w:hAnsi="宋体"/>
          <w:color w:val="auto"/>
          <w:sz w:val="24"/>
          <w:highlight w:val="none"/>
          <w:u w:val="single"/>
        </w:rPr>
        <w:t>公顷，</w:t>
      </w:r>
      <w:r>
        <w:rPr>
          <w:rFonts w:hint="eastAsia" w:ascii="宋体" w:hAnsi="宋体"/>
          <w:color w:val="auto"/>
          <w:sz w:val="24"/>
          <w:highlight w:val="none"/>
          <w:u w:val="single"/>
          <w:lang w:val="en-US" w:eastAsia="zh-CN"/>
        </w:rPr>
        <w:t>项目为园林绿化工程，</w:t>
      </w:r>
      <w:r>
        <w:rPr>
          <w:rFonts w:ascii="宋体" w:hAnsi="宋体"/>
          <w:color w:val="auto"/>
          <w:sz w:val="24"/>
          <w:highlight w:val="none"/>
          <w:u w:val="single"/>
        </w:rPr>
        <w:t>具体建设内容包括土方调整工程、石材铺地工程、沥青铺地工程、木平台、混凝土休闲健身场等。具体以规划部门批复为准。</w:t>
      </w:r>
    </w:p>
    <w:p w14:paraId="7DFBCCFD">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2.招标范围：本项目设1个标段，包括但不限于以下内容：</w:t>
      </w:r>
    </w:p>
    <w:p w14:paraId="6334F151">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工程内容主要负责勘察、设计、施工总承包工作，包括但不限于以下内容：</w:t>
      </w:r>
    </w:p>
    <w:p w14:paraId="4FD8DF5E">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（1）勘察部分：负责项目用地红线范围内所需的所有勘察工作，包括：岩土勘察及综合地下管线测量（</w:t>
      </w:r>
      <w:r>
        <w:rPr>
          <w:rFonts w:hint="eastAsia" w:ascii="宋体" w:hAnsi="宋体"/>
          <w:color w:val="auto"/>
          <w:sz w:val="24"/>
          <w:highlight w:val="none"/>
          <w:u w:val="single"/>
        </w:rPr>
        <w:t>总长度20km以下</w:t>
      </w:r>
      <w:r>
        <w:rPr>
          <w:rFonts w:ascii="宋体" w:hAnsi="宋体"/>
          <w:color w:val="auto"/>
          <w:sz w:val="24"/>
          <w:highlight w:val="none"/>
          <w:u w:val="single"/>
        </w:rPr>
        <w:t>）等工作。按相关要求包工、包料、包安全、包水电，包通过建设等主管部门组织的勘察报告审查，包配合设计阶段和施工阶段的技术支持和服务，包验收以及其他相关的技术支持和服务。</w:t>
      </w:r>
    </w:p>
    <w:p w14:paraId="04D0C25A">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 xml:space="preserve">（2）设计部分：负责项目用地红线范围内的全过程全专业设计工作，包括： </w:t>
      </w:r>
    </w:p>
    <w:p w14:paraId="50143E02">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①编制方案设计及深化、报建，修建性详细规划设计及报批；</w:t>
      </w:r>
    </w:p>
    <w:p w14:paraId="4390D689">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②编制初步设计（含编制项目设计概算)，配合初步设计审查及设计概算审核完成本项目招标范围内工程概算等造价文件的编制工作及相关配合报审工作，还包括各阶段方案比选、技术造型比选等的投资分析，根据发包人要求提供项目的成本指标数据。</w:t>
      </w:r>
    </w:p>
    <w:p w14:paraId="50021132">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③所有正式建筑物和配套设施工程各专业的施工图设计。</w:t>
      </w:r>
    </w:p>
    <w:p w14:paraId="1EDEA73A">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④负责工程施工过程直至竣工验收前的设计服务等工作，保证设计变更满足施工进度要求，并按业主要求准备汇报材料。</w:t>
      </w:r>
    </w:p>
    <w:p w14:paraId="531FE552">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⑤配合项目竣工图编制、签审工作。</w:t>
      </w:r>
    </w:p>
    <w:p w14:paraId="3AC6AC07">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⑥配合沙盘模型制作、三维动画、效果图制作。</w:t>
      </w:r>
    </w:p>
    <w:p w14:paraId="06255BE0">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（3）施工部分：按照批复的施工图进行施工总承包，包括：</w:t>
      </w:r>
    </w:p>
    <w:p w14:paraId="72925574">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①公共空间建设工程，包括：土方调整工程、石材铺地工程、沥青铺地工程、混凝土滑板场（环氧地坪漆）、公共空间服务配套建筑、户外天幕工程，植物种植工程、木平台、混凝土休闲健身场、外水外电外气接入、室外管网工程、海绵城市、树木迁移与保护等；</w:t>
      </w:r>
    </w:p>
    <w:p w14:paraId="3899B97B">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②办理施工阶段各项行政部门开工前置手续直至领取施工许可证，包括施工建设工程质量监督登记、建设工程安全监督登记、缴交劳动保证金手续（若有）、施工合同备案手续、施工许可手续、绿化迁移手续等，并承担办理上述手续施工方的费用。</w:t>
      </w:r>
    </w:p>
    <w:p w14:paraId="3C424C7A">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③组织竣工验收及办理备案手续，包括分部分项工程验收、各项专业验收及涉及施工单位的验收手续及证明，按要求编制竣工图、整理工程竣工验收资料并办理移交《建设工程档案验收合格证》等，直至完成建设工程竣工验收备案。</w:t>
      </w:r>
    </w:p>
    <w:p w14:paraId="3A102F34">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④负责施工管理配合服务，对由发包人另行发包的其他工程无条件（无总包管理配合费）提供配合服务工作，包括但不限于第三方检测等提供场地和使用临时设施的配合工作。作为联合体主办方负责项目设计、施工总协调工作及工程涉及的其它协调工作。</w:t>
      </w:r>
    </w:p>
    <w:p w14:paraId="263C3D8C">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（4）配合发包人办理项目建设工程规划许可证等规划报批、各专业报建、施工图报建、竣工图备案等各专项报批报建和验收工作。</w:t>
      </w:r>
    </w:p>
    <w:p w14:paraId="4D976E0A">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5）本工程参照政府投资项目资金控制管理方式，合同按中标金额签订暂定总价合同，承包人按发包人要求编制初步设计（含概算），再由政府财政部门指定第三方造价咨询单位对初步设计及概算进行审定，如果审定后的概算金额低于中标金额，则按审定后的概算金额调整合同总价，并签订补充合同；否则，按中标金额作为合同暂定总价。承包人需无条件同意并配合，有关建设项目（包括但不限于工程建设内容、投资估算、工程概算等）的变更不造成招标人的任何违约。本工程按项目的最终限价（经政府财政部门审定的概算金额）实行全过程限额设计、限额投资。本工程按“预算不超概算，结算不超预算”的原则执行，最终结算以财政部门审定为准，超出部分属于承包人造成的，由承包人自行承担</w:t>
      </w:r>
      <w:r>
        <w:rPr>
          <w:rFonts w:hint="eastAsia" w:ascii="宋体" w:hAnsi="宋体"/>
          <w:color w:val="auto"/>
          <w:sz w:val="24"/>
          <w:highlight w:val="none"/>
          <w:u w:val="single"/>
        </w:rPr>
        <w:t>（非承包人原因除外）</w:t>
      </w:r>
      <w:r>
        <w:rPr>
          <w:rFonts w:ascii="宋体" w:hAnsi="宋体"/>
          <w:color w:val="auto"/>
          <w:sz w:val="24"/>
          <w:highlight w:val="none"/>
          <w:u w:val="single"/>
        </w:rPr>
        <w:t>。</w:t>
      </w:r>
    </w:p>
    <w:p w14:paraId="6D78BACF">
      <w:pPr>
        <w:widowControl/>
        <w:shd w:val="clear" w:color="auto" w:fill="FFFFFF"/>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具体以设计任务书和合同约定为准。</w:t>
      </w:r>
    </w:p>
    <w:p w14:paraId="028E3342">
      <w:pPr>
        <w:widowControl/>
        <w:shd w:val="clear" w:color="auto" w:fill="FFFFFF"/>
        <w:wordWrap w:val="0"/>
        <w:topLinePunct/>
        <w:adjustRightInd w:val="0"/>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3.最高投标限价为</w:t>
      </w:r>
      <w:r>
        <w:rPr>
          <w:rFonts w:hint="eastAsia" w:ascii="宋体" w:hAnsi="宋体" w:cs="宋体"/>
          <w:color w:val="auto"/>
          <w:sz w:val="24"/>
          <w:szCs w:val="24"/>
          <w:highlight w:val="none"/>
          <w:u w:val="single"/>
          <w:lang w:val="en-US" w:eastAsia="zh-CN"/>
        </w:rPr>
        <w:t>62,376,246.20</w:t>
      </w:r>
      <w:r>
        <w:rPr>
          <w:rFonts w:ascii="宋体" w:hAnsi="宋体"/>
          <w:color w:val="auto"/>
          <w:sz w:val="24"/>
          <w:highlight w:val="none"/>
          <w:u w:val="single"/>
        </w:rPr>
        <w:t>元，其中勘察费最高投标限价为</w:t>
      </w:r>
      <w:r>
        <w:rPr>
          <w:rFonts w:hint="eastAsia" w:ascii="宋体" w:hAnsi="宋体" w:eastAsia="宋体" w:cs="宋体"/>
          <w:color w:val="auto"/>
          <w:sz w:val="24"/>
          <w:szCs w:val="24"/>
          <w:highlight w:val="none"/>
          <w:u w:val="single"/>
          <w:lang w:val="en-US" w:eastAsia="zh-CN"/>
        </w:rPr>
        <w:t>100,200.00</w:t>
      </w:r>
      <w:r>
        <w:rPr>
          <w:rFonts w:ascii="宋体" w:hAnsi="宋体"/>
          <w:color w:val="auto"/>
          <w:sz w:val="24"/>
          <w:highlight w:val="none"/>
          <w:u w:val="single"/>
        </w:rPr>
        <w:t>元</w:t>
      </w:r>
      <w:r>
        <w:rPr>
          <w:rFonts w:hint="eastAsia" w:ascii="宋体" w:hAnsi="宋体"/>
          <w:color w:val="auto"/>
          <w:sz w:val="24"/>
          <w:highlight w:val="none"/>
          <w:u w:val="single"/>
        </w:rPr>
        <w:t>（地下管线</w:t>
      </w:r>
      <w:r>
        <w:rPr>
          <w:rFonts w:hint="eastAsia" w:ascii="宋体" w:hAnsi="宋体"/>
          <w:color w:val="auto"/>
          <w:sz w:val="24"/>
          <w:highlight w:val="none"/>
          <w:u w:val="single"/>
          <w:lang w:val="en-US" w:eastAsia="zh-CN"/>
        </w:rPr>
        <w:t>测量</w:t>
      </w:r>
      <w:r>
        <w:rPr>
          <w:rFonts w:hint="eastAsia" w:ascii="宋体" w:hAnsi="宋体"/>
          <w:color w:val="auto"/>
          <w:sz w:val="24"/>
          <w:highlight w:val="none"/>
          <w:u w:val="single"/>
        </w:rPr>
        <w:t>费综合单价最高投标限价为</w:t>
      </w:r>
      <w:r>
        <w:rPr>
          <w:rFonts w:hint="eastAsia" w:ascii="宋体" w:hAnsi="宋体"/>
          <w:color w:val="auto"/>
          <w:sz w:val="24"/>
          <w:highlight w:val="none"/>
          <w:u w:val="single"/>
          <w:lang w:val="en-US" w:eastAsia="zh-CN"/>
        </w:rPr>
        <w:t>2.4</w:t>
      </w:r>
      <w:r>
        <w:rPr>
          <w:rFonts w:hint="eastAsia" w:ascii="宋体" w:hAnsi="宋体"/>
          <w:color w:val="auto"/>
          <w:sz w:val="24"/>
          <w:highlight w:val="none"/>
          <w:u w:val="single"/>
        </w:rPr>
        <w:t>元/m</w:t>
      </w:r>
      <w:r>
        <w:rPr>
          <w:rFonts w:hint="eastAsia" w:ascii="宋体" w:hAnsi="宋体"/>
          <w:color w:val="auto"/>
          <w:sz w:val="24"/>
          <w:highlight w:val="none"/>
          <w:u w:val="single"/>
          <w:vertAlign w:val="superscript"/>
        </w:rPr>
        <w:t>2</w:t>
      </w:r>
      <w:r>
        <w:rPr>
          <w:rFonts w:hint="eastAsia" w:ascii="宋体" w:hAnsi="宋体"/>
          <w:color w:val="auto"/>
          <w:sz w:val="24"/>
          <w:highlight w:val="none"/>
          <w:u w:val="single"/>
        </w:rPr>
        <w:t>，岩土工程勘察费综合单价最高投标限价为150元/m）</w:t>
      </w:r>
      <w:r>
        <w:rPr>
          <w:rFonts w:ascii="宋体" w:hAnsi="宋体"/>
          <w:color w:val="auto"/>
          <w:sz w:val="24"/>
          <w:highlight w:val="none"/>
          <w:u w:val="single"/>
        </w:rPr>
        <w:t>，设计费最高投标限价为</w:t>
      </w:r>
      <w:bookmarkStart w:id="5" w:name="_Hlk199168823"/>
      <w:r>
        <w:rPr>
          <w:rFonts w:hint="eastAsia" w:ascii="宋体" w:hAnsi="宋体" w:eastAsia="宋体" w:cs="宋体"/>
          <w:color w:val="auto"/>
          <w:sz w:val="24"/>
          <w:szCs w:val="24"/>
          <w:highlight w:val="none"/>
          <w:u w:val="single"/>
          <w:lang w:val="en-US" w:eastAsia="zh-CN"/>
        </w:rPr>
        <w:t>1,9</w:t>
      </w:r>
      <w:r>
        <w:rPr>
          <w:rFonts w:hint="eastAsia" w:ascii="宋体" w:hAnsi="宋体" w:cs="宋体"/>
          <w:color w:val="auto"/>
          <w:sz w:val="24"/>
          <w:szCs w:val="24"/>
          <w:highlight w:val="none"/>
          <w:u w:val="single"/>
          <w:lang w:val="en-US" w:eastAsia="zh-CN"/>
        </w:rPr>
        <w:t>45,775.73</w:t>
      </w:r>
      <w:r>
        <w:rPr>
          <w:rFonts w:ascii="宋体" w:hAnsi="宋体"/>
          <w:color w:val="auto"/>
          <w:sz w:val="24"/>
          <w:highlight w:val="none"/>
          <w:u w:val="single"/>
        </w:rPr>
        <w:t>元</w:t>
      </w:r>
      <w:bookmarkEnd w:id="5"/>
      <w:r>
        <w:rPr>
          <w:rFonts w:ascii="宋体" w:hAnsi="宋体"/>
          <w:color w:val="auto"/>
          <w:sz w:val="24"/>
          <w:highlight w:val="none"/>
          <w:u w:val="single"/>
        </w:rPr>
        <w:t>，绿化迁移费最高投标限价为</w:t>
      </w:r>
      <w:r>
        <w:rPr>
          <w:rFonts w:hint="eastAsia" w:ascii="宋体" w:hAnsi="宋体" w:eastAsia="宋体" w:cs="宋体"/>
          <w:color w:val="auto"/>
          <w:sz w:val="24"/>
          <w:szCs w:val="24"/>
          <w:highlight w:val="none"/>
          <w:u w:val="single"/>
          <w:lang w:val="en-US" w:eastAsia="zh-CN"/>
        </w:rPr>
        <w:t>399,000.00</w:t>
      </w:r>
      <w:r>
        <w:rPr>
          <w:rFonts w:ascii="宋体" w:hAnsi="宋体"/>
          <w:color w:val="auto"/>
          <w:sz w:val="24"/>
          <w:highlight w:val="none"/>
          <w:u w:val="single"/>
        </w:rPr>
        <w:t>元，建安工程费最高投标限价为</w:t>
      </w:r>
      <w:r>
        <w:rPr>
          <w:rFonts w:hint="eastAsia" w:ascii="宋体" w:hAnsi="宋体" w:eastAsia="宋体" w:cs="宋体"/>
          <w:color w:val="auto"/>
          <w:sz w:val="24"/>
          <w:szCs w:val="24"/>
          <w:highlight w:val="none"/>
          <w:u w:val="single"/>
          <w:lang w:val="en-US" w:eastAsia="zh-CN"/>
        </w:rPr>
        <w:t>59</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931</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270.47</w:t>
      </w:r>
      <w:r>
        <w:rPr>
          <w:rFonts w:ascii="宋体" w:hAnsi="宋体"/>
          <w:color w:val="auto"/>
          <w:sz w:val="24"/>
          <w:highlight w:val="none"/>
          <w:u w:val="single"/>
        </w:rPr>
        <w:t>元。</w:t>
      </w:r>
      <w:r>
        <w:rPr>
          <w:rFonts w:hint="eastAsia" w:ascii="宋体" w:hAnsi="宋体"/>
          <w:color w:val="auto"/>
          <w:sz w:val="24"/>
          <w:highlight w:val="none"/>
          <w:u w:val="single"/>
        </w:rPr>
        <w:t>投标人的投标总报价或勘察费或设计费或绿化迁移费或建安工程费</w:t>
      </w:r>
      <w:r>
        <w:rPr>
          <w:rFonts w:hint="eastAsia" w:ascii="宋体" w:hAnsi="宋体"/>
          <w:color w:val="auto"/>
          <w:sz w:val="24"/>
          <w:highlight w:val="none"/>
          <w:u w:val="single"/>
          <w:lang w:val="en-US" w:eastAsia="zh-CN"/>
        </w:rPr>
        <w:t>或地下管线测量费综合单价或岩土工程勘察费综合单价</w:t>
      </w:r>
      <w:r>
        <w:rPr>
          <w:rFonts w:hint="eastAsia" w:ascii="宋体" w:hAnsi="宋体"/>
          <w:color w:val="auto"/>
          <w:sz w:val="24"/>
          <w:highlight w:val="none"/>
          <w:u w:val="single"/>
        </w:rPr>
        <w:t>超过上述相应的最高投标限价的均为无效标。</w:t>
      </w:r>
    </w:p>
    <w:p w14:paraId="103CD98E">
      <w:pPr>
        <w:widowControl/>
        <w:shd w:val="clear" w:color="auto" w:fill="FFFFFF"/>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u w:val="single"/>
        </w:rPr>
        <w:t>城中村专项借款和自筹资金等。</w:t>
      </w:r>
    </w:p>
    <w:p w14:paraId="69848E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七、发布招标公告时间：</w:t>
      </w:r>
      <w:r>
        <w:rPr>
          <w:rFonts w:hint="eastAsia" w:ascii="宋体" w:hAnsi="宋体"/>
          <w:color w:val="auto"/>
          <w:sz w:val="24"/>
          <w:highlight w:val="none"/>
          <w:u w:val="single"/>
        </w:rPr>
        <w:t>2025</w:t>
      </w:r>
      <w:r>
        <w:rPr>
          <w:rFonts w:hint="eastAsia" w:ascii="宋体" w:hAnsi="宋体"/>
          <w:color w:val="auto"/>
          <w:sz w:val="24"/>
          <w:highlight w:val="none"/>
        </w:rPr>
        <w:t>年＿月＿日至</w:t>
      </w:r>
      <w:r>
        <w:rPr>
          <w:rFonts w:hint="eastAsia" w:ascii="宋体" w:hAnsi="宋体"/>
          <w:color w:val="auto"/>
          <w:sz w:val="24"/>
          <w:highlight w:val="none"/>
          <w:u w:val="single"/>
        </w:rPr>
        <w:t>2025</w:t>
      </w:r>
      <w:r>
        <w:rPr>
          <w:rFonts w:hint="eastAsia" w:ascii="宋体" w:hAnsi="宋体"/>
          <w:color w:val="auto"/>
          <w:sz w:val="24"/>
          <w:highlight w:val="none"/>
        </w:rPr>
        <w:t>年＿月＿日＿时＿分。</w:t>
      </w:r>
    </w:p>
    <w:p w14:paraId="270908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14:paraId="1FE3C6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八、网上投标登记时间、递交投标文件时间与开标时间</w:t>
      </w:r>
    </w:p>
    <w:p w14:paraId="1E0309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1.网上投标登记时间：</w:t>
      </w:r>
      <w:r>
        <w:rPr>
          <w:rFonts w:hint="eastAsia" w:ascii="宋体" w:hAnsi="宋体"/>
          <w:color w:val="auto"/>
          <w:sz w:val="24"/>
          <w:highlight w:val="none"/>
          <w:u w:val="single"/>
        </w:rPr>
        <w:t>2025</w:t>
      </w:r>
      <w:r>
        <w:rPr>
          <w:rFonts w:hint="eastAsia" w:ascii="宋体" w:hAnsi="宋体"/>
          <w:color w:val="auto"/>
          <w:sz w:val="24"/>
          <w:highlight w:val="none"/>
        </w:rPr>
        <w:t>年＿月＿日＿时＿分至</w:t>
      </w:r>
      <w:r>
        <w:rPr>
          <w:rFonts w:hint="eastAsia" w:ascii="宋体" w:hAnsi="宋体"/>
          <w:color w:val="auto"/>
          <w:sz w:val="24"/>
          <w:highlight w:val="none"/>
          <w:u w:val="single"/>
        </w:rPr>
        <w:t>2025</w:t>
      </w:r>
      <w:r>
        <w:rPr>
          <w:rFonts w:hint="eastAsia" w:ascii="宋体" w:hAnsi="宋体"/>
          <w:color w:val="auto"/>
          <w:sz w:val="24"/>
          <w:highlight w:val="none"/>
        </w:rPr>
        <w:t>年＿月＿日＿时＿分（投标人须在</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网站完成投标登记及信息录入手续）。</w:t>
      </w:r>
    </w:p>
    <w:p w14:paraId="4400E5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2.递交投标文件截止时间：</w:t>
      </w:r>
      <w:r>
        <w:rPr>
          <w:rFonts w:hint="eastAsia" w:ascii="宋体" w:hAnsi="宋体"/>
          <w:color w:val="auto"/>
          <w:sz w:val="24"/>
          <w:highlight w:val="none"/>
          <w:u w:val="single"/>
        </w:rPr>
        <w:t>2025</w:t>
      </w:r>
      <w:r>
        <w:rPr>
          <w:rFonts w:hint="eastAsia" w:ascii="宋体" w:hAnsi="宋体"/>
          <w:color w:val="auto"/>
          <w:sz w:val="24"/>
          <w:highlight w:val="none"/>
        </w:rPr>
        <w:t>年＿月＿日＿时＿分。</w:t>
      </w:r>
    </w:p>
    <w:p w14:paraId="5A78D7A6">
      <w:pPr>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rPr>
        <w:t>核对并确认投标信息无误后，上传带有电子签名及电子签章的加密投标文件。在递交投标文件截止时间前，投标人可以替换投标文件。投标文件须于递交投标文件截止时间前完整上传并保存到</w:t>
      </w:r>
      <w:r>
        <w:rPr>
          <w:rFonts w:hint="eastAsia" w:ascii="宋体" w:hAnsi="宋体"/>
          <w:color w:val="auto"/>
          <w:sz w:val="24"/>
          <w:highlight w:val="none"/>
          <w:u w:val="single"/>
        </w:rPr>
        <w:t>广州交易集团有限公司（广州公共资源交易中心）</w:t>
      </w:r>
      <w:r>
        <w:rPr>
          <w:rFonts w:hint="eastAsia" w:ascii="宋体" w:hAnsi="宋体" w:cs="仿宋_GB2312"/>
          <w:color w:val="auto"/>
          <w:sz w:val="24"/>
          <w:highlight w:val="none"/>
        </w:rPr>
        <w:t>电子评标系统。如果投标文件于递交投标文件截止时间未能上传完毕，该投标文件将视为无效投标文件。</w:t>
      </w:r>
    </w:p>
    <w:p w14:paraId="44E15FF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3.提交投标文件光盘（备用）：</w:t>
      </w:r>
    </w:p>
    <w:p w14:paraId="53CA2FDD">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投标文件光盘（备用）递交时间：2025年    月    日    时    分至2025年    月    日    时    分；</w:t>
      </w:r>
    </w:p>
    <w:p w14:paraId="16A8065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地点：广州交易集团有限公司（广州公共资源交易中心）第    开标室（天润路333号）。</w:t>
      </w:r>
    </w:p>
    <w:p w14:paraId="40A9A72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投标人代表须凭法定代表人证明书原件、法定代表人授权委托书原件（非法定代表人递交投标文件光盘时提供）、本人身份证复印件（须原件核对）递交投标文件光盘（备用）。电子光盘需按招标文件规定封装；投标人未按上述要求递交或</w:t>
      </w:r>
      <w:r>
        <w:rPr>
          <w:rFonts w:hint="eastAsia" w:ascii="宋体" w:hAnsi="宋体"/>
          <w:color w:val="auto"/>
          <w:sz w:val="24"/>
          <w:highlight w:val="none"/>
          <w:u w:val="single"/>
          <w:lang w:val="en-US" w:eastAsia="zh-CN"/>
        </w:rPr>
        <w:t>未按</w:t>
      </w:r>
      <w:r>
        <w:rPr>
          <w:rFonts w:hint="eastAsia" w:ascii="宋体" w:hAnsi="宋体"/>
          <w:color w:val="auto"/>
          <w:sz w:val="24"/>
          <w:highlight w:val="none"/>
          <w:u w:val="single"/>
        </w:rPr>
        <w:t>招标文件规定封装的，招标人（或招标代理）拒绝接收其投标文件光盘（备用）。投标人将数据刻录到光盘之后，投标前自行检查文件是否可以读取。投标人也可不提交投标文件光盘（备用）。</w:t>
      </w:r>
    </w:p>
    <w:p w14:paraId="2647C4F7">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4.</w:t>
      </w:r>
      <w:r>
        <w:rPr>
          <w:rFonts w:hint="eastAsia" w:ascii="宋体" w:hAnsi="宋体"/>
          <w:color w:val="auto"/>
          <w:sz w:val="24"/>
          <w:highlight w:val="none"/>
        </w:rPr>
        <w:t>开标时间：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w:t>
      </w:r>
    </w:p>
    <w:p w14:paraId="655EE958">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5.</w:t>
      </w:r>
      <w:r>
        <w:rPr>
          <w:rFonts w:hint="eastAsia" w:ascii="宋体" w:hAnsi="宋体"/>
          <w:color w:val="auto"/>
          <w:sz w:val="24"/>
          <w:highlight w:val="none"/>
        </w:rPr>
        <w:t>网上投标登记截止时间、递交投标文件截止时间与开标时间应为同一时间。</w:t>
      </w:r>
    </w:p>
    <w:p w14:paraId="101C3CAE">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6.</w:t>
      </w:r>
      <w:r>
        <w:rPr>
          <w:rFonts w:hint="eastAsia" w:ascii="宋体" w:hAnsi="宋体"/>
          <w:color w:val="auto"/>
          <w:sz w:val="24"/>
          <w:highlight w:val="none"/>
        </w:rPr>
        <w:t>网上投标登记截止时间、递交投标文件截止时间与开标时间是否有变化，请密切留意招标答疑中的相关信息。递交投标文件截止时间后，开标时间因故推迟的，相关评标信息仍以原定的开标时间的信息为准。</w:t>
      </w:r>
    </w:p>
    <w:p w14:paraId="24EBCD23">
      <w:pPr>
        <w:tabs>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九、投标保证金</w:t>
      </w:r>
    </w:p>
    <w:p w14:paraId="459A57C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本项目不设投标保证金。</w:t>
      </w:r>
    </w:p>
    <w:p w14:paraId="63E4A4F2">
      <w:pPr>
        <w:spacing w:line="360" w:lineRule="auto"/>
        <w:ind w:firstLine="480" w:firstLineChars="200"/>
        <w:rPr>
          <w:rFonts w:ascii="宋体" w:hAnsi="宋体"/>
          <w:color w:val="auto"/>
          <w:sz w:val="24"/>
          <w:highlight w:val="none"/>
        </w:rPr>
      </w:pPr>
      <w:bookmarkStart w:id="6" w:name="_Toc247527537"/>
      <w:bookmarkStart w:id="7" w:name="_Toc247513936"/>
      <w:bookmarkStart w:id="8" w:name="_Toc300834931"/>
      <w:bookmarkStart w:id="9" w:name="_Toc144974482"/>
      <w:bookmarkStart w:id="10" w:name="_Toc152042290"/>
      <w:bookmarkStart w:id="11" w:name="_Toc152045514"/>
      <w:r>
        <w:rPr>
          <w:rFonts w:hint="eastAsia" w:ascii="宋体" w:hAnsi="宋体"/>
          <w:color w:val="auto"/>
          <w:sz w:val="24"/>
          <w:highlight w:val="none"/>
        </w:rPr>
        <w:t>十、</w:t>
      </w:r>
      <w:r>
        <w:rPr>
          <w:rFonts w:ascii="宋体" w:hAnsi="宋体"/>
          <w:color w:val="auto"/>
          <w:sz w:val="24"/>
          <w:highlight w:val="none"/>
        </w:rPr>
        <w:t>投标人</w:t>
      </w:r>
      <w:bookmarkEnd w:id="6"/>
      <w:bookmarkEnd w:id="7"/>
      <w:bookmarkEnd w:id="8"/>
      <w:bookmarkEnd w:id="9"/>
      <w:bookmarkEnd w:id="10"/>
      <w:bookmarkEnd w:id="11"/>
      <w:r>
        <w:rPr>
          <w:rFonts w:hint="eastAsia" w:ascii="宋体" w:hAnsi="宋体"/>
          <w:color w:val="auto"/>
          <w:sz w:val="24"/>
          <w:highlight w:val="none"/>
        </w:rPr>
        <w:t>资格条件</w:t>
      </w:r>
    </w:p>
    <w:p w14:paraId="7C4970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1.投标文件中有法定代表人证明书，如投标文件为委托代理人签署应同时附上法定代表人证明书和法定代表人授权书。</w:t>
      </w:r>
    </w:p>
    <w:p w14:paraId="360AEC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本次招标要求投标人须</w:t>
      </w:r>
      <w:r>
        <w:rPr>
          <w:rFonts w:hint="eastAsia" w:ascii="宋体" w:hAnsi="宋体"/>
          <w:color w:val="auto"/>
          <w:sz w:val="24"/>
          <w:highlight w:val="none"/>
        </w:rPr>
        <w:t>同时</w:t>
      </w:r>
      <w:r>
        <w:rPr>
          <w:rFonts w:ascii="宋体" w:hAnsi="宋体"/>
          <w:color w:val="auto"/>
          <w:sz w:val="24"/>
          <w:highlight w:val="none"/>
        </w:rPr>
        <w:t>具备</w:t>
      </w:r>
      <w:r>
        <w:rPr>
          <w:rFonts w:hint="eastAsia" w:ascii="宋体" w:hAnsi="宋体"/>
          <w:color w:val="auto"/>
          <w:sz w:val="24"/>
          <w:highlight w:val="none"/>
        </w:rPr>
        <w:t>：</w:t>
      </w:r>
    </w:p>
    <w:p w14:paraId="1C573054">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（1）勘察</w:t>
      </w:r>
      <w:r>
        <w:rPr>
          <w:rFonts w:hint="eastAsia" w:ascii="宋体" w:hAnsi="宋体"/>
          <w:color w:val="auto"/>
          <w:sz w:val="24"/>
          <w:highlight w:val="none"/>
          <w:u w:val="single"/>
          <w:lang w:val="en-US" w:eastAsia="zh-CN"/>
        </w:rPr>
        <w:t>资质</w:t>
      </w:r>
      <w:r>
        <w:rPr>
          <w:rFonts w:hint="eastAsia" w:ascii="宋体" w:hAnsi="宋体"/>
          <w:color w:val="auto"/>
          <w:sz w:val="24"/>
          <w:highlight w:val="none"/>
          <w:u w:val="single"/>
        </w:rPr>
        <w:t>（若为联合体，指承担勘察任务方）：①工程勘察综合资质甲级；或②同时具备工程勘察专业类(岩土工程)甲级资质和工程勘察专业类（工程测量）乙级（或以上）资质；或③同时具备工程勘察专业〔岩土工程(分项)岩土工程勘察〕甲级资质和工程勘察专业类（工程测量）乙级（或以上）资质。</w:t>
      </w:r>
    </w:p>
    <w:p w14:paraId="2ADF77D0">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（2）设计</w:t>
      </w:r>
      <w:r>
        <w:rPr>
          <w:rFonts w:hint="eastAsia" w:ascii="宋体" w:hAnsi="宋体"/>
          <w:color w:val="auto"/>
          <w:sz w:val="24"/>
          <w:highlight w:val="none"/>
          <w:u w:val="single"/>
          <w:lang w:val="en-US" w:eastAsia="zh-CN"/>
        </w:rPr>
        <w:t>资质</w:t>
      </w:r>
      <w:r>
        <w:rPr>
          <w:rFonts w:hint="eastAsia" w:ascii="宋体" w:hAnsi="宋体"/>
          <w:color w:val="auto"/>
          <w:sz w:val="24"/>
          <w:highlight w:val="none"/>
          <w:u w:val="single"/>
        </w:rPr>
        <w:t>（若为联合体，指承担设计任务方）</w:t>
      </w:r>
      <w:r>
        <w:rPr>
          <w:rFonts w:hint="eastAsia" w:ascii="宋体" w:hAnsi="宋体"/>
          <w:color w:val="auto"/>
          <w:sz w:val="24"/>
          <w:highlight w:val="none"/>
        </w:rPr>
        <w:t>：</w:t>
      </w:r>
      <w:r>
        <w:rPr>
          <w:rFonts w:ascii="宋体" w:hAnsi="宋体"/>
          <w:color w:val="auto"/>
          <w:sz w:val="24"/>
          <w:highlight w:val="none"/>
          <w:u w:val="single"/>
        </w:rPr>
        <w:t>工程设计综合甲级资质</w:t>
      </w:r>
      <w:r>
        <w:rPr>
          <w:rFonts w:hint="eastAsia" w:ascii="宋体" w:hAnsi="宋体"/>
          <w:color w:val="auto"/>
          <w:sz w:val="24"/>
          <w:highlight w:val="none"/>
          <w:u w:val="single"/>
        </w:rPr>
        <w:t>或风景园林工程设计专项甲级</w:t>
      </w:r>
      <w:r>
        <w:rPr>
          <w:rFonts w:ascii="宋体" w:hAnsi="宋体"/>
          <w:color w:val="auto"/>
          <w:sz w:val="24"/>
          <w:highlight w:val="none"/>
          <w:u w:val="single"/>
        </w:rPr>
        <w:t>资质</w:t>
      </w:r>
      <w:r>
        <w:rPr>
          <w:rFonts w:hint="eastAsia" w:ascii="宋体" w:hAnsi="宋体"/>
          <w:color w:val="auto"/>
          <w:sz w:val="24"/>
          <w:highlight w:val="none"/>
          <w:u w:val="single"/>
        </w:rPr>
        <w:t>；</w:t>
      </w:r>
      <w:r>
        <w:rPr>
          <w:rFonts w:hint="eastAsia" w:ascii="宋体" w:hAnsi="宋体"/>
          <w:color w:val="auto"/>
          <w:sz w:val="24"/>
          <w:highlight w:val="none"/>
        </w:rPr>
        <w:t>香港企业独立参加投标的，须在广东省住房和城乡建设主管部门备案且备案的业务范围应符合本招标项目对工程设计资质的要求。</w:t>
      </w:r>
    </w:p>
    <w:p w14:paraId="5F010F21">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（3）施工</w:t>
      </w:r>
      <w:r>
        <w:rPr>
          <w:rFonts w:hint="eastAsia" w:ascii="宋体" w:hAnsi="宋体"/>
          <w:color w:val="auto"/>
          <w:sz w:val="24"/>
          <w:highlight w:val="none"/>
          <w:u w:val="single"/>
          <w:lang w:val="en-US" w:eastAsia="zh-CN"/>
        </w:rPr>
        <w:t>资质</w:t>
      </w:r>
      <w:r>
        <w:rPr>
          <w:rFonts w:hint="eastAsia" w:ascii="宋体" w:hAnsi="宋体"/>
          <w:color w:val="auto"/>
          <w:sz w:val="24"/>
          <w:highlight w:val="none"/>
          <w:u w:val="single"/>
        </w:rPr>
        <w:t>（若为联合体，指承担施工任务方）</w:t>
      </w:r>
      <w:r>
        <w:rPr>
          <w:rFonts w:hint="eastAsia" w:ascii="宋体" w:hAnsi="宋体"/>
          <w:color w:val="auto"/>
          <w:sz w:val="24"/>
          <w:highlight w:val="none"/>
        </w:rPr>
        <w:t>：投标人须是在中华人民共和国境内注册的独立法人或其他组织，持有工商行政管理部门核发的营业执照。</w:t>
      </w:r>
    </w:p>
    <w:p w14:paraId="578A6DDF">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香港企业备案的业务范围依据《广东省住房和城乡建设厅关于印发香港工程建设咨询企业和专业人士在粤港澳大湾区内地城市开业执业试点管理暂行办法的通知》（粤建规范〔2020〕1号，详见http://zfcxjst.gd.gov.cn/xxgk/wjtz/content/post_3137220.html）确定。</w:t>
      </w:r>
    </w:p>
    <w:p w14:paraId="3DB2C35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3.项目负责人要求</w:t>
      </w:r>
    </w:p>
    <w:p w14:paraId="5DDA60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（1）项目总负责人应由施工项目负责人兼任。</w:t>
      </w:r>
    </w:p>
    <w:p w14:paraId="39D97F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（2）设计项目负责人须具备</w:t>
      </w:r>
      <w:r>
        <w:rPr>
          <w:rFonts w:hint="eastAsia" w:ascii="宋体" w:hAnsi="宋体"/>
          <w:color w:val="auto"/>
          <w:sz w:val="24"/>
          <w:highlight w:val="none"/>
          <w:u w:val="single"/>
        </w:rPr>
        <w:t>园林绿化或风景园林</w:t>
      </w:r>
      <w:r>
        <w:rPr>
          <w:rFonts w:hint="eastAsia" w:ascii="宋体" w:hAnsi="宋体"/>
          <w:color w:val="auto"/>
          <w:sz w:val="24"/>
          <w:highlight w:val="none"/>
          <w:u w:val="single"/>
          <w:lang w:val="en-US" w:eastAsia="zh-CN"/>
        </w:rPr>
        <w:t>相关</w:t>
      </w:r>
      <w:r>
        <w:rPr>
          <w:rFonts w:hint="eastAsia" w:ascii="宋体" w:hAnsi="宋体"/>
          <w:color w:val="auto"/>
          <w:sz w:val="24"/>
          <w:highlight w:val="none"/>
        </w:rPr>
        <w:t>专业（设计类）</w:t>
      </w:r>
      <w:r>
        <w:rPr>
          <w:rFonts w:hint="eastAsia" w:ascii="宋体" w:hAnsi="宋体"/>
          <w:color w:val="auto"/>
          <w:sz w:val="24"/>
          <w:highlight w:val="none"/>
          <w:u w:val="single"/>
        </w:rPr>
        <w:t>高</w:t>
      </w:r>
      <w:r>
        <w:rPr>
          <w:rFonts w:hint="eastAsia" w:ascii="宋体" w:hAnsi="宋体"/>
          <w:color w:val="auto"/>
          <w:sz w:val="24"/>
          <w:highlight w:val="none"/>
        </w:rPr>
        <w:t>级及以上</w:t>
      </w:r>
      <w:r>
        <w:rPr>
          <w:rFonts w:ascii="宋体" w:hAnsi="宋体"/>
          <w:color w:val="auto"/>
          <w:sz w:val="24"/>
          <w:highlight w:val="none"/>
        </w:rPr>
        <w:t>工程师</w:t>
      </w:r>
      <w:r>
        <w:rPr>
          <w:rFonts w:hint="eastAsia" w:ascii="宋体" w:hAnsi="宋体"/>
          <w:color w:val="auto"/>
          <w:sz w:val="24"/>
          <w:highlight w:val="none"/>
        </w:rPr>
        <w:t>资格，或在广东省住房和城乡建设主管部门备案且备案的业务范围符合本招标项目对项目负责人要求的香港专业人士。</w:t>
      </w:r>
    </w:p>
    <w:p w14:paraId="3BE0EDBE">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香港专业人士备案的业务范围依据《广东省住房和城乡建设厅关于印发香港工程建设咨询企业和专业人士在粤港澳大湾区内地城市开业执业试点管理暂行办法的通知》（粤建规范〔2020〕1号，详见http://zfcxjst.gd.gov.cn/xxgk/wjtz/content/post_3137220.html）确定。</w:t>
      </w:r>
    </w:p>
    <w:p w14:paraId="40D5E18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（3）施工项目负责人须具备:</w:t>
      </w:r>
      <w:r>
        <w:rPr>
          <w:rFonts w:hint="eastAsia" w:ascii="宋体" w:hAnsi="宋体"/>
          <w:color w:val="auto"/>
          <w:sz w:val="24"/>
          <w:highlight w:val="none"/>
          <w:u w:val="single"/>
        </w:rPr>
        <w:t>市政公用工程</w:t>
      </w:r>
      <w:r>
        <w:rPr>
          <w:rFonts w:hint="eastAsia" w:ascii="宋体" w:hAnsi="宋体"/>
          <w:color w:val="auto"/>
          <w:sz w:val="24"/>
          <w:highlight w:val="none"/>
        </w:rPr>
        <w:t>专业</w:t>
      </w:r>
      <w:r>
        <w:rPr>
          <w:rFonts w:hint="eastAsia" w:ascii="宋体" w:hAnsi="宋体"/>
          <w:color w:val="auto"/>
          <w:sz w:val="24"/>
          <w:highlight w:val="none"/>
          <w:u w:val="single"/>
        </w:rPr>
        <w:t>一</w:t>
      </w:r>
      <w:r>
        <w:rPr>
          <w:rFonts w:hint="eastAsia" w:ascii="宋体" w:hAnsi="宋体"/>
          <w:color w:val="auto"/>
          <w:sz w:val="24"/>
          <w:highlight w:val="none"/>
        </w:rPr>
        <w:t>级级别的注册建造师。</w:t>
      </w:r>
      <w:r>
        <w:rPr>
          <w:rFonts w:hint="eastAsia" w:ascii="宋体" w:hAnsi="宋体"/>
          <w:color w:val="auto"/>
          <w:kern w:val="0"/>
          <w:sz w:val="24"/>
          <w:highlight w:val="none"/>
        </w:rPr>
        <w:t>项目负责人持有在有效期内的安全生产考核合格证（B类）或建筑施工企业项目负责人安全生产考核合格证书。</w:t>
      </w:r>
    </w:p>
    <w:p w14:paraId="27DA1B17">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注：</w:t>
      </w:r>
      <w:r>
        <w:rPr>
          <w:rFonts w:hint="eastAsia" w:ascii="宋体" w:hAnsi="宋体"/>
          <w:color w:val="auto"/>
          <w:sz w:val="24"/>
          <w:highlight w:val="none"/>
          <w:u w:val="single"/>
        </w:rPr>
        <w:t>建造师的专业及项目等级标准按《注册建造师执业管理办法（试行）》及《注册建造师执业工程规模标准（试行）》执行。根据《住房和城乡建设部办公厅关于全面实行一级建造师电子注册证书的通知》（建办市〔2021〕40号），自2022年1月1日起，一级建造师统一使用电子证书，纸质证书作废。</w:t>
      </w:r>
    </w:p>
    <w:p w14:paraId="2D3A8B3A">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9C7F152">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项目负责人在任职期间不得担任专职安全员，项目专职安全员在任职期间也不得担任项目负责人，项目负责人和专职安全员不为同一人。</w:t>
      </w:r>
    </w:p>
    <w:p w14:paraId="7B92D8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（4）联合体投标的，设计项目负责人由负责设计义务的联合体成员派出；施工项目负责人由联合体主办方派出。</w:t>
      </w:r>
    </w:p>
    <w:p w14:paraId="2FC9A3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4.投标人业绩要求</w:t>
      </w:r>
    </w:p>
    <w:p w14:paraId="2ABE82AD">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 投标人自</w:t>
      </w:r>
      <w:r>
        <w:rPr>
          <w:rFonts w:ascii="宋体" w:hAnsi="宋体"/>
          <w:color w:val="auto"/>
          <w:sz w:val="24"/>
          <w:highlight w:val="none"/>
          <w:u w:val="single"/>
        </w:rPr>
        <w:t>2023</w:t>
      </w:r>
      <w:r>
        <w:rPr>
          <w:rFonts w:hint="eastAsia" w:ascii="宋体" w:hAnsi="宋体"/>
          <w:color w:val="auto"/>
          <w:sz w:val="24"/>
          <w:highlight w:val="none"/>
        </w:rPr>
        <w:t>年1月1日至今</w:t>
      </w:r>
      <w:r>
        <w:rPr>
          <w:rFonts w:hint="eastAsia" w:ascii="宋体" w:hAnsi="宋体"/>
          <w:color w:val="auto"/>
          <w:sz w:val="24"/>
          <w:highlight w:val="none"/>
          <w:u w:val="single"/>
          <w:lang w:val="en-US" w:eastAsia="zh-CN"/>
        </w:rPr>
        <w:t>承担</w:t>
      </w:r>
      <w:r>
        <w:rPr>
          <w:rFonts w:hint="eastAsia" w:ascii="宋体" w:hAnsi="宋体"/>
          <w:color w:val="auto"/>
          <w:sz w:val="24"/>
          <w:highlight w:val="none"/>
          <w:u w:val="single"/>
        </w:rPr>
        <w:t>过</w:t>
      </w:r>
      <w:r>
        <w:rPr>
          <w:rFonts w:hint="eastAsia" w:ascii="宋体" w:hAnsi="宋体"/>
          <w:color w:val="auto"/>
          <w:sz w:val="24"/>
          <w:highlight w:val="none"/>
        </w:rPr>
        <w:t>的类似园林绿化工程设计业绩（业绩时间以合同签订日期为准），类似设计业绩是指</w:t>
      </w:r>
      <w:r>
        <w:rPr>
          <w:rFonts w:hint="eastAsia" w:ascii="宋体" w:hAnsi="宋体"/>
          <w:color w:val="auto"/>
          <w:sz w:val="24"/>
          <w:highlight w:val="none"/>
          <w:u w:val="single"/>
        </w:rPr>
        <w:t>金额为100万元或以上的风景园林设计或园林绿化工程设计业绩</w:t>
      </w:r>
      <w:r>
        <w:rPr>
          <w:rFonts w:hint="eastAsia" w:ascii="宋体" w:hAnsi="宋体"/>
          <w:color w:val="auto"/>
          <w:sz w:val="24"/>
          <w:highlight w:val="none"/>
        </w:rPr>
        <w:t>。</w:t>
      </w:r>
    </w:p>
    <w:p w14:paraId="73350C14">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注： 联合体投标的，设计业绩由联合体承接设计任务的</w:t>
      </w:r>
      <w:r>
        <w:rPr>
          <w:rFonts w:hint="eastAsia" w:ascii="宋体" w:hAnsi="宋体"/>
          <w:color w:val="auto"/>
          <w:sz w:val="24"/>
          <w:highlight w:val="none"/>
          <w:lang w:val="en-US" w:eastAsia="zh-CN"/>
        </w:rPr>
        <w:t>任一</w:t>
      </w:r>
      <w:r>
        <w:rPr>
          <w:rFonts w:hint="eastAsia" w:ascii="宋体" w:hAnsi="宋体"/>
          <w:color w:val="auto"/>
          <w:sz w:val="24"/>
          <w:highlight w:val="none"/>
        </w:rPr>
        <w:t>单位提供，同时提供中标通知书</w:t>
      </w:r>
      <w:r>
        <w:rPr>
          <w:rFonts w:hint="eastAsia" w:ascii="宋体" w:hAnsi="宋体"/>
          <w:color w:val="auto"/>
          <w:sz w:val="24"/>
          <w:highlight w:val="none"/>
          <w:u w:val="single"/>
        </w:rPr>
        <w:t>(或发包通知书、免招标证明材料)、设计合同关键页（包括签订合同双方的单位名称、合同金额、签订合同双方的盖章页等）、初步设计审查批文或施工图审查证明等资料的扫描件</w:t>
      </w:r>
      <w:r>
        <w:rPr>
          <w:rFonts w:hint="eastAsia" w:ascii="宋体" w:hAnsi="宋体"/>
          <w:color w:val="auto"/>
          <w:sz w:val="24"/>
          <w:highlight w:val="none"/>
        </w:rPr>
        <w:t>。业绩金额以中标通知书为准，中标通知书上没有金额或免招标的，以合同（不含补充合同）为准</w:t>
      </w:r>
      <w:r>
        <w:rPr>
          <w:rFonts w:hint="eastAsia" w:ascii="宋体" w:hAnsi="宋体"/>
          <w:color w:val="auto"/>
          <w:sz w:val="24"/>
          <w:highlight w:val="none"/>
          <w:lang w:eastAsia="zh-CN"/>
        </w:rPr>
        <w:t>。</w:t>
      </w:r>
    </w:p>
    <w:p w14:paraId="6956A08E">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 投标人自</w:t>
      </w:r>
      <w:r>
        <w:rPr>
          <w:rFonts w:ascii="宋体" w:hAnsi="宋体"/>
          <w:color w:val="auto"/>
          <w:sz w:val="24"/>
          <w:highlight w:val="none"/>
          <w:u w:val="single"/>
        </w:rPr>
        <w:t>2023</w:t>
      </w:r>
      <w:r>
        <w:rPr>
          <w:rFonts w:hint="eastAsia" w:ascii="宋体" w:hAnsi="宋体"/>
          <w:color w:val="auto"/>
          <w:sz w:val="24"/>
          <w:highlight w:val="none"/>
        </w:rPr>
        <w:t>年1月1日至今完成过质量合格的类似园林绿化工程施工业绩，类似工程业绩是指</w:t>
      </w:r>
      <w:r>
        <w:rPr>
          <w:rFonts w:hint="eastAsia" w:ascii="宋体" w:hAnsi="宋体" w:cs="宋体"/>
          <w:color w:val="auto"/>
          <w:sz w:val="24"/>
          <w:highlight w:val="none"/>
          <w:u w:val="single"/>
        </w:rPr>
        <w:t>2700万元（或以上）</w:t>
      </w:r>
      <w:r>
        <w:rPr>
          <w:rFonts w:hint="eastAsia" w:ascii="宋体" w:hAnsi="宋体"/>
          <w:color w:val="auto"/>
          <w:sz w:val="24"/>
          <w:highlight w:val="none"/>
        </w:rPr>
        <w:t>的风景园林或园林绿化工程施工业绩。</w:t>
      </w:r>
    </w:p>
    <w:p w14:paraId="7CD4AA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注：① 联合体投标的，施工业绩由联合体承接施工任务的</w:t>
      </w:r>
      <w:r>
        <w:rPr>
          <w:rFonts w:hint="eastAsia" w:ascii="宋体" w:hAnsi="宋体"/>
          <w:color w:val="auto"/>
          <w:sz w:val="24"/>
          <w:highlight w:val="none"/>
          <w:lang w:val="en-US" w:eastAsia="zh-CN"/>
        </w:rPr>
        <w:t>任一</w:t>
      </w:r>
      <w:r>
        <w:rPr>
          <w:rFonts w:hint="eastAsia" w:ascii="宋体" w:hAnsi="宋体"/>
          <w:color w:val="auto"/>
          <w:sz w:val="24"/>
          <w:highlight w:val="none"/>
        </w:rPr>
        <w:t>单位提供。</w:t>
      </w:r>
      <w:r>
        <w:rPr>
          <w:rFonts w:ascii="宋体" w:hAnsi="宋体"/>
          <w:color w:val="auto"/>
          <w:sz w:val="24"/>
          <w:highlight w:val="none"/>
        </w:rPr>
        <w:t>业绩取自广州公共资源交易</w:t>
      </w:r>
      <w:r>
        <w:rPr>
          <w:rFonts w:hint="eastAsia" w:ascii="宋体" w:hAnsi="宋体"/>
          <w:color w:val="auto"/>
          <w:sz w:val="24"/>
          <w:highlight w:val="none"/>
        </w:rPr>
        <w:t>平台城市园林绿化</w:t>
      </w:r>
      <w:r>
        <w:rPr>
          <w:rFonts w:ascii="宋体" w:hAnsi="宋体"/>
          <w:color w:val="auto"/>
          <w:sz w:val="24"/>
          <w:highlight w:val="none"/>
        </w:rPr>
        <w:t>企业</w:t>
      </w:r>
      <w:r>
        <w:rPr>
          <w:rFonts w:hint="eastAsia" w:ascii="宋体" w:hAnsi="宋体"/>
          <w:color w:val="auto"/>
          <w:sz w:val="24"/>
          <w:highlight w:val="none"/>
        </w:rPr>
        <w:t>工程业绩</w:t>
      </w:r>
      <w:r>
        <w:rPr>
          <w:rFonts w:ascii="宋体" w:hAnsi="宋体"/>
          <w:color w:val="auto"/>
          <w:sz w:val="24"/>
          <w:highlight w:val="none"/>
        </w:rPr>
        <w:t>库。</w:t>
      </w:r>
    </w:p>
    <w:p w14:paraId="2C170D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 类似工程业绩指标按照《广州市林业和园林局关于明确广州市园林绿化工程建设项目招标投标有关问题的通知》（穗林业园林规字〔2022〕4号）执行。</w:t>
      </w:r>
    </w:p>
    <w:p w14:paraId="256244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③ 同时提供中标通知书、施工合同、竣工验收报告或竣工验收证明。如以上资料不能证明业绩规模的技术指标（指面积、跨度等）的，须另提供可证明业绩技术指标的其他资料。</w:t>
      </w:r>
    </w:p>
    <w:p w14:paraId="5E8817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④ 业绩金额以中标通知书为准，中标通知书上没有金额的，以施工合同（不含补充合同）为准；业绩完成时间以竣工验收时间为准。</w:t>
      </w:r>
    </w:p>
    <w:p w14:paraId="472EA2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5.专职安全员须具有在有效期内的安全生产考核合格证（C类），或建筑施工企业专职安全生产管理人员安全生产考核合格证书（C3）。联合体投标的，专职安全人员由联合体主办方派出。</w:t>
      </w:r>
    </w:p>
    <w:p w14:paraId="28F4EC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6.投标人在广州公共资源交易平台已办理企业信息登记，拟担任本工程项目负责人均为本企业信息登记中的在册人员，且不得兼任专职安全员。</w:t>
      </w:r>
    </w:p>
    <w:p w14:paraId="763C71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7.投标人已按规定的格式和内容签署的《投标人声明》。</w:t>
      </w:r>
    </w:p>
    <w:p w14:paraId="4AFC598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8.投标人信用情况</w:t>
      </w:r>
    </w:p>
    <w:p w14:paraId="3AB2E3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（1）不存在《全国失信惩戒措施基础清单》惩戒内容为“在一定期限内依法取消参加依法必须进行招标的项目的投标资格”的情形。</w:t>
      </w:r>
    </w:p>
    <w:p w14:paraId="336421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9.关于</w:t>
      </w:r>
      <w:r>
        <w:rPr>
          <w:rFonts w:hint="eastAsia" w:ascii="宋体" w:hAnsi="宋体"/>
          <w:color w:val="auto"/>
          <w:szCs w:val="21"/>
          <w:highlight w:val="none"/>
        </w:rPr>
        <w:t>联</w:t>
      </w:r>
      <w:r>
        <w:rPr>
          <w:rFonts w:hint="eastAsia" w:ascii="宋体" w:hAnsi="宋体"/>
          <w:color w:val="auto"/>
          <w:sz w:val="24"/>
          <w:highlight w:val="none"/>
        </w:rPr>
        <w:t>合体投标</w:t>
      </w:r>
    </w:p>
    <w:p w14:paraId="1AA8C12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本</w:t>
      </w:r>
      <w:r>
        <w:rPr>
          <w:rFonts w:hint="eastAsia" w:ascii="宋体" w:hAnsi="宋体"/>
          <w:color w:val="auto"/>
          <w:sz w:val="24"/>
          <w:highlight w:val="none"/>
        </w:rPr>
        <w:t>次招标接受</w:t>
      </w:r>
      <w:r>
        <w:rPr>
          <w:rFonts w:ascii="宋体" w:hAnsi="宋体"/>
          <w:color w:val="auto"/>
          <w:sz w:val="24"/>
          <w:highlight w:val="none"/>
        </w:rPr>
        <w:t>联合体投标。</w:t>
      </w:r>
      <w:r>
        <w:rPr>
          <w:rFonts w:hint="eastAsia" w:ascii="宋体" w:hAnsi="宋体"/>
          <w:color w:val="auto"/>
          <w:sz w:val="24"/>
          <w:highlight w:val="none"/>
        </w:rPr>
        <w:t>联合体投标的，应以</w:t>
      </w:r>
      <w:r>
        <w:rPr>
          <w:rFonts w:hint="eastAsia" w:ascii="宋体" w:hAnsi="宋体"/>
          <w:color w:val="auto"/>
          <w:sz w:val="24"/>
          <w:highlight w:val="none"/>
          <w:u w:val="single"/>
        </w:rPr>
        <w:t>施工方</w:t>
      </w:r>
      <w:r>
        <w:rPr>
          <w:rFonts w:hint="eastAsia" w:ascii="宋体" w:hAnsi="宋体"/>
          <w:color w:val="auto"/>
          <w:sz w:val="24"/>
          <w:highlight w:val="none"/>
        </w:rPr>
        <w:t>为主办方，并签定联合体工作协议，明确约定各方拟承担的工作和责任。联合体各方不得再以自己名义单独或加入其他联合体参加本项目的投标，否则投标均无效。</w:t>
      </w:r>
      <w:r>
        <w:rPr>
          <w:rFonts w:hint="eastAsia" w:ascii="宋体" w:hAnsi="宋体"/>
          <w:color w:val="auto"/>
          <w:sz w:val="24"/>
          <w:highlight w:val="none"/>
          <w:u w:val="single"/>
        </w:rPr>
        <w:t>在资格审查及评标环节，具有同一专业资质的单位组成联合体的，按照资质等级较低的单位确定资质等级。</w:t>
      </w:r>
    </w:p>
    <w:p w14:paraId="78E5D8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10.单位负责人为同一人或者存在控股、管理关系的不同单位，不得同时参加本招标项目投标。</w:t>
      </w:r>
    </w:p>
    <w:p w14:paraId="66A37F6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上述投标人资格条件2-6项（除设计业绩）的信息取自投标人在广州公共资源交易平台企业库、园林绿化企业工程业绩库登记的信息，广州公共资源交易平台企业库、园林绿化企业工程业绩库中该部分信息将被视为投标人递交资格审查资料的一部分。评标委员会对该部分资料的审查将以递交投标文件截止时广州公共资源交易平台企业库、园林绿化企业工程业绩库记录的信息为依据。投标人应及时维护其在广州公共资源交易平台企业库、园林绿化企业工程业绩库的信息，确保各项信息在有效期内。</w:t>
      </w:r>
    </w:p>
    <w:p w14:paraId="7D04BC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十一、投标人不得存在下列情形之一：</w:t>
      </w:r>
    </w:p>
    <w:p w14:paraId="161AD9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（1）为招标人不具有独立法人资格的附属机构（单位）； </w:t>
      </w:r>
    </w:p>
    <w:p w14:paraId="5FD2A74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（2）为本招标项目的代建单位、项目管理单位、监理单位、造价咨询单位、招标代理单位； </w:t>
      </w:r>
    </w:p>
    <w:p w14:paraId="0790F6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（3）被责令停业的； </w:t>
      </w:r>
    </w:p>
    <w:p w14:paraId="34AF01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（4）被暂停或取消投标资格的； </w:t>
      </w:r>
    </w:p>
    <w:p w14:paraId="70514A8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（5）财产被接管或冻结的；</w:t>
      </w:r>
    </w:p>
    <w:p w14:paraId="1EE6BC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（6）在最近三年内有骗取中标或严重违约或重大工程质量问题的；</w:t>
      </w:r>
    </w:p>
    <w:p w14:paraId="075B00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（7）与本招标项目的监理单位或代建单位或招标代理机构同为一个法定代表人的；</w:t>
      </w:r>
    </w:p>
    <w:p w14:paraId="0B963F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（8）与本招标项目的监理单位或代建单位或招标代理机构相互控股或参股的；</w:t>
      </w:r>
    </w:p>
    <w:p w14:paraId="4E8EAD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（9）与本招标项目的监理单位或代建单位或招标代理机构相互任职或工作的；</w:t>
      </w:r>
    </w:p>
    <w:p w14:paraId="54A9B4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（10）法律法规规定的其他情形。</w:t>
      </w:r>
    </w:p>
    <w:p w14:paraId="4F5FD53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十二、资格审查方式</w:t>
      </w:r>
    </w:p>
    <w:p w14:paraId="005DA4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采用</w:t>
      </w:r>
      <w:r>
        <w:rPr>
          <w:rFonts w:hint="eastAsia" w:ascii="宋体" w:hAnsi="宋体"/>
          <w:color w:val="auto"/>
          <w:sz w:val="24"/>
          <w:highlight w:val="none"/>
          <w:u w:val="single"/>
        </w:rPr>
        <w:t xml:space="preserve">  资格后审   </w:t>
      </w:r>
      <w:r>
        <w:rPr>
          <w:rFonts w:hint="eastAsia" w:ascii="宋体" w:hAnsi="宋体"/>
          <w:color w:val="auto"/>
          <w:sz w:val="24"/>
          <w:highlight w:val="none"/>
        </w:rPr>
        <w:t>方式，由评标委员会负责资格审查。</w:t>
      </w:r>
    </w:p>
    <w:p w14:paraId="06AFC3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十三、</w:t>
      </w:r>
      <w:r>
        <w:rPr>
          <w:rFonts w:ascii="宋体" w:hAnsi="宋体"/>
          <w:color w:val="auto"/>
          <w:sz w:val="24"/>
          <w:highlight w:val="none"/>
        </w:rPr>
        <w:t>投标时是否需要提交设计模型：</w:t>
      </w:r>
      <w:r>
        <w:rPr>
          <w:rFonts w:hint="eastAsia" w:ascii="宋体" w:hAnsi="宋体"/>
          <w:color w:val="auto"/>
          <w:sz w:val="24"/>
          <w:highlight w:val="none"/>
          <w:u w:val="single"/>
        </w:rPr>
        <w:t xml:space="preserve"> 否 </w:t>
      </w:r>
      <w:r>
        <w:rPr>
          <w:rFonts w:hint="eastAsia" w:ascii="宋体" w:hAnsi="宋体"/>
          <w:color w:val="auto"/>
          <w:sz w:val="24"/>
          <w:highlight w:val="none"/>
        </w:rPr>
        <w:t>。</w:t>
      </w:r>
    </w:p>
    <w:p w14:paraId="14CFAB5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十四、设计成果补偿：</w:t>
      </w:r>
      <w:r>
        <w:rPr>
          <w:rFonts w:hint="eastAsia" w:ascii="宋体" w:hAnsi="宋体"/>
          <w:color w:val="auto"/>
          <w:sz w:val="24"/>
          <w:highlight w:val="none"/>
          <w:u w:val="single"/>
        </w:rPr>
        <w:t xml:space="preserve"> 不补偿 </w:t>
      </w:r>
      <w:r>
        <w:rPr>
          <w:rFonts w:hint="eastAsia" w:ascii="宋体" w:hAnsi="宋体"/>
          <w:color w:val="auto"/>
          <w:sz w:val="24"/>
          <w:highlight w:val="none"/>
        </w:rPr>
        <w:t>。</w:t>
      </w:r>
    </w:p>
    <w:p w14:paraId="143521EA">
      <w:pPr>
        <w:spacing w:line="360" w:lineRule="auto"/>
        <w:ind w:left="819" w:leftChars="228" w:hanging="340" w:hangingChars="142"/>
        <w:jc w:val="left"/>
        <w:rPr>
          <w:rFonts w:ascii="宋体" w:hAnsi="宋体" w:cs="宋体"/>
          <w:color w:val="auto"/>
          <w:kern w:val="0"/>
          <w:sz w:val="24"/>
          <w:highlight w:val="none"/>
        </w:rPr>
      </w:pPr>
      <w:r>
        <w:rPr>
          <w:rFonts w:hint="eastAsia" w:ascii="宋体" w:hAnsi="宋体" w:cs="宋体"/>
          <w:color w:val="auto"/>
          <w:kern w:val="0"/>
          <w:sz w:val="24"/>
          <w:highlight w:val="none"/>
        </w:rPr>
        <w:t>注：1.如果招标失败，则当次不支付设计成果补偿。</w:t>
      </w:r>
    </w:p>
    <w:p w14:paraId="31D50E7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2.招标人和中标人有权在实施方案中参考使用获得设计成果补偿的投标方案内容。</w:t>
      </w:r>
    </w:p>
    <w:p w14:paraId="762C1A2E">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十五、招标公告网上发布时，同时发布招标文件、最高投标限价。</w:t>
      </w:r>
    </w:p>
    <w:p w14:paraId="6C852444">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招标公告发布之日起计算编制投标文件时间，编制投标文件的时间不得少于20天。</w:t>
      </w:r>
    </w:p>
    <w:p w14:paraId="307EF8B5">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如招标人需发布补充公告的，以最后发布的补充公告的时间起计算编制投标文件时间，并需在招标答疑中明确说明。</w:t>
      </w:r>
    </w:p>
    <w:p w14:paraId="7A60E1F6">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十六、资格审查结果及评标结果将在</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网站及其他法定媒体公示，公开接受投标人的监督。</w:t>
      </w:r>
    </w:p>
    <w:p w14:paraId="79D5C15B">
      <w:pPr>
        <w:tabs>
          <w:tab w:val="left" w:pos="36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十七、满足资格审查合格条件的投标人或评标有效的投标人不足3名时为招标失败。招标人分析招标失败原因，修正招标方案，报有关管理部门核准后，重新组织招标。</w:t>
      </w:r>
    </w:p>
    <w:p w14:paraId="7E387315">
      <w:pPr>
        <w:spacing w:line="360" w:lineRule="auto"/>
        <w:ind w:firstLine="480" w:firstLineChars="200"/>
        <w:rPr>
          <w:rFonts w:ascii="宋体" w:hAnsi="宋体" w:cs="仿宋_GB2312"/>
          <w:color w:val="auto"/>
          <w:sz w:val="24"/>
          <w:highlight w:val="none"/>
        </w:rPr>
      </w:pPr>
      <w:r>
        <w:rPr>
          <w:rFonts w:hint="eastAsia" w:ascii="宋体" w:hAnsi="宋体"/>
          <w:color w:val="auto"/>
          <w:sz w:val="24"/>
          <w:highlight w:val="none"/>
        </w:rPr>
        <w:t>十八、</w:t>
      </w:r>
      <w:bookmarkStart w:id="12" w:name="OLE_LINK2"/>
      <w:bookmarkStart w:id="13" w:name="OLE_LINK1"/>
      <w:r>
        <w:rPr>
          <w:rFonts w:hint="eastAsia" w:ascii="宋体" w:hAnsi="宋体" w:cs="仿宋_GB2312"/>
          <w:color w:val="auto"/>
          <w:sz w:val="24"/>
          <w:highlight w:val="none"/>
        </w:rPr>
        <w:t>潜在投标人或利害关系人对本公告及招标文件内容有异议的，应当在投标截止时间10日前通过电子交易平台或书面形式向招标人提出。通过电子交易平台提出异议的，招标人线上作出答复。招标人应当自收到异议之日起3 日内作出答复；作出答复前，应当暂停招标投标活动。</w:t>
      </w:r>
    </w:p>
    <w:p w14:paraId="0BBDBE6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异议受理部门：</w:t>
      </w:r>
      <w:r>
        <w:rPr>
          <w:rFonts w:hint="eastAsia" w:ascii="宋体" w:hAnsi="宋体"/>
          <w:color w:val="auto"/>
          <w:sz w:val="24"/>
          <w:highlight w:val="none"/>
          <w:u w:val="single"/>
        </w:rPr>
        <w:t>广州新中轴海珠片区城市更新有限公司</w:t>
      </w:r>
    </w:p>
    <w:p w14:paraId="0BEA554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异议受理电话：</w:t>
      </w:r>
      <w:r>
        <w:rPr>
          <w:rFonts w:hint="eastAsia" w:ascii="宋体" w:hAnsi="宋体"/>
          <w:color w:val="auto"/>
          <w:sz w:val="24"/>
          <w:highlight w:val="none"/>
          <w:u w:val="single"/>
        </w:rPr>
        <w:t>020-31716865</w:t>
      </w:r>
    </w:p>
    <w:p w14:paraId="4D453954">
      <w:pPr>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地        址：</w:t>
      </w:r>
      <w:r>
        <w:rPr>
          <w:rFonts w:hint="eastAsia" w:ascii="宋体" w:hAnsi="宋体" w:cs="宋体"/>
          <w:color w:val="auto"/>
          <w:sz w:val="24"/>
          <w:highlight w:val="none"/>
          <w:u w:val="single"/>
        </w:rPr>
        <w:t>广州市海珠区新港中路419号前座自编1001房号（仅限办公）</w:t>
      </w:r>
    </w:p>
    <w:p w14:paraId="004592D4">
      <w:pPr>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rPr>
        <w:t>投标人或利害关系人就本招标公告及招标文件中任何违法及不公平内容依法向</w:t>
      </w:r>
      <w:r>
        <w:rPr>
          <w:rFonts w:hint="eastAsia" w:ascii="宋体" w:hAnsi="宋体"/>
          <w:color w:val="auto"/>
          <w:sz w:val="24"/>
          <w:highlight w:val="none"/>
          <w:u w:val="single"/>
        </w:rPr>
        <w:t>广州市海珠区建设工程招标管理办公室</w:t>
      </w:r>
      <w:r>
        <w:rPr>
          <w:rFonts w:hint="eastAsia" w:ascii="宋体" w:hAnsi="宋体" w:cs="仿宋_GB2312"/>
          <w:color w:val="auto"/>
          <w:sz w:val="24"/>
          <w:highlight w:val="none"/>
        </w:rPr>
        <w:t>署名投诉</w:t>
      </w:r>
      <w:r>
        <w:rPr>
          <w:rFonts w:hint="eastAsia" w:ascii="宋体" w:hAnsi="宋体"/>
          <w:color w:val="auto"/>
          <w:sz w:val="24"/>
          <w:highlight w:val="none"/>
        </w:rPr>
        <w:t>。</w:t>
      </w:r>
    </w:p>
    <w:p w14:paraId="1CF502EE">
      <w:pPr>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投诉受理电话：</w:t>
      </w:r>
      <w:r>
        <w:rPr>
          <w:rFonts w:hint="eastAsia" w:ascii="宋体" w:hAnsi="宋体"/>
          <w:color w:val="auto"/>
          <w:sz w:val="24"/>
          <w:highlight w:val="none"/>
          <w:u w:val="single"/>
        </w:rPr>
        <w:t>020-89885682</w:t>
      </w:r>
    </w:p>
    <w:p w14:paraId="5D214283">
      <w:pPr>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广州市海珠区新港中路472号</w:t>
      </w:r>
    </w:p>
    <w:p w14:paraId="3644AAA6">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本公告在广州交易集团有限公司（广州公共资源交易中心）网站（网址：http://www.gzggzy.cn）、中国招标投标公共服务平台（网址：</w:t>
      </w:r>
      <w:r>
        <w:rPr>
          <w:rFonts w:ascii="宋体" w:hAnsi="宋体"/>
          <w:color w:val="auto"/>
          <w:sz w:val="24"/>
          <w:highlight w:val="none"/>
        </w:rPr>
        <w:t>http://www.cebpubservice.com/</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广州国企阳光采购信息发布平台（http：//ygcg.gzggzy.cn/）和广东省招标投标监管网（网址：http://zbtb.gd.gov.cn/）同时发布，本公告的修改、补充，在</w:t>
      </w:r>
      <w:r>
        <w:rPr>
          <w:rFonts w:hint="eastAsia" w:ascii="宋体" w:hAnsi="宋体"/>
          <w:color w:val="auto"/>
          <w:sz w:val="24"/>
          <w:highlight w:val="none"/>
          <w:u w:val="single"/>
        </w:rPr>
        <w:t>广州交易集团有限公司（广州公共资源交易中心）网站</w:t>
      </w:r>
      <w:r>
        <w:rPr>
          <w:rFonts w:hint="eastAsia" w:ascii="宋体" w:hAnsi="宋体"/>
          <w:color w:val="auto"/>
          <w:sz w:val="24"/>
          <w:highlight w:val="none"/>
        </w:rPr>
        <w:t>发布。本公告在各法定媒体发布的文本应当一致，如有不同之处，以在</w:t>
      </w:r>
      <w:r>
        <w:rPr>
          <w:rFonts w:hint="eastAsia" w:ascii="宋体" w:hAnsi="宋体"/>
          <w:color w:val="auto"/>
          <w:sz w:val="24"/>
          <w:highlight w:val="none"/>
          <w:u w:val="single"/>
        </w:rPr>
        <w:t>广东省招标投标监管网</w:t>
      </w:r>
      <w:r>
        <w:rPr>
          <w:rFonts w:hint="eastAsia" w:ascii="宋体" w:hAnsi="宋体"/>
          <w:color w:val="auto"/>
          <w:sz w:val="24"/>
          <w:highlight w:val="none"/>
        </w:rPr>
        <w:t>发布的文本为准。</w:t>
      </w:r>
    </w:p>
    <w:p w14:paraId="3D14F9B5">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本项目为电子评标，投标文件一律不接受纸质文件，投标人将被要求递交具备法律效力的电子投标文件。</w:t>
      </w:r>
    </w:p>
    <w:bookmarkEnd w:id="12"/>
    <w:bookmarkEnd w:id="13"/>
    <w:p w14:paraId="0B35FB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二十一、本招标公告及招标文件使用GZYLZB2023-2招标文件范本。本招标公告与范本内容不同之处均以下划线标明，所有标明下划线部分属于本招标公告的组成部分，同其他部分具有同等效力。</w:t>
      </w:r>
    </w:p>
    <w:p w14:paraId="1ABA3747">
      <w:pPr>
        <w:spacing w:line="360" w:lineRule="auto"/>
        <w:ind w:firstLine="2880" w:firstLineChars="1200"/>
        <w:rPr>
          <w:rFonts w:ascii="宋体" w:hAnsi="宋体"/>
          <w:color w:val="auto"/>
          <w:sz w:val="24"/>
          <w:highlight w:val="none"/>
        </w:rPr>
      </w:pPr>
    </w:p>
    <w:p w14:paraId="24FEBBFA">
      <w:pPr>
        <w:spacing w:line="360" w:lineRule="auto"/>
        <w:ind w:firstLine="2880" w:firstLineChars="1200"/>
        <w:rPr>
          <w:rFonts w:ascii="宋体" w:hAnsi="宋体"/>
          <w:color w:val="auto"/>
          <w:sz w:val="24"/>
          <w:highlight w:val="none"/>
        </w:rPr>
      </w:pPr>
    </w:p>
    <w:p w14:paraId="03698938">
      <w:pPr>
        <w:spacing w:line="360" w:lineRule="auto"/>
        <w:ind w:firstLine="2880" w:firstLineChars="1200"/>
        <w:rPr>
          <w:rFonts w:ascii="宋体" w:hAnsi="宋体"/>
          <w:color w:val="auto"/>
          <w:sz w:val="24"/>
          <w:highlight w:val="none"/>
        </w:rPr>
      </w:pPr>
      <w:r>
        <w:rPr>
          <w:rFonts w:hint="eastAsia" w:ascii="宋体" w:hAnsi="宋体"/>
          <w:color w:val="auto"/>
          <w:sz w:val="24"/>
          <w:highlight w:val="none"/>
        </w:rPr>
        <w:t>招标人：广州新中轴海珠片区城市更新有限公司</w:t>
      </w:r>
    </w:p>
    <w:p w14:paraId="61C80014">
      <w:pPr>
        <w:spacing w:line="360" w:lineRule="auto"/>
        <w:ind w:firstLine="2880" w:firstLineChars="1200"/>
        <w:rPr>
          <w:rFonts w:ascii="宋体" w:hAnsi="宋体"/>
          <w:color w:val="auto"/>
          <w:sz w:val="24"/>
          <w:highlight w:val="none"/>
        </w:rPr>
      </w:pPr>
      <w:r>
        <w:rPr>
          <w:rFonts w:hint="eastAsia" w:ascii="宋体" w:hAnsi="宋体"/>
          <w:color w:val="auto"/>
          <w:sz w:val="24"/>
          <w:highlight w:val="none"/>
        </w:rPr>
        <w:t>招标代理机构：北京中交建设工程咨询有限公司</w:t>
      </w:r>
    </w:p>
    <w:p w14:paraId="3804112A">
      <w:pPr>
        <w:spacing w:line="360" w:lineRule="auto"/>
        <w:ind w:firstLine="2880" w:firstLineChars="1200"/>
        <w:rPr>
          <w:rFonts w:ascii="宋体" w:hAnsi="宋体"/>
          <w:color w:val="auto"/>
          <w:sz w:val="24"/>
          <w:highlight w:val="none"/>
        </w:rPr>
      </w:pPr>
      <w:r>
        <w:rPr>
          <w:rFonts w:hint="eastAsia" w:ascii="宋体" w:hAnsi="宋体"/>
          <w:color w:val="auto"/>
          <w:sz w:val="24"/>
          <w:highlight w:val="none"/>
        </w:rPr>
        <w:t>日期：2025年   月   日</w:t>
      </w:r>
    </w:p>
    <w:p w14:paraId="271E39FC">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A6E14"/>
    <w:multiLevelType w:val="singleLevel"/>
    <w:tmpl w:val="2FBA6E1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Formatting/>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C46B61"/>
    <w:rsid w:val="0009380D"/>
    <w:rsid w:val="00241BDC"/>
    <w:rsid w:val="002C606E"/>
    <w:rsid w:val="00714C38"/>
    <w:rsid w:val="00932320"/>
    <w:rsid w:val="00C469D9"/>
    <w:rsid w:val="00E21010"/>
    <w:rsid w:val="00F82D98"/>
    <w:rsid w:val="00FE1978"/>
    <w:rsid w:val="039E5BD8"/>
    <w:rsid w:val="05295F53"/>
    <w:rsid w:val="06E4111F"/>
    <w:rsid w:val="0872583D"/>
    <w:rsid w:val="091361A6"/>
    <w:rsid w:val="0CD43635"/>
    <w:rsid w:val="0D8F63CD"/>
    <w:rsid w:val="10B81EFA"/>
    <w:rsid w:val="11EF57FA"/>
    <w:rsid w:val="17AD54B9"/>
    <w:rsid w:val="18702B1D"/>
    <w:rsid w:val="1A3E4105"/>
    <w:rsid w:val="1CD259AE"/>
    <w:rsid w:val="1EA83E44"/>
    <w:rsid w:val="1F042D95"/>
    <w:rsid w:val="1F2E65FD"/>
    <w:rsid w:val="203B5305"/>
    <w:rsid w:val="31380004"/>
    <w:rsid w:val="31FD312E"/>
    <w:rsid w:val="339316BF"/>
    <w:rsid w:val="33C46B61"/>
    <w:rsid w:val="343B31A4"/>
    <w:rsid w:val="357F54AA"/>
    <w:rsid w:val="37865C12"/>
    <w:rsid w:val="3A9629EB"/>
    <w:rsid w:val="43BD3777"/>
    <w:rsid w:val="43D71A9E"/>
    <w:rsid w:val="496F0BFB"/>
    <w:rsid w:val="4B11565D"/>
    <w:rsid w:val="4D2F0C73"/>
    <w:rsid w:val="4F244236"/>
    <w:rsid w:val="4F431A16"/>
    <w:rsid w:val="51DC4954"/>
    <w:rsid w:val="5295782B"/>
    <w:rsid w:val="5304509D"/>
    <w:rsid w:val="5EA727B6"/>
    <w:rsid w:val="606467B1"/>
    <w:rsid w:val="65EC589F"/>
    <w:rsid w:val="67FE1879"/>
    <w:rsid w:val="681F14DF"/>
    <w:rsid w:val="6D326FAF"/>
    <w:rsid w:val="6DAC727C"/>
    <w:rsid w:val="77D61B1E"/>
    <w:rsid w:val="7B8C296B"/>
    <w:rsid w:val="7C172CEB"/>
    <w:rsid w:val="7EEE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340" w:after="330" w:line="576" w:lineRule="auto"/>
    </w:pPr>
    <w:rPr>
      <w:b w:val="0"/>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
    <w:name w:val="Body Text First Indent"/>
    <w:basedOn w:val="5"/>
    <w:qFormat/>
    <w:uiPriority w:val="0"/>
    <w:pPr>
      <w:spacing w:line="312" w:lineRule="auto"/>
      <w:ind w:firstLine="420"/>
    </w:pPr>
  </w:style>
  <w:style w:type="paragraph" w:styleId="5">
    <w:name w:val="Body Text"/>
    <w:basedOn w:val="1"/>
    <w:next w:val="1"/>
    <w:qFormat/>
    <w:uiPriority w:val="0"/>
    <w:pPr>
      <w:spacing w:after="120"/>
    </w:pPr>
  </w:style>
  <w:style w:type="paragraph" w:styleId="6">
    <w:name w:val="annotation text"/>
    <w:basedOn w:val="1"/>
    <w:link w:val="18"/>
    <w:qFormat/>
    <w:uiPriority w:val="0"/>
    <w:pPr>
      <w:jc w:val="left"/>
    </w:pPr>
  </w:style>
  <w:style w:type="paragraph" w:styleId="7">
    <w:name w:val="Body Text Indent"/>
    <w:basedOn w:val="1"/>
    <w:qFormat/>
    <w:uiPriority w:val="0"/>
    <w:pPr>
      <w:ind w:firstLine="560" w:firstLineChars="200"/>
    </w:pPr>
    <w:rPr>
      <w:rFonts w:ascii="Calibri" w:hAnsi="Calibri"/>
      <w:kern w:val="0"/>
      <w:sz w:val="28"/>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ascii="宋体" w:hAnsi="宋体" w:cs="宋体"/>
    </w:rPr>
  </w:style>
  <w:style w:type="paragraph" w:styleId="12">
    <w:name w:val="annotation subject"/>
    <w:basedOn w:val="6"/>
    <w:next w:val="6"/>
    <w:link w:val="19"/>
    <w:qFormat/>
    <w:uiPriority w:val="0"/>
    <w:rPr>
      <w:b/>
      <w:bCs/>
    </w:rPr>
  </w:style>
  <w:style w:type="character" w:styleId="15">
    <w:name w:val="annotation reference"/>
    <w:basedOn w:val="14"/>
    <w:qFormat/>
    <w:uiPriority w:val="0"/>
    <w:rPr>
      <w:sz w:val="21"/>
      <w:szCs w:val="21"/>
    </w:rPr>
  </w:style>
  <w:style w:type="paragraph" w:customStyle="1" w:styleId="16">
    <w:name w:val="正文首行缩进 21"/>
    <w:basedOn w:val="7"/>
    <w:qFormat/>
    <w:uiPriority w:val="99"/>
    <w:pPr>
      <w:adjustRightInd w:val="0"/>
      <w:ind w:firstLine="420"/>
      <w:jc w:val="left"/>
      <w:textAlignment w:val="baseline"/>
    </w:pPr>
    <w:rPr>
      <w:rFonts w:ascii="MingLiU" w:eastAsia="MingLiU"/>
      <w:lang w:eastAsia="zh-TW"/>
    </w:rPr>
  </w:style>
  <w:style w:type="character" w:customStyle="1" w:styleId="17">
    <w:name w:val="批注框文本 字符"/>
    <w:basedOn w:val="14"/>
    <w:link w:val="8"/>
    <w:qFormat/>
    <w:uiPriority w:val="0"/>
    <w:rPr>
      <w:rFonts w:ascii="Times New Roman" w:hAnsi="Times New Roman" w:eastAsia="宋体" w:cs="Times New Roman"/>
      <w:kern w:val="2"/>
      <w:sz w:val="18"/>
      <w:szCs w:val="18"/>
    </w:rPr>
  </w:style>
  <w:style w:type="character" w:customStyle="1" w:styleId="18">
    <w:name w:val="批注文字 字符"/>
    <w:basedOn w:val="14"/>
    <w:link w:val="6"/>
    <w:qFormat/>
    <w:uiPriority w:val="0"/>
    <w:rPr>
      <w:rFonts w:ascii="Times New Roman" w:hAnsi="Times New Roman" w:eastAsia="宋体" w:cs="Times New Roman"/>
      <w:kern w:val="2"/>
      <w:sz w:val="21"/>
      <w:szCs w:val="24"/>
    </w:rPr>
  </w:style>
  <w:style w:type="character" w:customStyle="1" w:styleId="19">
    <w:name w:val="批注主题 字符"/>
    <w:basedOn w:val="18"/>
    <w:link w:val="12"/>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6812</Words>
  <Characters>7288</Characters>
  <Lines>51</Lines>
  <Paragraphs>14</Paragraphs>
  <TotalTime>1</TotalTime>
  <ScaleCrop>false</ScaleCrop>
  <LinksUpToDate>false</LinksUpToDate>
  <CharactersWithSpaces>7416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2025-05-26T08:29:00Z</dcterms:created>
  <dc:creator>h</dc:creator>
  <cp:lastModifiedBy>h</cp:lastModifiedBy>
  <dcterms:modified xsi:type="dcterms:W3CDTF">2025-05-29T09:06:07Z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A750502BADC043A1823B5E0D0A46E0D0_13</vt:lpwstr>
  </property>
  <property fmtid="{D5CDD505-2E9C-101B-9397-08002B2CF9AE}" pid="4" name="KSOTemplateDocerSaveRecord">
    <vt:lpwstr>eyJoZGlkIjoiMjdmZTcyMThkMjAwN2UyN2E1YTBlNWRkZDQ5OGRkNmEiLCJ1c2VySWQiOiIxNjAxMzk4MzY1In0=</vt:lpwstr>
  </property>
</Properties>
</file>