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50BD94">
      <w:pPr>
        <w:tabs>
          <w:tab w:val="left" w:pos="2127"/>
        </w:tabs>
        <w:kinsoku/>
        <w:overflowPunct/>
        <w:bidi w:val="0"/>
        <w:spacing w:line="360" w:lineRule="auto"/>
        <w:jc w:val="left"/>
        <w:textAlignment w:val="auto"/>
        <w:rPr>
          <w:rFonts w:ascii="宋体" w:hAnsi="宋体"/>
          <w:b/>
          <w:color w:val="auto"/>
          <w:spacing w:val="20"/>
          <w:sz w:val="28"/>
          <w:szCs w:val="28"/>
          <w:highlight w:val="none"/>
        </w:rPr>
      </w:pPr>
    </w:p>
    <w:p w14:paraId="210722D4">
      <w:pPr>
        <w:tabs>
          <w:tab w:val="left" w:pos="2127"/>
        </w:tabs>
        <w:kinsoku/>
        <w:overflowPunct/>
        <w:bidi w:val="0"/>
        <w:spacing w:line="360" w:lineRule="auto"/>
        <w:textAlignment w:val="auto"/>
        <w:rPr>
          <w:rFonts w:ascii="宋体" w:hAnsi="宋体"/>
          <w:b/>
          <w:color w:val="auto"/>
          <w:spacing w:val="20"/>
          <w:sz w:val="28"/>
          <w:szCs w:val="28"/>
          <w:highlight w:val="none"/>
        </w:rPr>
      </w:pPr>
    </w:p>
    <w:p w14:paraId="52268FC8">
      <w:pPr>
        <w:tabs>
          <w:tab w:val="left" w:pos="2127"/>
        </w:tabs>
        <w:kinsoku/>
        <w:overflowPunct/>
        <w:bidi w:val="0"/>
        <w:spacing w:line="360" w:lineRule="auto"/>
        <w:textAlignment w:val="auto"/>
        <w:rPr>
          <w:rFonts w:ascii="宋体" w:hAnsi="宋体"/>
          <w:b/>
          <w:color w:val="auto"/>
          <w:spacing w:val="20"/>
          <w:sz w:val="28"/>
          <w:szCs w:val="28"/>
          <w:highlight w:val="none"/>
        </w:rPr>
      </w:pPr>
    </w:p>
    <w:p w14:paraId="594D16F1">
      <w:pPr>
        <w:tabs>
          <w:tab w:val="left" w:pos="2127"/>
        </w:tabs>
        <w:kinsoku/>
        <w:overflowPunct/>
        <w:bidi w:val="0"/>
        <w:spacing w:line="360" w:lineRule="auto"/>
        <w:ind w:right="880"/>
        <w:jc w:val="center"/>
        <w:textAlignment w:val="auto"/>
        <w:rPr>
          <w:rFonts w:ascii="宋体" w:hAnsi="宋体"/>
          <w:b/>
          <w:color w:val="auto"/>
          <w:sz w:val="44"/>
          <w:highlight w:val="none"/>
        </w:rPr>
      </w:pPr>
    </w:p>
    <w:p w14:paraId="4595807D">
      <w:pPr>
        <w:tabs>
          <w:tab w:val="left" w:pos="2127"/>
        </w:tabs>
        <w:kinsoku/>
        <w:overflowPunct/>
        <w:bidi w:val="0"/>
        <w:spacing w:line="360" w:lineRule="auto"/>
        <w:jc w:val="center"/>
        <w:textAlignment w:val="auto"/>
        <w:rPr>
          <w:rFonts w:hint="eastAsia" w:ascii="宋体" w:hAnsi="宋体" w:eastAsia="宋体"/>
          <w:b/>
          <w:color w:val="auto"/>
          <w:sz w:val="44"/>
          <w:highlight w:val="none"/>
          <w:u w:val="single"/>
          <w:lang w:val="en-US" w:eastAsia="zh-CN"/>
        </w:rPr>
      </w:pPr>
    </w:p>
    <w:p w14:paraId="15CAA23C">
      <w:pPr>
        <w:tabs>
          <w:tab w:val="left" w:pos="2127"/>
        </w:tabs>
        <w:kinsoku/>
        <w:overflowPunct/>
        <w:bidi w:val="0"/>
        <w:spacing w:line="360" w:lineRule="auto"/>
        <w:jc w:val="center"/>
        <w:textAlignment w:val="auto"/>
        <w:rPr>
          <w:rFonts w:hint="eastAsia" w:ascii="宋体" w:hAnsi="宋体" w:eastAsia="宋体"/>
          <w:b/>
          <w:color w:val="auto"/>
          <w:sz w:val="44"/>
          <w:highlight w:val="none"/>
          <w:lang w:eastAsia="zh-CN"/>
        </w:rPr>
      </w:pPr>
      <w:r>
        <w:rPr>
          <w:rFonts w:hint="eastAsia" w:ascii="宋体" w:hAnsi="宋体"/>
          <w:b/>
          <w:color w:val="auto"/>
          <w:sz w:val="44"/>
          <w:highlight w:val="none"/>
          <w:lang w:eastAsia="zh-CN"/>
        </w:rPr>
        <w:t>科技公司2025-2026年第一批光伏组件采购框架（二次招标）</w:t>
      </w:r>
    </w:p>
    <w:p w14:paraId="06B2FEAD">
      <w:pPr>
        <w:tabs>
          <w:tab w:val="left" w:pos="2127"/>
        </w:tabs>
        <w:kinsoku/>
        <w:overflowPunct/>
        <w:bidi w:val="0"/>
        <w:spacing w:line="360" w:lineRule="auto"/>
        <w:jc w:val="center"/>
        <w:textAlignment w:val="auto"/>
        <w:rPr>
          <w:rFonts w:ascii="宋体" w:hAnsi="宋体"/>
          <w:b/>
          <w:color w:val="auto"/>
          <w:sz w:val="44"/>
          <w:highlight w:val="none"/>
        </w:rPr>
      </w:pPr>
    </w:p>
    <w:p w14:paraId="2456BAB9">
      <w:pPr>
        <w:tabs>
          <w:tab w:val="left" w:pos="2127"/>
        </w:tabs>
        <w:kinsoku/>
        <w:overflowPunct/>
        <w:bidi w:val="0"/>
        <w:spacing w:line="360" w:lineRule="auto"/>
        <w:jc w:val="center"/>
        <w:textAlignment w:val="auto"/>
        <w:rPr>
          <w:rFonts w:hint="eastAsia" w:ascii="宋体" w:hAnsi="宋体"/>
          <w:b/>
          <w:color w:val="auto"/>
          <w:sz w:val="84"/>
          <w:highlight w:val="none"/>
        </w:rPr>
      </w:pPr>
    </w:p>
    <w:p w14:paraId="02D4A23F">
      <w:pPr>
        <w:tabs>
          <w:tab w:val="left" w:pos="2127"/>
        </w:tabs>
        <w:kinsoku/>
        <w:overflowPunct/>
        <w:bidi w:val="0"/>
        <w:spacing w:line="360" w:lineRule="auto"/>
        <w:jc w:val="center"/>
        <w:textAlignment w:val="auto"/>
        <w:rPr>
          <w:rFonts w:hint="eastAsia" w:ascii="楷体" w:hAnsi="楷体" w:eastAsia="楷体" w:cs="楷体"/>
          <w:b/>
          <w:color w:val="auto"/>
          <w:sz w:val="84"/>
          <w:szCs w:val="84"/>
          <w:highlight w:val="none"/>
          <w:lang w:eastAsia="zh-CN"/>
        </w:rPr>
      </w:pPr>
      <w:r>
        <w:rPr>
          <w:rFonts w:hint="eastAsia" w:ascii="楷体" w:hAnsi="楷体" w:eastAsia="楷体" w:cs="楷体"/>
          <w:b/>
          <w:color w:val="auto"/>
          <w:sz w:val="84"/>
          <w:szCs w:val="84"/>
          <w:highlight w:val="none"/>
          <w:lang w:eastAsia="zh-CN"/>
        </w:rPr>
        <w:t>招标文件</w:t>
      </w:r>
    </w:p>
    <w:p w14:paraId="158C3632">
      <w:pPr>
        <w:tabs>
          <w:tab w:val="left" w:pos="2127"/>
        </w:tabs>
        <w:kinsoku/>
        <w:overflowPunct/>
        <w:bidi w:val="0"/>
        <w:spacing w:line="360" w:lineRule="auto"/>
        <w:jc w:val="center"/>
        <w:textAlignment w:val="auto"/>
        <w:rPr>
          <w:rFonts w:ascii="宋体" w:hAnsi="宋体"/>
          <w:b/>
          <w:color w:val="auto"/>
          <w:sz w:val="44"/>
          <w:highlight w:val="none"/>
        </w:rPr>
      </w:pPr>
    </w:p>
    <w:p w14:paraId="772EEEF5">
      <w:pPr>
        <w:tabs>
          <w:tab w:val="left" w:pos="2127"/>
        </w:tabs>
        <w:kinsoku/>
        <w:overflowPunct/>
        <w:bidi w:val="0"/>
        <w:spacing w:line="360" w:lineRule="auto"/>
        <w:textAlignment w:val="auto"/>
        <w:rPr>
          <w:rFonts w:ascii="宋体" w:hAnsi="宋体"/>
          <w:color w:val="auto"/>
          <w:sz w:val="32"/>
          <w:highlight w:val="none"/>
        </w:rPr>
      </w:pPr>
    </w:p>
    <w:p w14:paraId="35FC1C9A">
      <w:pPr>
        <w:tabs>
          <w:tab w:val="left" w:pos="2127"/>
        </w:tabs>
        <w:kinsoku/>
        <w:overflowPunct/>
        <w:bidi w:val="0"/>
        <w:spacing w:line="360" w:lineRule="auto"/>
        <w:textAlignment w:val="auto"/>
        <w:rPr>
          <w:rFonts w:ascii="宋体" w:hAnsi="宋体"/>
          <w:color w:val="auto"/>
          <w:sz w:val="32"/>
          <w:highlight w:val="none"/>
        </w:rPr>
      </w:pPr>
    </w:p>
    <w:p w14:paraId="02FAE66A">
      <w:pPr>
        <w:tabs>
          <w:tab w:val="left" w:pos="2127"/>
        </w:tabs>
        <w:kinsoku/>
        <w:overflowPunct/>
        <w:bidi w:val="0"/>
        <w:spacing w:line="360" w:lineRule="auto"/>
        <w:textAlignment w:val="auto"/>
        <w:rPr>
          <w:rFonts w:ascii="宋体" w:hAnsi="宋体"/>
          <w:color w:val="auto"/>
          <w:sz w:val="32"/>
          <w:highlight w:val="none"/>
        </w:rPr>
      </w:pPr>
    </w:p>
    <w:p w14:paraId="4ABA01DE">
      <w:pPr>
        <w:kinsoku/>
        <w:overflowPunct/>
        <w:bidi w:val="0"/>
        <w:spacing w:line="360" w:lineRule="auto"/>
        <w:jc w:val="center"/>
        <w:textAlignment w:val="auto"/>
        <w:rPr>
          <w:rFonts w:hint="eastAsia" w:ascii="楷体" w:hAnsi="楷体" w:eastAsia="楷体" w:cs="楷体"/>
          <w:b/>
          <w:strike/>
          <w:color w:val="auto"/>
          <w:sz w:val="36"/>
          <w:highlight w:val="none"/>
        </w:rPr>
      </w:pPr>
      <w:r>
        <w:rPr>
          <w:rFonts w:hint="eastAsia" w:ascii="楷体" w:hAnsi="楷体" w:eastAsia="楷体" w:cs="楷体"/>
          <w:b/>
          <w:color w:val="auto"/>
          <w:sz w:val="36"/>
          <w:highlight w:val="none"/>
          <w:lang w:val="en-US" w:eastAsia="zh-CN"/>
        </w:rPr>
        <w:t>招标</w:t>
      </w:r>
      <w:r>
        <w:rPr>
          <w:rFonts w:hint="eastAsia" w:ascii="楷体" w:hAnsi="楷体" w:eastAsia="楷体" w:cs="楷体"/>
          <w:b/>
          <w:color w:val="auto"/>
          <w:sz w:val="36"/>
          <w:highlight w:val="none"/>
        </w:rPr>
        <w:t>人：</w:t>
      </w:r>
      <w:r>
        <w:rPr>
          <w:rFonts w:hint="eastAsia" w:ascii="楷体" w:hAnsi="楷体" w:eastAsia="楷体" w:cs="楷体"/>
          <w:b/>
          <w:color w:val="auto"/>
          <w:kern w:val="2"/>
          <w:sz w:val="36"/>
          <w:szCs w:val="22"/>
          <w:highlight w:val="none"/>
          <w:u w:val="none"/>
          <w:lang w:val="en-US" w:eastAsia="zh-CN" w:bidi="ar-SA"/>
        </w:rPr>
        <w:t>广州南方电力集团科技发展有限公司</w:t>
      </w:r>
    </w:p>
    <w:p w14:paraId="32251F6F">
      <w:pPr>
        <w:kinsoku/>
        <w:overflowPunct/>
        <w:bidi w:val="0"/>
        <w:spacing w:line="360" w:lineRule="auto"/>
        <w:jc w:val="center"/>
        <w:textAlignment w:val="auto"/>
        <w:rPr>
          <w:rFonts w:hint="eastAsia" w:ascii="楷体" w:hAnsi="楷体" w:eastAsia="楷体" w:cs="楷体"/>
          <w:b/>
          <w:color w:val="auto"/>
          <w:sz w:val="36"/>
          <w:highlight w:val="none"/>
        </w:rPr>
      </w:pPr>
    </w:p>
    <w:p w14:paraId="38296C5A">
      <w:pPr>
        <w:kinsoku/>
        <w:overflowPunct/>
        <w:bidi w:val="0"/>
        <w:spacing w:line="360" w:lineRule="auto"/>
        <w:jc w:val="center"/>
        <w:textAlignment w:val="auto"/>
        <w:rPr>
          <w:rFonts w:hint="eastAsia" w:ascii="楷体" w:hAnsi="楷体" w:eastAsia="楷体" w:cs="楷体"/>
          <w:b/>
          <w:color w:val="auto"/>
          <w:sz w:val="36"/>
          <w:highlight w:val="none"/>
          <w:u w:val="none"/>
        </w:rPr>
      </w:pPr>
      <w:r>
        <w:rPr>
          <w:rFonts w:hint="eastAsia" w:ascii="楷体" w:hAnsi="楷体" w:eastAsia="楷体" w:cs="楷体"/>
          <w:b/>
          <w:color w:val="auto"/>
          <w:sz w:val="36"/>
          <w:highlight w:val="none"/>
          <w:lang w:val="en-US" w:eastAsia="zh-CN"/>
        </w:rPr>
        <w:t>招标</w:t>
      </w:r>
      <w:r>
        <w:rPr>
          <w:rFonts w:hint="eastAsia" w:ascii="楷体" w:hAnsi="楷体" w:eastAsia="楷体" w:cs="楷体"/>
          <w:b/>
          <w:color w:val="auto"/>
          <w:sz w:val="36"/>
          <w:highlight w:val="none"/>
          <w:u w:val="none"/>
          <w:lang w:eastAsia="zh-CN"/>
        </w:rPr>
        <w:t>服务机构</w:t>
      </w:r>
      <w:r>
        <w:rPr>
          <w:rFonts w:hint="eastAsia" w:ascii="楷体" w:hAnsi="楷体" w:eastAsia="楷体" w:cs="楷体"/>
          <w:b/>
          <w:color w:val="auto"/>
          <w:sz w:val="36"/>
          <w:highlight w:val="none"/>
          <w:u w:val="none"/>
        </w:rPr>
        <w:t>：广州竣盛工程造价咨询有限公司</w:t>
      </w:r>
    </w:p>
    <w:p w14:paraId="5883EF99">
      <w:pPr>
        <w:kinsoku/>
        <w:overflowPunct/>
        <w:bidi w:val="0"/>
        <w:spacing w:line="360" w:lineRule="auto"/>
        <w:jc w:val="center"/>
        <w:textAlignment w:val="auto"/>
        <w:rPr>
          <w:rFonts w:hint="eastAsia" w:ascii="楷体" w:hAnsi="楷体" w:eastAsia="楷体" w:cs="楷体"/>
          <w:b/>
          <w:color w:val="auto"/>
          <w:sz w:val="36"/>
          <w:highlight w:val="none"/>
          <w:u w:val="none"/>
        </w:rPr>
      </w:pPr>
    </w:p>
    <w:p w14:paraId="454DEDF7">
      <w:pPr>
        <w:kinsoku/>
        <w:overflowPunct/>
        <w:bidi w:val="0"/>
        <w:spacing w:line="360" w:lineRule="auto"/>
        <w:jc w:val="center"/>
        <w:textAlignment w:val="auto"/>
        <w:rPr>
          <w:rFonts w:hint="eastAsia" w:ascii="楷体_GB2312" w:hAnsi="宋体" w:eastAsia="楷体_GB2312"/>
          <w:b/>
          <w:color w:val="auto"/>
          <w:sz w:val="36"/>
          <w:highlight w:val="none"/>
          <w:u w:val="none"/>
        </w:rPr>
      </w:pPr>
      <w:r>
        <w:rPr>
          <w:rFonts w:hint="eastAsia" w:ascii="楷体" w:hAnsi="楷体" w:eastAsia="楷体" w:cs="楷体"/>
          <w:b/>
          <w:color w:val="auto"/>
          <w:kern w:val="2"/>
          <w:sz w:val="36"/>
          <w:szCs w:val="22"/>
          <w:highlight w:val="none"/>
          <w:u w:val="none"/>
          <w:lang w:val="en-US" w:eastAsia="zh-CN" w:bidi="ar-SA"/>
        </w:rPr>
        <w:t>2025年5月</w:t>
      </w:r>
    </w:p>
    <w:p w14:paraId="0A49947B">
      <w:pPr>
        <w:rPr>
          <w:b/>
          <w:color w:val="auto"/>
          <w:highlight w:val="none"/>
          <w:lang w:val="zh-CN"/>
        </w:rPr>
      </w:pPr>
    </w:p>
    <w:p w14:paraId="238B3B71">
      <w:pPr>
        <w:pStyle w:val="17"/>
        <w:rPr>
          <w:highlight w:val="none"/>
          <w:lang w:val="zh-CN"/>
        </w:rPr>
        <w:sectPr>
          <w:footerReference r:id="rId3" w:type="default"/>
          <w:pgSz w:w="11906" w:h="16838"/>
          <w:pgMar w:top="1440" w:right="1080" w:bottom="1440" w:left="1080" w:header="850" w:footer="850" w:gutter="0"/>
          <w:pgBorders>
            <w:top w:val="none" w:sz="0" w:space="0"/>
            <w:left w:val="none" w:sz="0" w:space="0"/>
            <w:bottom w:val="none" w:sz="0" w:space="0"/>
            <w:right w:val="none" w:sz="0" w:space="0"/>
          </w:pgBorders>
          <w:pgNumType w:fmt="decimal" w:start="1"/>
          <w:cols w:space="720" w:num="1"/>
          <w:docGrid w:type="lines" w:linePitch="312" w:charSpace="0"/>
        </w:sectPr>
      </w:pPr>
    </w:p>
    <w:p w14:paraId="0BE6C25F">
      <w:pPr>
        <w:pStyle w:val="144"/>
        <w:kinsoku/>
        <w:overflowPunct/>
        <w:bidi w:val="0"/>
        <w:spacing w:before="0" w:after="0" w:line="360" w:lineRule="auto"/>
        <w:jc w:val="center"/>
        <w:textAlignment w:val="auto"/>
        <w:outlineLvl w:val="0"/>
        <w:rPr>
          <w:b/>
          <w:color w:val="auto"/>
          <w:highlight w:val="none"/>
        </w:rPr>
      </w:pPr>
      <w:r>
        <w:rPr>
          <w:rFonts w:hint="eastAsia" w:hAnsi="宋体"/>
          <w:b/>
          <w:color w:val="auto"/>
          <w:sz w:val="40"/>
          <w:szCs w:val="28"/>
          <w:highlight w:val="none"/>
        </w:rPr>
        <w:t>目  录</w:t>
      </w:r>
    </w:p>
    <w:p w14:paraId="45892C46">
      <w:pPr>
        <w:pStyle w:val="31"/>
        <w:tabs>
          <w:tab w:val="right" w:leader="dot" w:pos="9746"/>
        </w:tabs>
        <w:spacing w:line="360" w:lineRule="auto"/>
        <w:rPr>
          <w:highlight w:val="none"/>
        </w:rPr>
      </w:pPr>
      <w:r>
        <w:rPr>
          <w:color w:val="auto"/>
          <w:highlight w:val="none"/>
        </w:rPr>
        <w:fldChar w:fldCharType="begin"/>
      </w:r>
      <w:r>
        <w:rPr>
          <w:color w:val="auto"/>
          <w:highlight w:val="none"/>
        </w:rPr>
        <w:instrText xml:space="preserve"> TOC \o "1-3" \h \z \u </w:instrText>
      </w:r>
      <w:r>
        <w:rPr>
          <w:color w:val="auto"/>
          <w:highlight w:val="none"/>
        </w:rPr>
        <w:fldChar w:fldCharType="separate"/>
      </w:r>
      <w:r>
        <w:rPr>
          <w:color w:val="auto"/>
          <w:highlight w:val="none"/>
        </w:rPr>
        <w:fldChar w:fldCharType="begin"/>
      </w:r>
      <w:r>
        <w:rPr>
          <w:highlight w:val="none"/>
        </w:rPr>
        <w:instrText xml:space="preserve"> HYPERLINK \l _Toc4209 </w:instrText>
      </w:r>
      <w:r>
        <w:rPr>
          <w:highlight w:val="none"/>
        </w:rPr>
        <w:fldChar w:fldCharType="separate"/>
      </w:r>
      <w:r>
        <w:rPr>
          <w:rFonts w:hint="eastAsia" w:ascii="宋体" w:hAnsi="宋体"/>
          <w:kern w:val="0"/>
          <w:highlight w:val="none"/>
        </w:rPr>
        <w:t>第一卷</w:t>
      </w:r>
      <w:r>
        <w:rPr>
          <w:highlight w:val="none"/>
        </w:rPr>
        <w:tab/>
      </w:r>
      <w:r>
        <w:rPr>
          <w:highlight w:val="none"/>
        </w:rPr>
        <w:fldChar w:fldCharType="begin"/>
      </w:r>
      <w:r>
        <w:rPr>
          <w:highlight w:val="none"/>
        </w:rPr>
        <w:instrText xml:space="preserve"> PAGEREF _Toc4209 \h </w:instrText>
      </w:r>
      <w:r>
        <w:rPr>
          <w:highlight w:val="none"/>
        </w:rPr>
        <w:fldChar w:fldCharType="separate"/>
      </w:r>
      <w:r>
        <w:rPr>
          <w:highlight w:val="none"/>
        </w:rPr>
        <w:t>1</w:t>
      </w:r>
      <w:r>
        <w:rPr>
          <w:highlight w:val="none"/>
        </w:rPr>
        <w:fldChar w:fldCharType="end"/>
      </w:r>
      <w:r>
        <w:rPr>
          <w:color w:val="auto"/>
          <w:highlight w:val="none"/>
        </w:rPr>
        <w:fldChar w:fldCharType="end"/>
      </w:r>
    </w:p>
    <w:p w14:paraId="00148824">
      <w:pPr>
        <w:pStyle w:val="31"/>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_Toc10830 </w:instrText>
      </w:r>
      <w:r>
        <w:rPr>
          <w:bCs/>
          <w:highlight w:val="none"/>
          <w:lang w:val="zh-CN"/>
        </w:rPr>
        <w:fldChar w:fldCharType="separate"/>
      </w:r>
      <w:r>
        <w:rPr>
          <w:rFonts w:hint="eastAsia"/>
          <w:szCs w:val="32"/>
          <w:highlight w:val="none"/>
        </w:rPr>
        <w:t>第一章 招标公告</w:t>
      </w:r>
      <w:r>
        <w:rPr>
          <w:highlight w:val="none"/>
        </w:rPr>
        <w:tab/>
      </w:r>
      <w:r>
        <w:rPr>
          <w:highlight w:val="none"/>
        </w:rPr>
        <w:fldChar w:fldCharType="begin"/>
      </w:r>
      <w:r>
        <w:rPr>
          <w:highlight w:val="none"/>
        </w:rPr>
        <w:instrText xml:space="preserve"> PAGEREF _Toc10830 \h </w:instrText>
      </w:r>
      <w:r>
        <w:rPr>
          <w:highlight w:val="none"/>
        </w:rPr>
        <w:fldChar w:fldCharType="separate"/>
      </w:r>
      <w:r>
        <w:rPr>
          <w:highlight w:val="none"/>
        </w:rPr>
        <w:t>1</w:t>
      </w:r>
      <w:r>
        <w:rPr>
          <w:highlight w:val="none"/>
        </w:rPr>
        <w:fldChar w:fldCharType="end"/>
      </w:r>
      <w:r>
        <w:rPr>
          <w:bCs/>
          <w:color w:val="auto"/>
          <w:highlight w:val="none"/>
          <w:lang w:val="zh-CN"/>
        </w:rPr>
        <w:fldChar w:fldCharType="end"/>
      </w:r>
    </w:p>
    <w:p w14:paraId="15AC2C04">
      <w:pPr>
        <w:pStyle w:val="31"/>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_Toc18127 </w:instrText>
      </w:r>
      <w:r>
        <w:rPr>
          <w:bCs/>
          <w:highlight w:val="none"/>
          <w:lang w:val="zh-CN"/>
        </w:rPr>
        <w:fldChar w:fldCharType="separate"/>
      </w:r>
      <w:r>
        <w:rPr>
          <w:rFonts w:hint="eastAsia"/>
          <w:bCs/>
          <w:szCs w:val="32"/>
          <w:highlight w:val="none"/>
        </w:rPr>
        <w:t>第二章 投标人须知</w:t>
      </w:r>
      <w:r>
        <w:rPr>
          <w:highlight w:val="none"/>
        </w:rPr>
        <w:tab/>
      </w:r>
      <w:r>
        <w:rPr>
          <w:highlight w:val="none"/>
        </w:rPr>
        <w:fldChar w:fldCharType="begin"/>
      </w:r>
      <w:r>
        <w:rPr>
          <w:highlight w:val="none"/>
        </w:rPr>
        <w:instrText xml:space="preserve"> PAGEREF _Toc18127 \h </w:instrText>
      </w:r>
      <w:r>
        <w:rPr>
          <w:highlight w:val="none"/>
        </w:rPr>
        <w:fldChar w:fldCharType="separate"/>
      </w:r>
      <w:r>
        <w:rPr>
          <w:highlight w:val="none"/>
        </w:rPr>
        <w:t>6</w:t>
      </w:r>
      <w:r>
        <w:rPr>
          <w:highlight w:val="none"/>
        </w:rPr>
        <w:fldChar w:fldCharType="end"/>
      </w:r>
      <w:r>
        <w:rPr>
          <w:bCs/>
          <w:color w:val="auto"/>
          <w:highlight w:val="none"/>
          <w:lang w:val="zh-CN"/>
        </w:rPr>
        <w:fldChar w:fldCharType="end"/>
      </w:r>
    </w:p>
    <w:p w14:paraId="1661B94B">
      <w:pPr>
        <w:pStyle w:val="37"/>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_Toc19445 </w:instrText>
      </w:r>
      <w:r>
        <w:rPr>
          <w:bCs/>
          <w:highlight w:val="none"/>
          <w:lang w:val="zh-CN"/>
        </w:rPr>
        <w:fldChar w:fldCharType="separate"/>
      </w:r>
      <w:r>
        <w:rPr>
          <w:rFonts w:hint="eastAsia" w:ascii="宋体" w:hAnsi="宋体" w:eastAsia="宋体"/>
          <w:szCs w:val="24"/>
          <w:highlight w:val="none"/>
        </w:rPr>
        <w:t>投标人须知前附表</w:t>
      </w:r>
      <w:r>
        <w:rPr>
          <w:highlight w:val="none"/>
        </w:rPr>
        <w:tab/>
      </w:r>
      <w:r>
        <w:rPr>
          <w:highlight w:val="none"/>
        </w:rPr>
        <w:fldChar w:fldCharType="begin"/>
      </w:r>
      <w:r>
        <w:rPr>
          <w:highlight w:val="none"/>
        </w:rPr>
        <w:instrText xml:space="preserve"> PAGEREF _Toc19445 \h </w:instrText>
      </w:r>
      <w:r>
        <w:rPr>
          <w:highlight w:val="none"/>
        </w:rPr>
        <w:fldChar w:fldCharType="separate"/>
      </w:r>
      <w:r>
        <w:rPr>
          <w:highlight w:val="none"/>
        </w:rPr>
        <w:t>6</w:t>
      </w:r>
      <w:r>
        <w:rPr>
          <w:highlight w:val="none"/>
        </w:rPr>
        <w:fldChar w:fldCharType="end"/>
      </w:r>
      <w:r>
        <w:rPr>
          <w:bCs/>
          <w:color w:val="auto"/>
          <w:highlight w:val="none"/>
          <w:lang w:val="zh-CN"/>
        </w:rPr>
        <w:fldChar w:fldCharType="end"/>
      </w:r>
    </w:p>
    <w:p w14:paraId="4433357A">
      <w:pPr>
        <w:pStyle w:val="37"/>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_Toc31064 </w:instrText>
      </w:r>
      <w:r>
        <w:rPr>
          <w:bCs/>
          <w:highlight w:val="none"/>
          <w:lang w:val="zh-CN"/>
        </w:rPr>
        <w:fldChar w:fldCharType="separate"/>
      </w:r>
      <w:r>
        <w:rPr>
          <w:rFonts w:hint="eastAsia" w:ascii="宋体" w:hAnsi="宋体" w:eastAsia="宋体"/>
          <w:szCs w:val="24"/>
          <w:highlight w:val="none"/>
        </w:rPr>
        <w:t>1. 总则</w:t>
      </w:r>
      <w:r>
        <w:rPr>
          <w:highlight w:val="none"/>
        </w:rPr>
        <w:tab/>
      </w:r>
      <w:r>
        <w:rPr>
          <w:highlight w:val="none"/>
        </w:rPr>
        <w:fldChar w:fldCharType="begin"/>
      </w:r>
      <w:r>
        <w:rPr>
          <w:highlight w:val="none"/>
        </w:rPr>
        <w:instrText xml:space="preserve"> PAGEREF _Toc31064 \h </w:instrText>
      </w:r>
      <w:r>
        <w:rPr>
          <w:highlight w:val="none"/>
        </w:rPr>
        <w:fldChar w:fldCharType="separate"/>
      </w:r>
      <w:r>
        <w:rPr>
          <w:highlight w:val="none"/>
        </w:rPr>
        <w:t>16</w:t>
      </w:r>
      <w:r>
        <w:rPr>
          <w:highlight w:val="none"/>
        </w:rPr>
        <w:fldChar w:fldCharType="end"/>
      </w:r>
      <w:r>
        <w:rPr>
          <w:bCs/>
          <w:color w:val="auto"/>
          <w:highlight w:val="none"/>
          <w:lang w:val="zh-CN"/>
        </w:rPr>
        <w:fldChar w:fldCharType="end"/>
      </w:r>
    </w:p>
    <w:p w14:paraId="6575E89B">
      <w:pPr>
        <w:pStyle w:val="37"/>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_Toc31599 </w:instrText>
      </w:r>
      <w:r>
        <w:rPr>
          <w:bCs/>
          <w:highlight w:val="none"/>
          <w:lang w:val="zh-CN"/>
        </w:rPr>
        <w:fldChar w:fldCharType="separate"/>
      </w:r>
      <w:r>
        <w:rPr>
          <w:rFonts w:hint="eastAsia" w:ascii="宋体" w:hAnsi="宋体" w:eastAsia="宋体"/>
          <w:szCs w:val="24"/>
          <w:highlight w:val="none"/>
        </w:rPr>
        <w:t>2. 招标文件</w:t>
      </w:r>
      <w:r>
        <w:rPr>
          <w:highlight w:val="none"/>
        </w:rPr>
        <w:tab/>
      </w:r>
      <w:r>
        <w:rPr>
          <w:highlight w:val="none"/>
        </w:rPr>
        <w:fldChar w:fldCharType="begin"/>
      </w:r>
      <w:r>
        <w:rPr>
          <w:highlight w:val="none"/>
        </w:rPr>
        <w:instrText xml:space="preserve"> PAGEREF _Toc31599 \h </w:instrText>
      </w:r>
      <w:r>
        <w:rPr>
          <w:highlight w:val="none"/>
        </w:rPr>
        <w:fldChar w:fldCharType="separate"/>
      </w:r>
      <w:r>
        <w:rPr>
          <w:highlight w:val="none"/>
        </w:rPr>
        <w:t>18</w:t>
      </w:r>
      <w:r>
        <w:rPr>
          <w:highlight w:val="none"/>
        </w:rPr>
        <w:fldChar w:fldCharType="end"/>
      </w:r>
      <w:r>
        <w:rPr>
          <w:bCs/>
          <w:color w:val="auto"/>
          <w:highlight w:val="none"/>
          <w:lang w:val="zh-CN"/>
        </w:rPr>
        <w:fldChar w:fldCharType="end"/>
      </w:r>
    </w:p>
    <w:p w14:paraId="1593C3BB">
      <w:pPr>
        <w:pStyle w:val="37"/>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_Toc12055 </w:instrText>
      </w:r>
      <w:r>
        <w:rPr>
          <w:bCs/>
          <w:highlight w:val="none"/>
          <w:lang w:val="zh-CN"/>
        </w:rPr>
        <w:fldChar w:fldCharType="separate"/>
      </w:r>
      <w:r>
        <w:rPr>
          <w:rFonts w:hint="eastAsia" w:ascii="宋体" w:hAnsi="宋体" w:eastAsia="宋体"/>
          <w:szCs w:val="24"/>
          <w:highlight w:val="none"/>
        </w:rPr>
        <w:t>3. 投标文件</w:t>
      </w:r>
      <w:r>
        <w:rPr>
          <w:highlight w:val="none"/>
        </w:rPr>
        <w:tab/>
      </w:r>
      <w:r>
        <w:rPr>
          <w:highlight w:val="none"/>
        </w:rPr>
        <w:fldChar w:fldCharType="begin"/>
      </w:r>
      <w:r>
        <w:rPr>
          <w:highlight w:val="none"/>
        </w:rPr>
        <w:instrText xml:space="preserve"> PAGEREF _Toc12055 \h </w:instrText>
      </w:r>
      <w:r>
        <w:rPr>
          <w:highlight w:val="none"/>
        </w:rPr>
        <w:fldChar w:fldCharType="separate"/>
      </w:r>
      <w:r>
        <w:rPr>
          <w:highlight w:val="none"/>
        </w:rPr>
        <w:t>19</w:t>
      </w:r>
      <w:r>
        <w:rPr>
          <w:highlight w:val="none"/>
        </w:rPr>
        <w:fldChar w:fldCharType="end"/>
      </w:r>
      <w:r>
        <w:rPr>
          <w:bCs/>
          <w:color w:val="auto"/>
          <w:highlight w:val="none"/>
          <w:lang w:val="zh-CN"/>
        </w:rPr>
        <w:fldChar w:fldCharType="end"/>
      </w:r>
    </w:p>
    <w:p w14:paraId="2EB88ACA">
      <w:pPr>
        <w:pStyle w:val="37"/>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_Toc26082 </w:instrText>
      </w:r>
      <w:r>
        <w:rPr>
          <w:bCs/>
          <w:highlight w:val="none"/>
          <w:lang w:val="zh-CN"/>
        </w:rPr>
        <w:fldChar w:fldCharType="separate"/>
      </w:r>
      <w:r>
        <w:rPr>
          <w:rFonts w:hint="eastAsia" w:ascii="宋体" w:hAnsi="宋体" w:eastAsia="宋体"/>
          <w:szCs w:val="24"/>
          <w:highlight w:val="none"/>
        </w:rPr>
        <w:t>4. 投标</w:t>
      </w:r>
      <w:r>
        <w:rPr>
          <w:highlight w:val="none"/>
        </w:rPr>
        <w:tab/>
      </w:r>
      <w:r>
        <w:rPr>
          <w:highlight w:val="none"/>
        </w:rPr>
        <w:fldChar w:fldCharType="begin"/>
      </w:r>
      <w:r>
        <w:rPr>
          <w:highlight w:val="none"/>
        </w:rPr>
        <w:instrText xml:space="preserve"> PAGEREF _Toc26082 \h </w:instrText>
      </w:r>
      <w:r>
        <w:rPr>
          <w:highlight w:val="none"/>
        </w:rPr>
        <w:fldChar w:fldCharType="separate"/>
      </w:r>
      <w:r>
        <w:rPr>
          <w:highlight w:val="none"/>
        </w:rPr>
        <w:t>21</w:t>
      </w:r>
      <w:r>
        <w:rPr>
          <w:highlight w:val="none"/>
        </w:rPr>
        <w:fldChar w:fldCharType="end"/>
      </w:r>
      <w:r>
        <w:rPr>
          <w:bCs/>
          <w:color w:val="auto"/>
          <w:highlight w:val="none"/>
          <w:lang w:val="zh-CN"/>
        </w:rPr>
        <w:fldChar w:fldCharType="end"/>
      </w:r>
    </w:p>
    <w:p w14:paraId="7C161548">
      <w:pPr>
        <w:pStyle w:val="37"/>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_Toc25973 </w:instrText>
      </w:r>
      <w:r>
        <w:rPr>
          <w:bCs/>
          <w:highlight w:val="none"/>
          <w:lang w:val="zh-CN"/>
        </w:rPr>
        <w:fldChar w:fldCharType="separate"/>
      </w:r>
      <w:r>
        <w:rPr>
          <w:rFonts w:hint="eastAsia" w:ascii="宋体" w:hAnsi="宋体" w:eastAsia="宋体"/>
          <w:szCs w:val="24"/>
          <w:highlight w:val="none"/>
        </w:rPr>
        <w:t>5. 开标</w:t>
      </w:r>
      <w:r>
        <w:rPr>
          <w:highlight w:val="none"/>
        </w:rPr>
        <w:tab/>
      </w:r>
      <w:r>
        <w:rPr>
          <w:highlight w:val="none"/>
        </w:rPr>
        <w:fldChar w:fldCharType="begin"/>
      </w:r>
      <w:r>
        <w:rPr>
          <w:highlight w:val="none"/>
        </w:rPr>
        <w:instrText xml:space="preserve"> PAGEREF _Toc25973 \h </w:instrText>
      </w:r>
      <w:r>
        <w:rPr>
          <w:highlight w:val="none"/>
        </w:rPr>
        <w:fldChar w:fldCharType="separate"/>
      </w:r>
      <w:r>
        <w:rPr>
          <w:highlight w:val="none"/>
        </w:rPr>
        <w:t>21</w:t>
      </w:r>
      <w:r>
        <w:rPr>
          <w:highlight w:val="none"/>
        </w:rPr>
        <w:fldChar w:fldCharType="end"/>
      </w:r>
      <w:r>
        <w:rPr>
          <w:bCs/>
          <w:color w:val="auto"/>
          <w:highlight w:val="none"/>
          <w:lang w:val="zh-CN"/>
        </w:rPr>
        <w:fldChar w:fldCharType="end"/>
      </w:r>
    </w:p>
    <w:p w14:paraId="55612866">
      <w:pPr>
        <w:pStyle w:val="37"/>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_Toc10989 </w:instrText>
      </w:r>
      <w:r>
        <w:rPr>
          <w:bCs/>
          <w:highlight w:val="none"/>
          <w:lang w:val="zh-CN"/>
        </w:rPr>
        <w:fldChar w:fldCharType="separate"/>
      </w:r>
      <w:r>
        <w:rPr>
          <w:rFonts w:hint="eastAsia" w:ascii="宋体" w:hAnsi="宋体" w:eastAsia="宋体"/>
          <w:szCs w:val="24"/>
          <w:highlight w:val="none"/>
        </w:rPr>
        <w:t>6. 评标</w:t>
      </w:r>
      <w:r>
        <w:rPr>
          <w:highlight w:val="none"/>
        </w:rPr>
        <w:tab/>
      </w:r>
      <w:r>
        <w:rPr>
          <w:highlight w:val="none"/>
        </w:rPr>
        <w:fldChar w:fldCharType="begin"/>
      </w:r>
      <w:r>
        <w:rPr>
          <w:highlight w:val="none"/>
        </w:rPr>
        <w:instrText xml:space="preserve"> PAGEREF _Toc10989 \h </w:instrText>
      </w:r>
      <w:r>
        <w:rPr>
          <w:highlight w:val="none"/>
        </w:rPr>
        <w:fldChar w:fldCharType="separate"/>
      </w:r>
      <w:r>
        <w:rPr>
          <w:highlight w:val="none"/>
        </w:rPr>
        <w:t>22</w:t>
      </w:r>
      <w:r>
        <w:rPr>
          <w:highlight w:val="none"/>
        </w:rPr>
        <w:fldChar w:fldCharType="end"/>
      </w:r>
      <w:r>
        <w:rPr>
          <w:bCs/>
          <w:color w:val="auto"/>
          <w:highlight w:val="none"/>
          <w:lang w:val="zh-CN"/>
        </w:rPr>
        <w:fldChar w:fldCharType="end"/>
      </w:r>
    </w:p>
    <w:p w14:paraId="39566F87">
      <w:pPr>
        <w:pStyle w:val="37"/>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_Toc14301 </w:instrText>
      </w:r>
      <w:r>
        <w:rPr>
          <w:bCs/>
          <w:highlight w:val="none"/>
          <w:lang w:val="zh-CN"/>
        </w:rPr>
        <w:fldChar w:fldCharType="separate"/>
      </w:r>
      <w:r>
        <w:rPr>
          <w:rFonts w:hint="eastAsia" w:ascii="宋体" w:hAnsi="宋体" w:eastAsia="宋体"/>
          <w:szCs w:val="24"/>
          <w:highlight w:val="none"/>
        </w:rPr>
        <w:t>7. 合同授予</w:t>
      </w:r>
      <w:r>
        <w:rPr>
          <w:highlight w:val="none"/>
        </w:rPr>
        <w:tab/>
      </w:r>
      <w:r>
        <w:rPr>
          <w:highlight w:val="none"/>
        </w:rPr>
        <w:fldChar w:fldCharType="begin"/>
      </w:r>
      <w:r>
        <w:rPr>
          <w:highlight w:val="none"/>
        </w:rPr>
        <w:instrText xml:space="preserve"> PAGEREF _Toc14301 \h </w:instrText>
      </w:r>
      <w:r>
        <w:rPr>
          <w:highlight w:val="none"/>
        </w:rPr>
        <w:fldChar w:fldCharType="separate"/>
      </w:r>
      <w:r>
        <w:rPr>
          <w:highlight w:val="none"/>
        </w:rPr>
        <w:t>23</w:t>
      </w:r>
      <w:r>
        <w:rPr>
          <w:highlight w:val="none"/>
        </w:rPr>
        <w:fldChar w:fldCharType="end"/>
      </w:r>
      <w:r>
        <w:rPr>
          <w:bCs/>
          <w:color w:val="auto"/>
          <w:highlight w:val="none"/>
          <w:lang w:val="zh-CN"/>
        </w:rPr>
        <w:fldChar w:fldCharType="end"/>
      </w:r>
    </w:p>
    <w:p w14:paraId="285D4FDF">
      <w:pPr>
        <w:pStyle w:val="37"/>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_Toc29832 </w:instrText>
      </w:r>
      <w:r>
        <w:rPr>
          <w:bCs/>
          <w:highlight w:val="none"/>
          <w:lang w:val="zh-CN"/>
        </w:rPr>
        <w:fldChar w:fldCharType="separate"/>
      </w:r>
      <w:r>
        <w:rPr>
          <w:rFonts w:hint="eastAsia" w:ascii="宋体" w:hAnsi="宋体" w:eastAsia="宋体"/>
          <w:szCs w:val="24"/>
          <w:highlight w:val="none"/>
        </w:rPr>
        <w:t>8. 重新招标和不再招标</w:t>
      </w:r>
      <w:r>
        <w:rPr>
          <w:highlight w:val="none"/>
        </w:rPr>
        <w:tab/>
      </w:r>
      <w:r>
        <w:rPr>
          <w:highlight w:val="none"/>
        </w:rPr>
        <w:fldChar w:fldCharType="begin"/>
      </w:r>
      <w:r>
        <w:rPr>
          <w:highlight w:val="none"/>
        </w:rPr>
        <w:instrText xml:space="preserve"> PAGEREF _Toc29832 \h </w:instrText>
      </w:r>
      <w:r>
        <w:rPr>
          <w:highlight w:val="none"/>
        </w:rPr>
        <w:fldChar w:fldCharType="separate"/>
      </w:r>
      <w:r>
        <w:rPr>
          <w:highlight w:val="none"/>
        </w:rPr>
        <w:t>24</w:t>
      </w:r>
      <w:r>
        <w:rPr>
          <w:highlight w:val="none"/>
        </w:rPr>
        <w:fldChar w:fldCharType="end"/>
      </w:r>
      <w:r>
        <w:rPr>
          <w:bCs/>
          <w:color w:val="auto"/>
          <w:highlight w:val="none"/>
          <w:lang w:val="zh-CN"/>
        </w:rPr>
        <w:fldChar w:fldCharType="end"/>
      </w:r>
    </w:p>
    <w:p w14:paraId="7792898E">
      <w:pPr>
        <w:pStyle w:val="37"/>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_Toc31806 </w:instrText>
      </w:r>
      <w:r>
        <w:rPr>
          <w:bCs/>
          <w:highlight w:val="none"/>
          <w:lang w:val="zh-CN"/>
        </w:rPr>
        <w:fldChar w:fldCharType="separate"/>
      </w:r>
      <w:r>
        <w:rPr>
          <w:rFonts w:hint="eastAsia" w:ascii="宋体" w:hAnsi="宋体" w:eastAsia="宋体"/>
          <w:szCs w:val="24"/>
          <w:highlight w:val="none"/>
        </w:rPr>
        <w:t>9. 纪律和监督</w:t>
      </w:r>
      <w:r>
        <w:rPr>
          <w:highlight w:val="none"/>
        </w:rPr>
        <w:tab/>
      </w:r>
      <w:r>
        <w:rPr>
          <w:highlight w:val="none"/>
        </w:rPr>
        <w:fldChar w:fldCharType="begin"/>
      </w:r>
      <w:r>
        <w:rPr>
          <w:highlight w:val="none"/>
        </w:rPr>
        <w:instrText xml:space="preserve"> PAGEREF _Toc31806 \h </w:instrText>
      </w:r>
      <w:r>
        <w:rPr>
          <w:highlight w:val="none"/>
        </w:rPr>
        <w:fldChar w:fldCharType="separate"/>
      </w:r>
      <w:r>
        <w:rPr>
          <w:highlight w:val="none"/>
        </w:rPr>
        <w:t>24</w:t>
      </w:r>
      <w:r>
        <w:rPr>
          <w:highlight w:val="none"/>
        </w:rPr>
        <w:fldChar w:fldCharType="end"/>
      </w:r>
      <w:r>
        <w:rPr>
          <w:bCs/>
          <w:color w:val="auto"/>
          <w:highlight w:val="none"/>
          <w:lang w:val="zh-CN"/>
        </w:rPr>
        <w:fldChar w:fldCharType="end"/>
      </w:r>
    </w:p>
    <w:p w14:paraId="53A97D58">
      <w:pPr>
        <w:pStyle w:val="37"/>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_Toc18214 </w:instrText>
      </w:r>
      <w:r>
        <w:rPr>
          <w:bCs/>
          <w:highlight w:val="none"/>
          <w:lang w:val="zh-CN"/>
        </w:rPr>
        <w:fldChar w:fldCharType="separate"/>
      </w:r>
      <w:r>
        <w:rPr>
          <w:rFonts w:hint="eastAsia" w:ascii="宋体" w:hAnsi="宋体" w:eastAsia="宋体"/>
          <w:szCs w:val="24"/>
          <w:highlight w:val="none"/>
        </w:rPr>
        <w:t>10. 需要补充的其他内容</w:t>
      </w:r>
      <w:r>
        <w:rPr>
          <w:highlight w:val="none"/>
        </w:rPr>
        <w:tab/>
      </w:r>
      <w:r>
        <w:rPr>
          <w:highlight w:val="none"/>
        </w:rPr>
        <w:fldChar w:fldCharType="begin"/>
      </w:r>
      <w:r>
        <w:rPr>
          <w:highlight w:val="none"/>
        </w:rPr>
        <w:instrText xml:space="preserve"> PAGEREF _Toc18214 \h </w:instrText>
      </w:r>
      <w:r>
        <w:rPr>
          <w:highlight w:val="none"/>
        </w:rPr>
        <w:fldChar w:fldCharType="separate"/>
      </w:r>
      <w:r>
        <w:rPr>
          <w:highlight w:val="none"/>
        </w:rPr>
        <w:t>25</w:t>
      </w:r>
      <w:r>
        <w:rPr>
          <w:highlight w:val="none"/>
        </w:rPr>
        <w:fldChar w:fldCharType="end"/>
      </w:r>
      <w:r>
        <w:rPr>
          <w:bCs/>
          <w:color w:val="auto"/>
          <w:highlight w:val="none"/>
          <w:lang w:val="zh-CN"/>
        </w:rPr>
        <w:fldChar w:fldCharType="end"/>
      </w:r>
    </w:p>
    <w:p w14:paraId="72D678D1">
      <w:pPr>
        <w:pStyle w:val="37"/>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_Toc29120 </w:instrText>
      </w:r>
      <w:r>
        <w:rPr>
          <w:bCs/>
          <w:highlight w:val="none"/>
          <w:lang w:val="zh-CN"/>
        </w:rPr>
        <w:fldChar w:fldCharType="separate"/>
      </w:r>
      <w:r>
        <w:rPr>
          <w:rFonts w:hint="eastAsia" w:ascii="宋体" w:hAnsi="宋体" w:eastAsia="宋体"/>
          <w:szCs w:val="24"/>
          <w:highlight w:val="none"/>
        </w:rPr>
        <w:t>11. 招标代理服务费</w:t>
      </w:r>
      <w:r>
        <w:rPr>
          <w:highlight w:val="none"/>
        </w:rPr>
        <w:tab/>
      </w:r>
      <w:r>
        <w:rPr>
          <w:highlight w:val="none"/>
        </w:rPr>
        <w:fldChar w:fldCharType="begin"/>
      </w:r>
      <w:r>
        <w:rPr>
          <w:highlight w:val="none"/>
        </w:rPr>
        <w:instrText xml:space="preserve"> PAGEREF _Toc29120 \h </w:instrText>
      </w:r>
      <w:r>
        <w:rPr>
          <w:highlight w:val="none"/>
        </w:rPr>
        <w:fldChar w:fldCharType="separate"/>
      </w:r>
      <w:r>
        <w:rPr>
          <w:highlight w:val="none"/>
        </w:rPr>
        <w:t>25</w:t>
      </w:r>
      <w:r>
        <w:rPr>
          <w:highlight w:val="none"/>
        </w:rPr>
        <w:fldChar w:fldCharType="end"/>
      </w:r>
      <w:r>
        <w:rPr>
          <w:bCs/>
          <w:color w:val="auto"/>
          <w:highlight w:val="none"/>
          <w:lang w:val="zh-CN"/>
        </w:rPr>
        <w:fldChar w:fldCharType="end"/>
      </w:r>
    </w:p>
    <w:p w14:paraId="2DDEDEC7">
      <w:pPr>
        <w:pStyle w:val="31"/>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_Toc27320 </w:instrText>
      </w:r>
      <w:r>
        <w:rPr>
          <w:bCs/>
          <w:highlight w:val="none"/>
          <w:lang w:val="zh-CN"/>
        </w:rPr>
        <w:fldChar w:fldCharType="separate"/>
      </w:r>
      <w:r>
        <w:rPr>
          <w:rFonts w:hint="eastAsia" w:ascii="宋体" w:hAnsi="宋体"/>
          <w:kern w:val="0"/>
          <w:szCs w:val="32"/>
          <w:highlight w:val="none"/>
        </w:rPr>
        <w:t xml:space="preserve">第三章 </w:t>
      </w:r>
      <w:r>
        <w:rPr>
          <w:rFonts w:hint="eastAsia" w:ascii="宋体" w:hAnsi="宋体"/>
          <w:kern w:val="0"/>
          <w:szCs w:val="32"/>
          <w:highlight w:val="none"/>
          <w:lang w:val="en-US" w:eastAsia="zh-CN"/>
        </w:rPr>
        <w:t>评标</w:t>
      </w:r>
      <w:r>
        <w:rPr>
          <w:rFonts w:hint="eastAsia" w:ascii="宋体" w:hAnsi="宋体"/>
          <w:kern w:val="0"/>
          <w:szCs w:val="32"/>
          <w:highlight w:val="none"/>
        </w:rPr>
        <w:t>办法</w:t>
      </w:r>
      <w:r>
        <w:rPr>
          <w:highlight w:val="none"/>
        </w:rPr>
        <w:tab/>
      </w:r>
      <w:r>
        <w:rPr>
          <w:highlight w:val="none"/>
        </w:rPr>
        <w:fldChar w:fldCharType="begin"/>
      </w:r>
      <w:r>
        <w:rPr>
          <w:highlight w:val="none"/>
        </w:rPr>
        <w:instrText xml:space="preserve"> PAGEREF _Toc27320 \h </w:instrText>
      </w:r>
      <w:r>
        <w:rPr>
          <w:highlight w:val="none"/>
        </w:rPr>
        <w:fldChar w:fldCharType="separate"/>
      </w:r>
      <w:r>
        <w:rPr>
          <w:highlight w:val="none"/>
        </w:rPr>
        <w:t>26</w:t>
      </w:r>
      <w:r>
        <w:rPr>
          <w:highlight w:val="none"/>
        </w:rPr>
        <w:fldChar w:fldCharType="end"/>
      </w:r>
      <w:r>
        <w:rPr>
          <w:bCs/>
          <w:color w:val="auto"/>
          <w:highlight w:val="none"/>
          <w:lang w:val="zh-CN"/>
        </w:rPr>
        <w:fldChar w:fldCharType="end"/>
      </w:r>
    </w:p>
    <w:p w14:paraId="6C241C69">
      <w:pPr>
        <w:pStyle w:val="37"/>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_Toc9644 </w:instrText>
      </w:r>
      <w:r>
        <w:rPr>
          <w:bCs/>
          <w:highlight w:val="none"/>
          <w:lang w:val="zh-CN"/>
        </w:rPr>
        <w:fldChar w:fldCharType="separate"/>
      </w:r>
      <w:r>
        <w:rPr>
          <w:rFonts w:hint="eastAsia" w:ascii="宋体" w:hAnsi="宋体" w:eastAsia="宋体" w:cs="宋体"/>
          <w:szCs w:val="24"/>
          <w:highlight w:val="none"/>
          <w:lang w:val="en-US" w:eastAsia="zh-CN"/>
        </w:rPr>
        <w:t>1. 评标办法</w:t>
      </w:r>
      <w:r>
        <w:rPr>
          <w:highlight w:val="none"/>
        </w:rPr>
        <w:tab/>
      </w:r>
      <w:r>
        <w:rPr>
          <w:highlight w:val="none"/>
        </w:rPr>
        <w:fldChar w:fldCharType="begin"/>
      </w:r>
      <w:r>
        <w:rPr>
          <w:highlight w:val="none"/>
        </w:rPr>
        <w:instrText xml:space="preserve"> PAGEREF _Toc9644 \h </w:instrText>
      </w:r>
      <w:r>
        <w:rPr>
          <w:highlight w:val="none"/>
        </w:rPr>
        <w:fldChar w:fldCharType="separate"/>
      </w:r>
      <w:r>
        <w:rPr>
          <w:highlight w:val="none"/>
        </w:rPr>
        <w:t>26</w:t>
      </w:r>
      <w:r>
        <w:rPr>
          <w:highlight w:val="none"/>
        </w:rPr>
        <w:fldChar w:fldCharType="end"/>
      </w:r>
      <w:r>
        <w:rPr>
          <w:bCs/>
          <w:color w:val="auto"/>
          <w:highlight w:val="none"/>
          <w:lang w:val="zh-CN"/>
        </w:rPr>
        <w:fldChar w:fldCharType="end"/>
      </w:r>
    </w:p>
    <w:p w14:paraId="059ADA7A">
      <w:pPr>
        <w:pStyle w:val="37"/>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_Toc4776 </w:instrText>
      </w:r>
      <w:r>
        <w:rPr>
          <w:bCs/>
          <w:highlight w:val="none"/>
          <w:lang w:val="zh-CN"/>
        </w:rPr>
        <w:fldChar w:fldCharType="separate"/>
      </w:r>
      <w:r>
        <w:rPr>
          <w:rFonts w:hint="eastAsia" w:ascii="宋体" w:hAnsi="宋体" w:eastAsia="宋体" w:cs="宋体"/>
          <w:szCs w:val="24"/>
          <w:highlight w:val="none"/>
          <w:lang w:val="en-US" w:eastAsia="zh-CN"/>
        </w:rPr>
        <w:t xml:space="preserve">2. </w:t>
      </w:r>
      <w:r>
        <w:rPr>
          <w:rFonts w:hint="eastAsia" w:ascii="宋体" w:hAnsi="宋体" w:eastAsia="宋体" w:cs="宋体"/>
          <w:szCs w:val="24"/>
          <w:highlight w:val="none"/>
        </w:rPr>
        <w:t>评审标准</w:t>
      </w:r>
      <w:r>
        <w:rPr>
          <w:highlight w:val="none"/>
        </w:rPr>
        <w:tab/>
      </w:r>
      <w:r>
        <w:rPr>
          <w:highlight w:val="none"/>
        </w:rPr>
        <w:fldChar w:fldCharType="begin"/>
      </w:r>
      <w:r>
        <w:rPr>
          <w:highlight w:val="none"/>
        </w:rPr>
        <w:instrText xml:space="preserve"> PAGEREF _Toc4776 \h </w:instrText>
      </w:r>
      <w:r>
        <w:rPr>
          <w:highlight w:val="none"/>
        </w:rPr>
        <w:fldChar w:fldCharType="separate"/>
      </w:r>
      <w:r>
        <w:rPr>
          <w:highlight w:val="none"/>
        </w:rPr>
        <w:t>26</w:t>
      </w:r>
      <w:r>
        <w:rPr>
          <w:highlight w:val="none"/>
        </w:rPr>
        <w:fldChar w:fldCharType="end"/>
      </w:r>
      <w:r>
        <w:rPr>
          <w:bCs/>
          <w:color w:val="auto"/>
          <w:highlight w:val="none"/>
          <w:lang w:val="zh-CN"/>
        </w:rPr>
        <w:fldChar w:fldCharType="end"/>
      </w:r>
    </w:p>
    <w:p w14:paraId="22BD69D8">
      <w:pPr>
        <w:pStyle w:val="37"/>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_Toc20537 </w:instrText>
      </w:r>
      <w:r>
        <w:rPr>
          <w:bCs/>
          <w:highlight w:val="none"/>
          <w:lang w:val="zh-CN"/>
        </w:rPr>
        <w:fldChar w:fldCharType="separate"/>
      </w:r>
      <w:r>
        <w:rPr>
          <w:rFonts w:hint="eastAsia" w:ascii="宋体" w:hAnsi="宋体" w:eastAsia="宋体" w:cs="宋体"/>
          <w:szCs w:val="24"/>
          <w:highlight w:val="none"/>
        </w:rPr>
        <w:t xml:space="preserve">3. </w:t>
      </w:r>
      <w:r>
        <w:rPr>
          <w:rFonts w:hint="eastAsia" w:ascii="宋体" w:hAnsi="宋体" w:eastAsia="宋体" w:cs="宋体"/>
          <w:szCs w:val="24"/>
          <w:highlight w:val="none"/>
          <w:lang w:eastAsia="zh-CN"/>
        </w:rPr>
        <w:t>评审</w:t>
      </w:r>
      <w:r>
        <w:rPr>
          <w:rFonts w:hint="eastAsia" w:ascii="宋体" w:hAnsi="宋体" w:eastAsia="宋体" w:cs="宋体"/>
          <w:szCs w:val="24"/>
          <w:highlight w:val="none"/>
        </w:rPr>
        <w:t>程序</w:t>
      </w:r>
      <w:r>
        <w:rPr>
          <w:highlight w:val="none"/>
        </w:rPr>
        <w:tab/>
      </w:r>
      <w:r>
        <w:rPr>
          <w:highlight w:val="none"/>
        </w:rPr>
        <w:fldChar w:fldCharType="begin"/>
      </w:r>
      <w:r>
        <w:rPr>
          <w:highlight w:val="none"/>
        </w:rPr>
        <w:instrText xml:space="preserve"> PAGEREF _Toc20537 \h </w:instrText>
      </w:r>
      <w:r>
        <w:rPr>
          <w:highlight w:val="none"/>
        </w:rPr>
        <w:fldChar w:fldCharType="separate"/>
      </w:r>
      <w:r>
        <w:rPr>
          <w:highlight w:val="none"/>
        </w:rPr>
        <w:t>30</w:t>
      </w:r>
      <w:r>
        <w:rPr>
          <w:highlight w:val="none"/>
        </w:rPr>
        <w:fldChar w:fldCharType="end"/>
      </w:r>
      <w:r>
        <w:rPr>
          <w:bCs/>
          <w:color w:val="auto"/>
          <w:highlight w:val="none"/>
          <w:lang w:val="zh-CN"/>
        </w:rPr>
        <w:fldChar w:fldCharType="end"/>
      </w:r>
    </w:p>
    <w:p w14:paraId="345998BA">
      <w:pPr>
        <w:pStyle w:val="31"/>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_Toc10542 </w:instrText>
      </w:r>
      <w:r>
        <w:rPr>
          <w:bCs/>
          <w:highlight w:val="none"/>
          <w:lang w:val="zh-CN"/>
        </w:rPr>
        <w:fldChar w:fldCharType="separate"/>
      </w:r>
      <w:r>
        <w:rPr>
          <w:rFonts w:hint="eastAsia" w:ascii="宋体" w:hAnsi="宋体"/>
          <w:kern w:val="0"/>
          <w:szCs w:val="32"/>
          <w:highlight w:val="none"/>
        </w:rPr>
        <w:t>第四章 合同条款及格式</w:t>
      </w:r>
      <w:r>
        <w:rPr>
          <w:highlight w:val="none"/>
        </w:rPr>
        <w:tab/>
      </w:r>
      <w:r>
        <w:rPr>
          <w:highlight w:val="none"/>
        </w:rPr>
        <w:fldChar w:fldCharType="begin"/>
      </w:r>
      <w:r>
        <w:rPr>
          <w:highlight w:val="none"/>
        </w:rPr>
        <w:instrText xml:space="preserve"> PAGEREF _Toc10542 \h </w:instrText>
      </w:r>
      <w:r>
        <w:rPr>
          <w:highlight w:val="none"/>
        </w:rPr>
        <w:fldChar w:fldCharType="separate"/>
      </w:r>
      <w:r>
        <w:rPr>
          <w:highlight w:val="none"/>
        </w:rPr>
        <w:t>32</w:t>
      </w:r>
      <w:r>
        <w:rPr>
          <w:highlight w:val="none"/>
        </w:rPr>
        <w:fldChar w:fldCharType="end"/>
      </w:r>
      <w:r>
        <w:rPr>
          <w:bCs/>
          <w:color w:val="auto"/>
          <w:highlight w:val="none"/>
          <w:lang w:val="zh-CN"/>
        </w:rPr>
        <w:fldChar w:fldCharType="end"/>
      </w:r>
    </w:p>
    <w:p w14:paraId="49E840C1">
      <w:pPr>
        <w:pStyle w:val="31"/>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_Toc27062 </w:instrText>
      </w:r>
      <w:r>
        <w:rPr>
          <w:bCs/>
          <w:highlight w:val="none"/>
          <w:lang w:val="zh-CN"/>
        </w:rPr>
        <w:fldChar w:fldCharType="separate"/>
      </w:r>
      <w:r>
        <w:rPr>
          <w:rFonts w:hint="eastAsia" w:ascii="宋体" w:hAnsi="宋体"/>
          <w:kern w:val="0"/>
          <w:highlight w:val="none"/>
        </w:rPr>
        <w:t>第二卷</w:t>
      </w:r>
      <w:r>
        <w:rPr>
          <w:highlight w:val="none"/>
        </w:rPr>
        <w:tab/>
      </w:r>
      <w:r>
        <w:rPr>
          <w:highlight w:val="none"/>
        </w:rPr>
        <w:fldChar w:fldCharType="begin"/>
      </w:r>
      <w:r>
        <w:rPr>
          <w:highlight w:val="none"/>
        </w:rPr>
        <w:instrText xml:space="preserve"> PAGEREF _Toc27062 \h </w:instrText>
      </w:r>
      <w:r>
        <w:rPr>
          <w:highlight w:val="none"/>
        </w:rPr>
        <w:fldChar w:fldCharType="separate"/>
      </w:r>
      <w:r>
        <w:rPr>
          <w:highlight w:val="none"/>
        </w:rPr>
        <w:t>33</w:t>
      </w:r>
      <w:r>
        <w:rPr>
          <w:highlight w:val="none"/>
        </w:rPr>
        <w:fldChar w:fldCharType="end"/>
      </w:r>
      <w:r>
        <w:rPr>
          <w:bCs/>
          <w:color w:val="auto"/>
          <w:highlight w:val="none"/>
          <w:lang w:val="zh-CN"/>
        </w:rPr>
        <w:fldChar w:fldCharType="end"/>
      </w:r>
    </w:p>
    <w:p w14:paraId="02FA754F">
      <w:pPr>
        <w:pStyle w:val="31"/>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_Toc30133 </w:instrText>
      </w:r>
      <w:r>
        <w:rPr>
          <w:bCs/>
          <w:highlight w:val="none"/>
          <w:lang w:val="zh-CN"/>
        </w:rPr>
        <w:fldChar w:fldCharType="separate"/>
      </w:r>
      <w:r>
        <w:rPr>
          <w:rFonts w:hint="eastAsia" w:eastAsia="宋体"/>
          <w:szCs w:val="32"/>
          <w:highlight w:val="none"/>
          <w:lang w:eastAsia="zh-CN"/>
        </w:rPr>
        <w:t xml:space="preserve">第五章 </w:t>
      </w:r>
      <w:r>
        <w:rPr>
          <w:rFonts w:hint="eastAsia"/>
          <w:szCs w:val="32"/>
          <w:highlight w:val="none"/>
        </w:rPr>
        <w:t>技术标准、要求</w:t>
      </w:r>
      <w:r>
        <w:rPr>
          <w:highlight w:val="none"/>
        </w:rPr>
        <w:tab/>
      </w:r>
      <w:r>
        <w:rPr>
          <w:highlight w:val="none"/>
        </w:rPr>
        <w:fldChar w:fldCharType="begin"/>
      </w:r>
      <w:r>
        <w:rPr>
          <w:highlight w:val="none"/>
        </w:rPr>
        <w:instrText xml:space="preserve"> PAGEREF _Toc30133 \h </w:instrText>
      </w:r>
      <w:r>
        <w:rPr>
          <w:highlight w:val="none"/>
        </w:rPr>
        <w:fldChar w:fldCharType="separate"/>
      </w:r>
      <w:r>
        <w:rPr>
          <w:highlight w:val="none"/>
        </w:rPr>
        <w:t>34</w:t>
      </w:r>
      <w:r>
        <w:rPr>
          <w:highlight w:val="none"/>
        </w:rPr>
        <w:fldChar w:fldCharType="end"/>
      </w:r>
      <w:r>
        <w:rPr>
          <w:bCs/>
          <w:color w:val="auto"/>
          <w:highlight w:val="none"/>
          <w:lang w:val="zh-CN"/>
        </w:rPr>
        <w:fldChar w:fldCharType="end"/>
      </w:r>
    </w:p>
    <w:p w14:paraId="42A95F1A">
      <w:pPr>
        <w:pStyle w:val="31"/>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_Toc1620 </w:instrText>
      </w:r>
      <w:r>
        <w:rPr>
          <w:bCs/>
          <w:highlight w:val="none"/>
          <w:lang w:val="zh-CN"/>
        </w:rPr>
        <w:fldChar w:fldCharType="separate"/>
      </w:r>
      <w:r>
        <w:rPr>
          <w:rFonts w:hint="eastAsia" w:ascii="宋体" w:hAnsi="宋体"/>
          <w:kern w:val="0"/>
          <w:highlight w:val="none"/>
        </w:rPr>
        <w:t>第三卷</w:t>
      </w:r>
      <w:r>
        <w:rPr>
          <w:highlight w:val="none"/>
        </w:rPr>
        <w:tab/>
      </w:r>
      <w:r>
        <w:rPr>
          <w:highlight w:val="none"/>
        </w:rPr>
        <w:fldChar w:fldCharType="begin"/>
      </w:r>
      <w:r>
        <w:rPr>
          <w:highlight w:val="none"/>
        </w:rPr>
        <w:instrText xml:space="preserve"> PAGEREF _Toc1620 \h </w:instrText>
      </w:r>
      <w:r>
        <w:rPr>
          <w:highlight w:val="none"/>
        </w:rPr>
        <w:fldChar w:fldCharType="separate"/>
      </w:r>
      <w:r>
        <w:rPr>
          <w:highlight w:val="none"/>
        </w:rPr>
        <w:t>35</w:t>
      </w:r>
      <w:r>
        <w:rPr>
          <w:highlight w:val="none"/>
        </w:rPr>
        <w:fldChar w:fldCharType="end"/>
      </w:r>
      <w:r>
        <w:rPr>
          <w:bCs/>
          <w:color w:val="auto"/>
          <w:highlight w:val="none"/>
          <w:lang w:val="zh-CN"/>
        </w:rPr>
        <w:fldChar w:fldCharType="end"/>
      </w:r>
    </w:p>
    <w:p w14:paraId="1FA1B0BB">
      <w:pPr>
        <w:pStyle w:val="31"/>
        <w:tabs>
          <w:tab w:val="right" w:leader="dot" w:pos="9746"/>
        </w:tabs>
        <w:spacing w:line="360" w:lineRule="auto"/>
        <w:rPr>
          <w:highlight w:val="none"/>
        </w:rPr>
      </w:pPr>
      <w:r>
        <w:rPr>
          <w:bCs/>
          <w:color w:val="auto"/>
          <w:highlight w:val="none"/>
          <w:lang w:val="zh-CN"/>
        </w:rPr>
        <w:fldChar w:fldCharType="begin"/>
      </w:r>
      <w:r>
        <w:rPr>
          <w:bCs/>
          <w:highlight w:val="none"/>
          <w:lang w:val="zh-CN"/>
        </w:rPr>
        <w:instrText xml:space="preserve"> HYPERLINK \l _Toc18906 </w:instrText>
      </w:r>
      <w:r>
        <w:rPr>
          <w:bCs/>
          <w:highlight w:val="none"/>
          <w:lang w:val="zh-CN"/>
        </w:rPr>
        <w:fldChar w:fldCharType="separate"/>
      </w:r>
      <w:r>
        <w:rPr>
          <w:rFonts w:hint="eastAsia" w:ascii="宋体" w:hAnsi="宋体"/>
          <w:kern w:val="0"/>
          <w:szCs w:val="32"/>
          <w:highlight w:val="none"/>
        </w:rPr>
        <w:t xml:space="preserve">第六章 </w:t>
      </w:r>
      <w:r>
        <w:rPr>
          <w:rFonts w:hint="eastAsia" w:ascii="宋体" w:hAnsi="宋体"/>
          <w:kern w:val="0"/>
          <w:szCs w:val="32"/>
          <w:highlight w:val="none"/>
          <w:lang w:val="en-US" w:eastAsia="zh-CN"/>
        </w:rPr>
        <w:t>投标</w:t>
      </w:r>
      <w:r>
        <w:rPr>
          <w:rFonts w:hint="eastAsia" w:ascii="宋体" w:hAnsi="宋体"/>
          <w:kern w:val="0"/>
          <w:szCs w:val="32"/>
          <w:highlight w:val="none"/>
          <w:lang w:eastAsia="zh-CN"/>
        </w:rPr>
        <w:t>文件</w:t>
      </w:r>
      <w:r>
        <w:rPr>
          <w:rFonts w:hint="eastAsia" w:ascii="宋体" w:hAnsi="宋体"/>
          <w:kern w:val="0"/>
          <w:szCs w:val="32"/>
          <w:highlight w:val="none"/>
        </w:rPr>
        <w:t>格式</w:t>
      </w:r>
      <w:r>
        <w:rPr>
          <w:highlight w:val="none"/>
        </w:rPr>
        <w:tab/>
      </w:r>
      <w:r>
        <w:rPr>
          <w:highlight w:val="none"/>
        </w:rPr>
        <w:fldChar w:fldCharType="begin"/>
      </w:r>
      <w:r>
        <w:rPr>
          <w:highlight w:val="none"/>
        </w:rPr>
        <w:instrText xml:space="preserve"> PAGEREF _Toc18906 \h </w:instrText>
      </w:r>
      <w:r>
        <w:rPr>
          <w:highlight w:val="none"/>
        </w:rPr>
        <w:fldChar w:fldCharType="separate"/>
      </w:r>
      <w:r>
        <w:rPr>
          <w:highlight w:val="none"/>
        </w:rPr>
        <w:t>36</w:t>
      </w:r>
      <w:r>
        <w:rPr>
          <w:highlight w:val="none"/>
        </w:rPr>
        <w:fldChar w:fldCharType="end"/>
      </w:r>
      <w:r>
        <w:rPr>
          <w:bCs/>
          <w:color w:val="auto"/>
          <w:highlight w:val="none"/>
          <w:lang w:val="zh-CN"/>
        </w:rPr>
        <w:fldChar w:fldCharType="end"/>
      </w:r>
    </w:p>
    <w:p w14:paraId="3F7E47A0">
      <w:pPr>
        <w:pStyle w:val="31"/>
        <w:tabs>
          <w:tab w:val="right" w:leader="dot" w:pos="9746"/>
        </w:tabs>
        <w:spacing w:line="360" w:lineRule="auto"/>
        <w:rPr>
          <w:rFonts w:hint="eastAsia"/>
          <w:color w:val="auto"/>
          <w:sz w:val="18"/>
          <w:szCs w:val="18"/>
          <w:highlight w:val="none"/>
          <w:lang w:val="zh-CN"/>
        </w:rPr>
        <w:sectPr>
          <w:pgSz w:w="11906" w:h="16838"/>
          <w:pgMar w:top="1440" w:right="1080" w:bottom="1440" w:left="1080" w:header="907" w:footer="850" w:gutter="0"/>
          <w:pgBorders>
            <w:top w:val="none" w:sz="0" w:space="0"/>
            <w:left w:val="none" w:sz="0" w:space="0"/>
            <w:bottom w:val="none" w:sz="0" w:space="0"/>
            <w:right w:val="none" w:sz="0" w:space="0"/>
          </w:pgBorders>
          <w:pgNumType w:fmt="decimal" w:start="1"/>
          <w:cols w:space="720" w:num="1"/>
          <w:docGrid w:type="lines" w:linePitch="312" w:charSpace="0"/>
        </w:sectPr>
      </w:pPr>
      <w:r>
        <w:rPr>
          <w:bCs/>
          <w:color w:val="auto"/>
          <w:highlight w:val="none"/>
          <w:lang w:val="zh-CN"/>
        </w:rPr>
        <w:fldChar w:fldCharType="end"/>
      </w:r>
    </w:p>
    <w:p w14:paraId="7C9BD1AF">
      <w:pPr>
        <w:pStyle w:val="3"/>
        <w:pageBreakBefore/>
        <w:widowControl/>
        <w:kinsoku/>
        <w:overflowPunct/>
        <w:bidi w:val="0"/>
        <w:spacing w:before="0" w:beforeLines="0" w:after="0" w:afterLines="0" w:line="360" w:lineRule="auto"/>
        <w:jc w:val="center"/>
        <w:textAlignment w:val="auto"/>
        <w:rPr>
          <w:rFonts w:ascii="宋体" w:hAnsi="宋体"/>
          <w:color w:val="auto"/>
          <w:kern w:val="0"/>
          <w:highlight w:val="none"/>
        </w:rPr>
      </w:pPr>
      <w:bookmarkStart w:id="0" w:name="_Toc25517"/>
      <w:bookmarkStart w:id="1" w:name="_Toc9521"/>
      <w:bookmarkStart w:id="2" w:name="_Toc7067"/>
      <w:bookmarkStart w:id="3" w:name="_Toc4209"/>
      <w:bookmarkStart w:id="4" w:name="_Toc508286539"/>
      <w:r>
        <w:rPr>
          <w:rFonts w:hint="eastAsia" w:ascii="宋体" w:hAnsi="宋体"/>
          <w:color w:val="auto"/>
          <w:kern w:val="0"/>
          <w:highlight w:val="none"/>
        </w:rPr>
        <w:t>第一卷</w:t>
      </w:r>
      <w:bookmarkEnd w:id="0"/>
      <w:bookmarkEnd w:id="1"/>
      <w:bookmarkEnd w:id="2"/>
      <w:bookmarkEnd w:id="3"/>
      <w:bookmarkEnd w:id="4"/>
    </w:p>
    <w:p w14:paraId="613800E3">
      <w:pPr>
        <w:pStyle w:val="3"/>
        <w:pageBreakBefore/>
        <w:widowControl/>
        <w:numPr>
          <w:ilvl w:val="0"/>
          <w:numId w:val="3"/>
        </w:numPr>
        <w:kinsoku/>
        <w:overflowPunct/>
        <w:bidi w:val="0"/>
        <w:spacing w:before="0" w:beforeLines="0" w:after="0" w:afterLines="0" w:line="360" w:lineRule="auto"/>
        <w:jc w:val="center"/>
        <w:textAlignment w:val="auto"/>
        <w:rPr>
          <w:rFonts w:hint="eastAsia" w:ascii="宋体" w:hAnsi="宋体"/>
          <w:color w:val="auto"/>
          <w:kern w:val="0"/>
          <w:sz w:val="30"/>
          <w:szCs w:val="30"/>
          <w:highlight w:val="none"/>
          <w:lang w:eastAsia="zh-CN"/>
        </w:rPr>
        <w:sectPr>
          <w:headerReference r:id="rId4" w:type="default"/>
          <w:footerReference r:id="rId5" w:type="default"/>
          <w:pgSz w:w="11906" w:h="16838"/>
          <w:pgMar w:top="1440" w:right="1080" w:bottom="1440" w:left="1080" w:header="964" w:footer="992" w:gutter="0"/>
          <w:pgNumType w:fmt="decimal" w:start="1"/>
          <w:cols w:space="720" w:num="1"/>
          <w:docGrid w:type="lines" w:linePitch="312" w:charSpace="0"/>
        </w:sectPr>
      </w:pPr>
    </w:p>
    <w:p w14:paraId="57ADFFAF">
      <w:pPr>
        <w:pStyle w:val="3"/>
        <w:kinsoku/>
        <w:overflowPunct/>
        <w:bidi w:val="0"/>
        <w:spacing w:before="0" w:after="0" w:line="360" w:lineRule="auto"/>
        <w:jc w:val="center"/>
        <w:textAlignment w:val="auto"/>
        <w:rPr>
          <w:rFonts w:hint="eastAsia"/>
          <w:color w:val="auto"/>
          <w:sz w:val="32"/>
          <w:szCs w:val="32"/>
          <w:highlight w:val="none"/>
        </w:rPr>
      </w:pPr>
      <w:bookmarkStart w:id="5" w:name="_Toc10830"/>
      <w:r>
        <w:rPr>
          <w:rFonts w:hint="eastAsia"/>
          <w:color w:val="auto"/>
          <w:sz w:val="32"/>
          <w:szCs w:val="32"/>
          <w:highlight w:val="none"/>
        </w:rPr>
        <w:t>第一章 招标公告</w:t>
      </w:r>
      <w:bookmarkEnd w:id="5"/>
    </w:p>
    <w:p w14:paraId="4038A742">
      <w:pPr>
        <w:keepNext w:val="0"/>
        <w:keepLines w:val="0"/>
        <w:pageBreakBefore w:val="0"/>
        <w:kinsoku/>
        <w:overflowPunct/>
        <w:bidi w:val="0"/>
        <w:snapToGrid/>
        <w:spacing w:line="360" w:lineRule="auto"/>
        <w:ind w:left="432" w:hanging="432"/>
        <w:jc w:val="center"/>
        <w:textAlignment w:val="auto"/>
        <w:outlineLvl w:val="9"/>
        <w:rPr>
          <w:rFonts w:hint="eastAsia" w:ascii="宋体" w:hAnsi="宋体" w:eastAsia="宋体" w:cs="宋体"/>
          <w:b/>
          <w:color w:val="auto"/>
          <w:sz w:val="32"/>
          <w:szCs w:val="32"/>
          <w:highlight w:val="none"/>
        </w:rPr>
      </w:pPr>
      <w:bookmarkStart w:id="6" w:name="_Toc6131"/>
      <w:bookmarkStart w:id="7" w:name="_Toc22435"/>
      <w:bookmarkStart w:id="8" w:name="_Toc14253"/>
      <w:bookmarkStart w:id="9" w:name="_Toc6995"/>
      <w:bookmarkStart w:id="10" w:name="_Toc2362"/>
      <w:bookmarkStart w:id="11" w:name="_Toc503190116"/>
      <w:bookmarkStart w:id="12" w:name="_Toc31603"/>
      <w:r>
        <w:rPr>
          <w:rFonts w:hint="eastAsia" w:ascii="宋体" w:hAnsi="宋体" w:cs="宋体"/>
          <w:b/>
          <w:color w:val="auto"/>
          <w:sz w:val="32"/>
          <w:szCs w:val="32"/>
          <w:highlight w:val="none"/>
          <w:lang w:eastAsia="zh-CN"/>
        </w:rPr>
        <w:t>科技公司2025-2026年第一批光伏组件采购框架（二次招标）</w:t>
      </w:r>
      <w:r>
        <w:rPr>
          <w:rFonts w:hint="eastAsia" w:ascii="宋体" w:hAnsi="宋体" w:eastAsia="宋体" w:cs="宋体"/>
          <w:b/>
          <w:color w:val="auto"/>
          <w:sz w:val="32"/>
          <w:szCs w:val="32"/>
          <w:highlight w:val="none"/>
        </w:rPr>
        <w:t>招标</w:t>
      </w:r>
      <w:bookmarkEnd w:id="6"/>
      <w:bookmarkEnd w:id="7"/>
      <w:bookmarkEnd w:id="8"/>
      <w:bookmarkEnd w:id="9"/>
      <w:bookmarkEnd w:id="10"/>
      <w:r>
        <w:rPr>
          <w:rFonts w:hint="eastAsia" w:ascii="宋体" w:hAnsi="宋体" w:eastAsia="宋体" w:cs="宋体"/>
          <w:b/>
          <w:color w:val="auto"/>
          <w:sz w:val="32"/>
          <w:szCs w:val="32"/>
          <w:highlight w:val="none"/>
        </w:rPr>
        <w:t>公告</w:t>
      </w:r>
      <w:bookmarkEnd w:id="11"/>
      <w:bookmarkEnd w:id="12"/>
    </w:p>
    <w:p w14:paraId="58C16F53">
      <w:pPr>
        <w:keepNext w:val="0"/>
        <w:keepLines w:val="0"/>
        <w:pageBreakBefore w:val="0"/>
        <w:tabs>
          <w:tab w:val="left" w:pos="2127"/>
        </w:tabs>
        <w:kinsoku/>
        <w:wordWrap/>
        <w:overflowPunct/>
        <w:topLinePunct w:val="0"/>
        <w:autoSpaceDE/>
        <w:autoSpaceDN/>
        <w:bidi w:val="0"/>
        <w:adjustRightInd/>
        <w:snapToGrid/>
        <w:spacing w:line="312" w:lineRule="auto"/>
        <w:jc w:val="left"/>
        <w:textAlignment w:val="auto"/>
        <w:rPr>
          <w:rFonts w:hint="eastAsia" w:ascii="宋体" w:hAnsi="宋体" w:eastAsia="宋体" w:cs="宋体"/>
          <w:b/>
          <w:bCs/>
          <w:color w:val="auto"/>
          <w:szCs w:val="21"/>
          <w:highlight w:val="none"/>
          <w:shd w:val="clear" w:color="auto" w:fill="FFFFFF"/>
        </w:rPr>
      </w:pPr>
      <w:bookmarkStart w:id="13" w:name="_Toc12437"/>
      <w:r>
        <w:rPr>
          <w:rFonts w:hint="eastAsia" w:ascii="宋体" w:hAnsi="宋体" w:eastAsia="宋体" w:cs="宋体"/>
          <w:b/>
          <w:bCs/>
          <w:color w:val="auto"/>
          <w:szCs w:val="21"/>
          <w:highlight w:val="none"/>
          <w:shd w:val="clear" w:color="auto" w:fill="FFFFFF"/>
        </w:rPr>
        <w:t>1.</w:t>
      </w:r>
      <w:r>
        <w:rPr>
          <w:rFonts w:hint="eastAsia" w:ascii="宋体" w:hAnsi="宋体" w:eastAsia="宋体" w:cs="宋体"/>
          <w:b/>
          <w:bCs/>
          <w:color w:val="auto"/>
          <w:szCs w:val="21"/>
          <w:highlight w:val="none"/>
          <w:shd w:val="clear" w:color="auto" w:fill="FFFFFF"/>
          <w:lang w:val="en-US" w:eastAsia="zh-CN"/>
        </w:rPr>
        <w:t>招标</w:t>
      </w:r>
      <w:r>
        <w:rPr>
          <w:rFonts w:hint="eastAsia" w:ascii="宋体" w:hAnsi="宋体" w:eastAsia="宋体" w:cs="宋体"/>
          <w:b/>
          <w:bCs/>
          <w:color w:val="auto"/>
          <w:szCs w:val="21"/>
          <w:highlight w:val="none"/>
          <w:shd w:val="clear" w:color="auto" w:fill="FFFFFF"/>
        </w:rPr>
        <w:t>条件</w:t>
      </w:r>
    </w:p>
    <w:p w14:paraId="2443184C">
      <w:pPr>
        <w:keepNext w:val="0"/>
        <w:keepLines w:val="0"/>
        <w:pageBreakBefore w:val="0"/>
        <w:tabs>
          <w:tab w:val="left" w:pos="2127"/>
        </w:tabs>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本招标</w:t>
      </w:r>
      <w:r>
        <w:rPr>
          <w:rFonts w:hint="eastAsia" w:ascii="宋体" w:hAnsi="宋体" w:eastAsia="宋体" w:cs="宋体"/>
          <w:color w:val="auto"/>
          <w:szCs w:val="21"/>
          <w:highlight w:val="none"/>
        </w:rPr>
        <w:t>项目</w:t>
      </w:r>
      <w:r>
        <w:rPr>
          <w:rFonts w:hint="eastAsia" w:ascii="宋体" w:hAnsi="宋体" w:cs="宋体"/>
          <w:color w:val="auto"/>
          <w:szCs w:val="21"/>
          <w:highlight w:val="none"/>
          <w:u w:val="single"/>
          <w:lang w:eastAsia="zh-CN"/>
        </w:rPr>
        <w:t>科技公司2025-2026年第一批光伏组件采购框架（二次招标）</w:t>
      </w:r>
      <w:r>
        <w:rPr>
          <w:rFonts w:hint="eastAsia" w:ascii="宋体" w:hAnsi="宋体" w:eastAsia="宋体" w:cs="宋体"/>
          <w:color w:val="auto"/>
          <w:szCs w:val="21"/>
          <w:highlight w:val="none"/>
        </w:rPr>
        <w:t>，招标</w:t>
      </w:r>
      <w:r>
        <w:rPr>
          <w:rFonts w:hint="eastAsia" w:ascii="宋体" w:hAnsi="宋体" w:eastAsia="宋体" w:cs="宋体"/>
          <w:color w:val="auto"/>
          <w:szCs w:val="21"/>
          <w:highlight w:val="none"/>
          <w:lang w:eastAsia="zh-CN"/>
        </w:rPr>
        <w:t>人</w:t>
      </w:r>
      <w:r>
        <w:rPr>
          <w:rFonts w:hint="eastAsia" w:ascii="宋体" w:hAnsi="宋体" w:eastAsia="宋体" w:cs="宋体"/>
          <w:color w:val="auto"/>
          <w:szCs w:val="21"/>
          <w:highlight w:val="none"/>
        </w:rPr>
        <w:t>为</w:t>
      </w:r>
      <w:r>
        <w:rPr>
          <w:rFonts w:hint="eastAsia" w:ascii="宋体" w:hAnsi="宋体" w:cs="宋体"/>
          <w:color w:val="auto"/>
          <w:szCs w:val="21"/>
          <w:highlight w:val="none"/>
          <w:u w:val="single"/>
          <w:lang w:eastAsia="zh-CN"/>
        </w:rPr>
        <w:t>广州南方电力集团科技发展有限公司</w:t>
      </w:r>
      <w:r>
        <w:rPr>
          <w:rFonts w:hint="eastAsia" w:ascii="宋体" w:hAnsi="宋体" w:cs="宋体"/>
          <w:color w:val="auto"/>
          <w:szCs w:val="21"/>
          <w:highlight w:val="none"/>
          <w:u w:val="none"/>
          <w:lang w:eastAsia="zh-CN"/>
        </w:rPr>
        <w:t>，</w:t>
      </w:r>
      <w:r>
        <w:rPr>
          <w:rFonts w:hint="eastAsia" w:ascii="宋体" w:hAnsi="宋体" w:eastAsia="宋体" w:cs="宋体"/>
          <w:color w:val="auto"/>
          <w:szCs w:val="21"/>
          <w:highlight w:val="none"/>
          <w:lang w:val="en-US" w:eastAsia="zh-CN"/>
        </w:rPr>
        <w:t>资金已落实</w:t>
      </w:r>
      <w:r>
        <w:rPr>
          <w:rFonts w:hint="eastAsia" w:ascii="宋体" w:hAnsi="宋体" w:eastAsia="宋体" w:cs="宋体"/>
          <w:color w:val="auto"/>
          <w:szCs w:val="21"/>
          <w:highlight w:val="none"/>
        </w:rPr>
        <w:t>。项目已具备招标条件，现对该项目进行</w:t>
      </w:r>
      <w:r>
        <w:rPr>
          <w:rFonts w:hint="eastAsia" w:ascii="宋体" w:hAnsi="宋体" w:eastAsia="宋体" w:cs="宋体"/>
          <w:strike w:val="0"/>
          <w:dstrike w:val="0"/>
          <w:color w:val="auto"/>
          <w:szCs w:val="21"/>
          <w:highlight w:val="none"/>
          <w:u w:val="single"/>
          <w:lang w:val="en-US" w:eastAsia="zh-CN"/>
        </w:rPr>
        <w:t>公开招标</w:t>
      </w:r>
      <w:r>
        <w:rPr>
          <w:rFonts w:hint="eastAsia" w:ascii="宋体" w:hAnsi="宋体" w:eastAsia="宋体" w:cs="宋体"/>
          <w:color w:val="auto"/>
          <w:szCs w:val="21"/>
          <w:highlight w:val="none"/>
        </w:rPr>
        <w:t>。</w:t>
      </w:r>
    </w:p>
    <w:bookmarkEnd w:id="13"/>
    <w:p w14:paraId="29186395">
      <w:pPr>
        <w:kinsoku/>
        <w:overflowPunct/>
        <w:bidi w:val="0"/>
        <w:spacing w:line="360" w:lineRule="auto"/>
        <w:outlineLvl w:val="9"/>
        <w:rPr>
          <w:rFonts w:hint="eastAsia" w:ascii="宋体" w:hAnsi="宋体" w:cs="宋体"/>
          <w:b/>
          <w:bCs/>
          <w:color w:val="auto"/>
          <w:szCs w:val="21"/>
          <w:highlight w:val="none"/>
        </w:rPr>
      </w:pPr>
      <w:bookmarkStart w:id="14" w:name="_Toc25946"/>
      <w:r>
        <w:rPr>
          <w:rFonts w:hint="eastAsia" w:ascii="宋体" w:hAnsi="宋体" w:cs="宋体"/>
          <w:b/>
          <w:bCs/>
          <w:color w:val="auto"/>
          <w:szCs w:val="21"/>
          <w:highlight w:val="none"/>
          <w:lang w:val="en-US" w:eastAsia="zh-CN"/>
        </w:rPr>
        <w:t>2.项目概况和招标范围</w:t>
      </w:r>
    </w:p>
    <w:p w14:paraId="35E38304">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2.1项目地点：全国</w:t>
      </w:r>
    </w:p>
    <w:p w14:paraId="0AC83985">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2.2合同估算金额（采购预算金额）：3200万元，含13%税。（本项目合同估算金额为经验预估值，具体以合同签订后实际委托为准。）</w:t>
      </w:r>
    </w:p>
    <w:p w14:paraId="32F72756">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2.3项目概况：为了满足</w:t>
      </w:r>
      <w:r>
        <w:rPr>
          <w:rFonts w:hint="eastAsia" w:ascii="宋体" w:hAnsi="宋体" w:cs="宋体"/>
          <w:b w:val="0"/>
          <w:bCs w:val="0"/>
          <w:color w:val="auto"/>
          <w:kern w:val="2"/>
          <w:sz w:val="21"/>
          <w:szCs w:val="21"/>
          <w:highlight w:val="none"/>
          <w:lang w:val="en-US" w:eastAsia="zh-CN" w:bidi="ar-SA"/>
        </w:rPr>
        <w:t>科技公司2025-2026年第一批光伏组件采购框架</w:t>
      </w:r>
      <w:r>
        <w:rPr>
          <w:rFonts w:hint="eastAsia" w:ascii="宋体" w:hAnsi="宋体" w:eastAsia="宋体" w:cs="宋体"/>
          <w:b w:val="0"/>
          <w:bCs w:val="0"/>
          <w:color w:val="auto"/>
          <w:kern w:val="2"/>
          <w:sz w:val="21"/>
          <w:szCs w:val="21"/>
          <w:highlight w:val="none"/>
          <w:lang w:val="en-US" w:eastAsia="zh-CN" w:bidi="ar-SA"/>
        </w:rPr>
        <w:t>的需求，现在对</w:t>
      </w:r>
      <w:r>
        <w:rPr>
          <w:rFonts w:hint="eastAsia" w:ascii="宋体" w:hAnsi="宋体" w:cs="宋体"/>
          <w:b w:val="0"/>
          <w:bCs w:val="0"/>
          <w:color w:val="auto"/>
          <w:kern w:val="2"/>
          <w:sz w:val="21"/>
          <w:szCs w:val="21"/>
          <w:highlight w:val="none"/>
          <w:lang w:val="en-US" w:eastAsia="zh-CN" w:bidi="ar-SA"/>
        </w:rPr>
        <w:t>科技公司2025-2026年第一批光伏组件采购框架</w:t>
      </w:r>
      <w:r>
        <w:rPr>
          <w:rFonts w:hint="eastAsia" w:ascii="宋体" w:hAnsi="宋体" w:eastAsia="宋体" w:cs="宋体"/>
          <w:b w:val="0"/>
          <w:bCs w:val="0"/>
          <w:color w:val="auto"/>
          <w:kern w:val="2"/>
          <w:sz w:val="21"/>
          <w:szCs w:val="21"/>
          <w:highlight w:val="none"/>
          <w:lang w:val="en-US" w:eastAsia="zh-CN" w:bidi="ar-SA"/>
        </w:rPr>
        <w:t>进行公开招标。</w:t>
      </w:r>
    </w:p>
    <w:p w14:paraId="483116C6">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2.4采购范围：光伏组件的采购，具体详见招标文件：物资清单。</w:t>
      </w:r>
    </w:p>
    <w:p w14:paraId="79ECBB25">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2.5计划工期（或交货期、服务期）/框架有效期：（1）</w:t>
      </w:r>
      <w:sdt>
        <w:sdtPr>
          <w:rPr>
            <w:rFonts w:hint="default" w:ascii="宋体" w:hAnsi="宋体" w:eastAsia="宋体" w:cs="宋体"/>
            <w:b w:val="0"/>
            <w:bCs w:val="0"/>
            <w:color w:val="auto"/>
            <w:kern w:val="2"/>
            <w:sz w:val="21"/>
            <w:szCs w:val="21"/>
            <w:highlight w:val="none"/>
            <w:lang w:val="en-US" w:eastAsia="zh-CN" w:bidi="ar-SA"/>
          </w:rPr>
          <w:alias w:val="工期"/>
          <w:id w:val="147459262"/>
          <w:lock w:val="sdtLocked"/>
          <w:placeholder>
            <w:docPart w:val="{cffb3edc-e619-452c-bec0-360005aadbfb}"/>
          </w:placeholder>
          <w:dataBinding w:prefixMappings="xmlns:ns0='http://schemas.microsoft.com/office/2006/xmlPackage' xmlns:ns1='http://schemas.openxmlformats.org/package/2006/relationships' xmlns:ns2='http://schemas.microsoft.com/office/word/2010/wordprocessingCanvas' xmlns:ns3='http://schemas.openxmlformats.org/markup-compatibility/2006' xmlns:ns4='urn:schemas-microsoft-com:office:office' xmlns:ns5='http://schemas.openxmlformats.org/officeDocument/2006/relationships' xmlns:ns6='http://schemas.openxmlformats.org/officeDocument/2006/math' xmlns:ns7='urn:schemas-microsoft-com:vml' xmlns:ns8='http://schemas.microsoft.com/office/word/2010/wordprocessingDrawing' xmlns:ns9='http://schemas.openxmlformats.org/drawingml/2006/wordprocessingDrawing' xmlns:ns10='http://schemas.openxmlformats.org/wordprocessingml/2006/main' xmlns:ns11='http://schemas.microsoft.com/office/word/2010/wordml' xmlns:ns12='urn:schemas-microsoft-com:office:word' xmlns:ns13='http://schemas.microsoft.com/office/word/2012/wordml' xmlns:ns14='http://schemas.microsoft.com/office/word/2010/wordprocessingGroup' xmlns:ns15='http://schemas.microsoft.com/office/word/2010/wordprocessingInk' xmlns:ns16='http://schemas.microsoft.com/office/word/2006/wordml' xmlns:ns17='http://schemas.microsoft.com/office/word/2010/wordprocessingShape' xmlns:ns18='http://www.wps.cn/officeDocument/2013/wpsCustomData' xmlns:ns19='http://schemas.openxmlformats.org/officeDocument/2006/extended-properties' xmlns:ns20='http://schemas.openxmlformats.org/officeDocument/2006/docPropsVTypes' xmlns:ns21='http://schemas.openxmlformats.org/package/2006/metadata/core-properties' xmlns:ns22='http://purl.org/dc/elements/1.1/' xmlns:ns23='http://purl.org/dc/terms/' xmlns:ns24='http://purl.org/dc/dcmitype/' xmlns:ns25='http://www.w3.org/2001/XMLSchema-instance' xmlns:ns26='http://schemas.openxmlformats.org/officeDocument/2006/custom-properties' xmlns:ns27='http://schemas.openxmlformats.org/schemaLibrary/2006/main' xmlns:ns28='http://schemas.openxmlformats.org/drawingml/2006/main' " w:xpath="/ns0:package[1]/ns0:part[3]/@ns0:contentType" w:storeItemID="{f01a80e8-afba-4f8f-9ad5-44941422db2f}"/>
          <w:text w:multiLine="1"/>
        </w:sdtPr>
        <w:sdtEndPr>
          <w:rPr>
            <w:rFonts w:hint="eastAsia" w:ascii="宋体" w:hAnsi="宋体" w:eastAsia="宋体" w:cs="宋体"/>
            <w:b w:val="0"/>
            <w:bCs w:val="0"/>
            <w:color w:val="auto"/>
            <w:kern w:val="2"/>
            <w:sz w:val="21"/>
            <w:szCs w:val="21"/>
            <w:highlight w:val="none"/>
            <w:lang w:val="en-US" w:eastAsia="zh-CN" w:bidi="ar-SA"/>
          </w:rPr>
        </w:sdtEndPr>
        <w:sdtContent>
          <w:r>
            <w:rPr>
              <w:rFonts w:hint="eastAsia" w:ascii="宋体" w:hAnsi="宋体" w:eastAsia="宋体" w:cs="宋体"/>
              <w:b w:val="0"/>
              <w:bCs w:val="0"/>
              <w:color w:val="auto"/>
              <w:kern w:val="2"/>
              <w:sz w:val="21"/>
              <w:szCs w:val="21"/>
              <w:highlight w:val="none"/>
              <w:lang w:val="en-US" w:eastAsia="zh-CN" w:bidi="ar-SA"/>
            </w:rPr>
            <w:t>交货期：收到买方的发货通知后在28天内必须确保到货。具体交货地点由招标人指定。交货地点：全国范围内。</w:t>
          </w:r>
        </w:sdtContent>
      </w:sdt>
      <w:r>
        <w:rPr>
          <w:rFonts w:hint="eastAsia" w:ascii="宋体" w:hAnsi="宋体" w:eastAsia="宋体" w:cs="宋体"/>
          <w:b w:val="0"/>
          <w:bCs w:val="0"/>
          <w:color w:val="auto"/>
          <w:kern w:val="2"/>
          <w:sz w:val="21"/>
          <w:szCs w:val="21"/>
          <w:highlight w:val="none"/>
          <w:lang w:val="en-US" w:eastAsia="zh-CN" w:bidi="ar-SA"/>
        </w:rPr>
        <w:t>（2）</w:t>
      </w:r>
      <w:sdt>
        <w:sdtPr>
          <w:rPr>
            <w:rFonts w:hint="eastAsia" w:ascii="宋体" w:hAnsi="宋体" w:eastAsia="宋体" w:cs="宋体"/>
            <w:b w:val="0"/>
            <w:bCs w:val="0"/>
            <w:color w:val="auto"/>
            <w:kern w:val="2"/>
            <w:sz w:val="21"/>
            <w:szCs w:val="21"/>
            <w:highlight w:val="none"/>
            <w:lang w:val="en-US" w:eastAsia="zh-CN" w:bidi="ar-SA"/>
          </w:rPr>
          <w:alias w:val="框架有效期"/>
          <w:id w:val="147469927"/>
          <w:lock w:val="sdtLocked"/>
          <w:placeholder>
            <w:docPart w:val="{5cccff90-4b06-4ed8-8ce5-42c021773252}"/>
          </w:placeholder>
          <w:text w:multiLine="1"/>
        </w:sdtPr>
        <w:sdtEndPr>
          <w:rPr>
            <w:rFonts w:hint="eastAsia" w:ascii="宋体" w:hAnsi="宋体" w:eastAsia="宋体" w:cs="宋体"/>
            <w:b w:val="0"/>
            <w:bCs w:val="0"/>
            <w:color w:val="auto"/>
            <w:kern w:val="2"/>
            <w:sz w:val="21"/>
            <w:szCs w:val="21"/>
            <w:highlight w:val="none"/>
            <w:lang w:val="en-US" w:eastAsia="zh-CN" w:bidi="ar-SA"/>
          </w:rPr>
        </w:sdtEndPr>
        <w:sdtContent>
          <w:r>
            <w:rPr>
              <w:rFonts w:hint="eastAsia" w:ascii="宋体" w:hAnsi="宋体" w:eastAsia="宋体" w:cs="宋体"/>
              <w:b w:val="0"/>
              <w:bCs w:val="0"/>
              <w:color w:val="auto"/>
              <w:kern w:val="2"/>
              <w:sz w:val="21"/>
              <w:szCs w:val="21"/>
              <w:highlight w:val="none"/>
              <w:lang w:val="en-US" w:eastAsia="zh-CN" w:bidi="ar-SA"/>
            </w:rPr>
            <w:t>框架有效期：自合同签订之日起1年。</w:t>
          </w:r>
        </w:sdtContent>
      </w:sdt>
    </w:p>
    <w:p w14:paraId="1B5D498F">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2.6资格审查方式：资格后审</w:t>
      </w:r>
    </w:p>
    <w:p w14:paraId="49C3B9FA">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2.7采购类别：货物类</w:t>
      </w:r>
    </w:p>
    <w:p w14:paraId="2736F2E8">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2.8招标相关要求：1.货物质量标准或主要技术性能指标：投标人提供货物的质量和技术标准必须同时符合以下标准及要求：（1）必须符合行业标准；（2）必须符合国家标准；（3）必须符合其他相关国家法律法规对产品的质量标准及技术要求。（4）必须符合招标人的技术规范及验收标准。2.交货地点及收货人：由</w:t>
      </w:r>
      <w:r>
        <w:rPr>
          <w:rFonts w:hint="eastAsia" w:ascii="宋体" w:hAnsi="宋体" w:cs="宋体"/>
          <w:b w:val="0"/>
          <w:bCs w:val="0"/>
          <w:color w:val="auto"/>
          <w:kern w:val="2"/>
          <w:sz w:val="21"/>
          <w:szCs w:val="21"/>
          <w:highlight w:val="none"/>
          <w:lang w:val="en-US" w:eastAsia="zh-CN" w:bidi="ar-SA"/>
        </w:rPr>
        <w:t>招标</w:t>
      </w:r>
      <w:r>
        <w:rPr>
          <w:rFonts w:hint="eastAsia" w:ascii="宋体" w:hAnsi="宋体" w:eastAsia="宋体" w:cs="宋体"/>
          <w:b w:val="0"/>
          <w:bCs w:val="0"/>
          <w:color w:val="auto"/>
          <w:kern w:val="2"/>
          <w:sz w:val="21"/>
          <w:szCs w:val="21"/>
          <w:highlight w:val="none"/>
          <w:lang w:val="en-US" w:eastAsia="zh-CN" w:bidi="ar-SA"/>
        </w:rPr>
        <w:t>人实际下单指定地点及收货人。3.货物质保期：组件产品的质保期不少于 144个月，寿命不低于360 个月。</w:t>
      </w:r>
      <w:r>
        <w:rPr>
          <w:rFonts w:hint="eastAsia" w:ascii="宋体" w:hAnsi="宋体" w:cs="宋体"/>
          <w:bCs/>
          <w:kern w:val="0"/>
          <w:sz w:val="21"/>
          <w:szCs w:val="21"/>
          <w:highlight w:val="none"/>
          <w:lang w:val="en-US" w:eastAsia="zh-CN" w:bidi="ar-SA"/>
        </w:rPr>
        <w:t>4.备品备件要求：中标人按2‰的损耗率随货配送同批次同质量的光伏组件作为备品备件（即：单个采购订单数量每达到500块配送1块），备品备件费用包含在投标报价中，招标人不另行支付 。5.具体技术要求详见附件：《技术规范书》</w:t>
      </w:r>
      <w:r>
        <w:rPr>
          <w:rFonts w:hint="eastAsia" w:ascii="宋体" w:hAnsi="宋体" w:eastAsia="宋体" w:cs="宋体"/>
          <w:b w:val="0"/>
          <w:bCs w:val="0"/>
          <w:color w:val="auto"/>
          <w:kern w:val="2"/>
          <w:sz w:val="21"/>
          <w:szCs w:val="21"/>
          <w:highlight w:val="none"/>
          <w:lang w:val="en-US" w:eastAsia="zh-CN" w:bidi="ar-SA"/>
        </w:rPr>
        <w:t>。</w:t>
      </w:r>
    </w:p>
    <w:p w14:paraId="3FC2E2EB">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2.9标段划分：划分为1个标段，每个标段共3名中标供应商，详见下表。</w:t>
      </w:r>
    </w:p>
    <w:bookmarkEnd w:id="14"/>
    <w:tbl>
      <w:tblPr>
        <w:tblStyle w:val="46"/>
        <w:tblW w:w="11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0"/>
        <w:gridCol w:w="1684"/>
        <w:gridCol w:w="775"/>
        <w:gridCol w:w="838"/>
        <w:gridCol w:w="825"/>
        <w:gridCol w:w="1375"/>
        <w:gridCol w:w="2100"/>
        <w:gridCol w:w="2008"/>
        <w:gridCol w:w="1188"/>
      </w:tblGrid>
      <w:tr w14:paraId="187B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tblHeader/>
          <w:jc w:val="center"/>
        </w:trPr>
        <w:tc>
          <w:tcPr>
            <w:tcW w:w="620" w:type="dxa"/>
            <w:noWrap w:val="0"/>
            <w:vAlign w:val="center"/>
          </w:tcPr>
          <w:p w14:paraId="2BBD891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000000"/>
                <w:sz w:val="21"/>
                <w:szCs w:val="21"/>
                <w:highlight w:val="none"/>
                <w:u w:val="none"/>
              </w:rPr>
            </w:pPr>
            <w:bookmarkStart w:id="15" w:name="_Toc32043"/>
            <w:r>
              <w:rPr>
                <w:rFonts w:hint="eastAsia" w:ascii="宋体" w:hAnsi="宋体" w:eastAsia="宋体" w:cs="宋体"/>
                <w:b/>
                <w:bCs/>
                <w:color w:val="000000"/>
                <w:sz w:val="21"/>
                <w:szCs w:val="21"/>
                <w:highlight w:val="none"/>
                <w:u w:val="none"/>
              </w:rPr>
              <w:t>序号</w:t>
            </w:r>
          </w:p>
        </w:tc>
        <w:tc>
          <w:tcPr>
            <w:tcW w:w="1684" w:type="dxa"/>
            <w:noWrap w:val="0"/>
            <w:vAlign w:val="center"/>
          </w:tcPr>
          <w:p w14:paraId="5C83DF3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000000"/>
                <w:sz w:val="21"/>
                <w:szCs w:val="21"/>
                <w:highlight w:val="none"/>
                <w:u w:val="none"/>
                <w:lang w:val="en-US" w:eastAsia="zh-CN"/>
              </w:rPr>
            </w:pPr>
            <w:r>
              <w:rPr>
                <w:rFonts w:hint="eastAsia" w:ascii="宋体" w:hAnsi="宋体" w:eastAsia="宋体" w:cs="宋体"/>
                <w:b/>
                <w:bCs/>
                <w:color w:val="000000"/>
                <w:sz w:val="21"/>
                <w:szCs w:val="21"/>
                <w:highlight w:val="none"/>
                <w:u w:val="none"/>
                <w:lang w:val="en-US" w:eastAsia="zh-CN"/>
              </w:rPr>
              <w:t>标段名称</w:t>
            </w:r>
          </w:p>
        </w:tc>
        <w:tc>
          <w:tcPr>
            <w:tcW w:w="775" w:type="dxa"/>
            <w:noWrap w:val="0"/>
            <w:vAlign w:val="center"/>
          </w:tcPr>
          <w:p w14:paraId="25C792A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000000"/>
                <w:sz w:val="21"/>
                <w:szCs w:val="21"/>
                <w:highlight w:val="none"/>
                <w:u w:val="none"/>
              </w:rPr>
            </w:pPr>
            <w:r>
              <w:rPr>
                <w:rFonts w:hint="eastAsia" w:ascii="宋体" w:hAnsi="宋体" w:cs="宋体"/>
                <w:b/>
                <w:bCs/>
                <w:color w:val="000000"/>
                <w:sz w:val="21"/>
                <w:szCs w:val="21"/>
                <w:highlight w:val="none"/>
                <w:u w:val="none"/>
                <w:lang w:val="en-US" w:eastAsia="zh-CN"/>
              </w:rPr>
              <w:t>合同估算金额</w:t>
            </w:r>
            <w:r>
              <w:rPr>
                <w:rFonts w:hint="eastAsia" w:ascii="宋体" w:hAnsi="宋体" w:eastAsia="宋体" w:cs="宋体"/>
                <w:b/>
                <w:bCs/>
                <w:color w:val="000000"/>
                <w:sz w:val="21"/>
                <w:szCs w:val="21"/>
                <w:highlight w:val="none"/>
                <w:u w:val="none"/>
              </w:rPr>
              <w:t>（万元）</w:t>
            </w:r>
          </w:p>
        </w:tc>
        <w:tc>
          <w:tcPr>
            <w:tcW w:w="838" w:type="dxa"/>
            <w:noWrap w:val="0"/>
            <w:vAlign w:val="center"/>
          </w:tcPr>
          <w:p w14:paraId="539C4E2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12" w:lineRule="auto"/>
              <w:ind w:left="0" w:leftChars="0" w:right="0" w:rightChars="0"/>
              <w:jc w:val="center"/>
              <w:textAlignment w:val="auto"/>
              <w:rPr>
                <w:rFonts w:hint="eastAsia" w:ascii="宋体" w:hAnsi="宋体" w:eastAsia="宋体" w:cs="宋体"/>
                <w:b/>
                <w:bCs/>
                <w:color w:val="000000"/>
                <w:sz w:val="21"/>
                <w:szCs w:val="21"/>
                <w:highlight w:val="none"/>
                <w:u w:val="none"/>
                <w:lang w:val="en-US" w:eastAsia="zh-CN"/>
              </w:rPr>
            </w:pPr>
            <w:r>
              <w:rPr>
                <w:rFonts w:hint="eastAsia" w:ascii="宋体" w:hAnsi="宋体" w:eastAsia="宋体" w:cs="宋体"/>
                <w:b/>
                <w:bCs/>
                <w:color w:val="000000"/>
                <w:sz w:val="21"/>
                <w:szCs w:val="21"/>
                <w:highlight w:val="none"/>
                <w:u w:val="none"/>
                <w:lang w:val="en-US" w:eastAsia="zh-CN"/>
              </w:rPr>
              <w:t>最高限价</w:t>
            </w:r>
          </w:p>
          <w:p w14:paraId="51DA8CF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12" w:lineRule="auto"/>
              <w:ind w:left="0" w:leftChars="0" w:right="0" w:rightChars="0"/>
              <w:jc w:val="center"/>
              <w:textAlignment w:val="auto"/>
              <w:rPr>
                <w:rFonts w:hint="eastAsia" w:ascii="宋体" w:hAnsi="宋体" w:eastAsia="宋体" w:cs="宋体"/>
                <w:b/>
                <w:bCs/>
                <w:color w:val="000000"/>
                <w:sz w:val="21"/>
                <w:szCs w:val="21"/>
                <w:highlight w:val="none"/>
                <w:u w:val="none"/>
                <w:lang w:val="en-US" w:eastAsia="zh-CN"/>
              </w:rPr>
            </w:pPr>
            <w:r>
              <w:rPr>
                <w:rFonts w:hint="eastAsia" w:ascii="宋体" w:hAnsi="宋体" w:eastAsia="宋体" w:cs="宋体"/>
                <w:b/>
                <w:bCs/>
                <w:color w:val="000000"/>
                <w:sz w:val="21"/>
                <w:szCs w:val="21"/>
                <w:highlight w:val="none"/>
                <w:u w:val="none"/>
              </w:rPr>
              <w:t>（万元）</w:t>
            </w:r>
          </w:p>
        </w:tc>
        <w:tc>
          <w:tcPr>
            <w:tcW w:w="825" w:type="dxa"/>
            <w:noWrap w:val="0"/>
            <w:vAlign w:val="center"/>
          </w:tcPr>
          <w:p w14:paraId="17E1A49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000000"/>
                <w:sz w:val="21"/>
                <w:szCs w:val="21"/>
                <w:highlight w:val="none"/>
                <w:u w:val="none"/>
                <w:lang w:val="en-US" w:eastAsia="zh-CN"/>
              </w:rPr>
            </w:pPr>
            <w:r>
              <w:rPr>
                <w:rFonts w:hint="eastAsia" w:ascii="宋体" w:hAnsi="宋体" w:cs="宋体"/>
                <w:b/>
                <w:bCs/>
                <w:color w:val="000000"/>
                <w:sz w:val="21"/>
                <w:szCs w:val="21"/>
                <w:highlight w:val="none"/>
                <w:u w:val="none"/>
                <w:lang w:val="en-US" w:eastAsia="zh-CN"/>
              </w:rPr>
              <w:t>中标人</w:t>
            </w:r>
            <w:r>
              <w:rPr>
                <w:rFonts w:hint="eastAsia" w:ascii="宋体" w:hAnsi="宋体" w:eastAsia="宋体" w:cs="宋体"/>
                <w:b/>
                <w:bCs/>
                <w:color w:val="000000"/>
                <w:sz w:val="21"/>
                <w:szCs w:val="21"/>
                <w:highlight w:val="none"/>
                <w:u w:val="none"/>
              </w:rPr>
              <w:t>数量</w:t>
            </w:r>
            <w:r>
              <w:rPr>
                <w:rFonts w:hint="eastAsia" w:ascii="宋体" w:hAnsi="宋体" w:eastAsia="宋体" w:cs="宋体"/>
                <w:b/>
                <w:bCs/>
                <w:color w:val="000000"/>
                <w:sz w:val="21"/>
                <w:szCs w:val="21"/>
                <w:highlight w:val="none"/>
                <w:u w:val="none"/>
                <w:lang w:val="en-US" w:eastAsia="zh-CN"/>
              </w:rPr>
              <w:t>N</w:t>
            </w:r>
          </w:p>
        </w:tc>
        <w:tc>
          <w:tcPr>
            <w:tcW w:w="1375" w:type="dxa"/>
            <w:noWrap w:val="0"/>
            <w:vAlign w:val="center"/>
          </w:tcPr>
          <w:p w14:paraId="39F1440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000000"/>
                <w:sz w:val="21"/>
                <w:szCs w:val="21"/>
                <w:highlight w:val="none"/>
                <w:u w:val="none"/>
                <w:lang w:eastAsia="zh-CN"/>
              </w:rPr>
            </w:pPr>
            <w:r>
              <w:rPr>
                <w:rFonts w:hint="eastAsia" w:ascii="宋体" w:hAnsi="宋体" w:cs="宋体"/>
                <w:b/>
                <w:bCs/>
                <w:color w:val="000000"/>
                <w:sz w:val="21"/>
                <w:szCs w:val="21"/>
                <w:highlight w:val="none"/>
                <w:u w:val="none"/>
                <w:lang w:val="en-US" w:eastAsia="zh-CN"/>
              </w:rPr>
              <w:t>中标比例</w:t>
            </w:r>
          </w:p>
        </w:tc>
        <w:tc>
          <w:tcPr>
            <w:tcW w:w="2100" w:type="dxa"/>
            <w:noWrap w:val="0"/>
            <w:vAlign w:val="center"/>
          </w:tcPr>
          <w:p w14:paraId="4015476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b/>
                <w:bCs/>
                <w:color w:val="000000"/>
                <w:sz w:val="21"/>
                <w:szCs w:val="21"/>
                <w:highlight w:val="none"/>
                <w:u w:val="none"/>
              </w:rPr>
            </w:pPr>
            <w:r>
              <w:rPr>
                <w:rFonts w:hint="eastAsia" w:ascii="宋体" w:hAnsi="宋体" w:eastAsia="宋体" w:cs="宋体"/>
                <w:b/>
                <w:bCs/>
                <w:color w:val="000000"/>
                <w:sz w:val="21"/>
                <w:szCs w:val="21"/>
                <w:highlight w:val="none"/>
                <w:u w:val="none"/>
              </w:rPr>
              <w:t>报价方式</w:t>
            </w:r>
          </w:p>
        </w:tc>
        <w:tc>
          <w:tcPr>
            <w:tcW w:w="2008" w:type="dxa"/>
            <w:noWrap w:val="0"/>
            <w:vAlign w:val="center"/>
          </w:tcPr>
          <w:p w14:paraId="0E298E4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b/>
                <w:bCs/>
                <w:color w:val="000000"/>
                <w:sz w:val="21"/>
                <w:szCs w:val="21"/>
                <w:highlight w:val="none"/>
                <w:u w:val="none"/>
              </w:rPr>
            </w:pPr>
            <w:r>
              <w:rPr>
                <w:rFonts w:hint="eastAsia" w:ascii="宋体" w:hAnsi="宋体" w:eastAsia="宋体" w:cs="宋体"/>
                <w:b/>
                <w:bCs/>
                <w:color w:val="000000"/>
                <w:sz w:val="21"/>
                <w:szCs w:val="21"/>
                <w:highlight w:val="none"/>
                <w:u w:val="none"/>
              </w:rPr>
              <w:t>结算方式</w:t>
            </w:r>
          </w:p>
        </w:tc>
        <w:tc>
          <w:tcPr>
            <w:tcW w:w="1188" w:type="dxa"/>
            <w:noWrap w:val="0"/>
            <w:vAlign w:val="center"/>
          </w:tcPr>
          <w:p w14:paraId="5521C58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b/>
                <w:color w:val="000000"/>
                <w:sz w:val="21"/>
                <w:szCs w:val="21"/>
                <w:highlight w:val="none"/>
                <w:u w:val="none"/>
              </w:rPr>
            </w:pPr>
            <w:r>
              <w:rPr>
                <w:rFonts w:hint="eastAsia" w:ascii="宋体" w:hAnsi="宋体" w:eastAsia="宋体" w:cs="宋体"/>
                <w:b/>
                <w:color w:val="000000"/>
                <w:sz w:val="21"/>
                <w:szCs w:val="21"/>
                <w:highlight w:val="none"/>
                <w:u w:val="none"/>
              </w:rPr>
              <w:t>备注</w:t>
            </w:r>
          </w:p>
        </w:tc>
      </w:tr>
      <w:tr w14:paraId="7909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620" w:type="dxa"/>
            <w:noWrap w:val="0"/>
            <w:vAlign w:val="center"/>
          </w:tcPr>
          <w:p w14:paraId="049E7D5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000000"/>
                <w:sz w:val="21"/>
                <w:szCs w:val="21"/>
                <w:highlight w:val="none"/>
                <w:u w:val="none"/>
              </w:rPr>
            </w:pPr>
            <w:r>
              <w:rPr>
                <w:rFonts w:hint="eastAsia" w:ascii="宋体" w:hAnsi="宋体" w:eastAsia="宋体" w:cs="宋体"/>
                <w:color w:val="000000"/>
                <w:sz w:val="21"/>
                <w:szCs w:val="21"/>
                <w:highlight w:val="none"/>
                <w:u w:val="none"/>
              </w:rPr>
              <w:t>1</w:t>
            </w:r>
          </w:p>
        </w:tc>
        <w:tc>
          <w:tcPr>
            <w:tcW w:w="1684" w:type="dxa"/>
            <w:noWrap w:val="0"/>
            <w:vAlign w:val="center"/>
          </w:tcPr>
          <w:p w14:paraId="4DDE0198">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000000"/>
                <w:sz w:val="21"/>
                <w:szCs w:val="21"/>
                <w:highlight w:val="none"/>
                <w:u w:val="none"/>
                <w:lang w:val="en-US" w:eastAsia="zh-CN"/>
              </w:rPr>
            </w:pPr>
            <w:r>
              <w:rPr>
                <w:rFonts w:hint="eastAsia" w:ascii="宋体" w:hAnsi="宋体" w:eastAsia="宋体" w:cs="宋体"/>
                <w:color w:val="000000"/>
                <w:sz w:val="21"/>
                <w:szCs w:val="21"/>
                <w:highlight w:val="none"/>
                <w:u w:val="none"/>
                <w:lang w:val="en-US" w:eastAsia="zh-CN"/>
              </w:rPr>
              <w:t>科技公司2025-2026年第一批光伏组件采购框架（二次招标）</w:t>
            </w:r>
          </w:p>
        </w:tc>
        <w:tc>
          <w:tcPr>
            <w:tcW w:w="775" w:type="dxa"/>
            <w:noWrap w:val="0"/>
            <w:vAlign w:val="center"/>
          </w:tcPr>
          <w:p w14:paraId="44A333B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000000"/>
                <w:sz w:val="21"/>
                <w:szCs w:val="21"/>
                <w:highlight w:val="none"/>
                <w:u w:val="none"/>
                <w:lang w:val="en-US" w:eastAsia="zh-CN"/>
              </w:rPr>
            </w:pPr>
            <w:r>
              <w:rPr>
                <w:rFonts w:hint="eastAsia" w:ascii="宋体" w:hAnsi="宋体" w:cs="宋体"/>
                <w:color w:val="000000"/>
                <w:sz w:val="21"/>
                <w:szCs w:val="21"/>
                <w:highlight w:val="none"/>
                <w:u w:val="none"/>
                <w:lang w:val="en-US" w:eastAsia="zh-CN"/>
              </w:rPr>
              <w:t>3200</w:t>
            </w:r>
          </w:p>
        </w:tc>
        <w:tc>
          <w:tcPr>
            <w:tcW w:w="838" w:type="dxa"/>
            <w:noWrap w:val="0"/>
            <w:vAlign w:val="center"/>
          </w:tcPr>
          <w:p w14:paraId="7E394BD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12" w:lineRule="auto"/>
              <w:ind w:left="0" w:leftChars="0" w:right="0" w:rightChars="0"/>
              <w:jc w:val="center"/>
              <w:textAlignment w:val="auto"/>
              <w:rPr>
                <w:rFonts w:hint="eastAsia" w:ascii="宋体" w:hAnsi="宋体" w:eastAsia="宋体" w:cs="宋体"/>
                <w:color w:val="000000"/>
                <w:sz w:val="21"/>
                <w:szCs w:val="21"/>
                <w:highlight w:val="none"/>
                <w:u w:val="none"/>
                <w:lang w:val="en-US" w:eastAsia="zh-CN"/>
              </w:rPr>
            </w:pPr>
            <w:r>
              <w:rPr>
                <w:rFonts w:hint="eastAsia" w:ascii="宋体" w:hAnsi="宋体" w:cs="宋体"/>
                <w:color w:val="000000"/>
                <w:sz w:val="21"/>
                <w:szCs w:val="21"/>
                <w:highlight w:val="none"/>
                <w:u w:val="none"/>
                <w:lang w:val="en-US" w:eastAsia="zh-CN"/>
              </w:rPr>
              <w:t>/</w:t>
            </w:r>
          </w:p>
        </w:tc>
        <w:tc>
          <w:tcPr>
            <w:tcW w:w="825" w:type="dxa"/>
            <w:noWrap w:val="0"/>
            <w:vAlign w:val="center"/>
          </w:tcPr>
          <w:p w14:paraId="6C1A401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000000"/>
                <w:sz w:val="21"/>
                <w:szCs w:val="21"/>
                <w:highlight w:val="none"/>
                <w:u w:val="none"/>
                <w:lang w:val="en-US" w:eastAsia="zh-CN"/>
              </w:rPr>
            </w:pPr>
            <w:r>
              <w:rPr>
                <w:rFonts w:hint="eastAsia" w:ascii="宋体" w:hAnsi="宋体" w:cs="宋体"/>
                <w:color w:val="000000"/>
                <w:sz w:val="21"/>
                <w:szCs w:val="21"/>
                <w:highlight w:val="none"/>
                <w:u w:val="none"/>
                <w:lang w:val="en-US" w:eastAsia="zh-CN"/>
              </w:rPr>
              <w:t>3</w:t>
            </w:r>
          </w:p>
        </w:tc>
        <w:tc>
          <w:tcPr>
            <w:tcW w:w="1375" w:type="dxa"/>
            <w:noWrap w:val="0"/>
            <w:vAlign w:val="center"/>
          </w:tcPr>
          <w:p w14:paraId="7922377B">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第1</w:t>
            </w:r>
            <w:r>
              <w:rPr>
                <w:rFonts w:hint="eastAsia" w:ascii="宋体" w:hAnsi="宋体" w:cs="宋体"/>
                <w:color w:val="auto"/>
                <w:sz w:val="21"/>
                <w:szCs w:val="21"/>
                <w:highlight w:val="none"/>
                <w:u w:val="none"/>
                <w:lang w:val="en-US" w:eastAsia="zh-CN"/>
              </w:rPr>
              <w:t>中标人：中标比例40</w:t>
            </w:r>
            <w:r>
              <w:rPr>
                <w:rFonts w:hint="eastAsia" w:ascii="宋体" w:hAnsi="宋体" w:eastAsia="宋体" w:cs="宋体"/>
                <w:color w:val="auto"/>
                <w:sz w:val="21"/>
                <w:szCs w:val="21"/>
                <w:highlight w:val="none"/>
                <w:u w:val="none"/>
              </w:rPr>
              <w:t>%；</w:t>
            </w:r>
          </w:p>
          <w:p w14:paraId="64163A3B">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第2</w:t>
            </w:r>
            <w:r>
              <w:rPr>
                <w:rFonts w:hint="eastAsia" w:ascii="宋体" w:hAnsi="宋体" w:cs="宋体"/>
                <w:color w:val="auto"/>
                <w:sz w:val="21"/>
                <w:szCs w:val="21"/>
                <w:highlight w:val="none"/>
                <w:u w:val="none"/>
                <w:lang w:val="en-US" w:eastAsia="zh-CN"/>
              </w:rPr>
              <w:t>中标人：中标比例30</w:t>
            </w:r>
            <w:r>
              <w:rPr>
                <w:rFonts w:hint="eastAsia" w:ascii="宋体" w:hAnsi="宋体" w:eastAsia="宋体" w:cs="宋体"/>
                <w:color w:val="auto"/>
                <w:sz w:val="21"/>
                <w:szCs w:val="21"/>
                <w:highlight w:val="none"/>
                <w:u w:val="none"/>
              </w:rPr>
              <w:t>%；</w:t>
            </w:r>
          </w:p>
          <w:p w14:paraId="2193E867">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000000"/>
                <w:sz w:val="21"/>
                <w:szCs w:val="21"/>
                <w:highlight w:val="none"/>
                <w:u w:val="none"/>
                <w:lang w:eastAsia="zh-CN"/>
              </w:rPr>
            </w:pPr>
            <w:r>
              <w:rPr>
                <w:rFonts w:hint="eastAsia" w:ascii="宋体" w:hAnsi="宋体" w:eastAsia="宋体" w:cs="宋体"/>
                <w:color w:val="auto"/>
                <w:sz w:val="21"/>
                <w:szCs w:val="21"/>
                <w:highlight w:val="none"/>
                <w:u w:val="none"/>
              </w:rPr>
              <w:t>第</w:t>
            </w:r>
            <w:r>
              <w:rPr>
                <w:rFonts w:hint="eastAsia" w:ascii="宋体" w:hAnsi="宋体" w:eastAsia="宋体" w:cs="宋体"/>
                <w:color w:val="auto"/>
                <w:sz w:val="21"/>
                <w:szCs w:val="21"/>
                <w:highlight w:val="none"/>
                <w:u w:val="none"/>
                <w:lang w:val="en-US" w:eastAsia="zh-CN"/>
              </w:rPr>
              <w:t>3</w:t>
            </w:r>
            <w:r>
              <w:rPr>
                <w:rFonts w:hint="eastAsia" w:ascii="宋体" w:hAnsi="宋体" w:cs="宋体"/>
                <w:color w:val="auto"/>
                <w:sz w:val="21"/>
                <w:szCs w:val="21"/>
                <w:highlight w:val="none"/>
                <w:u w:val="none"/>
                <w:lang w:val="en-US" w:eastAsia="zh-CN"/>
              </w:rPr>
              <w:t>中标人：中标比例</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val="en-US" w:eastAsia="zh-CN"/>
              </w:rPr>
              <w:t>。</w:t>
            </w:r>
          </w:p>
        </w:tc>
        <w:tc>
          <w:tcPr>
            <w:tcW w:w="2100" w:type="dxa"/>
            <w:noWrap w:val="0"/>
            <w:vAlign w:val="center"/>
          </w:tcPr>
          <w:p w14:paraId="33A4E39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1"/>
                <w:szCs w:val="21"/>
                <w:highlight w:val="none"/>
                <w:u w:val="none"/>
                <w:lang w:val="en-US" w:eastAsia="zh-CN"/>
              </w:rPr>
            </w:pPr>
            <w:r>
              <w:rPr>
                <w:rFonts w:hint="eastAsia" w:ascii="宋体" w:hAnsi="宋体" w:cs="宋体"/>
                <w:color w:val="auto"/>
                <w:kern w:val="0"/>
                <w:sz w:val="21"/>
                <w:szCs w:val="21"/>
                <w:highlight w:val="none"/>
                <w:lang w:val="en-US" w:eastAsia="zh-CN" w:bidi="ar-SA"/>
              </w:rPr>
              <w:t>本项目按清单报含税单价，含税单价作为本项目评审价。报价如有小数位，最多保留三位小数，如1.888%，尾数为0可忽略。</w:t>
            </w:r>
          </w:p>
        </w:tc>
        <w:tc>
          <w:tcPr>
            <w:tcW w:w="2008" w:type="dxa"/>
            <w:noWrap w:val="0"/>
            <w:vAlign w:val="center"/>
          </w:tcPr>
          <w:p w14:paraId="1F5CA91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000000"/>
                <w:sz w:val="21"/>
                <w:szCs w:val="21"/>
                <w:highlight w:val="none"/>
                <w:u w:val="none"/>
                <w:lang w:val="en-US" w:eastAsia="zh-CN"/>
              </w:rPr>
            </w:pPr>
            <w:r>
              <w:rPr>
                <w:rFonts w:hint="eastAsia" w:ascii="宋体" w:hAnsi="宋体" w:cs="宋体"/>
                <w:color w:val="auto"/>
                <w:kern w:val="0"/>
                <w:sz w:val="21"/>
                <w:szCs w:val="21"/>
                <w:highlight w:val="none"/>
                <w:lang w:val="en-US" w:eastAsia="zh-CN" w:bidi="ar-SA"/>
              </w:rPr>
              <w:t>按实结算，结算价=Σ调整后的供货价格×单片组件功率段×实际采购数量。</w:t>
            </w:r>
          </w:p>
        </w:tc>
        <w:tc>
          <w:tcPr>
            <w:tcW w:w="1188" w:type="dxa"/>
            <w:noWrap w:val="0"/>
            <w:vAlign w:val="center"/>
          </w:tcPr>
          <w:p w14:paraId="3F12A3E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1"/>
                <w:szCs w:val="21"/>
                <w:highlight w:val="none"/>
                <w:u w:val="none"/>
                <w:lang w:val="en-US"/>
              </w:rPr>
            </w:pPr>
          </w:p>
        </w:tc>
      </w:tr>
      <w:tr w14:paraId="469FF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2304" w:type="dxa"/>
            <w:gridSpan w:val="2"/>
            <w:noWrap w:val="0"/>
            <w:vAlign w:val="center"/>
          </w:tcPr>
          <w:p w14:paraId="3B333A3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000000"/>
                <w:sz w:val="21"/>
                <w:szCs w:val="21"/>
                <w:highlight w:val="none"/>
                <w:u w:val="none"/>
                <w:lang w:val="en-US" w:eastAsia="zh-CN"/>
              </w:rPr>
            </w:pPr>
            <w:bookmarkStart w:id="16" w:name="采购金额" w:colFirst="1" w:colLast="1"/>
            <w:r>
              <w:rPr>
                <w:rFonts w:hint="eastAsia" w:ascii="宋体" w:hAnsi="宋体" w:eastAsia="宋体" w:cs="宋体"/>
                <w:color w:val="000000"/>
                <w:sz w:val="21"/>
                <w:szCs w:val="21"/>
                <w:highlight w:val="none"/>
                <w:u w:val="none"/>
                <w:lang w:val="en-US" w:eastAsia="zh-CN"/>
              </w:rPr>
              <w:t>合计</w:t>
            </w:r>
          </w:p>
        </w:tc>
        <w:sdt>
          <w:sdtPr>
            <w:rPr>
              <w:rFonts w:hint="eastAsia" w:ascii="宋体" w:hAnsi="宋体" w:eastAsia="宋体" w:cs="宋体"/>
              <w:color w:val="000000"/>
              <w:kern w:val="2"/>
              <w:sz w:val="21"/>
              <w:szCs w:val="21"/>
              <w:highlight w:val="none"/>
              <w:u w:val="none"/>
              <w:lang w:val="en-US" w:eastAsia="zh-CN" w:bidi="ar-SA"/>
            </w:rPr>
            <w:alias w:val="预计采购金额"/>
            <w:id w:val="147468537"/>
            <w:lock w:val="sdtLocked"/>
            <w:placeholder>
              <w:docPart w:val="{becf65b2-db1e-4c09-9889-ae5f0e09f764}"/>
            </w:placeholder>
          </w:sdtPr>
          <w:sdtEndPr>
            <w:rPr>
              <w:rFonts w:hint="default" w:ascii="宋体" w:hAnsi="宋体" w:eastAsia="宋体" w:cs="宋体"/>
              <w:color w:val="000000"/>
              <w:kern w:val="2"/>
              <w:sz w:val="21"/>
              <w:szCs w:val="21"/>
              <w:highlight w:val="none"/>
              <w:u w:val="none"/>
              <w:lang w:val="en-US" w:eastAsia="zh-CN" w:bidi="ar-SA"/>
            </w:rPr>
          </w:sdtEndPr>
          <w:sdtContent>
            <w:tc>
              <w:tcPr>
                <w:tcW w:w="775" w:type="dxa"/>
                <w:noWrap w:val="0"/>
                <w:vAlign w:val="center"/>
              </w:tcPr>
              <w:p w14:paraId="4E48007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000000"/>
                    <w:sz w:val="21"/>
                    <w:szCs w:val="21"/>
                    <w:highlight w:val="none"/>
                    <w:u w:val="none"/>
                    <w:lang w:val="en-US" w:eastAsia="zh-CN"/>
                  </w:rPr>
                </w:pPr>
                <w:r>
                  <w:rPr>
                    <w:rFonts w:hint="eastAsia" w:ascii="宋体" w:hAnsi="宋体" w:cs="宋体"/>
                    <w:color w:val="000000"/>
                    <w:kern w:val="2"/>
                    <w:sz w:val="21"/>
                    <w:szCs w:val="21"/>
                    <w:highlight w:val="none"/>
                    <w:u w:val="none"/>
                    <w:lang w:val="en-US" w:eastAsia="zh-CN" w:bidi="ar-SA"/>
                  </w:rPr>
                  <w:t>3200</w:t>
                </w:r>
              </w:p>
            </w:tc>
          </w:sdtContent>
        </w:sdt>
        <w:tc>
          <w:tcPr>
            <w:tcW w:w="838" w:type="dxa"/>
            <w:noWrap w:val="0"/>
            <w:vAlign w:val="center"/>
          </w:tcPr>
          <w:p w14:paraId="3F11056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000000"/>
                <w:sz w:val="21"/>
                <w:szCs w:val="21"/>
                <w:highlight w:val="none"/>
                <w:u w:val="none"/>
                <w:lang w:val="en-US" w:eastAsia="zh-CN"/>
              </w:rPr>
            </w:pPr>
          </w:p>
        </w:tc>
        <w:tc>
          <w:tcPr>
            <w:tcW w:w="825" w:type="dxa"/>
            <w:noWrap w:val="0"/>
            <w:vAlign w:val="center"/>
          </w:tcPr>
          <w:p w14:paraId="53A9DDD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000000"/>
                <w:sz w:val="21"/>
                <w:szCs w:val="21"/>
                <w:highlight w:val="none"/>
                <w:u w:val="none"/>
                <w:lang w:eastAsia="zh-CN"/>
              </w:rPr>
            </w:pPr>
          </w:p>
        </w:tc>
        <w:tc>
          <w:tcPr>
            <w:tcW w:w="1375" w:type="dxa"/>
            <w:noWrap w:val="0"/>
            <w:vAlign w:val="center"/>
          </w:tcPr>
          <w:p w14:paraId="7DB6707E">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000000"/>
                <w:sz w:val="21"/>
                <w:szCs w:val="21"/>
                <w:highlight w:val="none"/>
                <w:u w:val="none"/>
              </w:rPr>
            </w:pPr>
          </w:p>
        </w:tc>
        <w:tc>
          <w:tcPr>
            <w:tcW w:w="2100" w:type="dxa"/>
            <w:noWrap w:val="0"/>
            <w:vAlign w:val="center"/>
          </w:tcPr>
          <w:p w14:paraId="4DEBB12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000000"/>
                <w:sz w:val="21"/>
                <w:szCs w:val="21"/>
                <w:highlight w:val="none"/>
                <w:u w:val="none"/>
              </w:rPr>
            </w:pPr>
          </w:p>
        </w:tc>
        <w:tc>
          <w:tcPr>
            <w:tcW w:w="2008" w:type="dxa"/>
            <w:noWrap w:val="0"/>
            <w:vAlign w:val="center"/>
          </w:tcPr>
          <w:p w14:paraId="778CD5EB">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000000"/>
                <w:sz w:val="21"/>
                <w:szCs w:val="21"/>
                <w:highlight w:val="none"/>
                <w:u w:val="none"/>
              </w:rPr>
            </w:pPr>
          </w:p>
        </w:tc>
        <w:tc>
          <w:tcPr>
            <w:tcW w:w="1188" w:type="dxa"/>
            <w:noWrap w:val="0"/>
            <w:vAlign w:val="center"/>
          </w:tcPr>
          <w:p w14:paraId="216E12B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000000"/>
                <w:sz w:val="21"/>
                <w:szCs w:val="21"/>
                <w:highlight w:val="none"/>
                <w:u w:val="none"/>
              </w:rPr>
            </w:pPr>
          </w:p>
        </w:tc>
      </w:tr>
      <w:bookmarkEnd w:id="16"/>
    </w:tbl>
    <w:p w14:paraId="514C62F5">
      <w:pPr>
        <w:kinsoku/>
        <w:overflowPunct/>
        <w:bidi w:val="0"/>
        <w:spacing w:line="360" w:lineRule="auto"/>
        <w:outlineLvl w:val="9"/>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3.投标人资格要求</w:t>
      </w:r>
    </w:p>
    <w:tbl>
      <w:tblPr>
        <w:tblStyle w:val="4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832"/>
        <w:gridCol w:w="6923"/>
      </w:tblGrid>
      <w:tr w14:paraId="430D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noWrap w:val="0"/>
            <w:vAlign w:val="center"/>
          </w:tcPr>
          <w:p w14:paraId="1D5034C5">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bCs/>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标段名称</w:t>
            </w:r>
          </w:p>
        </w:tc>
        <w:tc>
          <w:tcPr>
            <w:tcW w:w="832" w:type="dxa"/>
            <w:noWrap w:val="0"/>
            <w:vAlign w:val="center"/>
          </w:tcPr>
          <w:p w14:paraId="557AC529">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bCs/>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序号</w:t>
            </w:r>
          </w:p>
        </w:tc>
        <w:tc>
          <w:tcPr>
            <w:tcW w:w="6923" w:type="dxa"/>
            <w:noWrap w:val="0"/>
            <w:vAlign w:val="center"/>
          </w:tcPr>
          <w:p w14:paraId="033AC64A">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bCs/>
                <w:sz w:val="21"/>
                <w:szCs w:val="21"/>
                <w:highlight w:val="none"/>
                <w:vertAlign w:val="baseline"/>
              </w:rPr>
            </w:pPr>
            <w:r>
              <w:rPr>
                <w:rFonts w:hint="eastAsia" w:ascii="宋体" w:hAnsi="宋体" w:eastAsia="宋体" w:cs="宋体"/>
                <w:b/>
                <w:bCs/>
                <w:sz w:val="21"/>
                <w:szCs w:val="21"/>
                <w:highlight w:val="none"/>
                <w:vertAlign w:val="baseline"/>
              </w:rPr>
              <w:t>资</w:t>
            </w:r>
            <w:r>
              <w:rPr>
                <w:rFonts w:hint="eastAsia" w:ascii="宋体" w:hAnsi="宋体" w:eastAsia="宋体" w:cs="宋体"/>
                <w:b/>
                <w:bCs/>
                <w:sz w:val="21"/>
                <w:szCs w:val="21"/>
                <w:highlight w:val="none"/>
                <w:vertAlign w:val="baseline"/>
                <w:lang w:val="en-US" w:eastAsia="zh-CN"/>
              </w:rPr>
              <w:t>格</w:t>
            </w:r>
            <w:r>
              <w:rPr>
                <w:rFonts w:hint="eastAsia" w:ascii="宋体" w:hAnsi="宋体" w:eastAsia="宋体" w:cs="宋体"/>
                <w:b/>
                <w:bCs/>
                <w:sz w:val="21"/>
                <w:szCs w:val="21"/>
                <w:highlight w:val="none"/>
                <w:vertAlign w:val="baseline"/>
              </w:rPr>
              <w:t>条件</w:t>
            </w:r>
          </w:p>
        </w:tc>
      </w:tr>
      <w:tr w14:paraId="0F22D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restart"/>
            <w:noWrap w:val="0"/>
            <w:vAlign w:val="center"/>
          </w:tcPr>
          <w:p w14:paraId="69E82135">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val="0"/>
                <w:bCs w:val="0"/>
                <w:sz w:val="21"/>
                <w:szCs w:val="21"/>
                <w:highlight w:val="none"/>
                <w:u w:val="single"/>
                <w:vertAlign w:val="baseline"/>
                <w:lang w:val="en-US" w:eastAsia="zh-CN"/>
              </w:rPr>
            </w:pPr>
            <w:r>
              <w:rPr>
                <w:rFonts w:hint="eastAsia" w:ascii="宋体" w:hAnsi="宋体" w:cs="宋体"/>
                <w:b w:val="0"/>
                <w:bCs w:val="0"/>
                <w:sz w:val="21"/>
                <w:szCs w:val="21"/>
                <w:highlight w:val="none"/>
                <w:u w:val="none"/>
                <w:vertAlign w:val="baseline"/>
                <w:lang w:val="en-US" w:eastAsia="zh-CN"/>
              </w:rPr>
              <w:t>科技公司2025-2026年第一批光伏组件采购框架（二次招标）</w:t>
            </w:r>
          </w:p>
        </w:tc>
        <w:tc>
          <w:tcPr>
            <w:tcW w:w="832" w:type="dxa"/>
            <w:noWrap w:val="0"/>
            <w:vAlign w:val="center"/>
          </w:tcPr>
          <w:p w14:paraId="65E82959">
            <w:pPr>
              <w:keepNext w:val="0"/>
              <w:keepLines w:val="0"/>
              <w:pageBreakBefore w:val="0"/>
              <w:widowControl w:val="0"/>
              <w:numPr>
                <w:ilvl w:val="0"/>
                <w:numId w:val="4"/>
              </w:numPr>
              <w:kinsoku/>
              <w:wordWrap/>
              <w:overflowPunct/>
              <w:topLinePunct w:val="0"/>
              <w:autoSpaceDE/>
              <w:autoSpaceDN/>
              <w:bidi w:val="0"/>
              <w:adjustRightInd/>
              <w:snapToGrid/>
              <w:spacing w:before="0" w:after="0" w:line="312" w:lineRule="auto"/>
              <w:ind w:left="0" w:leftChars="0" w:firstLine="0" w:firstLineChars="0"/>
              <w:jc w:val="center"/>
              <w:textAlignment w:val="auto"/>
              <w:rPr>
                <w:rFonts w:hint="eastAsia" w:ascii="宋体" w:hAnsi="宋体" w:eastAsia="宋体" w:cs="宋体"/>
                <w:b w:val="0"/>
                <w:bCs w:val="0"/>
                <w:sz w:val="21"/>
                <w:szCs w:val="21"/>
                <w:highlight w:val="none"/>
                <w:u w:val="none"/>
                <w:vertAlign w:val="baseline"/>
                <w:lang w:val="en-US" w:eastAsia="zh-CN"/>
              </w:rPr>
            </w:pPr>
          </w:p>
        </w:tc>
        <w:tc>
          <w:tcPr>
            <w:tcW w:w="6923" w:type="dxa"/>
            <w:noWrap w:val="0"/>
            <w:vAlign w:val="center"/>
          </w:tcPr>
          <w:p w14:paraId="245F27C1">
            <w:pPr>
              <w:keepNext w:val="0"/>
              <w:keepLines w:val="0"/>
              <w:pageBreakBefore w:val="0"/>
              <w:widowControl w:val="0"/>
              <w:kinsoku/>
              <w:wordWrap/>
              <w:overflowPunct/>
              <w:topLinePunct w:val="0"/>
              <w:autoSpaceDE/>
              <w:autoSpaceDN/>
              <w:bidi w:val="0"/>
              <w:adjustRightInd/>
              <w:snapToGrid/>
              <w:spacing w:before="0" w:after="0" w:line="312" w:lineRule="auto"/>
              <w:jc w:val="left"/>
              <w:textAlignment w:val="auto"/>
              <w:rPr>
                <w:rFonts w:hint="eastAsia" w:ascii="宋体" w:hAnsi="宋体" w:eastAsia="宋体" w:cs="宋体"/>
                <w:b w:val="0"/>
                <w:bCs w:val="0"/>
                <w:sz w:val="21"/>
                <w:szCs w:val="21"/>
                <w:highlight w:val="none"/>
                <w:u w:val="none"/>
                <w:vertAlign w:val="baseline"/>
              </w:rPr>
            </w:pPr>
            <w:r>
              <w:rPr>
                <w:rFonts w:hint="eastAsia" w:ascii="宋体" w:hAnsi="宋体" w:eastAsia="宋体" w:cs="宋体"/>
                <w:b w:val="0"/>
                <w:bCs w:val="0"/>
                <w:sz w:val="21"/>
                <w:szCs w:val="21"/>
                <w:highlight w:val="none"/>
                <w:u w:val="none"/>
                <w:vertAlign w:val="baseline"/>
                <w:lang w:eastAsia="zh-CN"/>
              </w:rPr>
              <w:t>在中华人民共和国境内依法登记的法人或其他组织</w:t>
            </w:r>
            <w:r>
              <w:rPr>
                <w:rFonts w:hint="eastAsia" w:ascii="宋体" w:hAnsi="宋体" w:eastAsia="宋体" w:cs="宋体"/>
                <w:b w:val="0"/>
                <w:bCs w:val="0"/>
                <w:sz w:val="21"/>
                <w:szCs w:val="21"/>
                <w:highlight w:val="none"/>
                <w:u w:val="none"/>
                <w:vertAlign w:val="baseline"/>
                <w:lang w:val="en-US" w:eastAsia="zh-CN"/>
              </w:rPr>
              <w:t>，具有独立承担民事责任的能力、独立承担项目的能力和独立履行合同的能力。持有合法有效的营业执照/事业单位法人证书。</w:t>
            </w:r>
          </w:p>
        </w:tc>
      </w:tr>
      <w:tr w14:paraId="21A4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noWrap w:val="0"/>
            <w:vAlign w:val="center"/>
          </w:tcPr>
          <w:p w14:paraId="29E0385C">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val="0"/>
                <w:bCs w:val="0"/>
                <w:sz w:val="21"/>
                <w:szCs w:val="21"/>
                <w:highlight w:val="none"/>
                <w:u w:val="single"/>
                <w:vertAlign w:val="baseline"/>
                <w:lang w:val="en-US" w:eastAsia="zh-CN"/>
              </w:rPr>
            </w:pPr>
          </w:p>
        </w:tc>
        <w:tc>
          <w:tcPr>
            <w:tcW w:w="832" w:type="dxa"/>
            <w:noWrap w:val="0"/>
            <w:vAlign w:val="center"/>
          </w:tcPr>
          <w:p w14:paraId="0D9A94B4">
            <w:pPr>
              <w:keepNext w:val="0"/>
              <w:keepLines w:val="0"/>
              <w:pageBreakBefore w:val="0"/>
              <w:widowControl w:val="0"/>
              <w:numPr>
                <w:ilvl w:val="0"/>
                <w:numId w:val="4"/>
              </w:numPr>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b w:val="0"/>
                <w:bCs w:val="0"/>
                <w:sz w:val="21"/>
                <w:szCs w:val="21"/>
                <w:highlight w:val="none"/>
                <w:u w:val="none"/>
                <w:vertAlign w:val="baseline"/>
                <w:lang w:val="en-US" w:eastAsia="zh-CN"/>
              </w:rPr>
            </w:pPr>
          </w:p>
        </w:tc>
        <w:tc>
          <w:tcPr>
            <w:tcW w:w="6923" w:type="dxa"/>
            <w:noWrap w:val="0"/>
            <w:vAlign w:val="center"/>
          </w:tcPr>
          <w:p w14:paraId="46BEA4C4">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sz w:val="21"/>
                <w:szCs w:val="21"/>
                <w:highlight w:val="none"/>
                <w:u w:val="none"/>
                <w:vertAlign w:val="baseline"/>
                <w:lang w:val="en-US" w:eastAsia="zh-CN"/>
              </w:rPr>
            </w:pPr>
            <w:r>
              <w:rPr>
                <w:rFonts w:hint="eastAsia" w:ascii="宋体" w:hAnsi="宋体" w:cs="宋体"/>
                <w:highlight w:val="none"/>
                <w:lang w:eastAsia="zh-CN"/>
              </w:rPr>
              <w:t>投标人</w:t>
            </w:r>
            <w:r>
              <w:rPr>
                <w:rFonts w:hint="eastAsia" w:ascii="宋体" w:hAnsi="宋体" w:eastAsia="宋体" w:cs="宋体"/>
                <w:highlight w:val="none"/>
                <w:lang w:eastAsia="zh-CN"/>
              </w:rPr>
              <w:t>没有在中国南方电网有限责任公司</w:t>
            </w:r>
            <w:r>
              <w:rPr>
                <w:rFonts w:hint="eastAsia" w:ascii="宋体" w:hAnsi="宋体" w:cs="宋体"/>
                <w:highlight w:val="none"/>
                <w:lang w:eastAsia="zh-CN"/>
              </w:rPr>
              <w:t>、</w:t>
            </w:r>
            <w:r>
              <w:rPr>
                <w:rFonts w:hint="eastAsia" w:ascii="宋体" w:hAnsi="宋体" w:eastAsia="宋体" w:cs="宋体"/>
                <w:highlight w:val="none"/>
                <w:lang w:eastAsia="zh-CN"/>
              </w:rPr>
              <w:t>广州南方投资集团有限公司</w:t>
            </w:r>
            <w:r>
              <w:rPr>
                <w:rFonts w:hint="eastAsia" w:ascii="宋体" w:hAnsi="宋体" w:cs="宋体"/>
                <w:highlight w:val="none"/>
                <w:lang w:eastAsia="zh-CN"/>
              </w:rPr>
              <w:t>及</w:t>
            </w:r>
            <w:r>
              <w:rPr>
                <w:rFonts w:hint="eastAsia" w:ascii="宋体" w:hAnsi="宋体" w:eastAsia="宋体" w:cs="宋体"/>
                <w:highlight w:val="none"/>
                <w:lang w:eastAsia="zh-CN"/>
              </w:rPr>
              <w:t>项目所在地政府暂停投标资格、取消投标资格、不接受投标、市场禁入，且未解除的。</w:t>
            </w:r>
          </w:p>
        </w:tc>
      </w:tr>
      <w:tr w14:paraId="3C61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1599" w:type="dxa"/>
            <w:vMerge w:val="continue"/>
            <w:noWrap w:val="0"/>
            <w:vAlign w:val="center"/>
          </w:tcPr>
          <w:p w14:paraId="1BA8DCCB">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val="0"/>
                <w:bCs w:val="0"/>
                <w:sz w:val="21"/>
                <w:szCs w:val="21"/>
                <w:highlight w:val="none"/>
                <w:u w:val="single"/>
                <w:vertAlign w:val="baseline"/>
                <w:lang w:val="en-US" w:eastAsia="zh-CN"/>
              </w:rPr>
            </w:pPr>
          </w:p>
        </w:tc>
        <w:tc>
          <w:tcPr>
            <w:tcW w:w="832" w:type="dxa"/>
            <w:noWrap w:val="0"/>
            <w:vAlign w:val="center"/>
          </w:tcPr>
          <w:p w14:paraId="081504EF">
            <w:pPr>
              <w:keepNext w:val="0"/>
              <w:keepLines w:val="0"/>
              <w:pageBreakBefore w:val="0"/>
              <w:widowControl w:val="0"/>
              <w:numPr>
                <w:ilvl w:val="0"/>
                <w:numId w:val="4"/>
              </w:numPr>
              <w:kinsoku/>
              <w:wordWrap/>
              <w:overflowPunct/>
              <w:topLinePunct w:val="0"/>
              <w:autoSpaceDE/>
              <w:autoSpaceDN/>
              <w:bidi w:val="0"/>
              <w:adjustRightInd/>
              <w:snapToGrid/>
              <w:spacing w:before="0" w:after="0" w:line="312" w:lineRule="auto"/>
              <w:ind w:left="0" w:leftChars="0" w:firstLine="0" w:firstLineChars="0"/>
              <w:jc w:val="center"/>
              <w:textAlignment w:val="auto"/>
              <w:rPr>
                <w:rFonts w:hint="eastAsia" w:ascii="宋体" w:hAnsi="宋体" w:eastAsia="宋体" w:cs="宋体"/>
                <w:b w:val="0"/>
                <w:bCs w:val="0"/>
                <w:kern w:val="2"/>
                <w:sz w:val="21"/>
                <w:szCs w:val="21"/>
                <w:highlight w:val="none"/>
                <w:u w:val="none"/>
                <w:vertAlign w:val="baseline"/>
                <w:lang w:val="en-US" w:eastAsia="zh-CN" w:bidi="ar-SA"/>
              </w:rPr>
            </w:pPr>
          </w:p>
        </w:tc>
        <w:tc>
          <w:tcPr>
            <w:tcW w:w="6923" w:type="dxa"/>
            <w:noWrap w:val="0"/>
            <w:vAlign w:val="center"/>
          </w:tcPr>
          <w:p w14:paraId="2733536B">
            <w:pPr>
              <w:keepNext w:val="0"/>
              <w:keepLines w:val="0"/>
              <w:pageBreakBefore w:val="0"/>
              <w:widowControl w:val="0"/>
              <w:kinsoku/>
              <w:wordWrap/>
              <w:overflowPunct/>
              <w:topLinePunct w:val="0"/>
              <w:autoSpaceDE/>
              <w:autoSpaceDN/>
              <w:bidi w:val="0"/>
              <w:adjustRightInd/>
              <w:snapToGrid/>
              <w:spacing w:before="0" w:after="0" w:line="312" w:lineRule="auto"/>
              <w:jc w:val="left"/>
              <w:textAlignment w:val="auto"/>
              <w:rPr>
                <w:rFonts w:hint="eastAsia" w:ascii="宋体" w:hAnsi="宋体" w:eastAsia="宋体" w:cs="宋体"/>
                <w:b w:val="0"/>
                <w:bCs w:val="0"/>
                <w:sz w:val="21"/>
                <w:szCs w:val="21"/>
                <w:highlight w:val="none"/>
                <w:u w:val="none"/>
                <w:vertAlign w:val="baseline"/>
                <w:lang w:eastAsia="zh-CN"/>
              </w:rPr>
            </w:pPr>
            <w:r>
              <w:rPr>
                <w:rFonts w:hint="eastAsia" w:ascii="宋体" w:hAnsi="宋体" w:cs="宋体"/>
                <w:b w:val="0"/>
                <w:bCs w:val="0"/>
                <w:color w:val="auto"/>
                <w:sz w:val="21"/>
                <w:szCs w:val="21"/>
                <w:highlight w:val="none"/>
                <w:u w:val="none"/>
                <w:lang w:val="en-US" w:eastAsia="zh-CN"/>
              </w:rPr>
              <w:t>投标人</w:t>
            </w:r>
            <w:r>
              <w:rPr>
                <w:rFonts w:hint="eastAsia" w:ascii="宋体" w:hAnsi="宋体" w:eastAsia="宋体" w:cs="宋体"/>
                <w:b w:val="0"/>
                <w:bCs w:val="0"/>
                <w:color w:val="auto"/>
                <w:sz w:val="21"/>
                <w:szCs w:val="21"/>
                <w:highlight w:val="none"/>
                <w:u w:val="none"/>
                <w:lang w:val="en-US" w:eastAsia="zh-CN"/>
              </w:rPr>
              <w:t>应保证在</w:t>
            </w:r>
            <w:r>
              <w:rPr>
                <w:rFonts w:hint="eastAsia" w:ascii="宋体" w:hAnsi="宋体" w:cs="宋体"/>
                <w:b w:val="0"/>
                <w:bCs w:val="0"/>
                <w:color w:val="auto"/>
                <w:sz w:val="21"/>
                <w:szCs w:val="21"/>
                <w:highlight w:val="none"/>
                <w:u w:val="none"/>
                <w:lang w:val="en-US" w:eastAsia="zh-CN"/>
              </w:rPr>
              <w:t>招标</w:t>
            </w:r>
            <w:r>
              <w:rPr>
                <w:rFonts w:hint="eastAsia" w:ascii="宋体" w:hAnsi="宋体" w:eastAsia="宋体" w:cs="宋体"/>
                <w:b w:val="0"/>
                <w:bCs w:val="0"/>
                <w:color w:val="auto"/>
                <w:sz w:val="21"/>
                <w:szCs w:val="21"/>
                <w:highlight w:val="none"/>
                <w:u w:val="none"/>
                <w:lang w:val="en-US" w:eastAsia="zh-CN"/>
              </w:rPr>
              <w:t>过程中所提供的一切材料都是真实的，不存在伪造、变造、涂改等弄虚作假、违法违规行为。（按标准格式提供“</w:t>
            </w:r>
            <w:r>
              <w:rPr>
                <w:rFonts w:hint="eastAsia" w:ascii="宋体" w:hAnsi="宋体" w:cs="宋体"/>
                <w:b w:val="0"/>
                <w:bCs w:val="0"/>
                <w:color w:val="auto"/>
                <w:sz w:val="21"/>
                <w:szCs w:val="21"/>
                <w:highlight w:val="none"/>
                <w:u w:val="none"/>
                <w:lang w:val="en-US" w:eastAsia="zh-CN"/>
              </w:rPr>
              <w:t>投标</w:t>
            </w:r>
            <w:r>
              <w:rPr>
                <w:rFonts w:hint="eastAsia" w:ascii="宋体" w:hAnsi="宋体" w:eastAsia="宋体" w:cs="宋体"/>
                <w:b w:val="0"/>
                <w:bCs w:val="0"/>
                <w:color w:val="auto"/>
                <w:sz w:val="21"/>
                <w:szCs w:val="21"/>
                <w:highlight w:val="none"/>
                <w:u w:val="none"/>
                <w:lang w:val="en-US" w:eastAsia="zh-CN"/>
              </w:rPr>
              <w:t>行为承诺函”）</w:t>
            </w:r>
          </w:p>
        </w:tc>
      </w:tr>
      <w:tr w14:paraId="20F6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noWrap w:val="0"/>
            <w:vAlign w:val="center"/>
          </w:tcPr>
          <w:p w14:paraId="3CDFC44E">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val="0"/>
                <w:bCs w:val="0"/>
                <w:sz w:val="21"/>
                <w:szCs w:val="21"/>
                <w:highlight w:val="none"/>
                <w:u w:val="single"/>
                <w:vertAlign w:val="baseline"/>
                <w:lang w:val="en-US" w:eastAsia="zh-CN"/>
              </w:rPr>
            </w:pPr>
          </w:p>
        </w:tc>
        <w:tc>
          <w:tcPr>
            <w:tcW w:w="832" w:type="dxa"/>
            <w:noWrap w:val="0"/>
            <w:vAlign w:val="center"/>
          </w:tcPr>
          <w:p w14:paraId="537CD76B">
            <w:pPr>
              <w:keepNext w:val="0"/>
              <w:keepLines w:val="0"/>
              <w:pageBreakBefore w:val="0"/>
              <w:widowControl w:val="0"/>
              <w:numPr>
                <w:ilvl w:val="0"/>
                <w:numId w:val="4"/>
              </w:numPr>
              <w:kinsoku/>
              <w:wordWrap/>
              <w:overflowPunct/>
              <w:topLinePunct w:val="0"/>
              <w:autoSpaceDE/>
              <w:autoSpaceDN/>
              <w:bidi w:val="0"/>
              <w:adjustRightInd/>
              <w:snapToGrid/>
              <w:spacing w:before="0" w:after="0" w:line="312" w:lineRule="auto"/>
              <w:ind w:left="0" w:leftChars="0" w:firstLine="0" w:firstLineChars="0"/>
              <w:jc w:val="center"/>
              <w:textAlignment w:val="auto"/>
              <w:rPr>
                <w:rFonts w:hint="eastAsia" w:ascii="宋体" w:hAnsi="宋体" w:eastAsia="宋体" w:cs="宋体"/>
                <w:b w:val="0"/>
                <w:bCs w:val="0"/>
                <w:kern w:val="2"/>
                <w:sz w:val="21"/>
                <w:szCs w:val="21"/>
                <w:highlight w:val="none"/>
                <w:u w:val="none"/>
                <w:vertAlign w:val="baseline"/>
                <w:lang w:val="en-US" w:eastAsia="zh-CN" w:bidi="ar-SA"/>
              </w:rPr>
            </w:pPr>
          </w:p>
        </w:tc>
        <w:tc>
          <w:tcPr>
            <w:tcW w:w="6923" w:type="dxa"/>
            <w:noWrap w:val="0"/>
            <w:vAlign w:val="center"/>
          </w:tcPr>
          <w:p w14:paraId="117712D6">
            <w:pPr>
              <w:keepNext w:val="0"/>
              <w:keepLines w:val="0"/>
              <w:pageBreakBefore w:val="0"/>
              <w:widowControl w:val="0"/>
              <w:kinsoku/>
              <w:wordWrap/>
              <w:overflowPunct/>
              <w:topLinePunct w:val="0"/>
              <w:autoSpaceDE/>
              <w:autoSpaceDN/>
              <w:bidi w:val="0"/>
              <w:adjustRightInd/>
              <w:snapToGrid/>
              <w:spacing w:before="0" w:after="0" w:line="312" w:lineRule="auto"/>
              <w:jc w:val="left"/>
              <w:textAlignment w:val="auto"/>
              <w:rPr>
                <w:rFonts w:hint="eastAsia" w:ascii="宋体" w:hAnsi="宋体" w:eastAsia="宋体" w:cs="宋体"/>
                <w:b w:val="0"/>
                <w:bCs w:val="0"/>
                <w:sz w:val="21"/>
                <w:szCs w:val="21"/>
                <w:highlight w:val="none"/>
                <w:u w:val="none"/>
                <w:vertAlign w:val="baseline"/>
                <w:lang w:eastAsia="zh-CN"/>
              </w:rPr>
            </w:pPr>
            <w:r>
              <w:rPr>
                <w:rFonts w:hint="eastAsia" w:ascii="宋体" w:hAnsi="宋体" w:eastAsia="宋体" w:cs="宋体"/>
                <w:b w:val="0"/>
                <w:bCs w:val="0"/>
                <w:sz w:val="21"/>
                <w:szCs w:val="21"/>
                <w:highlight w:val="none"/>
                <w:u w:val="none"/>
                <w:vertAlign w:val="baseline"/>
                <w:lang w:eastAsia="zh-CN"/>
              </w:rPr>
              <w:t>不接受联合体。</w:t>
            </w:r>
          </w:p>
        </w:tc>
      </w:tr>
      <w:tr w14:paraId="34E3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noWrap w:val="0"/>
            <w:vAlign w:val="center"/>
          </w:tcPr>
          <w:p w14:paraId="4303C836">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val="0"/>
                <w:bCs w:val="0"/>
                <w:sz w:val="21"/>
                <w:szCs w:val="21"/>
                <w:highlight w:val="none"/>
                <w:u w:val="single"/>
                <w:vertAlign w:val="baseline"/>
                <w:lang w:val="en-US" w:eastAsia="zh-CN"/>
              </w:rPr>
            </w:pPr>
          </w:p>
        </w:tc>
        <w:tc>
          <w:tcPr>
            <w:tcW w:w="832" w:type="dxa"/>
            <w:noWrap w:val="0"/>
            <w:vAlign w:val="center"/>
          </w:tcPr>
          <w:p w14:paraId="361BA5B2">
            <w:pPr>
              <w:keepNext w:val="0"/>
              <w:keepLines w:val="0"/>
              <w:pageBreakBefore w:val="0"/>
              <w:widowControl w:val="0"/>
              <w:numPr>
                <w:ilvl w:val="0"/>
                <w:numId w:val="4"/>
              </w:numPr>
              <w:kinsoku/>
              <w:wordWrap/>
              <w:overflowPunct/>
              <w:topLinePunct w:val="0"/>
              <w:autoSpaceDE/>
              <w:autoSpaceDN/>
              <w:bidi w:val="0"/>
              <w:adjustRightInd/>
              <w:snapToGrid/>
              <w:spacing w:before="0" w:after="0" w:line="312" w:lineRule="auto"/>
              <w:ind w:left="0" w:leftChars="0" w:firstLine="0" w:firstLineChars="0"/>
              <w:jc w:val="center"/>
              <w:textAlignment w:val="auto"/>
              <w:rPr>
                <w:rFonts w:hint="eastAsia" w:ascii="宋体" w:hAnsi="宋体" w:eastAsia="宋体" w:cs="宋体"/>
                <w:b w:val="0"/>
                <w:bCs w:val="0"/>
                <w:sz w:val="21"/>
                <w:szCs w:val="21"/>
                <w:highlight w:val="none"/>
                <w:u w:val="none"/>
                <w:vertAlign w:val="baseline"/>
                <w:lang w:val="en-US" w:eastAsia="zh-CN"/>
              </w:rPr>
            </w:pPr>
          </w:p>
        </w:tc>
        <w:tc>
          <w:tcPr>
            <w:tcW w:w="6923" w:type="dxa"/>
            <w:noWrap w:val="0"/>
            <w:vAlign w:val="center"/>
          </w:tcPr>
          <w:p w14:paraId="36DE358E">
            <w:pPr>
              <w:keepNext w:val="0"/>
              <w:keepLines w:val="0"/>
              <w:pageBreakBefore w:val="0"/>
              <w:widowControl w:val="0"/>
              <w:kinsoku/>
              <w:wordWrap/>
              <w:overflowPunct/>
              <w:topLinePunct w:val="0"/>
              <w:autoSpaceDE/>
              <w:autoSpaceDN/>
              <w:bidi w:val="0"/>
              <w:adjustRightInd/>
              <w:snapToGrid/>
              <w:spacing w:before="0" w:after="0" w:line="312" w:lineRule="auto"/>
              <w:jc w:val="left"/>
              <w:textAlignment w:val="auto"/>
              <w:rPr>
                <w:rFonts w:hint="eastAsia" w:ascii="宋体" w:hAnsi="宋体" w:eastAsia="宋体" w:cs="宋体"/>
                <w:b w:val="0"/>
                <w:bCs w:val="0"/>
                <w:sz w:val="21"/>
                <w:szCs w:val="21"/>
                <w:highlight w:val="none"/>
                <w:u w:val="none"/>
                <w:vertAlign w:val="baseline"/>
                <w:lang w:val="en-US" w:eastAsia="zh-CN"/>
              </w:rPr>
            </w:pPr>
            <w:r>
              <w:rPr>
                <w:rFonts w:hint="eastAsia" w:ascii="宋体" w:hAnsi="宋体" w:cs="宋体"/>
                <w:highlight w:val="none"/>
                <w:lang w:val="en-US" w:eastAsia="zh-CN"/>
              </w:rPr>
              <w:t>投标人</w:t>
            </w:r>
            <w:r>
              <w:rPr>
                <w:rFonts w:hint="eastAsia" w:ascii="宋体" w:hAnsi="宋体" w:eastAsia="宋体" w:cs="宋体"/>
                <w:highlight w:val="none"/>
                <w:lang w:val="en-US" w:eastAsia="zh-CN"/>
              </w:rPr>
              <w:t>未在国家企业信用信息公示系统（www.gsxt.gov.cn)中列入严重违法失信企业名单，且未在“信用中国”网站（www.creditchina.gov.cn）中列入失信被执行人名单。</w:t>
            </w:r>
          </w:p>
        </w:tc>
      </w:tr>
      <w:tr w14:paraId="5387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noWrap w:val="0"/>
            <w:vAlign w:val="center"/>
          </w:tcPr>
          <w:p w14:paraId="714D9BC6">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val="0"/>
                <w:bCs w:val="0"/>
                <w:sz w:val="21"/>
                <w:szCs w:val="21"/>
                <w:highlight w:val="none"/>
                <w:u w:val="single"/>
                <w:vertAlign w:val="baseline"/>
                <w:lang w:val="en-US" w:eastAsia="zh-CN"/>
              </w:rPr>
            </w:pPr>
          </w:p>
        </w:tc>
        <w:tc>
          <w:tcPr>
            <w:tcW w:w="832" w:type="dxa"/>
            <w:noWrap w:val="0"/>
            <w:vAlign w:val="center"/>
          </w:tcPr>
          <w:p w14:paraId="01BF2B6F">
            <w:pPr>
              <w:keepNext w:val="0"/>
              <w:keepLines w:val="0"/>
              <w:pageBreakBefore w:val="0"/>
              <w:widowControl w:val="0"/>
              <w:numPr>
                <w:ilvl w:val="0"/>
                <w:numId w:val="4"/>
              </w:numPr>
              <w:kinsoku/>
              <w:wordWrap/>
              <w:overflowPunct/>
              <w:topLinePunct w:val="0"/>
              <w:autoSpaceDE/>
              <w:autoSpaceDN/>
              <w:bidi w:val="0"/>
              <w:adjustRightInd/>
              <w:snapToGrid/>
              <w:spacing w:line="312" w:lineRule="auto"/>
              <w:ind w:left="0" w:leftChars="0" w:firstLine="0" w:firstLineChars="0"/>
              <w:jc w:val="center"/>
              <w:textAlignment w:val="auto"/>
              <w:rPr>
                <w:rFonts w:hint="default" w:ascii="宋体" w:hAnsi="宋体" w:eastAsia="宋体" w:cs="宋体"/>
                <w:b w:val="0"/>
                <w:bCs w:val="0"/>
                <w:sz w:val="21"/>
                <w:szCs w:val="21"/>
                <w:highlight w:val="none"/>
                <w:u w:val="none"/>
                <w:vertAlign w:val="baseline"/>
                <w:lang w:val="en-US" w:eastAsia="zh-CN"/>
              </w:rPr>
            </w:pPr>
          </w:p>
        </w:tc>
        <w:tc>
          <w:tcPr>
            <w:tcW w:w="6923" w:type="dxa"/>
            <w:noWrap w:val="0"/>
            <w:vAlign w:val="center"/>
          </w:tcPr>
          <w:p w14:paraId="0D6A3DD9">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FF0000"/>
                <w:szCs w:val="22"/>
                <w:highlight w:val="none"/>
                <w:lang w:val="en-US" w:eastAsia="zh-CN"/>
              </w:rPr>
            </w:pPr>
            <w:r>
              <w:rPr>
                <w:rFonts w:hint="eastAsia" w:ascii="宋体" w:hAnsi="宋体" w:eastAsia="宋体" w:cs="宋体"/>
                <w:highlight w:val="none"/>
                <w:lang w:val="en-US" w:eastAsia="zh-CN"/>
              </w:rPr>
              <w:t>在生产能力或销售能力、业绩经验等方面具有质量控制、专业技术、经营管理等相应资格和能力，并按相关技术标准生产设备和材料。(按标准格式提供“质量保证和服务承诺函”)</w:t>
            </w:r>
          </w:p>
        </w:tc>
      </w:tr>
      <w:tr w14:paraId="78A9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noWrap w:val="0"/>
            <w:vAlign w:val="center"/>
          </w:tcPr>
          <w:p w14:paraId="5667D33A">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val="0"/>
                <w:bCs w:val="0"/>
                <w:sz w:val="21"/>
                <w:szCs w:val="21"/>
                <w:highlight w:val="none"/>
                <w:u w:val="single"/>
                <w:vertAlign w:val="baseline"/>
                <w:lang w:val="en-US" w:eastAsia="zh-CN"/>
              </w:rPr>
            </w:pPr>
          </w:p>
        </w:tc>
        <w:tc>
          <w:tcPr>
            <w:tcW w:w="832" w:type="dxa"/>
            <w:noWrap w:val="0"/>
            <w:vAlign w:val="center"/>
          </w:tcPr>
          <w:p w14:paraId="1CF50EB7">
            <w:pPr>
              <w:keepNext w:val="0"/>
              <w:keepLines w:val="0"/>
              <w:pageBreakBefore w:val="0"/>
              <w:widowControl w:val="0"/>
              <w:numPr>
                <w:ilvl w:val="0"/>
                <w:numId w:val="4"/>
              </w:numPr>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b w:val="0"/>
                <w:bCs w:val="0"/>
                <w:sz w:val="21"/>
                <w:szCs w:val="21"/>
                <w:highlight w:val="none"/>
                <w:u w:val="none"/>
                <w:vertAlign w:val="baseline"/>
                <w:lang w:val="en-US" w:eastAsia="zh-CN"/>
              </w:rPr>
            </w:pPr>
          </w:p>
        </w:tc>
        <w:tc>
          <w:tcPr>
            <w:tcW w:w="6923" w:type="dxa"/>
            <w:noWrap w:val="0"/>
            <w:vAlign w:val="center"/>
          </w:tcPr>
          <w:p w14:paraId="7720B3F7">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本项目只接受制造商参与。（提供声明函。）</w:t>
            </w:r>
          </w:p>
        </w:tc>
      </w:tr>
      <w:tr w14:paraId="1305A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9" w:type="dxa"/>
            <w:vMerge w:val="continue"/>
            <w:noWrap w:val="0"/>
            <w:vAlign w:val="center"/>
          </w:tcPr>
          <w:p w14:paraId="486DC17C">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val="0"/>
                <w:bCs w:val="0"/>
                <w:sz w:val="21"/>
                <w:szCs w:val="21"/>
                <w:highlight w:val="none"/>
                <w:u w:val="single"/>
                <w:vertAlign w:val="baseline"/>
                <w:lang w:val="en-US" w:eastAsia="zh-CN"/>
              </w:rPr>
            </w:pPr>
          </w:p>
        </w:tc>
        <w:tc>
          <w:tcPr>
            <w:tcW w:w="832" w:type="dxa"/>
            <w:noWrap w:val="0"/>
            <w:vAlign w:val="center"/>
          </w:tcPr>
          <w:p w14:paraId="6AA8A600">
            <w:pPr>
              <w:keepNext w:val="0"/>
              <w:keepLines w:val="0"/>
              <w:pageBreakBefore w:val="0"/>
              <w:widowControl w:val="0"/>
              <w:numPr>
                <w:ilvl w:val="0"/>
                <w:numId w:val="4"/>
              </w:numPr>
              <w:kinsoku/>
              <w:wordWrap/>
              <w:overflowPunct/>
              <w:topLinePunct w:val="0"/>
              <w:autoSpaceDE/>
              <w:autoSpaceDN/>
              <w:bidi w:val="0"/>
              <w:adjustRightInd/>
              <w:snapToGrid/>
              <w:spacing w:line="312" w:lineRule="auto"/>
              <w:ind w:left="0" w:leftChars="0" w:firstLine="0" w:firstLineChars="0"/>
              <w:jc w:val="center"/>
              <w:textAlignment w:val="auto"/>
              <w:rPr>
                <w:rFonts w:hint="default" w:ascii="宋体" w:hAnsi="宋体" w:eastAsia="宋体" w:cs="宋体"/>
                <w:b w:val="0"/>
                <w:bCs w:val="0"/>
                <w:sz w:val="21"/>
                <w:szCs w:val="21"/>
                <w:highlight w:val="none"/>
                <w:u w:val="none"/>
                <w:vertAlign w:val="baseline"/>
                <w:lang w:val="en-US" w:eastAsia="zh-CN"/>
              </w:rPr>
            </w:pPr>
          </w:p>
        </w:tc>
        <w:tc>
          <w:tcPr>
            <w:tcW w:w="6923" w:type="dxa"/>
            <w:noWrap w:val="0"/>
            <w:vAlign w:val="center"/>
          </w:tcPr>
          <w:p w14:paraId="2ECB4CC8">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sz w:val="21"/>
                <w:szCs w:val="21"/>
                <w:highlight w:val="none"/>
                <w:u w:val="none"/>
                <w:vertAlign w:val="baseline"/>
                <w:lang w:val="en-US" w:eastAsia="zh-CN"/>
              </w:rPr>
            </w:pPr>
            <w:r>
              <w:rPr>
                <w:rStyle w:val="241"/>
                <w:rFonts w:hint="default" w:cs="宋体"/>
                <w:color w:val="auto"/>
                <w:sz w:val="21"/>
                <w:szCs w:val="21"/>
                <w:highlight w:val="none"/>
                <w:lang w:bidi="ar"/>
              </w:rPr>
              <w:t>晶体硅组件按GB/T9535（或IEC61215）和GB/T20047(或IEC61730) 标准要求，通过国家批准认证机构的认证，提供相关证书复印件。</w:t>
            </w:r>
          </w:p>
        </w:tc>
      </w:tr>
      <w:tr w14:paraId="69BFF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9" w:type="dxa"/>
            <w:vMerge w:val="continue"/>
            <w:noWrap w:val="0"/>
            <w:vAlign w:val="center"/>
          </w:tcPr>
          <w:p w14:paraId="105E76F4">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val="0"/>
                <w:bCs w:val="0"/>
                <w:sz w:val="21"/>
                <w:szCs w:val="21"/>
                <w:highlight w:val="none"/>
                <w:u w:val="single"/>
                <w:vertAlign w:val="baseline"/>
                <w:lang w:val="en-US" w:eastAsia="zh-CN"/>
              </w:rPr>
            </w:pPr>
          </w:p>
        </w:tc>
        <w:tc>
          <w:tcPr>
            <w:tcW w:w="832" w:type="dxa"/>
            <w:noWrap w:val="0"/>
            <w:vAlign w:val="center"/>
          </w:tcPr>
          <w:p w14:paraId="246091E7">
            <w:pPr>
              <w:keepNext w:val="0"/>
              <w:keepLines w:val="0"/>
              <w:pageBreakBefore w:val="0"/>
              <w:widowControl w:val="0"/>
              <w:numPr>
                <w:ilvl w:val="0"/>
                <w:numId w:val="4"/>
              </w:numPr>
              <w:kinsoku/>
              <w:wordWrap/>
              <w:overflowPunct/>
              <w:topLinePunct w:val="0"/>
              <w:autoSpaceDE/>
              <w:autoSpaceDN/>
              <w:bidi w:val="0"/>
              <w:adjustRightInd/>
              <w:snapToGrid/>
              <w:spacing w:line="312" w:lineRule="auto"/>
              <w:ind w:left="0" w:leftChars="0" w:firstLine="0" w:firstLineChars="0"/>
              <w:jc w:val="center"/>
              <w:textAlignment w:val="auto"/>
              <w:rPr>
                <w:rFonts w:hint="default" w:ascii="宋体" w:hAnsi="宋体" w:eastAsia="宋体" w:cs="宋体"/>
                <w:b w:val="0"/>
                <w:bCs w:val="0"/>
                <w:sz w:val="21"/>
                <w:szCs w:val="21"/>
                <w:highlight w:val="none"/>
                <w:u w:val="none"/>
                <w:vertAlign w:val="baseline"/>
                <w:lang w:val="en-US" w:eastAsia="zh-CN"/>
              </w:rPr>
            </w:pPr>
          </w:p>
        </w:tc>
        <w:tc>
          <w:tcPr>
            <w:tcW w:w="6923" w:type="dxa"/>
            <w:noWrap w:val="0"/>
            <w:vAlign w:val="center"/>
          </w:tcPr>
          <w:p w14:paraId="297DE6E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Style w:val="241"/>
                <w:rFonts w:hint="eastAsia" w:ascii="宋体" w:hAnsi="宋体" w:eastAsia="宋体" w:cs="宋体"/>
                <w:b w:val="0"/>
                <w:bCs w:val="0"/>
                <w:color w:val="auto"/>
                <w:sz w:val="21"/>
                <w:szCs w:val="21"/>
                <w:highlight w:val="none"/>
                <w:lang w:eastAsia="zh-CN" w:bidi="ar"/>
              </w:rPr>
            </w:pPr>
            <w:r>
              <w:rPr>
                <w:rStyle w:val="241"/>
                <w:rFonts w:hint="eastAsia" w:ascii="宋体" w:hAnsi="宋体" w:cs="宋体"/>
                <w:b w:val="0"/>
                <w:bCs w:val="0"/>
                <w:color w:val="auto"/>
                <w:sz w:val="21"/>
                <w:szCs w:val="21"/>
                <w:highlight w:val="none"/>
                <w:lang w:eastAsia="zh-CN" w:bidi="ar"/>
              </w:rPr>
              <w:t>供应商</w:t>
            </w:r>
            <w:r>
              <w:rPr>
                <w:rStyle w:val="241"/>
                <w:rFonts w:hint="eastAsia" w:ascii="宋体" w:hAnsi="宋体" w:eastAsia="宋体" w:cs="宋体"/>
                <w:b w:val="0"/>
                <w:bCs w:val="0"/>
                <w:color w:val="auto"/>
                <w:sz w:val="21"/>
                <w:szCs w:val="21"/>
                <w:highlight w:val="none"/>
                <w:lang w:eastAsia="zh-CN" w:bidi="ar"/>
              </w:rPr>
              <w:t>提供</w:t>
            </w:r>
            <w:r>
              <w:rPr>
                <w:rStyle w:val="241"/>
                <w:rFonts w:hint="eastAsia" w:ascii="宋体" w:hAnsi="宋体" w:cs="宋体"/>
                <w:b w:val="0"/>
                <w:bCs w:val="0"/>
                <w:color w:val="auto"/>
                <w:sz w:val="21"/>
                <w:szCs w:val="21"/>
                <w:highlight w:val="none"/>
                <w:lang w:val="en-US" w:eastAsia="zh-CN" w:bidi="ar"/>
              </w:rPr>
              <w:t>的光伏组件</w:t>
            </w:r>
            <w:r>
              <w:rPr>
                <w:rStyle w:val="241"/>
                <w:rFonts w:hint="eastAsia" w:ascii="宋体" w:hAnsi="宋体" w:eastAsia="宋体" w:cs="宋体"/>
                <w:b w:val="0"/>
                <w:bCs w:val="0"/>
                <w:color w:val="auto"/>
                <w:sz w:val="21"/>
                <w:szCs w:val="21"/>
                <w:highlight w:val="none"/>
                <w:lang w:eastAsia="zh-CN" w:bidi="ar"/>
              </w:rPr>
              <w:t>产品</w:t>
            </w:r>
            <w:r>
              <w:rPr>
                <w:rStyle w:val="241"/>
                <w:rFonts w:hint="eastAsia" w:ascii="宋体" w:hAnsi="宋体" w:cs="宋体"/>
                <w:b w:val="0"/>
                <w:bCs w:val="0"/>
                <w:color w:val="auto"/>
                <w:sz w:val="21"/>
                <w:szCs w:val="21"/>
                <w:highlight w:val="none"/>
                <w:lang w:eastAsia="zh-CN" w:bidi="ar"/>
              </w:rPr>
              <w:t>（</w:t>
            </w:r>
            <w:r>
              <w:rPr>
                <w:rFonts w:hint="eastAsia" w:ascii="宋体" w:hAnsi="宋体" w:cs="宋体"/>
                <w:i w:val="0"/>
                <w:iCs w:val="0"/>
                <w:color w:val="000000"/>
                <w:sz w:val="20"/>
                <w:szCs w:val="20"/>
                <w:highlight w:val="none"/>
                <w:u w:val="none"/>
                <w:lang w:val="en-US" w:eastAsia="zh-CN"/>
              </w:rPr>
              <w:t>不低于580Wp</w:t>
            </w:r>
            <w:r>
              <w:rPr>
                <w:rStyle w:val="241"/>
                <w:rFonts w:hint="eastAsia" w:ascii="宋体" w:hAnsi="宋体" w:cs="宋体"/>
                <w:b w:val="0"/>
                <w:bCs w:val="0"/>
                <w:color w:val="auto"/>
                <w:sz w:val="21"/>
                <w:szCs w:val="21"/>
                <w:highlight w:val="none"/>
                <w:lang w:eastAsia="zh-CN" w:bidi="ar"/>
              </w:rPr>
              <w:t>）</w:t>
            </w:r>
            <w:r>
              <w:rPr>
                <w:rStyle w:val="241"/>
                <w:rFonts w:hint="eastAsia" w:ascii="宋体" w:hAnsi="宋体" w:eastAsia="宋体" w:cs="宋体"/>
                <w:b w:val="0"/>
                <w:bCs w:val="0"/>
                <w:color w:val="auto"/>
                <w:sz w:val="21"/>
                <w:szCs w:val="21"/>
                <w:highlight w:val="none"/>
                <w:lang w:eastAsia="zh-CN" w:bidi="ar"/>
              </w:rPr>
              <w:t>须获得以下认证：</w:t>
            </w:r>
          </w:p>
          <w:p w14:paraId="0E28CE6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Style w:val="241"/>
                <w:rFonts w:hint="eastAsia" w:ascii="宋体" w:hAnsi="宋体" w:eastAsia="宋体" w:cs="宋体"/>
                <w:b w:val="0"/>
                <w:bCs w:val="0"/>
                <w:color w:val="auto"/>
                <w:sz w:val="21"/>
                <w:szCs w:val="21"/>
                <w:highlight w:val="none"/>
                <w:lang w:eastAsia="zh-CN" w:bidi="ar"/>
              </w:rPr>
            </w:pPr>
            <w:r>
              <w:rPr>
                <w:rStyle w:val="241"/>
                <w:rFonts w:hint="eastAsia" w:ascii="宋体" w:hAnsi="宋体" w:eastAsia="宋体" w:cs="宋体"/>
                <w:b w:val="0"/>
                <w:bCs w:val="0"/>
                <w:color w:val="auto"/>
                <w:sz w:val="21"/>
                <w:szCs w:val="21"/>
                <w:highlight w:val="none"/>
                <w:lang w:eastAsia="zh-CN" w:bidi="ar"/>
              </w:rPr>
              <w:t>1.IEC 61215、IEC 61730-1、IEC61730-2 标准的型式试验认证</w:t>
            </w:r>
            <w:r>
              <w:rPr>
                <w:rStyle w:val="241"/>
                <w:rFonts w:hint="eastAsia" w:ascii="宋体" w:hAnsi="宋体" w:cs="宋体"/>
                <w:b w:val="0"/>
                <w:bCs w:val="0"/>
                <w:color w:val="auto"/>
                <w:sz w:val="21"/>
                <w:szCs w:val="21"/>
                <w:highlight w:val="none"/>
                <w:lang w:val="en-US" w:eastAsia="zh-CN" w:bidi="ar"/>
              </w:rPr>
              <w:t>证书</w:t>
            </w:r>
            <w:r>
              <w:rPr>
                <w:rStyle w:val="241"/>
                <w:rFonts w:hint="eastAsia" w:ascii="宋体" w:hAnsi="宋体" w:eastAsia="宋体" w:cs="宋体"/>
                <w:b w:val="0"/>
                <w:bCs w:val="0"/>
                <w:color w:val="auto"/>
                <w:sz w:val="21"/>
                <w:szCs w:val="21"/>
                <w:highlight w:val="none"/>
                <w:lang w:eastAsia="zh-CN" w:bidi="ar"/>
              </w:rPr>
              <w:t>（</w:t>
            </w:r>
            <w:r>
              <w:rPr>
                <w:rStyle w:val="241"/>
                <w:rFonts w:hint="eastAsia" w:ascii="宋体" w:hAnsi="宋体" w:eastAsia="宋体" w:cs="宋体"/>
                <w:b w:val="0"/>
                <w:bCs w:val="0"/>
                <w:color w:val="auto"/>
                <w:sz w:val="21"/>
                <w:szCs w:val="21"/>
                <w:highlight w:val="none"/>
                <w:u w:val="none"/>
                <w:lang w:eastAsia="zh-CN" w:bidi="ar"/>
              </w:rPr>
              <w:t xml:space="preserve">CQC </w:t>
            </w:r>
            <w:r>
              <w:rPr>
                <w:rStyle w:val="241"/>
                <w:rFonts w:hint="eastAsia" w:ascii="宋体" w:hAnsi="宋体" w:cs="宋体"/>
                <w:b w:val="0"/>
                <w:bCs w:val="0"/>
                <w:color w:val="auto"/>
                <w:sz w:val="21"/>
                <w:szCs w:val="21"/>
                <w:highlight w:val="none"/>
                <w:u w:val="none"/>
                <w:lang w:eastAsia="zh-CN" w:bidi="ar"/>
              </w:rPr>
              <w:t>、</w:t>
            </w:r>
            <w:r>
              <w:rPr>
                <w:rStyle w:val="241"/>
                <w:rFonts w:hint="eastAsia" w:ascii="宋体" w:hAnsi="宋体" w:eastAsia="宋体" w:cs="宋体"/>
                <w:b w:val="0"/>
                <w:bCs w:val="0"/>
                <w:color w:val="auto"/>
                <w:sz w:val="21"/>
                <w:szCs w:val="21"/>
                <w:highlight w:val="none"/>
                <w:u w:val="none"/>
                <w:lang w:eastAsia="zh-CN" w:bidi="ar"/>
              </w:rPr>
              <w:t>CGC、TUV、VDE、UL、CSA、JET、SGS</w:t>
            </w:r>
            <w:r>
              <w:rPr>
                <w:rStyle w:val="241"/>
                <w:rFonts w:hint="eastAsia" w:ascii="宋体" w:hAnsi="宋体" w:eastAsia="宋体" w:cs="宋体"/>
                <w:b w:val="0"/>
                <w:bCs w:val="0"/>
                <w:color w:val="auto"/>
                <w:sz w:val="21"/>
                <w:szCs w:val="21"/>
                <w:highlight w:val="none"/>
                <w:lang w:eastAsia="zh-CN" w:bidi="ar"/>
              </w:rPr>
              <w:t xml:space="preserve"> 认证</w:t>
            </w:r>
            <w:r>
              <w:rPr>
                <w:rStyle w:val="241"/>
                <w:rFonts w:hint="eastAsia" w:ascii="宋体" w:hAnsi="宋体" w:cs="宋体"/>
                <w:b w:val="0"/>
                <w:bCs w:val="0"/>
                <w:color w:val="auto"/>
                <w:sz w:val="21"/>
                <w:szCs w:val="21"/>
                <w:highlight w:val="none"/>
                <w:lang w:val="en-US" w:eastAsia="zh-CN" w:bidi="ar"/>
              </w:rPr>
              <w:t>均可</w:t>
            </w:r>
            <w:r>
              <w:rPr>
                <w:rStyle w:val="241"/>
                <w:rFonts w:hint="eastAsia" w:ascii="宋体" w:hAnsi="宋体" w:eastAsia="宋体" w:cs="宋体"/>
                <w:b w:val="0"/>
                <w:bCs w:val="0"/>
                <w:color w:val="auto"/>
                <w:sz w:val="21"/>
                <w:szCs w:val="21"/>
                <w:highlight w:val="none"/>
                <w:lang w:eastAsia="zh-CN" w:bidi="ar"/>
              </w:rPr>
              <w:t>）,并提供相应</w:t>
            </w:r>
            <w:r>
              <w:rPr>
                <w:rStyle w:val="241"/>
                <w:rFonts w:hint="eastAsia" w:ascii="宋体" w:hAnsi="宋体" w:cs="宋体"/>
                <w:b w:val="0"/>
                <w:bCs w:val="0"/>
                <w:color w:val="auto"/>
                <w:sz w:val="21"/>
                <w:szCs w:val="21"/>
                <w:highlight w:val="none"/>
                <w:lang w:val="en-US" w:eastAsia="zh-CN" w:bidi="ar"/>
              </w:rPr>
              <w:t>产品型号</w:t>
            </w:r>
            <w:r>
              <w:rPr>
                <w:rStyle w:val="241"/>
                <w:rFonts w:hint="eastAsia" w:ascii="宋体" w:hAnsi="宋体" w:eastAsia="宋体" w:cs="宋体"/>
                <w:b w:val="0"/>
                <w:bCs w:val="0"/>
                <w:color w:val="auto"/>
                <w:sz w:val="21"/>
                <w:szCs w:val="21"/>
                <w:highlight w:val="none"/>
                <w:lang w:eastAsia="zh-CN" w:bidi="ar"/>
              </w:rPr>
              <w:t>的认证检测报告；</w:t>
            </w:r>
          </w:p>
          <w:p w14:paraId="0428B4A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Style w:val="241"/>
                <w:rFonts w:hint="eastAsia" w:ascii="宋体" w:hAnsi="宋体" w:eastAsia="宋体" w:cs="宋体"/>
                <w:b w:val="0"/>
                <w:bCs w:val="0"/>
                <w:color w:val="auto"/>
                <w:sz w:val="21"/>
                <w:szCs w:val="21"/>
                <w:highlight w:val="none"/>
                <w:lang w:eastAsia="zh-CN" w:bidi="ar"/>
              </w:rPr>
            </w:pPr>
            <w:r>
              <w:rPr>
                <w:rStyle w:val="241"/>
                <w:rFonts w:hint="eastAsia" w:ascii="宋体" w:hAnsi="宋体" w:eastAsia="宋体" w:cs="宋体"/>
                <w:b w:val="0"/>
                <w:bCs w:val="0"/>
                <w:color w:val="auto"/>
                <w:sz w:val="21"/>
                <w:szCs w:val="21"/>
                <w:highlight w:val="none"/>
                <w:lang w:eastAsia="zh-CN" w:bidi="ar"/>
              </w:rPr>
              <w:t>2.IEC61701 认证</w:t>
            </w:r>
            <w:r>
              <w:rPr>
                <w:rStyle w:val="241"/>
                <w:rFonts w:hint="eastAsia" w:ascii="宋体" w:hAnsi="宋体" w:cs="宋体"/>
                <w:b w:val="0"/>
                <w:bCs w:val="0"/>
                <w:color w:val="auto"/>
                <w:sz w:val="21"/>
                <w:szCs w:val="21"/>
                <w:highlight w:val="none"/>
                <w:lang w:val="en-US" w:eastAsia="zh-CN" w:bidi="ar"/>
              </w:rPr>
              <w:t>证书</w:t>
            </w:r>
            <w:r>
              <w:rPr>
                <w:rStyle w:val="241"/>
                <w:rFonts w:hint="eastAsia" w:ascii="宋体" w:hAnsi="宋体" w:eastAsia="宋体" w:cs="宋体"/>
                <w:b w:val="0"/>
                <w:bCs w:val="0"/>
                <w:color w:val="auto"/>
                <w:sz w:val="21"/>
                <w:szCs w:val="21"/>
                <w:highlight w:val="none"/>
                <w:lang w:eastAsia="zh-CN" w:bidi="ar"/>
              </w:rPr>
              <w:t>（盐雾腐蚀认证）,并提供相应</w:t>
            </w:r>
            <w:r>
              <w:rPr>
                <w:rStyle w:val="241"/>
                <w:rFonts w:hint="eastAsia" w:ascii="宋体" w:hAnsi="宋体" w:cs="宋体"/>
                <w:b w:val="0"/>
                <w:bCs w:val="0"/>
                <w:color w:val="auto"/>
                <w:sz w:val="21"/>
                <w:szCs w:val="21"/>
                <w:highlight w:val="none"/>
                <w:lang w:val="en-US" w:eastAsia="zh-CN" w:bidi="ar"/>
              </w:rPr>
              <w:t>产品型号</w:t>
            </w:r>
            <w:r>
              <w:rPr>
                <w:rStyle w:val="241"/>
                <w:rFonts w:hint="eastAsia" w:ascii="宋体" w:hAnsi="宋体" w:eastAsia="宋体" w:cs="宋体"/>
                <w:b w:val="0"/>
                <w:bCs w:val="0"/>
                <w:color w:val="auto"/>
                <w:sz w:val="21"/>
                <w:szCs w:val="21"/>
                <w:highlight w:val="none"/>
                <w:lang w:eastAsia="zh-CN" w:bidi="ar"/>
              </w:rPr>
              <w:t>的认证检测报告；</w:t>
            </w:r>
          </w:p>
          <w:p w14:paraId="4E0B726A">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sz w:val="21"/>
                <w:szCs w:val="21"/>
                <w:highlight w:val="none"/>
                <w:u w:val="none"/>
                <w:vertAlign w:val="baseline"/>
                <w:lang w:val="en-US" w:eastAsia="zh-CN"/>
              </w:rPr>
            </w:pPr>
            <w:r>
              <w:rPr>
                <w:rStyle w:val="241"/>
                <w:rFonts w:hint="eastAsia" w:ascii="宋体" w:hAnsi="宋体" w:eastAsia="宋体" w:cs="宋体"/>
                <w:b w:val="0"/>
                <w:bCs w:val="0"/>
                <w:color w:val="auto"/>
                <w:sz w:val="21"/>
                <w:szCs w:val="21"/>
                <w:highlight w:val="none"/>
                <w:lang w:eastAsia="zh-CN" w:bidi="ar"/>
              </w:rPr>
              <w:t>3.抗PID 认证</w:t>
            </w:r>
            <w:r>
              <w:rPr>
                <w:rStyle w:val="241"/>
                <w:rFonts w:hint="eastAsia" w:ascii="宋体" w:hAnsi="宋体" w:cs="宋体"/>
                <w:b w:val="0"/>
                <w:bCs w:val="0"/>
                <w:color w:val="auto"/>
                <w:sz w:val="21"/>
                <w:szCs w:val="21"/>
                <w:highlight w:val="none"/>
                <w:lang w:val="en-US" w:eastAsia="zh-CN" w:bidi="ar"/>
              </w:rPr>
              <w:t>证书</w:t>
            </w:r>
            <w:r>
              <w:rPr>
                <w:rStyle w:val="241"/>
                <w:rFonts w:hint="eastAsia" w:ascii="宋体" w:hAnsi="宋体" w:eastAsia="宋体" w:cs="宋体"/>
                <w:b w:val="0"/>
                <w:bCs w:val="0"/>
                <w:color w:val="auto"/>
                <w:sz w:val="21"/>
                <w:szCs w:val="21"/>
                <w:highlight w:val="none"/>
                <w:lang w:eastAsia="zh-CN" w:bidi="ar"/>
              </w:rPr>
              <w:t>，并提供相应</w:t>
            </w:r>
            <w:r>
              <w:rPr>
                <w:rStyle w:val="241"/>
                <w:rFonts w:hint="eastAsia" w:ascii="宋体" w:hAnsi="宋体" w:cs="宋体"/>
                <w:b w:val="0"/>
                <w:bCs w:val="0"/>
                <w:color w:val="auto"/>
                <w:sz w:val="21"/>
                <w:szCs w:val="21"/>
                <w:highlight w:val="none"/>
                <w:lang w:val="en-US" w:eastAsia="zh-CN" w:bidi="ar"/>
              </w:rPr>
              <w:t>产品型号</w:t>
            </w:r>
            <w:r>
              <w:rPr>
                <w:rStyle w:val="241"/>
                <w:rFonts w:hint="eastAsia" w:ascii="宋体" w:hAnsi="宋体" w:eastAsia="宋体" w:cs="宋体"/>
                <w:b w:val="0"/>
                <w:bCs w:val="0"/>
                <w:color w:val="auto"/>
                <w:sz w:val="21"/>
                <w:szCs w:val="21"/>
                <w:highlight w:val="none"/>
                <w:lang w:eastAsia="zh-CN" w:bidi="ar"/>
              </w:rPr>
              <w:t>的认证检测报告。</w:t>
            </w:r>
          </w:p>
        </w:tc>
      </w:tr>
      <w:tr w14:paraId="3A7D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9" w:type="dxa"/>
            <w:vMerge w:val="continue"/>
            <w:noWrap w:val="0"/>
            <w:vAlign w:val="center"/>
          </w:tcPr>
          <w:p w14:paraId="4813AC7F">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val="0"/>
                <w:bCs w:val="0"/>
                <w:sz w:val="21"/>
                <w:szCs w:val="21"/>
                <w:highlight w:val="none"/>
                <w:u w:val="single"/>
                <w:vertAlign w:val="baseline"/>
                <w:lang w:val="en-US" w:eastAsia="zh-CN"/>
              </w:rPr>
            </w:pPr>
          </w:p>
        </w:tc>
        <w:tc>
          <w:tcPr>
            <w:tcW w:w="832" w:type="dxa"/>
            <w:noWrap w:val="0"/>
            <w:vAlign w:val="center"/>
          </w:tcPr>
          <w:p w14:paraId="06E1ED30">
            <w:pPr>
              <w:keepNext w:val="0"/>
              <w:keepLines w:val="0"/>
              <w:pageBreakBefore w:val="0"/>
              <w:widowControl w:val="0"/>
              <w:numPr>
                <w:ilvl w:val="0"/>
                <w:numId w:val="4"/>
              </w:numPr>
              <w:kinsoku/>
              <w:wordWrap/>
              <w:overflowPunct/>
              <w:topLinePunct w:val="0"/>
              <w:autoSpaceDE/>
              <w:autoSpaceDN/>
              <w:bidi w:val="0"/>
              <w:adjustRightInd/>
              <w:snapToGrid/>
              <w:spacing w:line="312" w:lineRule="auto"/>
              <w:ind w:left="0" w:leftChars="0" w:firstLine="0" w:firstLineChars="0"/>
              <w:jc w:val="center"/>
              <w:textAlignment w:val="auto"/>
              <w:rPr>
                <w:rFonts w:hint="default" w:ascii="宋体" w:hAnsi="宋体" w:eastAsia="宋体" w:cs="宋体"/>
                <w:b w:val="0"/>
                <w:bCs w:val="0"/>
                <w:sz w:val="21"/>
                <w:szCs w:val="21"/>
                <w:highlight w:val="none"/>
                <w:u w:val="none"/>
                <w:vertAlign w:val="baseline"/>
                <w:lang w:val="en-US" w:eastAsia="zh-CN"/>
              </w:rPr>
            </w:pPr>
          </w:p>
        </w:tc>
        <w:tc>
          <w:tcPr>
            <w:tcW w:w="6923" w:type="dxa"/>
            <w:noWrap w:val="0"/>
            <w:vAlign w:val="center"/>
          </w:tcPr>
          <w:p w14:paraId="7D47980C">
            <w:pPr>
              <w:widowControl/>
              <w:spacing w:line="312" w:lineRule="auto"/>
              <w:rPr>
                <w:rFonts w:hint="eastAsia"/>
                <w:color w:val="auto"/>
                <w:highlight w:val="none"/>
              </w:rPr>
            </w:pPr>
            <w:r>
              <w:rPr>
                <w:rFonts w:hint="eastAsia"/>
                <w:color w:val="auto"/>
                <w:highlight w:val="none"/>
              </w:rPr>
              <w:t>近三年（202</w:t>
            </w:r>
            <w:r>
              <w:rPr>
                <w:rFonts w:hint="eastAsia"/>
                <w:color w:val="auto"/>
                <w:highlight w:val="none"/>
                <w:lang w:val="en-US" w:eastAsia="zh-CN"/>
              </w:rPr>
              <w:t>2</w:t>
            </w:r>
            <w:r>
              <w:rPr>
                <w:rFonts w:hint="eastAsia"/>
                <w:color w:val="auto"/>
                <w:highlight w:val="none"/>
              </w:rPr>
              <w:t>年至今）</w:t>
            </w:r>
            <w:r>
              <w:rPr>
                <w:rStyle w:val="241"/>
                <w:rFonts w:hint="eastAsia" w:ascii="宋体" w:hAnsi="宋体" w:eastAsia="宋体" w:cs="宋体"/>
                <w:b w:val="0"/>
                <w:bCs w:val="0"/>
                <w:color w:val="auto"/>
                <w:sz w:val="21"/>
                <w:szCs w:val="21"/>
                <w:highlight w:val="none"/>
                <w:lang w:eastAsia="zh-CN" w:bidi="ar"/>
              </w:rPr>
              <w:t>晶体硅组件</w:t>
            </w:r>
            <w:r>
              <w:rPr>
                <w:rStyle w:val="241"/>
                <w:rFonts w:hint="eastAsia" w:ascii="宋体" w:hAnsi="宋体" w:eastAsia="宋体" w:cs="宋体"/>
                <w:b w:val="0"/>
                <w:bCs w:val="0"/>
                <w:color w:val="auto"/>
                <w:sz w:val="21"/>
                <w:szCs w:val="21"/>
                <w:highlight w:val="none"/>
                <w:lang w:val="en-US" w:eastAsia="zh-CN" w:bidi="ar"/>
              </w:rPr>
              <w:t>的供货业绩</w:t>
            </w:r>
            <w:r>
              <w:rPr>
                <w:rStyle w:val="241"/>
                <w:rFonts w:hint="eastAsia" w:ascii="宋体" w:hAnsi="宋体" w:eastAsia="宋体" w:cs="宋体"/>
                <w:b w:val="0"/>
                <w:bCs w:val="0"/>
                <w:color w:val="auto"/>
                <w:sz w:val="21"/>
                <w:szCs w:val="21"/>
                <w:highlight w:val="none"/>
                <w:lang w:eastAsia="zh-CN" w:bidi="ar"/>
              </w:rPr>
              <w:t>不低于</w:t>
            </w:r>
            <w:r>
              <w:rPr>
                <w:rStyle w:val="241"/>
                <w:rFonts w:hint="eastAsia" w:ascii="宋体" w:hAnsi="宋体" w:eastAsia="宋体" w:cs="宋体"/>
                <w:b w:val="0"/>
                <w:bCs w:val="0"/>
                <w:color w:val="auto"/>
                <w:sz w:val="21"/>
                <w:szCs w:val="21"/>
                <w:highlight w:val="none"/>
                <w:lang w:val="en-US" w:eastAsia="zh-CN" w:bidi="ar"/>
              </w:rPr>
              <w:t>500MWp</w:t>
            </w:r>
            <w:r>
              <w:rPr>
                <w:rFonts w:hint="eastAsia"/>
                <w:color w:val="auto"/>
                <w:highlight w:val="none"/>
              </w:rPr>
              <w:t>。</w:t>
            </w:r>
          </w:p>
          <w:p w14:paraId="166FD3F9">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sz w:val="21"/>
                <w:szCs w:val="21"/>
                <w:highlight w:val="none"/>
                <w:u w:val="none"/>
                <w:vertAlign w:val="baseline"/>
                <w:lang w:val="en-US" w:eastAsia="zh-CN"/>
              </w:rPr>
            </w:pPr>
            <w:r>
              <w:rPr>
                <w:rFonts w:hint="eastAsia"/>
                <w:color w:val="auto"/>
                <w:highlight w:val="none"/>
                <w:lang w:val="en-US" w:eastAsia="zh-CN"/>
              </w:rPr>
              <w:t>注：</w:t>
            </w:r>
            <w:r>
              <w:rPr>
                <w:rFonts w:hint="eastAsia"/>
                <w:color w:val="auto"/>
                <w:highlight w:val="none"/>
              </w:rPr>
              <w:t>须提供合同复印件。合同复印件需提供合同关键页，包括体现合同标的、合同金额、签字盖章页、合同签订时间等。业绩以合同签订时间为准。</w:t>
            </w:r>
          </w:p>
        </w:tc>
      </w:tr>
      <w:tr w14:paraId="65C6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4" w:type="dxa"/>
            <w:gridSpan w:val="3"/>
            <w:noWrap w:val="0"/>
            <w:vAlign w:val="center"/>
          </w:tcPr>
          <w:p w14:paraId="7AD88C9D">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eastAsia="宋体" w:cs="宋体"/>
                <w:szCs w:val="22"/>
                <w:highlight w:val="none"/>
                <w:lang w:val="en-US" w:eastAsia="zh-CN"/>
              </w:rPr>
            </w:pPr>
            <w:r>
              <w:rPr>
                <w:rFonts w:hint="eastAsia" w:ascii="宋体" w:hAnsi="宋体" w:eastAsia="宋体" w:cs="宋体"/>
                <w:szCs w:val="22"/>
                <w:highlight w:val="none"/>
                <w:lang w:val="en-US" w:eastAsia="zh-CN"/>
              </w:rPr>
              <w:t>一、企业诚信行为要求：</w:t>
            </w:r>
          </w:p>
          <w:p w14:paraId="4CA7F3B0">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eastAsia="宋体" w:cs="宋体"/>
                <w:szCs w:val="22"/>
                <w:highlight w:val="none"/>
                <w:lang w:val="en-US" w:eastAsia="zh-CN"/>
              </w:rPr>
            </w:pPr>
            <w:r>
              <w:rPr>
                <w:rFonts w:hint="eastAsia" w:ascii="宋体" w:hAnsi="宋体" w:eastAsia="宋体" w:cs="宋体"/>
                <w:szCs w:val="22"/>
                <w:highlight w:val="none"/>
                <w:lang w:val="en-US" w:eastAsia="zh-CN"/>
              </w:rPr>
              <w:t>1.</w:t>
            </w:r>
            <w:r>
              <w:rPr>
                <w:rFonts w:hint="eastAsia" w:ascii="宋体" w:hAnsi="宋体" w:cs="宋体"/>
                <w:szCs w:val="22"/>
                <w:highlight w:val="none"/>
                <w:lang w:val="en-US" w:eastAsia="zh-CN"/>
              </w:rPr>
              <w:t>投标人</w:t>
            </w:r>
            <w:r>
              <w:rPr>
                <w:rFonts w:hint="eastAsia" w:ascii="宋体" w:hAnsi="宋体" w:eastAsia="宋体" w:cs="宋体"/>
                <w:szCs w:val="22"/>
                <w:highlight w:val="none"/>
                <w:lang w:val="en-US" w:eastAsia="zh-CN"/>
              </w:rPr>
              <w:t>被纳入南方电网、广东电网公司、广州供电局廉情（黑名单）预警名单范围内，未完成评标的，由评标委员在初评环节予以否决；未定标的，由原评标委员会重新评议,对被纳入南方电网、广东电网公司、广州供电局廉情（黑名单）预警名单范围内的</w:t>
            </w:r>
            <w:r>
              <w:rPr>
                <w:rFonts w:hint="eastAsia" w:ascii="宋体" w:hAnsi="宋体" w:cs="宋体"/>
                <w:szCs w:val="22"/>
                <w:highlight w:val="none"/>
                <w:lang w:val="en-US" w:eastAsia="zh-CN"/>
              </w:rPr>
              <w:t>投标人</w:t>
            </w:r>
            <w:r>
              <w:rPr>
                <w:rFonts w:hint="eastAsia" w:ascii="宋体" w:hAnsi="宋体" w:eastAsia="宋体" w:cs="宋体"/>
                <w:szCs w:val="22"/>
                <w:highlight w:val="none"/>
                <w:lang w:val="en-US" w:eastAsia="zh-CN"/>
              </w:rPr>
              <w:t>作否决投标处理。</w:t>
            </w:r>
          </w:p>
          <w:p w14:paraId="68923F5D">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eastAsia="宋体" w:cs="宋体"/>
                <w:szCs w:val="22"/>
                <w:highlight w:val="none"/>
                <w:lang w:val="en-US" w:eastAsia="zh-CN"/>
              </w:rPr>
            </w:pPr>
            <w:r>
              <w:rPr>
                <w:rFonts w:hint="eastAsia" w:ascii="宋体" w:hAnsi="宋体" w:eastAsia="宋体" w:cs="宋体"/>
                <w:szCs w:val="22"/>
                <w:highlight w:val="none"/>
                <w:lang w:val="en-US" w:eastAsia="zh-CN"/>
              </w:rPr>
              <w:t>2.根据《中国南方电网有限责任公司供货商扣分处罚实施细则》和《南方电网公司供应商行贿行为记录及处置办法》，被南方电网公司实施不接受投标或市场禁入处理的</w:t>
            </w:r>
            <w:r>
              <w:rPr>
                <w:rFonts w:hint="eastAsia" w:ascii="宋体" w:hAnsi="宋体" w:cs="宋体"/>
                <w:szCs w:val="22"/>
                <w:highlight w:val="none"/>
                <w:lang w:val="en-US" w:eastAsia="zh-CN"/>
              </w:rPr>
              <w:t>投标人</w:t>
            </w:r>
            <w:r>
              <w:rPr>
                <w:rFonts w:hint="eastAsia" w:ascii="宋体" w:hAnsi="宋体" w:eastAsia="宋体" w:cs="宋体"/>
                <w:szCs w:val="22"/>
                <w:highlight w:val="none"/>
                <w:lang w:val="en-US" w:eastAsia="zh-CN"/>
              </w:rPr>
              <w:t>，在处理期限内尚未完成评标的，作否决投标处理，尚未发出中标通知书或成交通知书的，作取消中标或成交资格处理。</w:t>
            </w:r>
          </w:p>
          <w:p w14:paraId="4F41DC3C">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eastAsia="宋体" w:cs="宋体"/>
                <w:szCs w:val="22"/>
                <w:highlight w:val="none"/>
                <w:lang w:val="en-US" w:eastAsia="zh-CN"/>
              </w:rPr>
            </w:pPr>
            <w:r>
              <w:rPr>
                <w:rFonts w:hint="eastAsia" w:ascii="宋体" w:hAnsi="宋体" w:eastAsia="宋体" w:cs="宋体"/>
                <w:szCs w:val="22"/>
                <w:highlight w:val="none"/>
                <w:lang w:val="en-US" w:eastAsia="zh-CN"/>
              </w:rPr>
              <w:t>3.被广东电网公司、广州南方投资集团有限公司暂停投标资格的</w:t>
            </w:r>
            <w:r>
              <w:rPr>
                <w:rFonts w:hint="eastAsia" w:ascii="宋体" w:hAnsi="宋体" w:cs="宋体"/>
                <w:szCs w:val="22"/>
                <w:highlight w:val="none"/>
                <w:lang w:val="en-US" w:eastAsia="zh-CN"/>
              </w:rPr>
              <w:t>投标人</w:t>
            </w:r>
            <w:r>
              <w:rPr>
                <w:rFonts w:hint="eastAsia" w:ascii="宋体" w:hAnsi="宋体" w:eastAsia="宋体" w:cs="宋体"/>
                <w:szCs w:val="22"/>
                <w:highlight w:val="none"/>
                <w:lang w:val="en-US" w:eastAsia="zh-CN"/>
              </w:rPr>
              <w:t>，在处理期限内尚未完成评标的，作否决投标处理，尚未发出中标通知书或成交通知书的，作取消中标或成交资格处理。</w:t>
            </w:r>
          </w:p>
          <w:p w14:paraId="0ECB279F">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eastAsia="宋体" w:cs="宋体"/>
                <w:szCs w:val="22"/>
                <w:highlight w:val="none"/>
                <w:lang w:val="en-US" w:eastAsia="zh-CN"/>
              </w:rPr>
            </w:pPr>
            <w:r>
              <w:rPr>
                <w:rFonts w:hint="eastAsia" w:ascii="宋体" w:hAnsi="宋体" w:eastAsia="宋体" w:cs="宋体"/>
                <w:szCs w:val="22"/>
                <w:highlight w:val="none"/>
                <w:lang w:val="en-US" w:eastAsia="zh-CN"/>
              </w:rPr>
              <w:t>4.市场禁入对象范围</w:t>
            </w:r>
          </w:p>
          <w:p w14:paraId="2ED81234">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eastAsia="宋体" w:cs="宋体"/>
                <w:szCs w:val="22"/>
                <w:highlight w:val="none"/>
                <w:lang w:val="en-US" w:eastAsia="zh-CN"/>
              </w:rPr>
            </w:pPr>
            <w:r>
              <w:rPr>
                <w:rFonts w:hint="eastAsia" w:ascii="宋体" w:hAnsi="宋体" w:eastAsia="宋体" w:cs="宋体"/>
                <w:szCs w:val="22"/>
                <w:highlight w:val="none"/>
                <w:lang w:val="en-US" w:eastAsia="zh-CN"/>
              </w:rPr>
              <w:t>（1）</w:t>
            </w:r>
            <w:r>
              <w:rPr>
                <w:rFonts w:hint="eastAsia" w:ascii="宋体" w:hAnsi="宋体" w:cs="宋体"/>
                <w:szCs w:val="22"/>
                <w:highlight w:val="none"/>
                <w:lang w:val="en-US" w:eastAsia="zh-CN"/>
              </w:rPr>
              <w:t>投标人</w:t>
            </w:r>
            <w:r>
              <w:rPr>
                <w:rFonts w:hint="eastAsia" w:ascii="宋体" w:hAnsi="宋体" w:eastAsia="宋体" w:cs="宋体"/>
                <w:szCs w:val="22"/>
                <w:highlight w:val="none"/>
                <w:lang w:val="en-US" w:eastAsia="zh-CN"/>
              </w:rPr>
              <w:t>因行贿行为被实施市场禁入的，市场禁入范围包括法定代表人（首席合伙人、执行事务合伙人、负责人、投资人或经营者，下同）与该</w:t>
            </w:r>
            <w:r>
              <w:rPr>
                <w:rFonts w:hint="eastAsia" w:ascii="宋体" w:hAnsi="宋体" w:cs="宋体"/>
                <w:szCs w:val="22"/>
                <w:highlight w:val="none"/>
                <w:lang w:val="en-US" w:eastAsia="zh-CN"/>
              </w:rPr>
              <w:t>投标人</w:t>
            </w:r>
            <w:r>
              <w:rPr>
                <w:rFonts w:hint="eastAsia" w:ascii="宋体" w:hAnsi="宋体" w:eastAsia="宋体" w:cs="宋体"/>
                <w:szCs w:val="22"/>
                <w:highlight w:val="none"/>
                <w:lang w:val="en-US" w:eastAsia="zh-CN"/>
              </w:rPr>
              <w:t>法定代表人相同的其他所有法人和其他组织。</w:t>
            </w:r>
          </w:p>
          <w:p w14:paraId="4D1DC7B5">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eastAsia="宋体" w:cs="宋体"/>
                <w:szCs w:val="22"/>
                <w:highlight w:val="none"/>
                <w:lang w:val="en-US" w:eastAsia="zh-CN"/>
              </w:rPr>
            </w:pPr>
            <w:r>
              <w:rPr>
                <w:rFonts w:hint="eastAsia" w:ascii="宋体" w:hAnsi="宋体" w:eastAsia="宋体" w:cs="宋体"/>
                <w:szCs w:val="22"/>
                <w:highlight w:val="none"/>
                <w:lang w:val="en-US" w:eastAsia="zh-CN"/>
              </w:rPr>
              <w:t>（2）</w:t>
            </w:r>
            <w:r>
              <w:rPr>
                <w:rFonts w:hint="eastAsia" w:ascii="宋体" w:hAnsi="宋体" w:cs="宋体"/>
                <w:szCs w:val="22"/>
                <w:highlight w:val="none"/>
                <w:lang w:val="en-US" w:eastAsia="zh-CN"/>
              </w:rPr>
              <w:t>投标人</w:t>
            </w:r>
            <w:r>
              <w:rPr>
                <w:rFonts w:hint="eastAsia" w:ascii="宋体" w:hAnsi="宋体" w:eastAsia="宋体" w:cs="宋体"/>
                <w:szCs w:val="22"/>
                <w:highlight w:val="none"/>
                <w:lang w:val="en-US" w:eastAsia="zh-CN"/>
              </w:rPr>
              <w:t>因行贿行为被实施市场禁入的，市场禁入范围包括其下属所有分公司（分所等）；</w:t>
            </w:r>
            <w:r>
              <w:rPr>
                <w:rFonts w:hint="eastAsia" w:ascii="宋体" w:hAnsi="宋体" w:cs="宋体"/>
                <w:szCs w:val="22"/>
                <w:highlight w:val="none"/>
                <w:lang w:val="en-US" w:eastAsia="zh-CN"/>
              </w:rPr>
              <w:t>投标人</w:t>
            </w:r>
            <w:r>
              <w:rPr>
                <w:rFonts w:hint="eastAsia" w:ascii="宋体" w:hAnsi="宋体" w:eastAsia="宋体" w:cs="宋体"/>
                <w:szCs w:val="22"/>
                <w:highlight w:val="none"/>
                <w:lang w:val="en-US" w:eastAsia="zh-CN"/>
              </w:rPr>
              <w:t>为分公司（分所等）的，因行贿行为被实施市场禁入的，市场禁入范围包括其总公司（总所等）和其总公司（总所等）的其它分公司；</w:t>
            </w:r>
          </w:p>
          <w:p w14:paraId="3EA858F2">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szCs w:val="22"/>
                <w:highlight w:val="none"/>
                <w:lang w:val="en-US" w:eastAsia="zh-CN"/>
              </w:rPr>
              <w:t>（3）</w:t>
            </w:r>
            <w:r>
              <w:rPr>
                <w:rFonts w:hint="eastAsia" w:ascii="宋体" w:hAnsi="宋体" w:cs="宋体"/>
                <w:szCs w:val="22"/>
                <w:highlight w:val="none"/>
                <w:lang w:val="en-US" w:eastAsia="zh-CN"/>
              </w:rPr>
              <w:t>投标人</w:t>
            </w:r>
            <w:r>
              <w:rPr>
                <w:rFonts w:hint="eastAsia" w:ascii="宋体" w:hAnsi="宋体" w:eastAsia="宋体" w:cs="宋体"/>
                <w:szCs w:val="22"/>
                <w:highlight w:val="none"/>
                <w:lang w:val="en-US" w:eastAsia="zh-CN"/>
              </w:rPr>
              <w:t>因行贿行为被实施市场禁入的，市场禁入范围不包括其子公司、其母公司和其母公司的其它子公司，但以上公司法定代表人与该</w:t>
            </w:r>
            <w:r>
              <w:rPr>
                <w:rFonts w:hint="eastAsia" w:ascii="宋体" w:hAnsi="宋体" w:cs="宋体"/>
                <w:szCs w:val="22"/>
                <w:highlight w:val="none"/>
                <w:lang w:val="en-US" w:eastAsia="zh-CN"/>
              </w:rPr>
              <w:t>投标人</w:t>
            </w:r>
            <w:r>
              <w:rPr>
                <w:rFonts w:hint="eastAsia" w:ascii="宋体" w:hAnsi="宋体" w:eastAsia="宋体" w:cs="宋体"/>
                <w:szCs w:val="22"/>
                <w:highlight w:val="none"/>
                <w:lang w:val="en-US" w:eastAsia="zh-CN"/>
              </w:rPr>
              <w:t>法定代表人相同的除外。</w:t>
            </w:r>
          </w:p>
        </w:tc>
      </w:tr>
      <w:bookmarkEnd w:id="15"/>
    </w:tbl>
    <w:p w14:paraId="7E9C4842">
      <w:pPr>
        <w:kinsoku/>
        <w:overflowPunct/>
        <w:bidi w:val="0"/>
        <w:spacing w:line="360" w:lineRule="auto"/>
        <w:outlineLvl w:val="9"/>
        <w:rPr>
          <w:rFonts w:hint="eastAsia" w:ascii="宋体" w:hAnsi="宋体" w:eastAsia="宋体" w:cs="宋体"/>
          <w:b/>
          <w:bCs/>
          <w:color w:val="auto"/>
          <w:szCs w:val="21"/>
          <w:highlight w:val="none"/>
          <w:lang w:val="en-US" w:eastAsia="zh-CN"/>
        </w:rPr>
      </w:pPr>
    </w:p>
    <w:p w14:paraId="5ED707C3">
      <w:pPr>
        <w:kinsoku/>
        <w:overflowPunct/>
        <w:bidi w:val="0"/>
        <w:spacing w:line="360" w:lineRule="auto"/>
        <w:outlineLvl w:val="9"/>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4.公告发布、递交投标文件时间与开标时间</w:t>
      </w:r>
    </w:p>
    <w:p w14:paraId="76A8A383">
      <w:pPr>
        <w:keepNext w:val="0"/>
        <w:keepLines w:val="0"/>
        <w:pageBreakBefore w:val="0"/>
        <w:tabs>
          <w:tab w:val="left" w:pos="360"/>
        </w:tabs>
        <w:kinsoku/>
        <w:overflowPunct/>
        <w:bidi w:val="0"/>
        <w:snapToGrid/>
        <w:spacing w:line="360" w:lineRule="auto"/>
        <w:ind w:firstLine="420" w:firstLineChars="200"/>
        <w:textAlignment w:val="auto"/>
        <w:outlineLvl w:val="9"/>
        <w:rPr>
          <w:rFonts w:hint="eastAsia" w:ascii="宋体" w:hAnsi="宋体" w:eastAsia="宋体" w:cs="宋体"/>
          <w:b w:val="0"/>
          <w:bCs w:val="0"/>
          <w:color w:val="auto"/>
          <w:highlight w:val="none"/>
        </w:rPr>
      </w:pPr>
      <w:r>
        <w:rPr>
          <w:rFonts w:hint="eastAsia" w:ascii="宋体" w:hAnsi="宋体" w:eastAsia="宋体" w:cs="宋体"/>
          <w:b w:val="0"/>
          <w:bCs w:val="0"/>
          <w:color w:val="auto"/>
          <w:szCs w:val="21"/>
          <w:highlight w:val="none"/>
          <w:shd w:val="clear" w:color="auto" w:fill="auto"/>
          <w:lang w:val="en-US" w:eastAsia="zh-CN"/>
        </w:rPr>
        <w:t>4.1公告发布（含本日）：</w:t>
      </w:r>
      <w:r>
        <w:rPr>
          <w:rFonts w:hint="eastAsia" w:ascii="宋体" w:hAnsi="宋体" w:eastAsia="宋体" w:cs="宋体"/>
          <w:b w:val="0"/>
          <w:bCs w:val="0"/>
          <w:color w:val="auto"/>
          <w:szCs w:val="21"/>
          <w:highlight w:val="none"/>
          <w:u w:val="single"/>
          <w:shd w:val="clear" w:color="auto" w:fill="auto"/>
          <w:lang w:val="en-US" w:eastAsia="zh-CN"/>
        </w:rPr>
        <w:t>2025</w:t>
      </w:r>
      <w:r>
        <w:rPr>
          <w:rFonts w:hint="eastAsia" w:ascii="宋体" w:hAnsi="宋体" w:eastAsia="宋体" w:cs="宋体"/>
          <w:b w:val="0"/>
          <w:bCs w:val="0"/>
          <w:color w:val="auto"/>
          <w:szCs w:val="21"/>
          <w:highlight w:val="none"/>
          <w:u w:val="none"/>
          <w:shd w:val="clear" w:color="auto" w:fill="auto"/>
          <w:lang w:val="en-US" w:eastAsia="zh-CN"/>
        </w:rPr>
        <w:t>年</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月</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日</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时</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分</w:t>
      </w:r>
      <w:r>
        <w:rPr>
          <w:rFonts w:hint="eastAsia" w:ascii="宋体" w:hAnsi="宋体" w:eastAsia="宋体" w:cs="宋体"/>
          <w:b w:val="0"/>
          <w:bCs w:val="0"/>
          <w:i w:val="0"/>
          <w:iCs w:val="0"/>
          <w:caps w:val="0"/>
          <w:color w:val="auto"/>
          <w:spacing w:val="0"/>
          <w:sz w:val="21"/>
          <w:szCs w:val="21"/>
          <w:highlight w:val="none"/>
          <w:u w:val="single"/>
          <w:lang w:val="en-US" w:eastAsia="zh-CN"/>
        </w:rPr>
        <w:t xml:space="preserve">  </w:t>
      </w:r>
      <w:r>
        <w:rPr>
          <w:rFonts w:hint="eastAsia" w:ascii="宋体" w:hAnsi="宋体" w:eastAsia="宋体" w:cs="宋体"/>
          <w:b w:val="0"/>
          <w:bCs w:val="0"/>
          <w:i w:val="0"/>
          <w:iCs w:val="0"/>
          <w:caps w:val="0"/>
          <w:color w:val="auto"/>
          <w:spacing w:val="0"/>
          <w:sz w:val="21"/>
          <w:szCs w:val="21"/>
          <w:highlight w:val="none"/>
          <w:u w:val="none"/>
        </w:rPr>
        <w:t>秒</w:t>
      </w:r>
      <w:r>
        <w:rPr>
          <w:rFonts w:hint="eastAsia" w:ascii="宋体" w:hAnsi="宋体" w:eastAsia="宋体" w:cs="宋体"/>
          <w:b w:val="0"/>
          <w:bCs w:val="0"/>
          <w:color w:val="auto"/>
          <w:szCs w:val="21"/>
          <w:highlight w:val="none"/>
          <w:shd w:val="clear" w:color="auto" w:fill="auto"/>
          <w:lang w:val="en-US" w:eastAsia="zh-CN"/>
        </w:rPr>
        <w:t>至</w:t>
      </w:r>
      <w:r>
        <w:rPr>
          <w:rFonts w:hint="eastAsia" w:ascii="宋体" w:hAnsi="宋体" w:eastAsia="宋体" w:cs="宋体"/>
          <w:b w:val="0"/>
          <w:bCs w:val="0"/>
          <w:color w:val="auto"/>
          <w:szCs w:val="21"/>
          <w:highlight w:val="none"/>
          <w:u w:val="single"/>
          <w:shd w:val="clear" w:color="auto" w:fill="auto"/>
          <w:lang w:val="en-US" w:eastAsia="zh-CN"/>
        </w:rPr>
        <w:t>2025</w:t>
      </w:r>
      <w:r>
        <w:rPr>
          <w:rFonts w:hint="eastAsia" w:ascii="宋体" w:hAnsi="宋体" w:eastAsia="宋体" w:cs="宋体"/>
          <w:b w:val="0"/>
          <w:bCs w:val="0"/>
          <w:color w:val="auto"/>
          <w:szCs w:val="21"/>
          <w:highlight w:val="none"/>
          <w:u w:val="none"/>
          <w:shd w:val="clear" w:color="auto" w:fill="auto"/>
          <w:lang w:val="en-US" w:eastAsia="zh-CN"/>
        </w:rPr>
        <w:t>年</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月</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日</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时</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分</w:t>
      </w:r>
      <w:r>
        <w:rPr>
          <w:rFonts w:hint="eastAsia" w:ascii="宋体" w:hAnsi="宋体" w:eastAsia="宋体" w:cs="宋体"/>
          <w:b w:val="0"/>
          <w:bCs w:val="0"/>
          <w:i w:val="0"/>
          <w:iCs w:val="0"/>
          <w:caps w:val="0"/>
          <w:color w:val="auto"/>
          <w:spacing w:val="0"/>
          <w:sz w:val="21"/>
          <w:szCs w:val="21"/>
          <w:highlight w:val="none"/>
          <w:u w:val="single"/>
          <w:lang w:val="en-US" w:eastAsia="zh-CN"/>
        </w:rPr>
        <w:t xml:space="preserve">  </w:t>
      </w:r>
      <w:r>
        <w:rPr>
          <w:rFonts w:hint="eastAsia" w:ascii="宋体" w:hAnsi="宋体" w:eastAsia="宋体" w:cs="宋体"/>
          <w:b w:val="0"/>
          <w:bCs w:val="0"/>
          <w:i w:val="0"/>
          <w:iCs w:val="0"/>
          <w:caps w:val="0"/>
          <w:color w:val="auto"/>
          <w:spacing w:val="0"/>
          <w:sz w:val="21"/>
          <w:szCs w:val="21"/>
          <w:highlight w:val="none"/>
          <w:u w:val="none"/>
        </w:rPr>
        <w:t>秒</w:t>
      </w:r>
      <w:r>
        <w:rPr>
          <w:rFonts w:hint="eastAsia" w:ascii="宋体" w:hAnsi="宋体" w:cs="宋体"/>
          <w:b w:val="0"/>
          <w:bCs w:val="0"/>
          <w:i w:val="0"/>
          <w:iCs w:val="0"/>
          <w:caps w:val="0"/>
          <w:color w:val="auto"/>
          <w:spacing w:val="0"/>
          <w:sz w:val="21"/>
          <w:szCs w:val="21"/>
          <w:highlight w:val="none"/>
          <w:u w:val="single"/>
          <w:lang w:eastAsia="zh-CN"/>
        </w:rPr>
        <w:t>；</w:t>
      </w:r>
      <w:bookmarkStart w:id="17" w:name="_Toc2442"/>
      <w:r>
        <w:rPr>
          <w:rFonts w:hint="eastAsia" w:ascii="宋体" w:hAnsi="宋体" w:eastAsia="宋体" w:cs="宋体"/>
          <w:b w:val="0"/>
          <w:bCs w:val="0"/>
          <w:color w:val="auto"/>
          <w:highlight w:val="none"/>
        </w:rPr>
        <w:t>凡有意参加投标者，请登录广州交易集团有限公司（广州公共资源交易中心）交易平台网站下载电子招标文件。</w:t>
      </w:r>
    </w:p>
    <w:bookmarkEnd w:id="17"/>
    <w:p w14:paraId="6039F60A">
      <w:pPr>
        <w:kinsoku/>
        <w:overflowPunct/>
        <w:bidi w:val="0"/>
        <w:spacing w:line="360" w:lineRule="auto"/>
        <w:outlineLvl w:val="9"/>
        <w:rPr>
          <w:rFonts w:hint="eastAsia" w:ascii="宋体" w:hAnsi="宋体" w:eastAsia="宋体" w:cs="宋体"/>
          <w:b/>
          <w:bCs/>
          <w:color w:val="auto"/>
          <w:szCs w:val="21"/>
          <w:highlight w:val="none"/>
          <w:lang w:val="en-US" w:eastAsia="zh-CN"/>
        </w:rPr>
      </w:pPr>
      <w:bookmarkStart w:id="18" w:name="_Toc2450"/>
      <w:r>
        <w:rPr>
          <w:rFonts w:hint="eastAsia" w:ascii="宋体" w:hAnsi="宋体" w:eastAsia="宋体" w:cs="宋体"/>
          <w:b/>
          <w:bCs/>
          <w:color w:val="auto"/>
          <w:szCs w:val="21"/>
          <w:highlight w:val="none"/>
          <w:lang w:val="en-US" w:eastAsia="zh-CN"/>
        </w:rPr>
        <w:t xml:space="preserve"> 注：发布招标公告的时间为招标公告发出之日起至投标截止时间止。</w:t>
      </w:r>
    </w:p>
    <w:p w14:paraId="7A3175EE">
      <w:pPr>
        <w:keepNext w:val="0"/>
        <w:keepLines w:val="0"/>
        <w:pageBreakBefore w:val="0"/>
        <w:tabs>
          <w:tab w:val="left" w:pos="360"/>
        </w:tabs>
        <w:kinsoku/>
        <w:overflowPunct/>
        <w:bidi w:val="0"/>
        <w:snapToGrid/>
        <w:spacing w:line="360" w:lineRule="auto"/>
        <w:ind w:firstLine="420" w:firstLineChars="200"/>
        <w:textAlignment w:val="auto"/>
        <w:outlineLvl w:val="9"/>
        <w:rPr>
          <w:rFonts w:hint="eastAsia" w:ascii="宋体" w:hAnsi="宋体" w:eastAsia="宋体" w:cs="宋体"/>
          <w:b w:val="0"/>
          <w:bCs w:val="0"/>
          <w:color w:val="auto"/>
          <w:szCs w:val="21"/>
          <w:highlight w:val="none"/>
          <w:shd w:val="clear" w:color="auto" w:fill="auto"/>
          <w:lang w:val="en-US" w:eastAsia="zh-CN"/>
        </w:rPr>
      </w:pPr>
      <w:r>
        <w:rPr>
          <w:rFonts w:hint="eastAsia" w:ascii="宋体" w:hAnsi="宋体" w:eastAsia="宋体" w:cs="宋体"/>
          <w:b w:val="0"/>
          <w:bCs w:val="0"/>
          <w:color w:val="auto"/>
          <w:szCs w:val="21"/>
          <w:highlight w:val="none"/>
          <w:shd w:val="clear" w:color="auto" w:fill="auto"/>
          <w:lang w:val="en-US" w:eastAsia="zh-CN"/>
        </w:rPr>
        <w:t>4.2递交投标文件起始时间：</w:t>
      </w:r>
      <w:r>
        <w:rPr>
          <w:rFonts w:hint="eastAsia" w:ascii="宋体" w:hAnsi="宋体" w:eastAsia="宋体" w:cs="宋体"/>
          <w:b w:val="0"/>
          <w:bCs w:val="0"/>
          <w:color w:val="auto"/>
          <w:szCs w:val="21"/>
          <w:highlight w:val="none"/>
          <w:u w:val="single"/>
          <w:shd w:val="clear" w:color="auto" w:fill="auto"/>
          <w:lang w:val="en-US" w:eastAsia="zh-CN"/>
        </w:rPr>
        <w:t>2025</w:t>
      </w:r>
      <w:r>
        <w:rPr>
          <w:rFonts w:hint="eastAsia" w:ascii="宋体" w:hAnsi="宋体" w:eastAsia="宋体" w:cs="宋体"/>
          <w:b w:val="0"/>
          <w:bCs w:val="0"/>
          <w:color w:val="auto"/>
          <w:szCs w:val="21"/>
          <w:highlight w:val="none"/>
          <w:u w:val="none"/>
          <w:shd w:val="clear" w:color="auto" w:fill="auto"/>
          <w:lang w:val="en-US" w:eastAsia="zh-CN"/>
        </w:rPr>
        <w:t>年</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月</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日</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时</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分</w:t>
      </w:r>
      <w:r>
        <w:rPr>
          <w:rFonts w:hint="eastAsia" w:ascii="宋体" w:hAnsi="宋体" w:eastAsia="宋体" w:cs="宋体"/>
          <w:b w:val="0"/>
          <w:bCs w:val="0"/>
          <w:i w:val="0"/>
          <w:iCs w:val="0"/>
          <w:caps w:val="0"/>
          <w:color w:val="auto"/>
          <w:spacing w:val="0"/>
          <w:sz w:val="21"/>
          <w:szCs w:val="21"/>
          <w:highlight w:val="none"/>
          <w:u w:val="single"/>
          <w:lang w:val="en-US" w:eastAsia="zh-CN"/>
        </w:rPr>
        <w:t xml:space="preserve">  </w:t>
      </w:r>
      <w:r>
        <w:rPr>
          <w:rFonts w:hint="eastAsia" w:ascii="宋体" w:hAnsi="宋体" w:eastAsia="宋体" w:cs="宋体"/>
          <w:b w:val="0"/>
          <w:bCs w:val="0"/>
          <w:i w:val="0"/>
          <w:iCs w:val="0"/>
          <w:caps w:val="0"/>
          <w:color w:val="auto"/>
          <w:spacing w:val="0"/>
          <w:sz w:val="21"/>
          <w:szCs w:val="21"/>
          <w:highlight w:val="none"/>
          <w:u w:val="none"/>
        </w:rPr>
        <w:t>秒</w:t>
      </w:r>
      <w:r>
        <w:rPr>
          <w:rFonts w:hint="eastAsia" w:ascii="宋体" w:hAnsi="宋体" w:eastAsia="宋体" w:cs="宋体"/>
          <w:b w:val="0"/>
          <w:bCs w:val="0"/>
          <w:color w:val="auto"/>
          <w:szCs w:val="21"/>
          <w:highlight w:val="none"/>
          <w:shd w:val="clear" w:color="auto" w:fill="auto"/>
          <w:lang w:val="en-US" w:eastAsia="zh-CN"/>
        </w:rPr>
        <w:t>； 截止时间：</w:t>
      </w:r>
      <w:r>
        <w:rPr>
          <w:rFonts w:hint="eastAsia" w:ascii="宋体" w:hAnsi="宋体" w:eastAsia="宋体" w:cs="宋体"/>
          <w:b w:val="0"/>
          <w:bCs w:val="0"/>
          <w:color w:val="auto"/>
          <w:szCs w:val="21"/>
          <w:highlight w:val="none"/>
          <w:u w:val="single"/>
          <w:shd w:val="clear" w:color="auto" w:fill="auto"/>
          <w:lang w:val="en-US" w:eastAsia="zh-CN"/>
        </w:rPr>
        <w:t>2025</w:t>
      </w:r>
      <w:r>
        <w:rPr>
          <w:rFonts w:hint="eastAsia" w:ascii="宋体" w:hAnsi="宋体" w:eastAsia="宋体" w:cs="宋体"/>
          <w:b w:val="0"/>
          <w:bCs w:val="0"/>
          <w:color w:val="auto"/>
          <w:szCs w:val="21"/>
          <w:highlight w:val="none"/>
          <w:u w:val="none"/>
          <w:shd w:val="clear" w:color="auto" w:fill="auto"/>
          <w:lang w:val="en-US" w:eastAsia="zh-CN"/>
        </w:rPr>
        <w:t>年</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月</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日</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时</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分</w:t>
      </w:r>
      <w:r>
        <w:rPr>
          <w:rFonts w:hint="eastAsia" w:ascii="宋体" w:hAnsi="宋体" w:eastAsia="宋体" w:cs="宋体"/>
          <w:b w:val="0"/>
          <w:bCs w:val="0"/>
          <w:i w:val="0"/>
          <w:iCs w:val="0"/>
          <w:caps w:val="0"/>
          <w:color w:val="auto"/>
          <w:spacing w:val="0"/>
          <w:sz w:val="21"/>
          <w:szCs w:val="21"/>
          <w:highlight w:val="none"/>
          <w:u w:val="single"/>
          <w:lang w:val="en-US" w:eastAsia="zh-CN"/>
        </w:rPr>
        <w:t xml:space="preserve">  </w:t>
      </w:r>
      <w:r>
        <w:rPr>
          <w:rFonts w:hint="eastAsia" w:ascii="宋体" w:hAnsi="宋体" w:eastAsia="宋体" w:cs="宋体"/>
          <w:b w:val="0"/>
          <w:bCs w:val="0"/>
          <w:i w:val="0"/>
          <w:iCs w:val="0"/>
          <w:caps w:val="0"/>
          <w:color w:val="auto"/>
          <w:spacing w:val="0"/>
          <w:sz w:val="21"/>
          <w:szCs w:val="21"/>
          <w:highlight w:val="none"/>
          <w:u w:val="none"/>
        </w:rPr>
        <w:t>秒</w:t>
      </w:r>
      <w:r>
        <w:rPr>
          <w:rFonts w:hint="eastAsia" w:ascii="宋体" w:hAnsi="宋体" w:eastAsia="宋体" w:cs="宋体"/>
          <w:b w:val="0"/>
          <w:bCs w:val="0"/>
          <w:color w:val="auto"/>
          <w:szCs w:val="21"/>
          <w:highlight w:val="none"/>
          <w:shd w:val="clear" w:color="auto" w:fill="auto"/>
          <w:lang w:val="en-US" w:eastAsia="zh-CN"/>
        </w:rPr>
        <w:t>。</w:t>
      </w:r>
    </w:p>
    <w:p w14:paraId="5C36C602">
      <w:pPr>
        <w:keepNext w:val="0"/>
        <w:keepLines w:val="0"/>
        <w:pageBreakBefore w:val="0"/>
        <w:tabs>
          <w:tab w:val="left" w:pos="360"/>
        </w:tabs>
        <w:kinsoku/>
        <w:overflowPunct/>
        <w:bidi w:val="0"/>
        <w:snapToGrid/>
        <w:spacing w:line="360" w:lineRule="auto"/>
        <w:ind w:firstLine="420" w:firstLineChars="200"/>
        <w:textAlignment w:val="auto"/>
        <w:outlineLvl w:val="9"/>
        <w:rPr>
          <w:rFonts w:hint="eastAsia" w:ascii="宋体" w:hAnsi="宋体" w:cs="宋体"/>
          <w:b w:val="0"/>
          <w:bCs w:val="0"/>
          <w:color w:val="auto"/>
          <w:szCs w:val="21"/>
          <w:highlight w:val="none"/>
          <w:shd w:val="clear" w:color="auto" w:fill="auto"/>
          <w:lang w:val="en-US" w:eastAsia="zh-CN"/>
        </w:rPr>
      </w:pPr>
      <w:r>
        <w:rPr>
          <w:rFonts w:hint="eastAsia" w:ascii="宋体" w:hAnsi="宋体" w:eastAsia="宋体" w:cs="宋体"/>
          <w:b w:val="0"/>
          <w:bCs w:val="0"/>
          <w:color w:val="auto"/>
          <w:szCs w:val="21"/>
          <w:highlight w:val="none"/>
          <w:shd w:val="clear" w:color="auto" w:fill="auto"/>
          <w:lang w:val="en-US" w:eastAsia="zh-CN"/>
        </w:rPr>
        <w:t>4.</w:t>
      </w:r>
      <w:r>
        <w:rPr>
          <w:rFonts w:hint="eastAsia" w:ascii="宋体" w:hAnsi="宋体" w:cs="宋体"/>
          <w:b w:val="0"/>
          <w:bCs w:val="0"/>
          <w:color w:val="auto"/>
          <w:szCs w:val="21"/>
          <w:highlight w:val="none"/>
          <w:shd w:val="clear" w:color="auto" w:fill="auto"/>
          <w:lang w:val="en-US" w:eastAsia="zh-CN"/>
        </w:rPr>
        <w:t>3递交投标文件备用光盘时间：</w:t>
      </w:r>
      <w:r>
        <w:rPr>
          <w:rFonts w:hint="eastAsia" w:ascii="宋体" w:hAnsi="宋体" w:eastAsia="宋体" w:cs="宋体"/>
          <w:b w:val="0"/>
          <w:bCs w:val="0"/>
          <w:color w:val="auto"/>
          <w:szCs w:val="21"/>
          <w:highlight w:val="none"/>
          <w:u w:val="single"/>
          <w:shd w:val="clear" w:color="auto" w:fill="auto"/>
          <w:lang w:val="en-US" w:eastAsia="zh-CN"/>
        </w:rPr>
        <w:t>2025</w:t>
      </w:r>
      <w:r>
        <w:rPr>
          <w:rFonts w:hint="eastAsia" w:ascii="宋体" w:hAnsi="宋体" w:eastAsia="宋体" w:cs="宋体"/>
          <w:b w:val="0"/>
          <w:bCs w:val="0"/>
          <w:color w:val="auto"/>
          <w:szCs w:val="21"/>
          <w:highlight w:val="none"/>
          <w:u w:val="none"/>
          <w:shd w:val="clear" w:color="auto" w:fill="auto"/>
          <w:lang w:val="en-US" w:eastAsia="zh-CN"/>
        </w:rPr>
        <w:t>年</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月</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日</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时</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分</w:t>
      </w:r>
      <w:r>
        <w:rPr>
          <w:rFonts w:hint="eastAsia" w:ascii="宋体" w:hAnsi="宋体" w:eastAsia="宋体" w:cs="宋体"/>
          <w:b w:val="0"/>
          <w:bCs w:val="0"/>
          <w:i w:val="0"/>
          <w:iCs w:val="0"/>
          <w:caps w:val="0"/>
          <w:color w:val="auto"/>
          <w:spacing w:val="0"/>
          <w:sz w:val="21"/>
          <w:szCs w:val="21"/>
          <w:highlight w:val="none"/>
          <w:u w:val="single"/>
          <w:lang w:val="en-US" w:eastAsia="zh-CN"/>
        </w:rPr>
        <w:t xml:space="preserve">  </w:t>
      </w:r>
      <w:r>
        <w:rPr>
          <w:rFonts w:hint="eastAsia" w:ascii="宋体" w:hAnsi="宋体" w:eastAsia="宋体" w:cs="宋体"/>
          <w:b w:val="0"/>
          <w:bCs w:val="0"/>
          <w:i w:val="0"/>
          <w:iCs w:val="0"/>
          <w:caps w:val="0"/>
          <w:color w:val="auto"/>
          <w:spacing w:val="0"/>
          <w:sz w:val="21"/>
          <w:szCs w:val="21"/>
          <w:highlight w:val="none"/>
          <w:u w:val="none"/>
        </w:rPr>
        <w:t>秒</w:t>
      </w:r>
      <w:r>
        <w:rPr>
          <w:rFonts w:hint="eastAsia" w:ascii="宋体" w:hAnsi="宋体" w:cs="宋体"/>
          <w:b w:val="0"/>
          <w:bCs w:val="0"/>
          <w:color w:val="auto"/>
          <w:szCs w:val="21"/>
          <w:highlight w:val="none"/>
          <w:shd w:val="clear" w:color="auto" w:fill="auto"/>
          <w:lang w:val="en-US" w:eastAsia="zh-CN"/>
        </w:rPr>
        <w:t>至</w:t>
      </w:r>
      <w:r>
        <w:rPr>
          <w:rFonts w:hint="eastAsia" w:ascii="宋体" w:hAnsi="宋体" w:eastAsia="宋体" w:cs="宋体"/>
          <w:b w:val="0"/>
          <w:bCs w:val="0"/>
          <w:color w:val="auto"/>
          <w:szCs w:val="21"/>
          <w:highlight w:val="none"/>
          <w:u w:val="single"/>
          <w:shd w:val="clear" w:color="auto" w:fill="auto"/>
          <w:lang w:val="en-US" w:eastAsia="zh-CN"/>
        </w:rPr>
        <w:t>2025</w:t>
      </w:r>
      <w:r>
        <w:rPr>
          <w:rFonts w:hint="eastAsia" w:ascii="宋体" w:hAnsi="宋体" w:eastAsia="宋体" w:cs="宋体"/>
          <w:b w:val="0"/>
          <w:bCs w:val="0"/>
          <w:color w:val="auto"/>
          <w:szCs w:val="21"/>
          <w:highlight w:val="none"/>
          <w:u w:val="none"/>
          <w:shd w:val="clear" w:color="auto" w:fill="auto"/>
          <w:lang w:val="en-US" w:eastAsia="zh-CN"/>
        </w:rPr>
        <w:t>年</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月</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日</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时</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分</w:t>
      </w:r>
      <w:r>
        <w:rPr>
          <w:rFonts w:hint="eastAsia" w:ascii="宋体" w:hAnsi="宋体" w:eastAsia="宋体" w:cs="宋体"/>
          <w:b w:val="0"/>
          <w:bCs w:val="0"/>
          <w:i w:val="0"/>
          <w:iCs w:val="0"/>
          <w:caps w:val="0"/>
          <w:color w:val="auto"/>
          <w:spacing w:val="0"/>
          <w:sz w:val="21"/>
          <w:szCs w:val="21"/>
          <w:highlight w:val="none"/>
          <w:u w:val="single"/>
          <w:lang w:val="en-US" w:eastAsia="zh-CN"/>
        </w:rPr>
        <w:t xml:space="preserve">  </w:t>
      </w:r>
      <w:r>
        <w:rPr>
          <w:rFonts w:hint="eastAsia" w:ascii="宋体" w:hAnsi="宋体" w:eastAsia="宋体" w:cs="宋体"/>
          <w:b w:val="0"/>
          <w:bCs w:val="0"/>
          <w:i w:val="0"/>
          <w:iCs w:val="0"/>
          <w:caps w:val="0"/>
          <w:color w:val="auto"/>
          <w:spacing w:val="0"/>
          <w:sz w:val="21"/>
          <w:szCs w:val="21"/>
          <w:highlight w:val="none"/>
          <w:u w:val="none"/>
        </w:rPr>
        <w:t>秒</w:t>
      </w:r>
      <w:r>
        <w:rPr>
          <w:rFonts w:hint="eastAsia" w:ascii="宋体" w:hAnsi="宋体" w:cs="宋体"/>
          <w:b w:val="0"/>
          <w:bCs w:val="0"/>
          <w:color w:val="auto"/>
          <w:szCs w:val="21"/>
          <w:highlight w:val="none"/>
          <w:shd w:val="clear" w:color="auto" w:fill="auto"/>
          <w:lang w:val="en-US" w:eastAsia="zh-CN"/>
        </w:rPr>
        <w:t>；</w:t>
      </w:r>
    </w:p>
    <w:p w14:paraId="659C7FA2">
      <w:pPr>
        <w:keepNext w:val="0"/>
        <w:keepLines w:val="0"/>
        <w:pageBreakBefore w:val="0"/>
        <w:tabs>
          <w:tab w:val="left" w:pos="360"/>
        </w:tabs>
        <w:kinsoku/>
        <w:overflowPunct/>
        <w:bidi w:val="0"/>
        <w:snapToGrid/>
        <w:spacing w:line="360" w:lineRule="auto"/>
        <w:ind w:firstLine="420" w:firstLineChars="200"/>
        <w:textAlignment w:val="auto"/>
        <w:outlineLvl w:val="9"/>
        <w:rPr>
          <w:rFonts w:hint="eastAsia" w:ascii="宋体" w:hAnsi="宋体" w:eastAsia="宋体" w:cs="宋体"/>
          <w:b w:val="0"/>
          <w:bCs w:val="0"/>
          <w:color w:val="auto"/>
          <w:szCs w:val="21"/>
          <w:highlight w:val="none"/>
          <w:shd w:val="clear" w:color="auto" w:fill="auto"/>
          <w:lang w:val="en-US" w:eastAsia="zh-CN"/>
        </w:rPr>
      </w:pPr>
      <w:r>
        <w:rPr>
          <w:rFonts w:hint="eastAsia" w:ascii="宋体" w:hAnsi="宋体" w:cs="宋体"/>
          <w:b w:val="0"/>
          <w:bCs w:val="0"/>
          <w:color w:val="auto"/>
          <w:szCs w:val="21"/>
          <w:highlight w:val="none"/>
          <w:shd w:val="clear" w:color="auto" w:fill="auto"/>
          <w:lang w:val="en-US" w:eastAsia="zh-CN"/>
        </w:rPr>
        <w:t>递交投标文件备用光盘地点：广州交易集团有限公司（广州公共资源交易中心）（广州市天河区天润路333号）第</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cs="宋体"/>
          <w:b w:val="0"/>
          <w:bCs w:val="0"/>
          <w:color w:val="auto"/>
          <w:szCs w:val="21"/>
          <w:highlight w:val="none"/>
          <w:shd w:val="clear" w:color="auto" w:fill="auto"/>
          <w:lang w:val="en-US" w:eastAsia="zh-CN"/>
        </w:rPr>
        <w:t>开标室。投标人递交的电子光盘（或U盘）需按规定封装，且将数据刻录到电子光盘（或U盘）之后，投标前应自行检查文件是否可以读取。</w:t>
      </w:r>
    </w:p>
    <w:p w14:paraId="05A2EE12">
      <w:pPr>
        <w:keepNext w:val="0"/>
        <w:keepLines w:val="0"/>
        <w:pageBreakBefore w:val="0"/>
        <w:tabs>
          <w:tab w:val="left" w:pos="360"/>
        </w:tabs>
        <w:kinsoku/>
        <w:overflowPunct/>
        <w:bidi w:val="0"/>
        <w:snapToGrid/>
        <w:spacing w:line="360" w:lineRule="auto"/>
        <w:ind w:firstLine="420" w:firstLineChars="200"/>
        <w:textAlignment w:val="auto"/>
        <w:outlineLvl w:val="9"/>
        <w:rPr>
          <w:rFonts w:hint="eastAsia" w:ascii="宋体" w:hAnsi="宋体" w:cs="宋体"/>
          <w:b w:val="0"/>
          <w:bCs w:val="0"/>
          <w:color w:val="auto"/>
          <w:szCs w:val="21"/>
          <w:highlight w:val="none"/>
          <w:shd w:val="clear" w:color="auto" w:fill="auto"/>
          <w:lang w:val="en-US" w:eastAsia="zh-CN"/>
        </w:rPr>
      </w:pPr>
      <w:r>
        <w:rPr>
          <w:rFonts w:hint="eastAsia" w:ascii="宋体" w:hAnsi="宋体" w:eastAsia="宋体" w:cs="宋体"/>
          <w:b w:val="0"/>
          <w:bCs w:val="0"/>
          <w:color w:val="auto"/>
          <w:szCs w:val="21"/>
          <w:highlight w:val="none"/>
          <w:shd w:val="clear" w:color="auto" w:fill="auto"/>
          <w:lang w:val="en-US" w:eastAsia="zh-CN"/>
        </w:rPr>
        <w:t>4.</w:t>
      </w:r>
      <w:r>
        <w:rPr>
          <w:rFonts w:hint="eastAsia" w:ascii="宋体" w:hAnsi="宋体" w:cs="宋体"/>
          <w:b w:val="0"/>
          <w:bCs w:val="0"/>
          <w:color w:val="auto"/>
          <w:szCs w:val="21"/>
          <w:highlight w:val="none"/>
          <w:shd w:val="clear" w:color="auto" w:fill="auto"/>
          <w:lang w:val="en-US" w:eastAsia="zh-CN"/>
        </w:rPr>
        <w:t>4逾期送达的投标文件，电子招标投标交易平台将予以拒收。逾期或未在指定地点递交投标文件光盘（或U盘）的，招标人拒绝接收其投标文件光盘（或U盘）。</w:t>
      </w:r>
    </w:p>
    <w:p w14:paraId="670827A6">
      <w:pPr>
        <w:keepNext w:val="0"/>
        <w:keepLines w:val="0"/>
        <w:pageBreakBefore w:val="0"/>
        <w:tabs>
          <w:tab w:val="left" w:pos="360"/>
        </w:tabs>
        <w:kinsoku/>
        <w:overflowPunct/>
        <w:bidi w:val="0"/>
        <w:snapToGrid/>
        <w:spacing w:line="360" w:lineRule="auto"/>
        <w:ind w:firstLine="420" w:firstLineChars="200"/>
        <w:textAlignment w:val="auto"/>
        <w:outlineLvl w:val="9"/>
        <w:rPr>
          <w:rFonts w:hint="eastAsia" w:ascii="宋体" w:hAnsi="宋体" w:cs="宋体"/>
          <w:b w:val="0"/>
          <w:bCs w:val="0"/>
          <w:color w:val="auto"/>
          <w:szCs w:val="21"/>
          <w:highlight w:val="none"/>
          <w:shd w:val="clear" w:color="auto" w:fill="auto"/>
          <w:lang w:val="en-US" w:eastAsia="zh-CN"/>
        </w:rPr>
      </w:pPr>
      <w:r>
        <w:rPr>
          <w:rFonts w:hint="eastAsia" w:ascii="宋体" w:hAnsi="宋体" w:cs="宋体"/>
          <w:b w:val="0"/>
          <w:bCs w:val="0"/>
          <w:color w:val="auto"/>
          <w:szCs w:val="21"/>
          <w:highlight w:val="none"/>
          <w:shd w:val="clear" w:color="auto" w:fill="auto"/>
          <w:lang w:val="en-US" w:eastAsia="zh-CN"/>
        </w:rPr>
        <w:t>4.5投标文件解密时间为</w:t>
      </w:r>
      <w:r>
        <w:rPr>
          <w:rFonts w:hint="eastAsia" w:ascii="宋体" w:hAnsi="宋体" w:eastAsia="宋体" w:cs="宋体"/>
          <w:b w:val="0"/>
          <w:bCs w:val="0"/>
          <w:color w:val="auto"/>
          <w:szCs w:val="21"/>
          <w:highlight w:val="none"/>
          <w:u w:val="single"/>
          <w:shd w:val="clear" w:color="auto" w:fill="auto"/>
          <w:lang w:val="en-US" w:eastAsia="zh-CN"/>
        </w:rPr>
        <w:t>2025</w:t>
      </w:r>
      <w:r>
        <w:rPr>
          <w:rFonts w:hint="eastAsia" w:ascii="宋体" w:hAnsi="宋体" w:eastAsia="宋体" w:cs="宋体"/>
          <w:b w:val="0"/>
          <w:bCs w:val="0"/>
          <w:color w:val="auto"/>
          <w:szCs w:val="21"/>
          <w:highlight w:val="none"/>
          <w:u w:val="none"/>
          <w:shd w:val="clear" w:color="auto" w:fill="auto"/>
          <w:lang w:val="en-US" w:eastAsia="zh-CN"/>
        </w:rPr>
        <w:t>年</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月</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日</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时</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分</w:t>
      </w:r>
      <w:r>
        <w:rPr>
          <w:rFonts w:hint="eastAsia" w:ascii="宋体" w:hAnsi="宋体" w:eastAsia="宋体" w:cs="宋体"/>
          <w:b w:val="0"/>
          <w:bCs w:val="0"/>
          <w:i w:val="0"/>
          <w:iCs w:val="0"/>
          <w:caps w:val="0"/>
          <w:color w:val="auto"/>
          <w:spacing w:val="0"/>
          <w:sz w:val="21"/>
          <w:szCs w:val="21"/>
          <w:highlight w:val="none"/>
          <w:u w:val="single"/>
          <w:lang w:val="en-US" w:eastAsia="zh-CN"/>
        </w:rPr>
        <w:t xml:space="preserve">  </w:t>
      </w:r>
      <w:r>
        <w:rPr>
          <w:rFonts w:hint="eastAsia" w:ascii="宋体" w:hAnsi="宋体" w:eastAsia="宋体" w:cs="宋体"/>
          <w:b w:val="0"/>
          <w:bCs w:val="0"/>
          <w:i w:val="0"/>
          <w:iCs w:val="0"/>
          <w:caps w:val="0"/>
          <w:color w:val="auto"/>
          <w:spacing w:val="0"/>
          <w:sz w:val="21"/>
          <w:szCs w:val="21"/>
          <w:highlight w:val="none"/>
          <w:u w:val="none"/>
        </w:rPr>
        <w:t>秒</w:t>
      </w:r>
      <w:r>
        <w:rPr>
          <w:rFonts w:hint="eastAsia" w:ascii="宋体" w:hAnsi="宋体" w:cs="宋体"/>
          <w:b w:val="0"/>
          <w:bCs w:val="0"/>
          <w:color w:val="auto"/>
          <w:szCs w:val="21"/>
          <w:highlight w:val="none"/>
          <w:shd w:val="clear" w:color="auto" w:fill="auto"/>
          <w:lang w:val="en-US" w:eastAsia="zh-CN"/>
        </w:rPr>
        <w:t>至</w:t>
      </w:r>
      <w:r>
        <w:rPr>
          <w:rFonts w:hint="eastAsia" w:ascii="宋体" w:hAnsi="宋体" w:eastAsia="宋体" w:cs="宋体"/>
          <w:b w:val="0"/>
          <w:bCs w:val="0"/>
          <w:color w:val="auto"/>
          <w:szCs w:val="21"/>
          <w:highlight w:val="none"/>
          <w:u w:val="single"/>
          <w:shd w:val="clear" w:color="auto" w:fill="auto"/>
          <w:lang w:val="en-US" w:eastAsia="zh-CN"/>
        </w:rPr>
        <w:t>2025</w:t>
      </w:r>
      <w:r>
        <w:rPr>
          <w:rFonts w:hint="eastAsia" w:ascii="宋体" w:hAnsi="宋体" w:eastAsia="宋体" w:cs="宋体"/>
          <w:b w:val="0"/>
          <w:bCs w:val="0"/>
          <w:color w:val="auto"/>
          <w:szCs w:val="21"/>
          <w:highlight w:val="none"/>
          <w:u w:val="none"/>
          <w:shd w:val="clear" w:color="auto" w:fill="auto"/>
          <w:lang w:val="en-US" w:eastAsia="zh-CN"/>
        </w:rPr>
        <w:t>年</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月</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日</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时</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分</w:t>
      </w:r>
      <w:r>
        <w:rPr>
          <w:rFonts w:hint="eastAsia" w:ascii="宋体" w:hAnsi="宋体" w:eastAsia="宋体" w:cs="宋体"/>
          <w:b w:val="0"/>
          <w:bCs w:val="0"/>
          <w:i w:val="0"/>
          <w:iCs w:val="0"/>
          <w:caps w:val="0"/>
          <w:color w:val="auto"/>
          <w:spacing w:val="0"/>
          <w:sz w:val="21"/>
          <w:szCs w:val="21"/>
          <w:highlight w:val="none"/>
          <w:u w:val="single"/>
          <w:lang w:val="en-US" w:eastAsia="zh-CN"/>
        </w:rPr>
        <w:t xml:space="preserve">  </w:t>
      </w:r>
      <w:r>
        <w:rPr>
          <w:rFonts w:hint="eastAsia" w:ascii="宋体" w:hAnsi="宋体" w:eastAsia="宋体" w:cs="宋体"/>
          <w:b w:val="0"/>
          <w:bCs w:val="0"/>
          <w:i w:val="0"/>
          <w:iCs w:val="0"/>
          <w:caps w:val="0"/>
          <w:color w:val="auto"/>
          <w:spacing w:val="0"/>
          <w:sz w:val="21"/>
          <w:szCs w:val="21"/>
          <w:highlight w:val="none"/>
          <w:u w:val="none"/>
        </w:rPr>
        <w:t>秒</w:t>
      </w:r>
      <w:r>
        <w:rPr>
          <w:rFonts w:hint="eastAsia" w:ascii="宋体" w:hAnsi="宋体" w:cs="宋体"/>
          <w:b w:val="0"/>
          <w:bCs w:val="0"/>
          <w:color w:val="auto"/>
          <w:szCs w:val="21"/>
          <w:highlight w:val="none"/>
          <w:shd w:val="clear" w:color="auto" w:fill="auto"/>
          <w:lang w:val="en-US" w:eastAsia="zh-CN"/>
        </w:rPr>
        <w:t>，投标人应在截止时间前通过广州交易集团有限公司（广州公共资源交易中心）网站交易平台对电子投标文件进行投标文件解密。</w:t>
      </w:r>
    </w:p>
    <w:p w14:paraId="78C7CD9A">
      <w:pPr>
        <w:keepNext w:val="0"/>
        <w:keepLines w:val="0"/>
        <w:pageBreakBefore w:val="0"/>
        <w:tabs>
          <w:tab w:val="left" w:pos="360"/>
        </w:tabs>
        <w:kinsoku/>
        <w:overflowPunct/>
        <w:bidi w:val="0"/>
        <w:snapToGrid/>
        <w:spacing w:line="360" w:lineRule="auto"/>
        <w:ind w:firstLine="420" w:firstLineChars="200"/>
        <w:textAlignment w:val="auto"/>
        <w:outlineLvl w:val="9"/>
        <w:rPr>
          <w:rFonts w:hint="eastAsia" w:ascii="宋体" w:hAnsi="宋体" w:eastAsia="宋体" w:cs="宋体"/>
          <w:b w:val="0"/>
          <w:bCs w:val="0"/>
          <w:color w:val="auto"/>
          <w:szCs w:val="21"/>
          <w:highlight w:val="none"/>
          <w:shd w:val="clear" w:color="auto" w:fill="auto"/>
          <w:lang w:val="en-US" w:eastAsia="zh-CN"/>
        </w:rPr>
      </w:pPr>
      <w:r>
        <w:rPr>
          <w:rFonts w:hint="eastAsia" w:ascii="宋体" w:hAnsi="宋体" w:cs="宋体"/>
          <w:b w:val="0"/>
          <w:bCs w:val="0"/>
          <w:color w:val="auto"/>
          <w:szCs w:val="21"/>
          <w:highlight w:val="none"/>
          <w:shd w:val="clear" w:color="auto" w:fill="auto"/>
          <w:lang w:val="en-US" w:eastAsia="zh-CN"/>
        </w:rPr>
        <w:t>4.6开标开始时间：</w:t>
      </w:r>
      <w:r>
        <w:rPr>
          <w:rFonts w:hint="eastAsia" w:ascii="宋体" w:hAnsi="宋体" w:eastAsia="宋体" w:cs="宋体"/>
          <w:b w:val="0"/>
          <w:bCs w:val="0"/>
          <w:color w:val="auto"/>
          <w:szCs w:val="21"/>
          <w:highlight w:val="none"/>
          <w:u w:val="single"/>
          <w:shd w:val="clear" w:color="auto" w:fill="auto"/>
          <w:lang w:val="en-US" w:eastAsia="zh-CN"/>
        </w:rPr>
        <w:t>2025</w:t>
      </w:r>
      <w:r>
        <w:rPr>
          <w:rFonts w:hint="eastAsia" w:ascii="宋体" w:hAnsi="宋体" w:eastAsia="宋体" w:cs="宋体"/>
          <w:b w:val="0"/>
          <w:bCs w:val="0"/>
          <w:color w:val="auto"/>
          <w:szCs w:val="21"/>
          <w:highlight w:val="none"/>
          <w:u w:val="none"/>
          <w:shd w:val="clear" w:color="auto" w:fill="auto"/>
          <w:lang w:val="en-US" w:eastAsia="zh-CN"/>
        </w:rPr>
        <w:t>年</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月</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日</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时</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分</w:t>
      </w:r>
      <w:r>
        <w:rPr>
          <w:rFonts w:hint="eastAsia" w:ascii="宋体" w:hAnsi="宋体" w:eastAsia="宋体" w:cs="宋体"/>
          <w:b w:val="0"/>
          <w:bCs w:val="0"/>
          <w:i w:val="0"/>
          <w:iCs w:val="0"/>
          <w:caps w:val="0"/>
          <w:color w:val="auto"/>
          <w:spacing w:val="0"/>
          <w:sz w:val="21"/>
          <w:szCs w:val="21"/>
          <w:highlight w:val="none"/>
          <w:u w:val="single"/>
          <w:lang w:val="en-US" w:eastAsia="zh-CN"/>
        </w:rPr>
        <w:t xml:space="preserve">  </w:t>
      </w:r>
      <w:r>
        <w:rPr>
          <w:rFonts w:hint="eastAsia" w:ascii="宋体" w:hAnsi="宋体" w:eastAsia="宋体" w:cs="宋体"/>
          <w:b w:val="0"/>
          <w:bCs w:val="0"/>
          <w:i w:val="0"/>
          <w:iCs w:val="0"/>
          <w:caps w:val="0"/>
          <w:color w:val="auto"/>
          <w:spacing w:val="0"/>
          <w:sz w:val="21"/>
          <w:szCs w:val="21"/>
          <w:highlight w:val="none"/>
          <w:u w:val="none"/>
        </w:rPr>
        <w:t>秒</w:t>
      </w:r>
      <w:r>
        <w:rPr>
          <w:rFonts w:hint="eastAsia" w:ascii="宋体" w:hAnsi="宋体" w:cs="宋体"/>
          <w:b w:val="0"/>
          <w:bCs w:val="0"/>
          <w:color w:val="auto"/>
          <w:szCs w:val="21"/>
          <w:highlight w:val="none"/>
          <w:shd w:val="clear" w:color="auto" w:fill="auto"/>
          <w:lang w:val="en-US" w:eastAsia="zh-CN"/>
        </w:rPr>
        <w:t>。</w:t>
      </w:r>
    </w:p>
    <w:p w14:paraId="18F6C056">
      <w:pPr>
        <w:keepNext w:val="0"/>
        <w:keepLines w:val="0"/>
        <w:pageBreakBefore w:val="0"/>
        <w:tabs>
          <w:tab w:val="left" w:pos="360"/>
        </w:tabs>
        <w:kinsoku/>
        <w:overflowPunct/>
        <w:bidi w:val="0"/>
        <w:snapToGrid/>
        <w:spacing w:line="360" w:lineRule="auto"/>
        <w:ind w:firstLine="420" w:firstLineChars="200"/>
        <w:textAlignment w:val="auto"/>
        <w:outlineLvl w:val="9"/>
        <w:rPr>
          <w:rFonts w:hint="eastAsia" w:ascii="宋体" w:hAnsi="宋体" w:cs="宋体"/>
          <w:b w:val="0"/>
          <w:bCs w:val="0"/>
          <w:color w:val="auto"/>
          <w:szCs w:val="21"/>
          <w:highlight w:val="none"/>
          <w:shd w:val="clear" w:color="auto" w:fill="auto"/>
          <w:lang w:val="en-US" w:eastAsia="zh-CN"/>
        </w:rPr>
      </w:pPr>
      <w:r>
        <w:rPr>
          <w:rFonts w:hint="eastAsia" w:ascii="宋体" w:hAnsi="宋体" w:eastAsia="宋体" w:cs="宋体"/>
          <w:b w:val="0"/>
          <w:bCs w:val="0"/>
          <w:color w:val="auto"/>
          <w:szCs w:val="21"/>
          <w:highlight w:val="none"/>
          <w:shd w:val="clear" w:color="auto" w:fill="auto"/>
          <w:lang w:val="en-US" w:eastAsia="zh-CN"/>
        </w:rPr>
        <w:t>4.</w:t>
      </w:r>
      <w:r>
        <w:rPr>
          <w:rFonts w:hint="eastAsia" w:ascii="宋体" w:hAnsi="宋体" w:cs="宋体"/>
          <w:b w:val="0"/>
          <w:bCs w:val="0"/>
          <w:color w:val="auto"/>
          <w:szCs w:val="21"/>
          <w:highlight w:val="none"/>
          <w:shd w:val="clear" w:color="auto" w:fill="auto"/>
          <w:lang w:val="en-US" w:eastAsia="zh-CN"/>
        </w:rPr>
        <w:t>7投标人通过广州交易集团有限公司（广州公共资源交易中心）交易平台递交电子投标文件。投标人应在递交投标文件截止时间前，登录广州交易集团有限公司（广州公共资源交易中心）交易平台网站办理网上投标登记手续。按照交易平台关于全流程电子化项目的相关指南进行操作。详见：广州交易集团有限公司（广州公共资源交易中心网站http:// www.gzggzy.cn）《【通用版】新电子招投标系统通用版操作指引（适用于建设工程不使用范本的各类电子标项目）》。投标人完成电子投标文件上传后，广州交易集团有限公司（广州公共资源交易中心）数字交易平台即时向投标人发出递交回执通知。递交时间以递交回执通知载明的传输时间为准。</w:t>
      </w:r>
    </w:p>
    <w:p w14:paraId="60BE2AAA">
      <w:pPr>
        <w:keepNext w:val="0"/>
        <w:keepLines w:val="0"/>
        <w:pageBreakBefore w:val="0"/>
        <w:tabs>
          <w:tab w:val="left" w:pos="360"/>
        </w:tabs>
        <w:kinsoku/>
        <w:overflowPunct/>
        <w:bidi w:val="0"/>
        <w:snapToGrid/>
        <w:spacing w:line="360" w:lineRule="auto"/>
        <w:ind w:firstLine="420" w:firstLineChars="200"/>
        <w:textAlignment w:val="auto"/>
        <w:outlineLvl w:val="9"/>
        <w:rPr>
          <w:rFonts w:hint="eastAsia" w:ascii="宋体" w:hAnsi="宋体" w:eastAsia="宋体" w:cs="宋体"/>
          <w:b w:val="0"/>
          <w:bCs w:val="0"/>
          <w:color w:val="auto"/>
          <w:szCs w:val="21"/>
          <w:highlight w:val="none"/>
          <w:shd w:val="clear" w:color="auto" w:fill="auto"/>
          <w:lang w:val="en-US" w:eastAsia="zh-CN"/>
        </w:rPr>
      </w:pPr>
      <w:r>
        <w:rPr>
          <w:rFonts w:hint="eastAsia" w:ascii="宋体" w:hAnsi="宋体" w:eastAsia="宋体" w:cs="宋体"/>
          <w:b w:val="0"/>
          <w:bCs w:val="0"/>
          <w:color w:val="auto"/>
          <w:szCs w:val="21"/>
          <w:highlight w:val="none"/>
          <w:shd w:val="clear" w:color="auto" w:fill="auto"/>
          <w:lang w:val="en-US" w:eastAsia="zh-CN"/>
        </w:rPr>
        <w:t>4.</w:t>
      </w:r>
      <w:r>
        <w:rPr>
          <w:rFonts w:hint="eastAsia" w:ascii="宋体" w:hAnsi="宋体" w:cs="宋体"/>
          <w:b w:val="0"/>
          <w:bCs w:val="0"/>
          <w:color w:val="auto"/>
          <w:szCs w:val="21"/>
          <w:highlight w:val="none"/>
          <w:shd w:val="clear" w:color="auto" w:fill="auto"/>
          <w:lang w:val="en-US" w:eastAsia="zh-CN"/>
        </w:rPr>
        <w:t>8本项目各项投标活动具体可通过广州交易集团有限公司（广州公共资源交易中心）网站查询具体的时间和场地安排。投标人可登录广州交易集团有限公司（广州公共资源交易中心）网站首页，点击“交易业务-建设工程”专栏中的“项目查询（日程安排、答疑纪要）”，输入项目编号或项目名称查询最新信息。递交投标文件截止时间及开标时间是否有变化，请密切留意广州交易集团有限公司（广州公共资源交易中心）网站的相关信息。</w:t>
      </w:r>
    </w:p>
    <w:p w14:paraId="18D135D9">
      <w:pPr>
        <w:kinsoku/>
        <w:overflowPunct/>
        <w:bidi w:val="0"/>
        <w:spacing w:line="360" w:lineRule="auto"/>
        <w:outlineLvl w:val="9"/>
        <w:rPr>
          <w:rFonts w:hint="eastAsia" w:ascii="宋体" w:hAnsi="宋体" w:cs="宋体"/>
          <w:b/>
          <w:bCs/>
          <w:color w:val="auto"/>
          <w:szCs w:val="21"/>
          <w:highlight w:val="none"/>
          <w:lang w:val="en-US" w:eastAsia="zh-CN"/>
        </w:rPr>
      </w:pPr>
    </w:p>
    <w:p w14:paraId="152E614C">
      <w:pPr>
        <w:kinsoku/>
        <w:overflowPunct/>
        <w:bidi w:val="0"/>
        <w:spacing w:line="360" w:lineRule="auto"/>
        <w:outlineLvl w:val="9"/>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5</w:t>
      </w:r>
      <w:r>
        <w:rPr>
          <w:rFonts w:hint="eastAsia" w:ascii="宋体" w:hAnsi="宋体" w:eastAsia="宋体" w:cs="宋体"/>
          <w:b/>
          <w:bCs/>
          <w:color w:val="auto"/>
          <w:szCs w:val="21"/>
          <w:highlight w:val="none"/>
          <w:lang w:val="en-US" w:eastAsia="zh-CN"/>
        </w:rPr>
        <w:t>.招标文件获取方式</w:t>
      </w:r>
    </w:p>
    <w:p w14:paraId="034BD014">
      <w:pPr>
        <w:keepNext w:val="0"/>
        <w:keepLines w:val="0"/>
        <w:pageBreakBefore w:val="0"/>
        <w:tabs>
          <w:tab w:val="left" w:pos="360"/>
        </w:tabs>
        <w:kinsoku/>
        <w:overflowPunct/>
        <w:bidi w:val="0"/>
        <w:snapToGrid/>
        <w:spacing w:line="360" w:lineRule="auto"/>
        <w:ind w:firstLine="420" w:firstLineChars="200"/>
        <w:textAlignment w:val="auto"/>
        <w:outlineLvl w:val="9"/>
        <w:rPr>
          <w:rFonts w:hint="eastAsia" w:ascii="宋体" w:hAnsi="宋体" w:eastAsia="宋体" w:cs="宋体"/>
          <w:b w:val="0"/>
          <w:bCs w:val="0"/>
          <w:color w:val="auto"/>
          <w:szCs w:val="21"/>
          <w:highlight w:val="none"/>
          <w:shd w:val="clear" w:color="auto" w:fill="auto"/>
          <w:lang w:val="en-US" w:eastAsia="zh-CN"/>
        </w:rPr>
      </w:pPr>
      <w:r>
        <w:rPr>
          <w:rFonts w:hint="eastAsia" w:ascii="宋体" w:hAnsi="宋体" w:eastAsia="宋体" w:cs="宋体"/>
          <w:b w:val="0"/>
          <w:bCs w:val="0"/>
          <w:color w:val="auto"/>
          <w:szCs w:val="21"/>
          <w:highlight w:val="none"/>
          <w:shd w:val="clear" w:color="auto" w:fill="auto"/>
          <w:lang w:val="en-US" w:eastAsia="zh-CN"/>
        </w:rPr>
        <w:t>本项目招标文件随招标公告一并在广州交易集团有限公司（广州公共资源交易中心）交易平台网站发布。招标文件一经在广州交易集团有限公司（广州公共资源交易中心）交易平台发布，视为送达给所有投标人，招标文件由投标人自行在广州交易集团有限公司（广州公共资源交易中心）交易平台网站下载。</w:t>
      </w:r>
    </w:p>
    <w:bookmarkEnd w:id="18"/>
    <w:p w14:paraId="34177439">
      <w:pPr>
        <w:kinsoku/>
        <w:overflowPunct/>
        <w:bidi w:val="0"/>
        <w:spacing w:line="360" w:lineRule="auto"/>
        <w:outlineLvl w:val="9"/>
        <w:rPr>
          <w:rFonts w:hint="eastAsia" w:ascii="宋体" w:hAnsi="宋体" w:eastAsia="宋体" w:cs="宋体"/>
          <w:b/>
          <w:bCs/>
          <w:color w:val="auto"/>
          <w:szCs w:val="21"/>
          <w:highlight w:val="none"/>
          <w:lang w:val="en-US" w:eastAsia="zh-CN"/>
        </w:rPr>
      </w:pPr>
    </w:p>
    <w:p w14:paraId="771A31CB">
      <w:pPr>
        <w:kinsoku/>
        <w:overflowPunct/>
        <w:bidi w:val="0"/>
        <w:spacing w:line="360" w:lineRule="auto"/>
        <w:outlineLvl w:val="9"/>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6</w:t>
      </w:r>
      <w:r>
        <w:rPr>
          <w:rFonts w:hint="eastAsia" w:ascii="宋体" w:hAnsi="宋体" w:eastAsia="宋体" w:cs="宋体"/>
          <w:b/>
          <w:bCs/>
          <w:color w:val="auto"/>
          <w:szCs w:val="21"/>
          <w:highlight w:val="none"/>
          <w:lang w:val="en-US" w:eastAsia="zh-CN"/>
        </w:rPr>
        <w:t>.发布公告的媒介</w:t>
      </w:r>
    </w:p>
    <w:p w14:paraId="6D6ED9A2">
      <w:pPr>
        <w:keepNext w:val="0"/>
        <w:keepLines w:val="0"/>
        <w:pageBreakBefore w:val="0"/>
        <w:kinsoku/>
        <w:wordWrap/>
        <w:overflowPunct/>
        <w:topLinePunct w:val="0"/>
        <w:autoSpaceDE/>
        <w:autoSpaceDN/>
        <w:bidi w:val="0"/>
        <w:adjustRightInd/>
        <w:spacing w:line="360" w:lineRule="auto"/>
        <w:ind w:firstLine="420" w:firstLineChars="200"/>
        <w:rPr>
          <w:rFonts w:hint="eastAsia" w:ascii="宋体" w:hAnsi="宋体"/>
          <w:b w:val="0"/>
          <w:bCs w:val="0"/>
          <w:color w:val="auto"/>
          <w:szCs w:val="21"/>
          <w:highlight w:val="none"/>
        </w:rPr>
      </w:pPr>
      <w:r>
        <w:rPr>
          <w:rFonts w:hint="eastAsia" w:ascii="宋体" w:hAnsi="宋体" w:eastAsia="宋体" w:cs="宋体"/>
          <w:color w:val="auto"/>
          <w:sz w:val="21"/>
          <w:szCs w:val="21"/>
          <w:highlight w:val="none"/>
        </w:rPr>
        <w:t>本次</w:t>
      </w:r>
      <w:r>
        <w:rPr>
          <w:rFonts w:hint="eastAsia" w:ascii="宋体" w:hAnsi="宋体" w:eastAsia="宋体" w:cs="宋体"/>
          <w:color w:val="auto"/>
          <w:sz w:val="21"/>
          <w:szCs w:val="21"/>
          <w:highlight w:val="none"/>
          <w:lang w:eastAsia="zh-CN"/>
        </w:rPr>
        <w:t>招标</w:t>
      </w:r>
      <w:r>
        <w:rPr>
          <w:rFonts w:hint="eastAsia" w:ascii="宋体" w:hAnsi="宋体" w:eastAsia="宋体" w:cs="宋体"/>
          <w:color w:val="auto"/>
          <w:sz w:val="21"/>
          <w:szCs w:val="21"/>
          <w:highlight w:val="none"/>
        </w:rPr>
        <w:t>公告在广州交易集团有限公司(广州公共资源交易中心)网站(www.gzggzy.cn)、广东省招标投标监管网( zbtb.gd.gov.cn)</w:t>
      </w:r>
      <w:r>
        <w:rPr>
          <w:rFonts w:hint="eastAsia" w:ascii="宋体" w:hAnsi="宋体" w:eastAsia="宋体" w:cs="宋体"/>
          <w:b w:val="0"/>
          <w:bCs w:val="0"/>
          <w:color w:val="auto"/>
          <w:szCs w:val="21"/>
          <w:highlight w:val="none"/>
          <w:shd w:val="clear" w:color="auto" w:fill="auto"/>
          <w:lang w:val="en-US" w:eastAsia="zh-CN"/>
        </w:rPr>
        <w:t>、</w:t>
      </w:r>
      <w:r>
        <w:rPr>
          <w:rFonts w:hint="eastAsia" w:ascii="宋体" w:hAnsi="宋体" w:eastAsia="宋体" w:cs="宋体"/>
          <w:color w:val="auto"/>
          <w:sz w:val="21"/>
          <w:szCs w:val="21"/>
          <w:highlight w:val="none"/>
        </w:rPr>
        <w:t>中国招标投标公共服务平台（www.cebpubservice.com）</w:t>
      </w:r>
      <w:r>
        <w:rPr>
          <w:rFonts w:hint="eastAsia" w:ascii="宋体" w:hAnsi="宋体" w:eastAsia="宋体" w:cs="宋体"/>
          <w:color w:val="auto"/>
          <w:sz w:val="21"/>
          <w:szCs w:val="21"/>
          <w:highlight w:val="none"/>
          <w:lang w:eastAsia="zh-CN"/>
        </w:rPr>
        <w:t>、广州国企阳光采购信息发布平台（https://ygcg.gzggzy.cn）</w:t>
      </w:r>
      <w:r>
        <w:rPr>
          <w:rFonts w:hint="eastAsia" w:ascii="宋体" w:hAnsi="宋体" w:eastAsia="宋体" w:cs="宋体"/>
          <w:color w:val="auto"/>
          <w:sz w:val="21"/>
          <w:szCs w:val="21"/>
          <w:highlight w:val="none"/>
        </w:rPr>
        <w:t>上发布。本公告的修改、补充，在广州交易集团有限公司（广州公共资源交易中心）官网发布。本公告在各平台发布的文本如有不同之处，以在广东省招标投标监管网发布的文本为准。本项目相关附件具体详见广州交易集团有限公司（广州公共资源交易中心）网站。</w:t>
      </w:r>
    </w:p>
    <w:p w14:paraId="28544D8F">
      <w:pPr>
        <w:pStyle w:val="2"/>
        <w:ind w:left="0" w:leftChars="0" w:firstLine="0" w:firstLineChars="0"/>
        <w:rPr>
          <w:rFonts w:hint="eastAsia"/>
          <w:lang w:val="en-US" w:eastAsia="zh-CN"/>
        </w:rPr>
      </w:pPr>
      <w:bookmarkStart w:id="19" w:name="_Toc20761"/>
    </w:p>
    <w:p w14:paraId="3FCB08F3">
      <w:pPr>
        <w:kinsoku/>
        <w:overflowPunct/>
        <w:bidi w:val="0"/>
        <w:spacing w:line="360" w:lineRule="auto"/>
        <w:outlineLvl w:val="9"/>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7</w:t>
      </w:r>
      <w:r>
        <w:rPr>
          <w:rFonts w:hint="eastAsia" w:ascii="宋体" w:hAnsi="宋体" w:eastAsia="宋体" w:cs="宋体"/>
          <w:b/>
          <w:bCs/>
          <w:color w:val="auto"/>
          <w:szCs w:val="21"/>
          <w:highlight w:val="none"/>
          <w:lang w:val="en-US" w:eastAsia="zh-CN"/>
        </w:rPr>
        <w:t>.联系方式</w:t>
      </w:r>
    </w:p>
    <w:p w14:paraId="7EED8CAD">
      <w:pPr>
        <w:kinsoku/>
        <w:overflowPunct/>
        <w:bidi w:val="0"/>
        <w:spacing w:line="360" w:lineRule="auto"/>
        <w:ind w:left="0" w:leftChars="0" w:firstLine="420" w:firstLineChars="200"/>
        <w:outlineLvl w:val="9"/>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招标</w:t>
      </w:r>
      <w:r>
        <w:rPr>
          <w:rFonts w:hint="eastAsia" w:ascii="宋体" w:hAnsi="宋体" w:eastAsia="宋体" w:cs="宋体"/>
          <w:color w:val="auto"/>
          <w:highlight w:val="none"/>
          <w:u w:val="none"/>
        </w:rPr>
        <w:t>人：</w:t>
      </w:r>
      <w:r>
        <w:rPr>
          <w:rFonts w:hint="eastAsia" w:ascii="宋体" w:hAnsi="宋体" w:cs="宋体"/>
          <w:color w:val="auto"/>
          <w:highlight w:val="none"/>
          <w:u w:val="none"/>
          <w:lang w:eastAsia="zh-CN"/>
        </w:rPr>
        <w:t>广州南方电力集团科技发展有限公司</w:t>
      </w:r>
    </w:p>
    <w:p w14:paraId="54AD627A">
      <w:pPr>
        <w:kinsoku/>
        <w:overflowPunct/>
        <w:bidi w:val="0"/>
        <w:spacing w:line="360" w:lineRule="auto"/>
        <w:ind w:left="0" w:leftChars="0" w:firstLine="420" w:firstLineChars="200"/>
        <w:outlineLvl w:val="9"/>
        <w:rPr>
          <w:rFonts w:hint="eastAsia" w:ascii="宋体" w:hAnsi="宋体" w:eastAsia="宋体" w:cs="宋体"/>
          <w:color w:val="auto"/>
          <w:highlight w:val="none"/>
          <w:u w:val="none"/>
        </w:rPr>
      </w:pPr>
      <w:r>
        <w:rPr>
          <w:rFonts w:hint="eastAsia" w:ascii="宋体" w:hAnsi="宋体" w:eastAsia="宋体" w:cs="宋体"/>
          <w:color w:val="auto"/>
          <w:highlight w:val="none"/>
          <w:u w:val="none"/>
        </w:rPr>
        <w:t>地    址：</w:t>
      </w:r>
      <w:r>
        <w:rPr>
          <w:rFonts w:hint="eastAsia"/>
          <w:color w:val="auto"/>
          <w:szCs w:val="21"/>
          <w:highlight w:val="none"/>
        </w:rPr>
        <w:t>广州市天河区平云路163号之四通讯大楼301室</w:t>
      </w:r>
    </w:p>
    <w:p w14:paraId="4C92C3AE">
      <w:pPr>
        <w:kinsoku/>
        <w:overflowPunct/>
        <w:bidi w:val="0"/>
        <w:spacing w:line="360" w:lineRule="auto"/>
        <w:ind w:left="0" w:leftChars="0" w:firstLine="420" w:firstLineChars="200"/>
        <w:outlineLvl w:val="9"/>
        <w:rPr>
          <w:rFonts w:hint="eastAsia" w:ascii="宋体" w:hAnsi="宋体" w:eastAsia="宋体" w:cs="宋体"/>
          <w:color w:val="auto"/>
          <w:highlight w:val="none"/>
          <w:u w:val="none"/>
        </w:rPr>
      </w:pPr>
      <w:r>
        <w:rPr>
          <w:rFonts w:hint="eastAsia" w:ascii="宋体" w:hAnsi="宋体" w:eastAsia="宋体" w:cs="宋体"/>
          <w:color w:val="auto"/>
          <w:highlight w:val="none"/>
          <w:u w:val="none"/>
        </w:rPr>
        <w:t>联 系 人：</w:t>
      </w:r>
      <w:r>
        <w:rPr>
          <w:rFonts w:hint="eastAsia" w:ascii="宋体" w:hAnsi="宋体" w:cs="宋体"/>
          <w:color w:val="auto"/>
          <w:highlight w:val="none"/>
          <w:u w:val="none"/>
          <w:lang w:eastAsia="zh-CN"/>
        </w:rPr>
        <w:t>关</w:t>
      </w:r>
      <w:r>
        <w:rPr>
          <w:rFonts w:hint="eastAsia"/>
          <w:color w:val="auto"/>
          <w:szCs w:val="21"/>
          <w:highlight w:val="none"/>
        </w:rPr>
        <w:t>工</w:t>
      </w:r>
    </w:p>
    <w:p w14:paraId="2EC59A5F">
      <w:pPr>
        <w:kinsoku/>
        <w:overflowPunct/>
        <w:bidi w:val="0"/>
        <w:spacing w:line="360" w:lineRule="auto"/>
        <w:ind w:left="0" w:leftChars="0"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highlight w:val="none"/>
          <w:u w:val="none"/>
        </w:rPr>
        <w:t>电    话：</w:t>
      </w:r>
      <w:r>
        <w:rPr>
          <w:rFonts w:hint="eastAsia"/>
          <w:color w:val="auto"/>
          <w:szCs w:val="21"/>
          <w:highlight w:val="none"/>
        </w:rPr>
        <w:t>020-28377199</w:t>
      </w:r>
    </w:p>
    <w:p w14:paraId="1F9DFF1D">
      <w:pPr>
        <w:tabs>
          <w:tab w:val="left" w:pos="2127"/>
        </w:tabs>
        <w:kinsoku/>
        <w:topLinePunct/>
        <w:bidi w:val="0"/>
        <w:spacing w:before="10" w:after="10" w:line="360" w:lineRule="auto"/>
        <w:ind w:firstLine="420" w:firstLineChars="200"/>
        <w:outlineLvl w:val="9"/>
        <w:rPr>
          <w:rFonts w:hint="eastAsia" w:ascii="宋体" w:hAnsi="宋体" w:eastAsia="宋体" w:cs="宋体"/>
          <w:color w:val="auto"/>
          <w:szCs w:val="21"/>
          <w:highlight w:val="none"/>
        </w:rPr>
      </w:pPr>
    </w:p>
    <w:p w14:paraId="31886699">
      <w:pPr>
        <w:tabs>
          <w:tab w:val="left" w:pos="2127"/>
        </w:tabs>
        <w:kinsoku/>
        <w:topLinePunct/>
        <w:bidi w:val="0"/>
        <w:spacing w:before="10" w:after="10"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highlight w:val="none"/>
          <w:u w:val="none"/>
          <w:lang w:val="en-US" w:eastAsia="zh-CN"/>
        </w:rPr>
        <w:t>招标</w:t>
      </w:r>
      <w:r>
        <w:rPr>
          <w:rFonts w:hint="eastAsia" w:ascii="宋体" w:hAnsi="宋体" w:eastAsia="宋体" w:cs="宋体"/>
          <w:color w:val="auto"/>
          <w:szCs w:val="21"/>
          <w:highlight w:val="none"/>
        </w:rPr>
        <w:t>服务机构：广州竣盛工程造价咨询有限公司</w:t>
      </w:r>
    </w:p>
    <w:p w14:paraId="7F24FFA6">
      <w:pPr>
        <w:tabs>
          <w:tab w:val="left" w:pos="2127"/>
        </w:tabs>
        <w:kinsoku/>
        <w:topLinePunct/>
        <w:bidi w:val="0"/>
        <w:spacing w:before="10" w:after="10"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    址：</w:t>
      </w:r>
      <w:r>
        <w:rPr>
          <w:rFonts w:hint="eastAsia" w:ascii="宋体" w:hAnsi="宋体" w:eastAsia="宋体" w:cs="宋体"/>
          <w:color w:val="auto"/>
          <w:szCs w:val="21"/>
          <w:highlight w:val="none"/>
          <w:shd w:val="clear" w:color="auto" w:fill="FFFFFF"/>
        </w:rPr>
        <w:t>广州市海珠区琶洲大道188号南方投资大厦12层</w:t>
      </w:r>
    </w:p>
    <w:p w14:paraId="5F3181E3">
      <w:pPr>
        <w:tabs>
          <w:tab w:val="left" w:pos="2127"/>
        </w:tabs>
        <w:kinsoku/>
        <w:topLinePunct/>
        <w:bidi w:val="0"/>
        <w:spacing w:before="10" w:after="10" w:line="360" w:lineRule="auto"/>
        <w:ind w:firstLine="420" w:firstLineChars="200"/>
        <w:outlineLvl w:val="9"/>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联 系 人：</w:t>
      </w:r>
      <w:r>
        <w:rPr>
          <w:rFonts w:hint="eastAsia" w:ascii="宋体" w:hAnsi="宋体" w:cs="宋体"/>
          <w:color w:val="auto"/>
          <w:szCs w:val="21"/>
          <w:highlight w:val="none"/>
          <w:lang w:val="en-US" w:eastAsia="zh-CN"/>
        </w:rPr>
        <w:t>郑</w:t>
      </w:r>
      <w:r>
        <w:rPr>
          <w:rFonts w:hint="eastAsia" w:ascii="宋体" w:hAnsi="宋体" w:cs="宋体"/>
          <w:color w:val="auto"/>
          <w:szCs w:val="21"/>
          <w:highlight w:val="none"/>
          <w:lang w:eastAsia="zh-CN"/>
        </w:rPr>
        <w:t>工</w:t>
      </w:r>
    </w:p>
    <w:p w14:paraId="39EDBE71">
      <w:pPr>
        <w:tabs>
          <w:tab w:val="left" w:pos="2127"/>
        </w:tabs>
        <w:kinsoku/>
        <w:topLinePunct/>
        <w:bidi w:val="0"/>
        <w:spacing w:before="10" w:after="10" w:line="360" w:lineRule="auto"/>
        <w:ind w:firstLine="420" w:firstLineChars="200"/>
        <w:outlineLvl w:val="9"/>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电    话：</w:t>
      </w:r>
      <w:r>
        <w:rPr>
          <w:rFonts w:hint="eastAsia"/>
          <w:color w:val="auto"/>
          <w:szCs w:val="21"/>
          <w:highlight w:val="none"/>
          <w:lang w:val="en-US" w:eastAsia="zh-CN"/>
        </w:rPr>
        <w:t>18565394831</w:t>
      </w:r>
    </w:p>
    <w:p w14:paraId="722F4CD7">
      <w:pPr>
        <w:widowControl/>
        <w:kinsoku/>
        <w:bidi w:val="0"/>
        <w:spacing w:before="10" w:after="10" w:line="360" w:lineRule="auto"/>
        <w:ind w:firstLine="426"/>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w:t>
      </w:r>
      <w:r>
        <w:rPr>
          <w:rFonts w:hint="eastAsia" w:ascii="宋体" w:hAnsi="宋体" w:eastAsia="宋体" w:cs="宋体"/>
          <w:color w:val="auto"/>
          <w:szCs w:val="21"/>
          <w:highlight w:val="none"/>
          <w:lang w:val="en-US" w:eastAsia="zh-CN"/>
        </w:rPr>
        <w:t>邮箱</w:t>
      </w:r>
      <w:r>
        <w:rPr>
          <w:rFonts w:hint="eastAsia" w:ascii="宋体" w:hAnsi="宋体" w:eastAsia="宋体" w:cs="宋体"/>
          <w:color w:val="auto"/>
          <w:szCs w:val="21"/>
          <w:highlight w:val="none"/>
        </w:rPr>
        <w:t>：junshengzb@126.com</w:t>
      </w:r>
    </w:p>
    <w:bookmarkEnd w:id="19"/>
    <w:p w14:paraId="37B651B6">
      <w:pPr>
        <w:kinsoku/>
        <w:overflowPunct/>
        <w:bidi w:val="0"/>
        <w:spacing w:line="360" w:lineRule="auto"/>
        <w:outlineLvl w:val="9"/>
        <w:rPr>
          <w:rFonts w:hint="eastAsia" w:ascii="宋体" w:hAnsi="宋体" w:eastAsia="宋体" w:cs="宋体"/>
          <w:b/>
          <w:bCs/>
          <w:color w:val="auto"/>
          <w:szCs w:val="21"/>
          <w:highlight w:val="none"/>
          <w:lang w:val="en-US" w:eastAsia="zh-CN"/>
        </w:rPr>
      </w:pPr>
    </w:p>
    <w:p w14:paraId="668D9DBA">
      <w:pPr>
        <w:kinsoku/>
        <w:overflowPunct/>
        <w:bidi w:val="0"/>
        <w:spacing w:line="360" w:lineRule="auto"/>
        <w:outlineLvl w:val="9"/>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8</w:t>
      </w:r>
      <w:r>
        <w:rPr>
          <w:rFonts w:hint="eastAsia" w:ascii="宋体" w:hAnsi="宋体" w:eastAsia="宋体" w:cs="宋体"/>
          <w:b/>
          <w:bCs/>
          <w:color w:val="auto"/>
          <w:szCs w:val="21"/>
          <w:highlight w:val="none"/>
          <w:lang w:val="en-US" w:eastAsia="zh-CN"/>
        </w:rPr>
        <w:t>.其他</w:t>
      </w:r>
    </w:p>
    <w:p w14:paraId="7F2BF4BA">
      <w:pPr>
        <w:kinsoku/>
        <w:overflowPunct/>
        <w:bidi w:val="0"/>
        <w:spacing w:line="360" w:lineRule="auto"/>
        <w:ind w:firstLine="420" w:firstLineChars="200"/>
        <w:outlineLvl w:val="9"/>
        <w:rPr>
          <w:rFonts w:hint="eastAsia" w:ascii="宋体" w:hAnsi="宋体" w:cs="宋体"/>
          <w:b w:val="0"/>
          <w:bCs/>
          <w:color w:val="auto"/>
          <w:szCs w:val="21"/>
          <w:highlight w:val="none"/>
        </w:rPr>
      </w:pPr>
      <w:r>
        <w:rPr>
          <w:rStyle w:val="55"/>
          <w:rFonts w:hint="eastAsia" w:ascii="宋体" w:hAnsi="宋体" w:cs="宋体"/>
          <w:b w:val="0"/>
          <w:bCs/>
          <w:color w:val="auto"/>
          <w:szCs w:val="21"/>
          <w:highlight w:val="none"/>
          <w:u w:val="none"/>
        </w:rPr>
        <w:t>若举报违法违规行为，应书面（签字或盖章）提出，向广州南方投资集团有限公司供应链部举报。通讯地址：广州市海珠区琶洲大道188号南方投资大厦，邮政编码：510000；监督电话：（020）62938982；电子邮箱：gylb@gznftz.com。</w:t>
      </w:r>
    </w:p>
    <w:p w14:paraId="2EDD433E">
      <w:pPr>
        <w:keepNext w:val="0"/>
        <w:keepLines w:val="0"/>
        <w:pageBreakBefore w:val="0"/>
        <w:widowControl w:val="0"/>
        <w:kinsoku/>
        <w:wordWrap w:val="0"/>
        <w:overflowPunct/>
        <w:topLinePunct w:val="0"/>
        <w:autoSpaceDE/>
        <w:autoSpaceDN/>
        <w:bidi w:val="0"/>
        <w:adjustRightInd/>
        <w:snapToGrid/>
        <w:spacing w:line="480" w:lineRule="auto"/>
        <w:ind w:right="140"/>
        <w:jc w:val="right"/>
        <w:textAlignment w:val="auto"/>
        <w:outlineLvl w:val="9"/>
        <w:rPr>
          <w:rFonts w:hint="eastAsia" w:ascii="宋体" w:hAnsi="宋体" w:eastAsia="宋体" w:cs="宋体"/>
          <w:b w:val="0"/>
          <w:bCs/>
          <w:color w:val="auto"/>
          <w:szCs w:val="21"/>
          <w:highlight w:val="none"/>
          <w:lang w:eastAsia="zh-CN"/>
        </w:rPr>
      </w:pPr>
      <w:r>
        <w:rPr>
          <w:rFonts w:hint="eastAsia" w:ascii="宋体" w:hAnsi="宋体" w:cs="宋体"/>
          <w:b w:val="0"/>
          <w:bCs/>
          <w:color w:val="auto"/>
          <w:szCs w:val="21"/>
          <w:highlight w:val="none"/>
          <w:lang w:val="en-US" w:eastAsia="zh-CN"/>
        </w:rPr>
        <w:t>招标</w:t>
      </w:r>
      <w:r>
        <w:rPr>
          <w:rFonts w:hint="eastAsia" w:ascii="宋体" w:hAnsi="宋体" w:cs="宋体"/>
          <w:b w:val="0"/>
          <w:bCs/>
          <w:color w:val="auto"/>
          <w:szCs w:val="21"/>
          <w:highlight w:val="none"/>
        </w:rPr>
        <w:t>人：</w:t>
      </w:r>
      <w:r>
        <w:rPr>
          <w:rFonts w:hint="eastAsia" w:ascii="宋体" w:hAnsi="宋体" w:cs="宋体"/>
          <w:b w:val="0"/>
          <w:bCs/>
          <w:color w:val="auto"/>
          <w:szCs w:val="21"/>
          <w:highlight w:val="none"/>
          <w:lang w:eastAsia="zh-CN"/>
        </w:rPr>
        <w:t>广州南方电力集团科技发展有限公司</w:t>
      </w:r>
    </w:p>
    <w:p w14:paraId="55432EFC">
      <w:pPr>
        <w:keepNext w:val="0"/>
        <w:keepLines w:val="0"/>
        <w:pageBreakBefore w:val="0"/>
        <w:widowControl w:val="0"/>
        <w:kinsoku/>
        <w:wordWrap w:val="0"/>
        <w:overflowPunct/>
        <w:topLinePunct w:val="0"/>
        <w:autoSpaceDE/>
        <w:autoSpaceDN/>
        <w:bidi w:val="0"/>
        <w:adjustRightInd/>
        <w:snapToGrid/>
        <w:spacing w:line="480" w:lineRule="auto"/>
        <w:ind w:right="90"/>
        <w:jc w:val="right"/>
        <w:textAlignment w:val="auto"/>
        <w:outlineLvl w:val="9"/>
        <w:rPr>
          <w:rFonts w:hint="eastAsia" w:ascii="宋体" w:hAnsi="宋体" w:cs="宋体"/>
          <w:b w:val="0"/>
          <w:bCs/>
          <w:color w:val="auto"/>
          <w:szCs w:val="21"/>
          <w:highlight w:val="none"/>
        </w:rPr>
      </w:pPr>
      <w:r>
        <w:rPr>
          <w:rFonts w:hint="eastAsia" w:ascii="宋体" w:hAnsi="宋体" w:cs="宋体"/>
          <w:b w:val="0"/>
          <w:bCs/>
          <w:color w:val="auto"/>
          <w:szCs w:val="21"/>
          <w:highlight w:val="none"/>
          <w:lang w:val="en-US" w:eastAsia="zh-CN"/>
        </w:rPr>
        <w:t>招标</w:t>
      </w:r>
      <w:r>
        <w:rPr>
          <w:rFonts w:hint="eastAsia" w:ascii="宋体" w:hAnsi="宋体" w:eastAsia="宋体" w:cs="宋体"/>
          <w:color w:val="auto"/>
          <w:szCs w:val="21"/>
          <w:highlight w:val="none"/>
        </w:rPr>
        <w:t>服务机构</w:t>
      </w:r>
      <w:r>
        <w:rPr>
          <w:rFonts w:hint="eastAsia" w:ascii="宋体" w:hAnsi="宋体" w:cs="宋体"/>
          <w:b w:val="0"/>
          <w:bCs/>
          <w:color w:val="auto"/>
          <w:szCs w:val="21"/>
          <w:highlight w:val="none"/>
        </w:rPr>
        <w:t>：广州竣盛工程造价咨询有限公司</w:t>
      </w:r>
    </w:p>
    <w:p w14:paraId="29281408">
      <w:pPr>
        <w:keepNext w:val="0"/>
        <w:keepLines w:val="0"/>
        <w:pageBreakBefore w:val="0"/>
        <w:widowControl w:val="0"/>
        <w:kinsoku/>
        <w:wordWrap w:val="0"/>
        <w:overflowPunct/>
        <w:topLinePunct w:val="0"/>
        <w:autoSpaceDE/>
        <w:autoSpaceDN/>
        <w:bidi w:val="0"/>
        <w:adjustRightInd/>
        <w:snapToGrid/>
        <w:spacing w:line="480" w:lineRule="auto"/>
        <w:ind w:right="90"/>
        <w:jc w:val="right"/>
        <w:textAlignment w:val="auto"/>
        <w:rPr>
          <w:rFonts w:hint="eastAsia" w:ascii="宋体" w:hAnsi="宋体" w:cs="宋体"/>
          <w:b w:val="0"/>
          <w:bCs/>
          <w:color w:val="auto"/>
          <w:szCs w:val="21"/>
          <w:highlight w:val="none"/>
        </w:rPr>
      </w:pPr>
      <w:r>
        <w:rPr>
          <w:rFonts w:hint="eastAsia" w:ascii="宋体" w:hAnsi="宋体"/>
          <w:color w:val="auto"/>
          <w:kern w:val="0"/>
          <w:szCs w:val="21"/>
          <w:highlight w:val="none"/>
          <w:lang w:val="en-US" w:eastAsia="zh-CN"/>
        </w:rPr>
        <w:t>2025年  月  日</w:t>
      </w:r>
    </w:p>
    <w:p w14:paraId="3BB08213">
      <w:pPr>
        <w:pStyle w:val="3"/>
        <w:pageBreakBefore/>
        <w:widowControl/>
        <w:numPr>
          <w:ilvl w:val="0"/>
          <w:numId w:val="5"/>
        </w:numPr>
        <w:tabs>
          <w:tab w:val="left" w:pos="2127"/>
        </w:tabs>
        <w:kinsoku/>
        <w:overflowPunct/>
        <w:bidi w:val="0"/>
        <w:spacing w:before="0" w:after="0" w:line="360" w:lineRule="auto"/>
        <w:jc w:val="center"/>
        <w:textAlignment w:val="auto"/>
        <w:rPr>
          <w:b/>
          <w:bCs/>
          <w:color w:val="auto"/>
          <w:sz w:val="32"/>
          <w:szCs w:val="32"/>
          <w:highlight w:val="none"/>
        </w:rPr>
      </w:pPr>
      <w:r>
        <w:rPr>
          <w:rFonts w:hint="eastAsia"/>
          <w:b/>
          <w:bCs/>
          <w:color w:val="auto"/>
          <w:sz w:val="32"/>
          <w:szCs w:val="32"/>
          <w:highlight w:val="none"/>
          <w:lang w:val="en-US" w:eastAsia="zh-CN"/>
        </w:rPr>
        <w:t xml:space="preserve"> </w:t>
      </w:r>
      <w:bookmarkStart w:id="20" w:name="_Toc18127"/>
      <w:r>
        <w:rPr>
          <w:rFonts w:hint="eastAsia"/>
          <w:b/>
          <w:bCs/>
          <w:color w:val="auto"/>
          <w:sz w:val="32"/>
          <w:szCs w:val="32"/>
          <w:highlight w:val="none"/>
        </w:rPr>
        <w:t>投标人须知</w:t>
      </w:r>
      <w:bookmarkEnd w:id="20"/>
    </w:p>
    <w:p w14:paraId="67A57C60">
      <w:pPr>
        <w:pStyle w:val="4"/>
        <w:keepNext w:val="0"/>
        <w:keepLines w:val="0"/>
        <w:tabs>
          <w:tab w:val="left" w:pos="2127"/>
        </w:tabs>
        <w:kinsoku/>
        <w:overflowPunct/>
        <w:bidi w:val="0"/>
        <w:spacing w:before="0" w:after="0" w:line="360" w:lineRule="auto"/>
        <w:ind w:firstLine="120" w:firstLineChars="50"/>
        <w:jc w:val="center"/>
        <w:textAlignment w:val="auto"/>
        <w:rPr>
          <w:rFonts w:hint="eastAsia" w:ascii="宋体" w:hAnsi="宋体" w:eastAsia="宋体"/>
          <w:color w:val="auto"/>
          <w:sz w:val="24"/>
          <w:szCs w:val="24"/>
          <w:highlight w:val="none"/>
          <w:lang w:eastAsia="zh-CN"/>
        </w:rPr>
      </w:pPr>
      <w:bookmarkStart w:id="21" w:name="_Toc1145"/>
      <w:bookmarkStart w:id="22" w:name="_Toc17332"/>
      <w:bookmarkStart w:id="23" w:name="_Toc363"/>
      <w:bookmarkStart w:id="24" w:name="_Toc31089"/>
      <w:bookmarkStart w:id="25" w:name="_Toc19445"/>
      <w:bookmarkStart w:id="26" w:name="_Toc22182"/>
      <w:bookmarkStart w:id="27" w:name="_Toc21541"/>
      <w:bookmarkStart w:id="28" w:name="_Toc3546"/>
      <w:bookmarkStart w:id="29" w:name="_Toc30128"/>
      <w:bookmarkStart w:id="30" w:name="_Toc12682"/>
      <w:bookmarkStart w:id="31" w:name="_Toc19103"/>
      <w:bookmarkStart w:id="32" w:name="_Toc2"/>
      <w:bookmarkStart w:id="33" w:name="_Toc7963"/>
      <w:bookmarkStart w:id="34" w:name="_Toc21480"/>
      <w:bookmarkStart w:id="35" w:name="_Toc20409"/>
      <w:bookmarkStart w:id="36" w:name="_Toc19512"/>
      <w:r>
        <w:rPr>
          <w:rFonts w:hint="eastAsia" w:ascii="宋体" w:hAnsi="宋体" w:eastAsia="宋体"/>
          <w:color w:val="auto"/>
          <w:sz w:val="24"/>
          <w:szCs w:val="24"/>
          <w:highlight w:val="none"/>
        </w:rPr>
        <w:t>投标人须知前附表</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6FA15E1F">
      <w:pPr>
        <w:kinsoku/>
        <w:overflowPunct/>
        <w:bidi w:val="0"/>
        <w:spacing w:line="360" w:lineRule="auto"/>
        <w:textAlignment w:val="auto"/>
        <w:rPr>
          <w:color w:val="auto"/>
          <w:highlight w:val="none"/>
        </w:rPr>
      </w:pPr>
    </w:p>
    <w:tbl>
      <w:tblPr>
        <w:tblStyle w:val="46"/>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728"/>
        <w:gridCol w:w="7016"/>
      </w:tblGrid>
      <w:tr w14:paraId="614C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46" w:type="dxa"/>
            <w:vAlign w:val="center"/>
          </w:tcPr>
          <w:p w14:paraId="5ACA3123">
            <w:pPr>
              <w:pStyle w:val="23"/>
              <w:tabs>
                <w:tab w:val="left" w:pos="2127"/>
              </w:tabs>
              <w:kinsoku/>
              <w:overflowPunct/>
              <w:bidi w:val="0"/>
              <w:spacing w:line="36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728" w:type="dxa"/>
            <w:vAlign w:val="center"/>
          </w:tcPr>
          <w:p w14:paraId="3C76C7A8">
            <w:pPr>
              <w:pStyle w:val="23"/>
              <w:tabs>
                <w:tab w:val="left" w:pos="2127"/>
              </w:tabs>
              <w:kinsoku/>
              <w:overflowPunct/>
              <w:bidi w:val="0"/>
              <w:spacing w:line="36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条款名称</w:t>
            </w:r>
          </w:p>
        </w:tc>
        <w:tc>
          <w:tcPr>
            <w:tcW w:w="7016" w:type="dxa"/>
            <w:vAlign w:val="center"/>
          </w:tcPr>
          <w:p w14:paraId="4D25822C">
            <w:pPr>
              <w:pStyle w:val="23"/>
              <w:tabs>
                <w:tab w:val="left" w:pos="2127"/>
              </w:tabs>
              <w:kinsoku/>
              <w:overflowPunct/>
              <w:bidi w:val="0"/>
              <w:spacing w:line="36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编列内容</w:t>
            </w:r>
          </w:p>
        </w:tc>
      </w:tr>
      <w:tr w14:paraId="428C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619A5881">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rPr>
              <w:t>1.1.2</w:t>
            </w:r>
          </w:p>
        </w:tc>
        <w:tc>
          <w:tcPr>
            <w:tcW w:w="1728" w:type="dxa"/>
            <w:vAlign w:val="center"/>
          </w:tcPr>
          <w:p w14:paraId="7D892BE4">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color w:val="auto"/>
                <w:sz w:val="21"/>
                <w:szCs w:val="21"/>
                <w:highlight w:val="none"/>
                <w:u w:val="none"/>
                <w:lang w:eastAsia="zh-CN"/>
              </w:rPr>
              <w:t>人</w:t>
            </w:r>
          </w:p>
        </w:tc>
        <w:tc>
          <w:tcPr>
            <w:tcW w:w="7016" w:type="dxa"/>
            <w:vAlign w:val="center"/>
          </w:tcPr>
          <w:p w14:paraId="1948A9C9">
            <w:pPr>
              <w:pStyle w:val="23"/>
              <w:tabs>
                <w:tab w:val="left" w:pos="2127"/>
              </w:tabs>
              <w:kinsoku/>
              <w:overflowPunct/>
              <w:bidi w:val="0"/>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tc>
      </w:tr>
      <w:tr w14:paraId="42F3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422124DB">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rPr>
              <w:t>1.1.3</w:t>
            </w:r>
          </w:p>
        </w:tc>
        <w:tc>
          <w:tcPr>
            <w:tcW w:w="1728" w:type="dxa"/>
            <w:vAlign w:val="center"/>
          </w:tcPr>
          <w:p w14:paraId="48758D73">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color w:val="auto"/>
                <w:sz w:val="21"/>
                <w:szCs w:val="21"/>
                <w:highlight w:val="none"/>
                <w:u w:val="none"/>
              </w:rPr>
              <w:t>服务机构</w:t>
            </w:r>
          </w:p>
        </w:tc>
        <w:tc>
          <w:tcPr>
            <w:tcW w:w="7016" w:type="dxa"/>
            <w:vAlign w:val="center"/>
          </w:tcPr>
          <w:p w14:paraId="5870846E">
            <w:pPr>
              <w:pStyle w:val="23"/>
              <w:tabs>
                <w:tab w:val="left" w:pos="2127"/>
              </w:tabs>
              <w:kinsoku/>
              <w:overflowPunct/>
              <w:bidi w:val="0"/>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tc>
      </w:tr>
      <w:tr w14:paraId="728C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1FECBF21">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rPr>
              <w:t>1.1.4</w:t>
            </w:r>
          </w:p>
        </w:tc>
        <w:tc>
          <w:tcPr>
            <w:tcW w:w="1728" w:type="dxa"/>
            <w:vAlign w:val="center"/>
          </w:tcPr>
          <w:p w14:paraId="71A9ADD9">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0"/>
                <w:highlight w:val="none"/>
                <w:lang w:eastAsia="zh-CN"/>
              </w:rPr>
              <w:t>项目/标段名称</w:t>
            </w:r>
          </w:p>
        </w:tc>
        <w:tc>
          <w:tcPr>
            <w:tcW w:w="7016" w:type="dxa"/>
            <w:vAlign w:val="center"/>
          </w:tcPr>
          <w:p w14:paraId="7C96B555">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right="0"/>
              <w:rPr>
                <w:rFonts w:hint="eastAsia" w:ascii="宋体" w:hAnsi="宋体" w:eastAsia="宋体" w:cs="宋体"/>
                <w:color w:val="auto"/>
                <w:szCs w:val="20"/>
                <w:highlight w:val="none"/>
                <w:u w:val="none"/>
                <w:lang w:val="en-US" w:eastAsia="zh-CN"/>
              </w:rPr>
            </w:pPr>
            <w:r>
              <w:rPr>
                <w:rFonts w:hint="eastAsia" w:ascii="宋体" w:hAnsi="宋体" w:eastAsia="宋体" w:cs="宋体"/>
                <w:color w:val="auto"/>
                <w:szCs w:val="20"/>
                <w:highlight w:val="none"/>
                <w:u w:val="none"/>
                <w:lang w:eastAsia="zh-CN"/>
              </w:rPr>
              <w:t>项目名称</w:t>
            </w:r>
            <w:r>
              <w:rPr>
                <w:rFonts w:hint="eastAsia" w:ascii="宋体" w:hAnsi="宋体" w:eastAsia="宋体" w:cs="宋体"/>
                <w:color w:val="auto"/>
                <w:szCs w:val="20"/>
                <w:highlight w:val="none"/>
                <w:u w:val="none"/>
                <w:lang w:val="en-US" w:eastAsia="zh-CN"/>
              </w:rPr>
              <w:t>：</w:t>
            </w: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p w14:paraId="356118A4">
            <w:pPr>
              <w:pStyle w:val="23"/>
              <w:tabs>
                <w:tab w:val="left" w:pos="2127"/>
              </w:tabs>
              <w:kinsoku/>
              <w:overflowPunct/>
              <w:bidi w:val="0"/>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Cs w:val="20"/>
                <w:highlight w:val="none"/>
                <w:u w:val="none"/>
                <w:lang w:eastAsia="zh-CN"/>
              </w:rPr>
              <w:t>标段名称</w:t>
            </w:r>
            <w:r>
              <w:rPr>
                <w:rFonts w:hint="eastAsia" w:ascii="宋体" w:hAnsi="宋体" w:eastAsia="宋体" w:cs="宋体"/>
                <w:color w:val="auto"/>
                <w:szCs w:val="20"/>
                <w:highlight w:val="none"/>
                <w:u w:val="none"/>
                <w:lang w:val="en-US" w:eastAsia="zh-CN"/>
              </w:rPr>
              <w:t>：</w:t>
            </w: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tc>
      </w:tr>
      <w:tr w14:paraId="375BE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5D846326">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rPr>
              <w:t>1.1.5</w:t>
            </w:r>
          </w:p>
        </w:tc>
        <w:tc>
          <w:tcPr>
            <w:tcW w:w="1728" w:type="dxa"/>
            <w:vAlign w:val="center"/>
          </w:tcPr>
          <w:p w14:paraId="193E664F">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eastAsia="zh-CN"/>
              </w:rPr>
              <w:t>项目地点</w:t>
            </w:r>
          </w:p>
        </w:tc>
        <w:tc>
          <w:tcPr>
            <w:tcW w:w="7016" w:type="dxa"/>
            <w:vAlign w:val="center"/>
          </w:tcPr>
          <w:p w14:paraId="715F0574">
            <w:pPr>
              <w:kinsoku/>
              <w:overflowPunct/>
              <w:bidi w:val="0"/>
              <w:spacing w:line="360" w:lineRule="auto"/>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tc>
      </w:tr>
      <w:tr w14:paraId="54A03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7222F412">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rPr>
              <w:t>1.1.6</w:t>
            </w:r>
          </w:p>
        </w:tc>
        <w:tc>
          <w:tcPr>
            <w:tcW w:w="1728" w:type="dxa"/>
            <w:vAlign w:val="center"/>
          </w:tcPr>
          <w:p w14:paraId="5F499943">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eastAsia="zh-CN"/>
              </w:rPr>
              <w:t>项目概况</w:t>
            </w:r>
          </w:p>
        </w:tc>
        <w:tc>
          <w:tcPr>
            <w:tcW w:w="7016" w:type="dxa"/>
            <w:vAlign w:val="center"/>
          </w:tcPr>
          <w:p w14:paraId="2AB37B89">
            <w:pPr>
              <w:kinsoku/>
              <w:overflowPunct/>
              <w:bidi w:val="0"/>
              <w:spacing w:line="360"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tc>
      </w:tr>
      <w:tr w14:paraId="69694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1F3DCC82">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rPr>
              <w:t>1.1.7</w:t>
            </w:r>
          </w:p>
        </w:tc>
        <w:tc>
          <w:tcPr>
            <w:tcW w:w="1728" w:type="dxa"/>
            <w:vAlign w:val="center"/>
          </w:tcPr>
          <w:p w14:paraId="501539C0">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rPr>
              <w:t>标段划分</w:t>
            </w:r>
          </w:p>
        </w:tc>
        <w:tc>
          <w:tcPr>
            <w:tcW w:w="7016" w:type="dxa"/>
            <w:vAlign w:val="center"/>
          </w:tcPr>
          <w:p w14:paraId="3ABDA41F">
            <w:pPr>
              <w:kinsoku/>
              <w:overflowPunct/>
              <w:bidi w:val="0"/>
              <w:adjustRightInd w:val="0"/>
              <w:snapToGrid w:val="0"/>
              <w:spacing w:line="360" w:lineRule="auto"/>
              <w:ind w:left="0" w:leftChars="0" w:firstLine="0" w:firstLineChars="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tc>
      </w:tr>
      <w:tr w14:paraId="03F33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68638DDB">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u w:val="none"/>
              </w:rPr>
              <w:t>1.2.2</w:t>
            </w:r>
          </w:p>
        </w:tc>
        <w:tc>
          <w:tcPr>
            <w:tcW w:w="1728" w:type="dxa"/>
            <w:vAlign w:val="center"/>
          </w:tcPr>
          <w:p w14:paraId="74A0E4CC">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none"/>
              </w:rPr>
              <w:t>资金落实情况</w:t>
            </w:r>
          </w:p>
        </w:tc>
        <w:tc>
          <w:tcPr>
            <w:tcW w:w="7016" w:type="dxa"/>
            <w:vAlign w:val="center"/>
          </w:tcPr>
          <w:p w14:paraId="7B60D91C">
            <w:pPr>
              <w:kinsoku/>
              <w:overflowPunct/>
              <w:bidi w:val="0"/>
              <w:spacing w:line="360" w:lineRule="auto"/>
              <w:jc w:val="both"/>
              <w:textAlignment w:val="auto"/>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tc>
      </w:tr>
      <w:tr w14:paraId="0787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41D2C661">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rPr>
              <w:t>1.3.1</w:t>
            </w:r>
          </w:p>
        </w:tc>
        <w:tc>
          <w:tcPr>
            <w:tcW w:w="1728" w:type="dxa"/>
            <w:vAlign w:val="center"/>
          </w:tcPr>
          <w:p w14:paraId="7D5ABF24">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color w:val="auto"/>
                <w:sz w:val="21"/>
                <w:szCs w:val="21"/>
                <w:highlight w:val="none"/>
                <w:u w:val="none"/>
              </w:rPr>
              <w:t>范围</w:t>
            </w:r>
          </w:p>
        </w:tc>
        <w:tc>
          <w:tcPr>
            <w:tcW w:w="7016" w:type="dxa"/>
            <w:vAlign w:val="center"/>
          </w:tcPr>
          <w:p w14:paraId="63D9ED8A">
            <w:pPr>
              <w:kinsoku/>
              <w:overflowPunct/>
              <w:bidi w:val="0"/>
              <w:spacing w:line="360" w:lineRule="auto"/>
              <w:jc w:val="both"/>
              <w:textAlignment w:val="auto"/>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tc>
      </w:tr>
      <w:tr w14:paraId="2941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140AD6F9">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lang w:val="en-US" w:eastAsia="zh-CN"/>
              </w:rPr>
              <w:t>1.3.2</w:t>
            </w:r>
          </w:p>
        </w:tc>
        <w:tc>
          <w:tcPr>
            <w:tcW w:w="1728" w:type="dxa"/>
            <w:vAlign w:val="center"/>
          </w:tcPr>
          <w:p w14:paraId="38A0769F">
            <w:pPr>
              <w:pStyle w:val="23"/>
              <w:tabs>
                <w:tab w:val="left" w:pos="2127"/>
              </w:tabs>
              <w:kinsoku/>
              <w:overflowPunct/>
              <w:bidi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hAnsi="宋体" w:cs="宋体"/>
                <w:color w:val="auto"/>
                <w:sz w:val="21"/>
                <w:szCs w:val="21"/>
                <w:highlight w:val="none"/>
                <w:u w:val="none"/>
                <w:lang w:eastAsia="zh-CN"/>
              </w:rPr>
              <w:t>计划工期（或交货期、服务期）</w:t>
            </w:r>
            <w:r>
              <w:rPr>
                <w:rFonts w:hint="eastAsia" w:ascii="宋体" w:hAnsi="宋体" w:eastAsia="宋体" w:cs="宋体"/>
                <w:color w:val="auto"/>
                <w:sz w:val="21"/>
                <w:szCs w:val="21"/>
                <w:highlight w:val="none"/>
                <w:u w:val="none"/>
                <w:lang w:eastAsia="zh-CN"/>
              </w:rPr>
              <w:t>（或交货期、服务期）</w:t>
            </w:r>
            <w:r>
              <w:rPr>
                <w:rFonts w:hint="eastAsia" w:ascii="宋体" w:hAnsi="宋体" w:eastAsia="宋体" w:cs="宋体"/>
                <w:color w:val="auto"/>
                <w:sz w:val="21"/>
                <w:szCs w:val="21"/>
                <w:highlight w:val="none"/>
                <w:u w:val="none"/>
                <w:lang w:val="en-US" w:eastAsia="zh-CN"/>
              </w:rPr>
              <w:t>/框架采购有效期</w:t>
            </w:r>
          </w:p>
        </w:tc>
        <w:tc>
          <w:tcPr>
            <w:tcW w:w="7016" w:type="dxa"/>
            <w:vAlign w:val="center"/>
          </w:tcPr>
          <w:p w14:paraId="2087FBF0">
            <w:pPr>
              <w:kinsoku/>
              <w:overflowPunct/>
              <w:bidi w:val="0"/>
              <w:spacing w:line="360" w:lineRule="auto"/>
              <w:jc w:val="both"/>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tc>
      </w:tr>
      <w:tr w14:paraId="605C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3B10BC85">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u w:val="none"/>
                <w:lang w:val="en-US" w:eastAsia="zh-CN"/>
              </w:rPr>
              <w:t>1.3.3</w:t>
            </w:r>
          </w:p>
        </w:tc>
        <w:tc>
          <w:tcPr>
            <w:tcW w:w="1728" w:type="dxa"/>
            <w:vAlign w:val="center"/>
          </w:tcPr>
          <w:p w14:paraId="4E411863">
            <w:pPr>
              <w:pStyle w:val="23"/>
              <w:tabs>
                <w:tab w:val="left" w:pos="2127"/>
              </w:tabs>
              <w:kinsoku/>
              <w:overflowPunct/>
              <w:bidi w:val="0"/>
              <w:spacing w:line="360" w:lineRule="auto"/>
              <w:jc w:val="center"/>
              <w:textAlignment w:val="auto"/>
              <w:rPr>
                <w:rFonts w:hint="eastAsia" w:ascii="宋体" w:hAnsi="宋体" w:eastAsia="宋体" w:cs="宋体"/>
                <w:color w:val="auto"/>
                <w:kern w:val="0"/>
                <w:sz w:val="21"/>
                <w:szCs w:val="21"/>
                <w:highlight w:val="none"/>
              </w:rPr>
            </w:pPr>
            <w:r>
              <w:rPr>
                <w:rFonts w:hint="eastAsia" w:hAnsi="宋体" w:cs="宋体"/>
                <w:color w:val="auto"/>
                <w:kern w:val="0"/>
                <w:sz w:val="21"/>
                <w:szCs w:val="21"/>
                <w:highlight w:val="none"/>
                <w:u w:val="none"/>
                <w:lang w:val="en-US" w:eastAsia="zh-CN"/>
              </w:rPr>
              <w:t>招标相关要求</w:t>
            </w:r>
          </w:p>
        </w:tc>
        <w:tc>
          <w:tcPr>
            <w:tcW w:w="7016" w:type="dxa"/>
            <w:vAlign w:val="center"/>
          </w:tcPr>
          <w:p w14:paraId="0724E13B">
            <w:pPr>
              <w:kinsoku/>
              <w:overflowPunct/>
              <w:bidi w:val="0"/>
              <w:spacing w:line="360" w:lineRule="auto"/>
              <w:jc w:val="both"/>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tc>
      </w:tr>
      <w:tr w14:paraId="3CB9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6D4AC669">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Times New Roman"/>
                <w:color w:val="auto"/>
                <w:kern w:val="2"/>
                <w:sz w:val="21"/>
                <w:highlight w:val="none"/>
                <w:lang w:val="en-US" w:eastAsia="zh-CN" w:bidi="ar-SA"/>
              </w:rPr>
              <w:t>1.3.4</w:t>
            </w:r>
          </w:p>
        </w:tc>
        <w:tc>
          <w:tcPr>
            <w:tcW w:w="1728" w:type="dxa"/>
            <w:vAlign w:val="center"/>
          </w:tcPr>
          <w:p w14:paraId="2E5EBB60">
            <w:pPr>
              <w:pStyle w:val="23"/>
              <w:tabs>
                <w:tab w:val="left" w:pos="2127"/>
              </w:tabs>
              <w:kinsoku/>
              <w:overflowPunct/>
              <w:bidi w:val="0"/>
              <w:spacing w:line="36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Times New Roman"/>
                <w:color w:val="auto"/>
                <w:kern w:val="2"/>
                <w:sz w:val="21"/>
                <w:highlight w:val="none"/>
                <w:lang w:val="en-US" w:eastAsia="zh-CN" w:bidi="ar-SA"/>
              </w:rPr>
              <w:t>承包方式</w:t>
            </w:r>
          </w:p>
        </w:tc>
        <w:tc>
          <w:tcPr>
            <w:tcW w:w="7016" w:type="dxa"/>
            <w:vAlign w:val="center"/>
          </w:tcPr>
          <w:p w14:paraId="57035399">
            <w:pPr>
              <w:kinsoku/>
              <w:overflowPunct/>
              <w:bidi w:val="0"/>
              <w:spacing w:line="360" w:lineRule="auto"/>
              <w:jc w:val="both"/>
              <w:textAlignment w:val="auto"/>
              <w:rPr>
                <w:rFonts w:hint="eastAsia" w:ascii="宋体" w:hAnsi="宋体" w:eastAsia="宋体" w:cs="宋体"/>
                <w:color w:val="auto"/>
                <w:sz w:val="21"/>
                <w:szCs w:val="21"/>
                <w:highlight w:val="none"/>
                <w:u w:val="none"/>
              </w:rPr>
            </w:pPr>
            <w:r>
              <w:rPr>
                <w:rFonts w:hint="eastAsia" w:ascii="宋体" w:hAnsi="宋体" w:cs="宋体"/>
                <w:bCs/>
                <w:color w:val="auto"/>
                <w:sz w:val="21"/>
                <w:szCs w:val="21"/>
                <w:highlight w:val="none"/>
                <w:u w:val="none"/>
                <w:lang w:val="en-US" w:eastAsia="zh-CN"/>
              </w:rPr>
              <w:t>/</w:t>
            </w:r>
          </w:p>
        </w:tc>
      </w:tr>
      <w:tr w14:paraId="22DE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0C4E2DD7">
            <w:pPr>
              <w:pStyle w:val="23"/>
              <w:numPr>
                <w:ilvl w:val="0"/>
                <w:numId w:val="0"/>
              </w:numPr>
              <w:tabs>
                <w:tab w:val="left" w:pos="2127"/>
              </w:tabs>
              <w:kinsoku/>
              <w:overflowPunct/>
              <w:bidi w:val="0"/>
              <w:spacing w:line="360" w:lineRule="auto"/>
              <w:ind w:lef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u w:val="none"/>
              </w:rPr>
              <w:t>1.4.1</w:t>
            </w:r>
          </w:p>
        </w:tc>
        <w:tc>
          <w:tcPr>
            <w:tcW w:w="1728" w:type="dxa"/>
            <w:vAlign w:val="center"/>
          </w:tcPr>
          <w:p w14:paraId="3C744BF5">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投标人</w:t>
            </w:r>
            <w:r>
              <w:rPr>
                <w:rFonts w:hint="eastAsia" w:ascii="宋体" w:hAnsi="宋体" w:eastAsia="宋体" w:cs="宋体"/>
                <w:color w:val="auto"/>
                <w:sz w:val="21"/>
                <w:szCs w:val="21"/>
                <w:highlight w:val="none"/>
              </w:rPr>
              <w:t>资格要求</w:t>
            </w:r>
          </w:p>
        </w:tc>
        <w:tc>
          <w:tcPr>
            <w:tcW w:w="7016" w:type="dxa"/>
            <w:vAlign w:val="center"/>
          </w:tcPr>
          <w:p w14:paraId="20253B60">
            <w:pPr>
              <w:kinsoku/>
              <w:overflowPunct/>
              <w:bidi w:val="0"/>
              <w:spacing w:line="360" w:lineRule="auto"/>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tc>
      </w:tr>
      <w:tr w14:paraId="435C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16A47BD7">
            <w:pPr>
              <w:pStyle w:val="23"/>
              <w:numPr>
                <w:ilvl w:val="0"/>
                <w:numId w:val="0"/>
              </w:numPr>
              <w:tabs>
                <w:tab w:val="left" w:pos="2127"/>
              </w:tabs>
              <w:kinsoku/>
              <w:overflowPunct/>
              <w:bidi w:val="0"/>
              <w:spacing w:line="360" w:lineRule="auto"/>
              <w:ind w:lef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u w:val="none"/>
              </w:rPr>
              <w:t>1.4.2</w:t>
            </w:r>
          </w:p>
        </w:tc>
        <w:tc>
          <w:tcPr>
            <w:tcW w:w="1728" w:type="dxa"/>
            <w:vAlign w:val="center"/>
          </w:tcPr>
          <w:p w14:paraId="6FB2AA54">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是否接受联合体投标</w:t>
            </w:r>
          </w:p>
        </w:tc>
        <w:tc>
          <w:tcPr>
            <w:tcW w:w="7016" w:type="dxa"/>
            <w:vAlign w:val="center"/>
          </w:tcPr>
          <w:p w14:paraId="0FBC0FCC">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right="0"/>
              <w:rPr>
                <w:rFonts w:hint="eastAsia" w:ascii="宋体" w:hAnsi="宋体" w:eastAsia="宋体" w:cs="宋体"/>
                <w:bCs/>
                <w:color w:val="auto"/>
                <w:szCs w:val="20"/>
                <w:highlight w:val="none"/>
              </w:rPr>
            </w:pPr>
            <w:r>
              <w:rPr>
                <w:rFonts w:hint="eastAsia" w:ascii="宋体" w:hAnsi="宋体" w:eastAsia="宋体" w:cs="宋体"/>
                <w:color w:val="auto"/>
                <w:szCs w:val="21"/>
                <w:highlight w:val="none"/>
                <w:lang w:eastAsia="zh-CN"/>
              </w:rPr>
              <w:t>☑</w:t>
            </w:r>
            <w:r>
              <w:rPr>
                <w:rFonts w:hint="eastAsia" w:ascii="宋体" w:hAnsi="宋体" w:eastAsia="宋体" w:cs="宋体"/>
                <w:bCs/>
                <w:color w:val="auto"/>
                <w:szCs w:val="20"/>
                <w:highlight w:val="none"/>
              </w:rPr>
              <w:t>不接受</w:t>
            </w:r>
          </w:p>
          <w:p w14:paraId="78298257">
            <w:pPr>
              <w:pStyle w:val="23"/>
              <w:tabs>
                <w:tab w:val="left" w:pos="2127"/>
              </w:tabs>
              <w:kinsoku/>
              <w:overflowPunct/>
              <w:bidi w:val="0"/>
              <w:spacing w:line="360" w:lineRule="auto"/>
              <w:jc w:val="both"/>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bCs/>
                <w:color w:val="auto"/>
                <w:szCs w:val="20"/>
                <w:highlight w:val="none"/>
              </w:rPr>
              <w:t>接受，应满足下列要求：</w:t>
            </w:r>
          </w:p>
        </w:tc>
      </w:tr>
      <w:tr w14:paraId="4745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4874182F">
            <w:pPr>
              <w:pStyle w:val="23"/>
              <w:numPr>
                <w:ilvl w:val="0"/>
                <w:numId w:val="0"/>
              </w:numPr>
              <w:tabs>
                <w:tab w:val="left" w:pos="2127"/>
              </w:tabs>
              <w:kinsoku/>
              <w:overflowPunct/>
              <w:bidi w:val="0"/>
              <w:spacing w:line="360" w:lineRule="auto"/>
              <w:ind w:lef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0"/>
                <w:highlight w:val="none"/>
              </w:rPr>
              <w:t>1.9.1</w:t>
            </w:r>
          </w:p>
        </w:tc>
        <w:tc>
          <w:tcPr>
            <w:tcW w:w="1728" w:type="dxa"/>
            <w:vAlign w:val="center"/>
          </w:tcPr>
          <w:p w14:paraId="3CA4CC3E">
            <w:pPr>
              <w:pStyle w:val="23"/>
              <w:tabs>
                <w:tab w:val="left" w:pos="2127"/>
              </w:tabs>
              <w:kinsoku/>
              <w:overflowPunct/>
              <w:bidi w:val="0"/>
              <w:spacing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Cs w:val="21"/>
                <w:highlight w:val="none"/>
              </w:rPr>
              <w:t>踏勘现场</w:t>
            </w:r>
          </w:p>
        </w:tc>
        <w:tc>
          <w:tcPr>
            <w:tcW w:w="7016" w:type="dxa"/>
            <w:vAlign w:val="center"/>
          </w:tcPr>
          <w:p w14:paraId="4F46217F">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不组织</w:t>
            </w:r>
          </w:p>
          <w:p w14:paraId="787A089D">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□组织，踏勘时间：</w:t>
            </w:r>
          </w:p>
          <w:p w14:paraId="608B9B08">
            <w:pPr>
              <w:pStyle w:val="23"/>
              <w:tabs>
                <w:tab w:val="left" w:pos="2127"/>
              </w:tabs>
              <w:kinsoku/>
              <w:overflowPunct/>
              <w:bidi w:val="0"/>
              <w:spacing w:line="360" w:lineRule="auto"/>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Cs w:val="21"/>
                <w:highlight w:val="none"/>
              </w:rPr>
              <w:t>踏勘集中地点：</w:t>
            </w:r>
          </w:p>
        </w:tc>
      </w:tr>
      <w:tr w14:paraId="471E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5990A6DC">
            <w:pPr>
              <w:pStyle w:val="23"/>
              <w:numPr>
                <w:ilvl w:val="0"/>
                <w:numId w:val="0"/>
              </w:numPr>
              <w:tabs>
                <w:tab w:val="left" w:pos="2127"/>
              </w:tabs>
              <w:kinsoku/>
              <w:overflowPunct/>
              <w:bidi w:val="0"/>
              <w:spacing w:line="360" w:lineRule="auto"/>
              <w:ind w:lef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0"/>
                <w:highlight w:val="none"/>
              </w:rPr>
              <w:t>1.10.1</w:t>
            </w:r>
          </w:p>
        </w:tc>
        <w:tc>
          <w:tcPr>
            <w:tcW w:w="1728" w:type="dxa"/>
            <w:vAlign w:val="center"/>
          </w:tcPr>
          <w:p w14:paraId="6AB85E78">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投标预备会</w:t>
            </w:r>
          </w:p>
        </w:tc>
        <w:tc>
          <w:tcPr>
            <w:tcW w:w="7016" w:type="dxa"/>
            <w:vAlign w:val="center"/>
          </w:tcPr>
          <w:p w14:paraId="62A21BF8">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不召开</w:t>
            </w:r>
          </w:p>
          <w:p w14:paraId="4DFD5BA1">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shd w:val="clear" w:color="auto" w:fill="auto"/>
                <w:lang w:eastAsia="zh-CN"/>
              </w:rPr>
              <w:t>□</w:t>
            </w:r>
            <w:r>
              <w:rPr>
                <w:rFonts w:hint="eastAsia" w:ascii="宋体" w:hAnsi="宋体" w:eastAsia="宋体" w:cs="宋体"/>
                <w:color w:val="auto"/>
                <w:szCs w:val="21"/>
                <w:highlight w:val="none"/>
              </w:rPr>
              <w:t>召开，召开时间：</w:t>
            </w:r>
          </w:p>
          <w:p w14:paraId="26E77D21">
            <w:pPr>
              <w:pStyle w:val="23"/>
              <w:tabs>
                <w:tab w:val="left" w:pos="2127"/>
              </w:tabs>
              <w:kinsoku/>
              <w:overflowPunct/>
              <w:bidi w:val="0"/>
              <w:spacing w:line="360"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rPr>
              <w:t>召开地点：</w:t>
            </w:r>
          </w:p>
        </w:tc>
      </w:tr>
      <w:tr w14:paraId="52EC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595A201E">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0"/>
                <w:highlight w:val="none"/>
                <w:lang w:val="en-US" w:eastAsia="zh-CN"/>
              </w:rPr>
              <w:t>1.11.1</w:t>
            </w:r>
          </w:p>
        </w:tc>
        <w:tc>
          <w:tcPr>
            <w:tcW w:w="1728" w:type="dxa"/>
            <w:vAlign w:val="center"/>
          </w:tcPr>
          <w:p w14:paraId="47543777">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Cs w:val="21"/>
                <w:highlight w:val="none"/>
                <w:u w:val="none"/>
                <w:lang w:val="en-US" w:eastAsia="zh-CN"/>
              </w:rPr>
              <w:t>分包</w:t>
            </w:r>
          </w:p>
        </w:tc>
        <w:tc>
          <w:tcPr>
            <w:tcW w:w="7016" w:type="dxa"/>
            <w:vAlign w:val="center"/>
          </w:tcPr>
          <w:p w14:paraId="37815C7D">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bCs/>
                <w:color w:val="auto"/>
                <w:sz w:val="21"/>
                <w:szCs w:val="21"/>
                <w:highlight w:val="none"/>
              </w:rPr>
            </w:pPr>
            <w:r>
              <w:rPr>
                <w:rFonts w:hint="eastAsia" w:ascii="宋体" w:hAnsi="宋体" w:eastAsia="宋体" w:cs="宋体"/>
                <w:color w:val="auto"/>
                <w:szCs w:val="21"/>
                <w:highlight w:val="none"/>
                <w:u w:val="none"/>
                <w:lang w:eastAsia="zh-CN"/>
              </w:rPr>
              <w:t>☑详见</w:t>
            </w:r>
            <w:r>
              <w:rPr>
                <w:rFonts w:hint="eastAsia" w:ascii="宋体" w:hAnsi="宋体" w:eastAsia="宋体" w:cs="宋体"/>
                <w:color w:val="auto"/>
                <w:kern w:val="0"/>
                <w:szCs w:val="32"/>
                <w:highlight w:val="none"/>
                <w:u w:val="none"/>
              </w:rPr>
              <w:t>合同条款及格式</w:t>
            </w:r>
          </w:p>
        </w:tc>
      </w:tr>
      <w:tr w14:paraId="73C4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6EBC7A4B">
            <w:pPr>
              <w:pStyle w:val="23"/>
              <w:numPr>
                <w:ilvl w:val="0"/>
                <w:numId w:val="0"/>
              </w:numPr>
              <w:tabs>
                <w:tab w:val="left" w:pos="2127"/>
              </w:tabs>
              <w:kinsoku/>
              <w:overflowPunct/>
              <w:bidi w:val="0"/>
              <w:spacing w:line="360" w:lineRule="auto"/>
              <w:ind w:lef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u w:val="none"/>
              </w:rPr>
              <w:t>2.1</w:t>
            </w:r>
          </w:p>
        </w:tc>
        <w:tc>
          <w:tcPr>
            <w:tcW w:w="1728" w:type="dxa"/>
            <w:vAlign w:val="center"/>
          </w:tcPr>
          <w:p w14:paraId="261C9A6D">
            <w:pPr>
              <w:pStyle w:val="23"/>
              <w:tabs>
                <w:tab w:val="left" w:pos="2127"/>
              </w:tabs>
              <w:kinsoku/>
              <w:overflowPunct/>
              <w:bidi w:val="0"/>
              <w:spacing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构成招标文件的其他材料</w:t>
            </w:r>
          </w:p>
        </w:tc>
        <w:tc>
          <w:tcPr>
            <w:tcW w:w="7016" w:type="dxa"/>
            <w:vAlign w:val="center"/>
          </w:tcPr>
          <w:p w14:paraId="0BC8927A">
            <w:pPr>
              <w:pStyle w:val="23"/>
              <w:tabs>
                <w:tab w:val="left" w:pos="2127"/>
              </w:tabs>
              <w:kinsoku/>
              <w:overflowPunct/>
              <w:bidi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补充公告、答疑纪要、澄清文件等（如有）</w:t>
            </w:r>
          </w:p>
        </w:tc>
      </w:tr>
      <w:tr w14:paraId="2A0DE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Merge w:val="restart"/>
            <w:vAlign w:val="center"/>
          </w:tcPr>
          <w:p w14:paraId="7BAADFEF">
            <w:pPr>
              <w:pStyle w:val="23"/>
              <w:numPr>
                <w:ilvl w:val="0"/>
                <w:numId w:val="0"/>
              </w:numPr>
              <w:tabs>
                <w:tab w:val="left" w:pos="2127"/>
              </w:tabs>
              <w:kinsoku/>
              <w:overflowPunct/>
              <w:bidi w:val="0"/>
              <w:spacing w:line="360" w:lineRule="auto"/>
              <w:ind w:leftChars="0"/>
              <w:jc w:val="both"/>
              <w:textAlignment w:val="auto"/>
              <w:rPr>
                <w:rFonts w:hint="default"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2.2.1</w:t>
            </w:r>
          </w:p>
        </w:tc>
        <w:tc>
          <w:tcPr>
            <w:tcW w:w="1728" w:type="dxa"/>
            <w:vMerge w:val="restart"/>
            <w:vAlign w:val="center"/>
          </w:tcPr>
          <w:p w14:paraId="6172DB26">
            <w:pPr>
              <w:pStyle w:val="23"/>
              <w:tabs>
                <w:tab w:val="left" w:pos="2127"/>
              </w:tabs>
              <w:kinsoku/>
              <w:overflowPunct/>
              <w:bidi w:val="0"/>
              <w:spacing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投标人要求澄清招标文件</w:t>
            </w:r>
          </w:p>
        </w:tc>
        <w:tc>
          <w:tcPr>
            <w:tcW w:w="7016" w:type="dxa"/>
            <w:vAlign w:val="center"/>
          </w:tcPr>
          <w:p w14:paraId="5D434BCA">
            <w:pPr>
              <w:pStyle w:val="23"/>
              <w:kinsoku/>
              <w:overflowPunct/>
              <w:bidi w:val="0"/>
              <w:spacing w:line="360" w:lineRule="auto"/>
              <w:rPr>
                <w:rFonts w:hint="eastAsia" w:ascii="宋体" w:hAnsi="宋体" w:eastAsia="宋体" w:cs="宋体"/>
                <w:bCs/>
                <w:iCs/>
                <w:color w:val="auto"/>
                <w:kern w:val="2"/>
                <w:sz w:val="21"/>
                <w:szCs w:val="21"/>
                <w:highlight w:val="none"/>
                <w:lang w:val="en-US" w:eastAsia="zh-CN" w:bidi="ar-SA"/>
              </w:rPr>
            </w:pPr>
            <w:r>
              <w:rPr>
                <w:rFonts w:hint="eastAsia" w:hAnsi="宋体"/>
                <w:color w:val="auto"/>
                <w:szCs w:val="21"/>
                <w:highlight w:val="none"/>
              </w:rPr>
              <w:t>投标人提出问题的截止时间：</w:t>
            </w:r>
            <w:r>
              <w:rPr>
                <w:rFonts w:hint="eastAsia" w:hAnsi="宋体"/>
                <w:color w:val="auto"/>
                <w:szCs w:val="21"/>
                <w:highlight w:val="none"/>
                <w:u w:val="single"/>
              </w:rPr>
              <w:t>202</w:t>
            </w:r>
            <w:r>
              <w:rPr>
                <w:rFonts w:hint="eastAsia" w:hAnsi="宋体"/>
                <w:color w:val="auto"/>
                <w:szCs w:val="21"/>
                <w:highlight w:val="none"/>
                <w:u w:val="single"/>
                <w:lang w:val="en-US" w:eastAsia="zh-CN"/>
              </w:rPr>
              <w:t>5</w:t>
            </w:r>
            <w:r>
              <w:rPr>
                <w:rFonts w:hint="eastAsia" w:hAnsi="宋体"/>
                <w:color w:val="auto"/>
                <w:szCs w:val="21"/>
                <w:highlight w:val="none"/>
              </w:rPr>
              <w:t>年</w:t>
            </w:r>
            <w:r>
              <w:rPr>
                <w:rFonts w:hint="eastAsia" w:hAnsi="宋体"/>
                <w:color w:val="auto"/>
                <w:szCs w:val="21"/>
                <w:highlight w:val="none"/>
                <w:u w:val="single"/>
                <w:lang w:val="en-US" w:eastAsia="zh-CN"/>
              </w:rPr>
              <w:t xml:space="preserve">  </w:t>
            </w:r>
            <w:r>
              <w:rPr>
                <w:rFonts w:hint="eastAsia" w:hAnsi="宋体"/>
                <w:color w:val="auto"/>
                <w:szCs w:val="21"/>
                <w:highlight w:val="none"/>
              </w:rPr>
              <w:t>月</w:t>
            </w:r>
            <w:r>
              <w:rPr>
                <w:rFonts w:hint="eastAsia" w:hAnsi="宋体"/>
                <w:color w:val="auto"/>
                <w:szCs w:val="21"/>
                <w:highlight w:val="none"/>
                <w:u w:val="single"/>
                <w:lang w:val="en-US" w:eastAsia="zh-CN"/>
              </w:rPr>
              <w:t xml:space="preserve">  </w:t>
            </w:r>
            <w:r>
              <w:rPr>
                <w:rFonts w:hint="eastAsia" w:hAnsi="宋体"/>
                <w:color w:val="auto"/>
                <w:szCs w:val="21"/>
                <w:highlight w:val="none"/>
              </w:rPr>
              <w:t>日</w:t>
            </w:r>
            <w:r>
              <w:rPr>
                <w:rFonts w:hint="eastAsia" w:hAnsi="宋体"/>
                <w:color w:val="auto"/>
                <w:szCs w:val="21"/>
                <w:highlight w:val="none"/>
                <w:u w:val="single"/>
                <w:lang w:val="en-US" w:eastAsia="zh-CN"/>
              </w:rPr>
              <w:t xml:space="preserve">  </w:t>
            </w:r>
            <w:r>
              <w:rPr>
                <w:rFonts w:hint="eastAsia" w:hAnsi="宋体"/>
                <w:color w:val="auto"/>
                <w:szCs w:val="21"/>
                <w:highlight w:val="none"/>
              </w:rPr>
              <w:t>时</w:t>
            </w:r>
            <w:r>
              <w:rPr>
                <w:rFonts w:hint="eastAsia" w:hAnsi="宋体"/>
                <w:color w:val="auto"/>
                <w:szCs w:val="21"/>
                <w:highlight w:val="none"/>
                <w:u w:val="single"/>
                <w:lang w:val="en-US" w:eastAsia="zh-CN"/>
              </w:rPr>
              <w:t xml:space="preserve">  </w:t>
            </w:r>
            <w:r>
              <w:rPr>
                <w:rFonts w:hint="eastAsia" w:hAnsi="宋体"/>
                <w:color w:val="auto"/>
                <w:szCs w:val="21"/>
                <w:highlight w:val="none"/>
              </w:rPr>
              <w:t>分</w:t>
            </w:r>
            <w:r>
              <w:rPr>
                <w:rFonts w:hint="eastAsia" w:hAnsi="宋体"/>
                <w:color w:val="auto"/>
                <w:szCs w:val="21"/>
                <w:highlight w:val="none"/>
                <w:u w:val="single"/>
                <w:lang w:val="en-US" w:eastAsia="zh-CN"/>
              </w:rPr>
              <w:t xml:space="preserve">  </w:t>
            </w:r>
            <w:r>
              <w:rPr>
                <w:rFonts w:hint="eastAsia" w:hAnsi="宋体"/>
                <w:color w:val="auto"/>
                <w:szCs w:val="21"/>
                <w:highlight w:val="none"/>
                <w:lang w:val="en-US" w:eastAsia="zh-CN"/>
              </w:rPr>
              <w:t>秒</w:t>
            </w:r>
            <w:r>
              <w:rPr>
                <w:rFonts w:hint="eastAsia" w:hAnsi="宋体"/>
                <w:color w:val="auto"/>
                <w:szCs w:val="21"/>
                <w:highlight w:val="none"/>
              </w:rPr>
              <w:t>前</w:t>
            </w:r>
          </w:p>
        </w:tc>
      </w:tr>
      <w:tr w14:paraId="2462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Merge w:val="continue"/>
            <w:vAlign w:val="center"/>
          </w:tcPr>
          <w:p w14:paraId="5A39459A">
            <w:pPr>
              <w:pStyle w:val="23"/>
              <w:numPr>
                <w:ilvl w:val="0"/>
                <w:numId w:val="0"/>
              </w:numPr>
              <w:tabs>
                <w:tab w:val="left" w:pos="2127"/>
              </w:tabs>
              <w:kinsoku/>
              <w:overflowPunct/>
              <w:bidi w:val="0"/>
              <w:spacing w:line="360" w:lineRule="auto"/>
              <w:ind w:leftChars="0"/>
              <w:jc w:val="both"/>
              <w:textAlignment w:val="auto"/>
              <w:rPr>
                <w:rFonts w:hint="default" w:ascii="宋体" w:hAnsi="宋体" w:eastAsia="宋体" w:cs="宋体"/>
                <w:color w:val="auto"/>
                <w:sz w:val="21"/>
                <w:szCs w:val="21"/>
                <w:highlight w:val="none"/>
                <w:lang w:val="en-US" w:eastAsia="zh-CN"/>
              </w:rPr>
            </w:pPr>
          </w:p>
        </w:tc>
        <w:tc>
          <w:tcPr>
            <w:tcW w:w="1728" w:type="dxa"/>
            <w:vMerge w:val="continue"/>
            <w:vAlign w:val="center"/>
          </w:tcPr>
          <w:p w14:paraId="17A73F53">
            <w:pPr>
              <w:pStyle w:val="23"/>
              <w:tabs>
                <w:tab w:val="left" w:pos="2127"/>
              </w:tabs>
              <w:kinsoku/>
              <w:overflowPunct/>
              <w:bidi w:val="0"/>
              <w:spacing w:line="360" w:lineRule="auto"/>
              <w:jc w:val="center"/>
              <w:textAlignment w:val="auto"/>
              <w:rPr>
                <w:rFonts w:hint="eastAsia" w:ascii="宋体" w:hAnsi="宋体" w:eastAsia="宋体" w:cs="宋体"/>
                <w:color w:val="auto"/>
                <w:kern w:val="0"/>
                <w:sz w:val="21"/>
                <w:szCs w:val="21"/>
                <w:highlight w:val="none"/>
              </w:rPr>
            </w:pPr>
          </w:p>
        </w:tc>
        <w:tc>
          <w:tcPr>
            <w:tcW w:w="7016" w:type="dxa"/>
            <w:vAlign w:val="center"/>
          </w:tcPr>
          <w:p w14:paraId="318C6851">
            <w:pPr>
              <w:pStyle w:val="23"/>
              <w:kinsoku/>
              <w:overflowPunct/>
              <w:bidi w:val="0"/>
              <w:spacing w:line="360" w:lineRule="auto"/>
              <w:rPr>
                <w:rFonts w:hint="eastAsia" w:ascii="宋体" w:hAnsi="宋体" w:eastAsia="宋体" w:cs="宋体"/>
                <w:bCs/>
                <w:iCs/>
                <w:color w:val="auto"/>
                <w:kern w:val="2"/>
                <w:sz w:val="21"/>
                <w:szCs w:val="21"/>
                <w:highlight w:val="none"/>
                <w:lang w:val="en-US" w:eastAsia="zh-CN" w:bidi="ar-SA"/>
              </w:rPr>
            </w:pPr>
            <w:r>
              <w:rPr>
                <w:rFonts w:hint="eastAsia" w:ascii="宋体" w:hAnsi="宋体" w:eastAsia="宋体" w:cs="宋体"/>
                <w:bCs/>
                <w:iCs/>
                <w:color w:val="auto"/>
                <w:kern w:val="2"/>
                <w:sz w:val="21"/>
                <w:szCs w:val="21"/>
                <w:highlight w:val="none"/>
                <w:lang w:val="en-US" w:eastAsia="zh-CN" w:bidi="ar-SA"/>
              </w:rPr>
              <w:t>形式：投标人的疑问通过广州交易集团有限公司（广州公共资源交易中心）数字交易平台提交。按照广州交易集团有限公司（广州公共资源交易中心）数字交易平台关于全流程电子化项目的相关指南进行操作。提问一律不得署名。</w:t>
            </w:r>
          </w:p>
        </w:tc>
      </w:tr>
      <w:tr w14:paraId="48424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3D0EF6FB">
            <w:pPr>
              <w:pStyle w:val="23"/>
              <w:kinsoku/>
              <w:overflowPunct/>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u w:val="none"/>
                <w:lang w:val="en-US" w:eastAsia="zh-CN"/>
              </w:rPr>
              <w:t>2.2.2</w:t>
            </w:r>
          </w:p>
        </w:tc>
        <w:tc>
          <w:tcPr>
            <w:tcW w:w="1728" w:type="dxa"/>
            <w:vAlign w:val="center"/>
          </w:tcPr>
          <w:p w14:paraId="6409134E">
            <w:pPr>
              <w:pStyle w:val="23"/>
              <w:tabs>
                <w:tab w:val="left" w:pos="2127"/>
              </w:tabs>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招标文件澄清发出的形式</w:t>
            </w:r>
          </w:p>
        </w:tc>
        <w:tc>
          <w:tcPr>
            <w:tcW w:w="7016" w:type="dxa"/>
            <w:vAlign w:val="center"/>
          </w:tcPr>
          <w:p w14:paraId="00067E6A">
            <w:pPr>
              <w:pStyle w:val="23"/>
              <w:tabs>
                <w:tab w:val="left" w:pos="2127"/>
              </w:tabs>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在广州交易集团有限公司（广州公共资源交易中心）网站答疑专区发布。</w:t>
            </w:r>
          </w:p>
        </w:tc>
      </w:tr>
      <w:tr w14:paraId="3BA8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6" w:type="dxa"/>
            <w:vMerge w:val="restart"/>
            <w:vAlign w:val="center"/>
          </w:tcPr>
          <w:p w14:paraId="4C5EC4C0">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0"/>
                <w:highlight w:val="none"/>
                <w:lang w:val="en-US" w:eastAsia="zh-CN"/>
              </w:rPr>
              <w:t>2.2.3</w:t>
            </w:r>
          </w:p>
        </w:tc>
        <w:tc>
          <w:tcPr>
            <w:tcW w:w="1728" w:type="dxa"/>
            <w:vMerge w:val="restart"/>
            <w:vAlign w:val="center"/>
          </w:tcPr>
          <w:p w14:paraId="60E3D59A">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投标人确认收到招标文件澄清</w:t>
            </w:r>
          </w:p>
        </w:tc>
        <w:tc>
          <w:tcPr>
            <w:tcW w:w="7016" w:type="dxa"/>
            <w:vAlign w:val="center"/>
          </w:tcPr>
          <w:p w14:paraId="320149F9">
            <w:pPr>
              <w:pStyle w:val="23"/>
              <w:kinsoku/>
              <w:overflowPunct/>
              <w:bidi w:val="0"/>
              <w:spacing w:line="360" w:lineRule="auto"/>
              <w:rPr>
                <w:rFonts w:hint="eastAsia" w:ascii="宋体" w:hAnsi="宋体" w:eastAsia="宋体" w:cs="宋体"/>
                <w:bCs/>
                <w:iCs/>
                <w:color w:val="auto"/>
                <w:kern w:val="2"/>
                <w:sz w:val="21"/>
                <w:szCs w:val="21"/>
                <w:highlight w:val="none"/>
                <w:lang w:val="en-US" w:eastAsia="zh-CN" w:bidi="ar-SA"/>
              </w:rPr>
            </w:pPr>
            <w:r>
              <w:rPr>
                <w:rFonts w:hint="eastAsia" w:ascii="宋体" w:hAnsi="宋体" w:eastAsia="宋体" w:cs="宋体"/>
                <w:bCs/>
                <w:iCs/>
                <w:color w:val="auto"/>
                <w:kern w:val="2"/>
                <w:sz w:val="21"/>
                <w:szCs w:val="21"/>
                <w:highlight w:val="none"/>
                <w:lang w:val="en-US" w:eastAsia="zh-CN" w:bidi="ar-SA"/>
              </w:rPr>
              <w:t>时间：发出即视作收到。</w:t>
            </w:r>
          </w:p>
        </w:tc>
      </w:tr>
      <w:tr w14:paraId="01656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846" w:type="dxa"/>
            <w:vMerge w:val="continue"/>
            <w:vAlign w:val="center"/>
          </w:tcPr>
          <w:p w14:paraId="1872C5FD">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szCs w:val="20"/>
                <w:highlight w:val="none"/>
                <w:lang w:val="en-US" w:eastAsia="zh-CN"/>
              </w:rPr>
            </w:pPr>
          </w:p>
        </w:tc>
        <w:tc>
          <w:tcPr>
            <w:tcW w:w="1728" w:type="dxa"/>
            <w:vMerge w:val="continue"/>
            <w:vAlign w:val="center"/>
          </w:tcPr>
          <w:p w14:paraId="68559011">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sz w:val="21"/>
                <w:szCs w:val="21"/>
                <w:highlight w:val="none"/>
              </w:rPr>
            </w:pPr>
          </w:p>
        </w:tc>
        <w:tc>
          <w:tcPr>
            <w:tcW w:w="7016" w:type="dxa"/>
            <w:vAlign w:val="center"/>
          </w:tcPr>
          <w:p w14:paraId="0A52CB30">
            <w:pPr>
              <w:pStyle w:val="23"/>
              <w:kinsoku/>
              <w:overflowPunct/>
              <w:bidi w:val="0"/>
              <w:spacing w:line="360" w:lineRule="auto"/>
              <w:rPr>
                <w:rFonts w:hint="eastAsia" w:ascii="宋体" w:hAnsi="宋体" w:eastAsia="宋体" w:cs="宋体"/>
                <w:bCs/>
                <w:iCs/>
                <w:color w:val="auto"/>
                <w:kern w:val="2"/>
                <w:sz w:val="21"/>
                <w:szCs w:val="21"/>
                <w:highlight w:val="none"/>
                <w:lang w:val="en-US" w:eastAsia="zh-CN" w:bidi="ar-SA"/>
              </w:rPr>
            </w:pPr>
            <w:r>
              <w:rPr>
                <w:rFonts w:hint="eastAsia" w:ascii="宋体" w:hAnsi="宋体" w:eastAsia="宋体" w:cs="宋体"/>
                <w:bCs/>
                <w:iCs/>
                <w:color w:val="auto"/>
                <w:kern w:val="2"/>
                <w:sz w:val="21"/>
                <w:szCs w:val="21"/>
                <w:highlight w:val="none"/>
                <w:lang w:val="en-US" w:eastAsia="zh-CN" w:bidi="ar-SA"/>
              </w:rPr>
              <w:t>形式：招标文件的澄清或修改在广州交易集团有限公司（广州公共资源交易中心）网站答疑专区网上公开发布，发出即视作收到，以广州交易集团有限公司（广州公共资源交易中心）数字交易平台网站发布时间作为送达时间。无需投标人确认。投标人应自行关注，招标人不再一一通知。招标文件的澄清或修改内容作为招标文件的组成部分，具有约束作用。</w:t>
            </w:r>
          </w:p>
        </w:tc>
      </w:tr>
      <w:tr w14:paraId="538F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51B7A175">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szCs w:val="20"/>
                <w:highlight w:val="none"/>
              </w:rPr>
              <w:t>2.3.1</w:t>
            </w:r>
          </w:p>
        </w:tc>
        <w:tc>
          <w:tcPr>
            <w:tcW w:w="1728" w:type="dxa"/>
            <w:vAlign w:val="center"/>
          </w:tcPr>
          <w:p w14:paraId="706709C2">
            <w:pPr>
              <w:pStyle w:val="23"/>
              <w:tabs>
                <w:tab w:val="left" w:pos="2127"/>
              </w:tabs>
              <w:spacing w:line="360" w:lineRule="auto"/>
              <w:jc w:val="center"/>
              <w:rPr>
                <w:rFonts w:hint="eastAsia" w:ascii="宋体" w:hAnsi="宋体" w:eastAsia="宋体" w:cs="宋体"/>
                <w:color w:val="auto"/>
                <w:kern w:val="0"/>
                <w:sz w:val="21"/>
                <w:szCs w:val="21"/>
                <w:highlight w:val="none"/>
                <w:u w:val="none"/>
                <w:lang w:val="en-US" w:eastAsia="zh-CN" w:bidi="ar-SA"/>
              </w:rPr>
            </w:pPr>
            <w:r>
              <w:rPr>
                <w:rFonts w:hint="eastAsia" w:hAnsi="宋体"/>
                <w:color w:val="auto"/>
                <w:szCs w:val="21"/>
                <w:highlight w:val="none"/>
              </w:rPr>
              <w:t>招标文件修改发出的形式</w:t>
            </w:r>
          </w:p>
        </w:tc>
        <w:tc>
          <w:tcPr>
            <w:tcW w:w="7016" w:type="dxa"/>
            <w:vAlign w:val="center"/>
          </w:tcPr>
          <w:p w14:paraId="45F2208C">
            <w:pPr>
              <w:pStyle w:val="23"/>
              <w:tabs>
                <w:tab w:val="left" w:pos="2127"/>
              </w:tabs>
              <w:spacing w:line="360" w:lineRule="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以补充公告或项目答疑澄清的方式在广州交易集团有限公司（广州公共资源交易中心）网站发布。</w:t>
            </w:r>
          </w:p>
        </w:tc>
      </w:tr>
      <w:tr w14:paraId="3710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846" w:type="dxa"/>
            <w:vMerge w:val="restart"/>
            <w:vAlign w:val="center"/>
          </w:tcPr>
          <w:p w14:paraId="31803A50">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0"/>
                <w:highlight w:val="none"/>
              </w:rPr>
              <w:t>2.3.</w:t>
            </w:r>
            <w:r>
              <w:rPr>
                <w:rFonts w:hint="eastAsia" w:ascii="宋体" w:hAnsi="宋体" w:eastAsia="宋体" w:cs="宋体"/>
                <w:color w:val="auto"/>
                <w:szCs w:val="20"/>
                <w:highlight w:val="none"/>
                <w:lang w:val="en-US" w:eastAsia="zh-CN"/>
              </w:rPr>
              <w:t>2</w:t>
            </w:r>
          </w:p>
        </w:tc>
        <w:tc>
          <w:tcPr>
            <w:tcW w:w="1728" w:type="dxa"/>
            <w:vMerge w:val="restart"/>
            <w:vAlign w:val="center"/>
          </w:tcPr>
          <w:p w14:paraId="4A8E7766">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sz w:val="21"/>
                <w:szCs w:val="21"/>
                <w:highlight w:val="none"/>
              </w:rPr>
            </w:pPr>
            <w:r>
              <w:rPr>
                <w:rFonts w:hint="eastAsia" w:hAnsi="宋体"/>
                <w:color w:val="auto"/>
                <w:szCs w:val="21"/>
                <w:highlight w:val="none"/>
              </w:rPr>
              <w:t>投标人确认收到招标文件修改</w:t>
            </w:r>
          </w:p>
        </w:tc>
        <w:tc>
          <w:tcPr>
            <w:tcW w:w="7016" w:type="dxa"/>
            <w:vAlign w:val="center"/>
          </w:tcPr>
          <w:p w14:paraId="3DF9A195">
            <w:pPr>
              <w:pStyle w:val="23"/>
              <w:kinsoku/>
              <w:overflowPunct/>
              <w:bidi w:val="0"/>
              <w:spacing w:line="360" w:lineRule="auto"/>
              <w:rPr>
                <w:rFonts w:hint="eastAsia" w:ascii="宋体" w:hAnsi="宋体" w:eastAsia="宋体" w:cs="宋体"/>
                <w:bCs/>
                <w:iCs/>
                <w:color w:val="auto"/>
                <w:kern w:val="2"/>
                <w:sz w:val="21"/>
                <w:szCs w:val="21"/>
                <w:highlight w:val="none"/>
                <w:lang w:val="en-US" w:eastAsia="zh-CN" w:bidi="ar-SA"/>
              </w:rPr>
            </w:pPr>
            <w:r>
              <w:rPr>
                <w:rFonts w:hint="eastAsia" w:ascii="宋体" w:hAnsi="宋体" w:eastAsia="宋体" w:cs="宋体"/>
                <w:bCs/>
                <w:iCs/>
                <w:color w:val="auto"/>
                <w:kern w:val="2"/>
                <w:sz w:val="21"/>
                <w:szCs w:val="21"/>
                <w:highlight w:val="none"/>
                <w:lang w:val="en-US" w:eastAsia="zh-CN" w:bidi="ar-SA"/>
              </w:rPr>
              <w:t>时间：发出即视作收到。</w:t>
            </w:r>
          </w:p>
        </w:tc>
      </w:tr>
      <w:tr w14:paraId="34E1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jc w:val="center"/>
        </w:trPr>
        <w:tc>
          <w:tcPr>
            <w:tcW w:w="846" w:type="dxa"/>
            <w:vMerge w:val="continue"/>
            <w:vAlign w:val="center"/>
          </w:tcPr>
          <w:p w14:paraId="7E8E9610">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szCs w:val="20"/>
                <w:highlight w:val="none"/>
              </w:rPr>
            </w:pPr>
          </w:p>
        </w:tc>
        <w:tc>
          <w:tcPr>
            <w:tcW w:w="1728" w:type="dxa"/>
            <w:vMerge w:val="continue"/>
            <w:vAlign w:val="center"/>
          </w:tcPr>
          <w:p w14:paraId="3A576223">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jc w:val="center"/>
              <w:rPr>
                <w:rFonts w:hint="eastAsia" w:hAnsi="宋体"/>
                <w:color w:val="auto"/>
                <w:szCs w:val="21"/>
                <w:highlight w:val="none"/>
              </w:rPr>
            </w:pPr>
          </w:p>
        </w:tc>
        <w:tc>
          <w:tcPr>
            <w:tcW w:w="7016" w:type="dxa"/>
            <w:vAlign w:val="center"/>
          </w:tcPr>
          <w:p w14:paraId="76EE61CE">
            <w:pPr>
              <w:pStyle w:val="23"/>
              <w:kinsoku/>
              <w:overflowPunct/>
              <w:bidi w:val="0"/>
              <w:spacing w:line="360" w:lineRule="auto"/>
              <w:rPr>
                <w:rFonts w:hint="eastAsia" w:ascii="宋体" w:hAnsi="宋体" w:eastAsia="宋体" w:cs="宋体"/>
                <w:bCs/>
                <w:iCs/>
                <w:color w:val="auto"/>
                <w:kern w:val="2"/>
                <w:sz w:val="21"/>
                <w:szCs w:val="21"/>
                <w:highlight w:val="none"/>
                <w:lang w:val="en-US" w:eastAsia="zh-CN" w:bidi="ar-SA"/>
              </w:rPr>
            </w:pPr>
            <w:r>
              <w:rPr>
                <w:rFonts w:hint="eastAsia" w:ascii="宋体" w:hAnsi="宋体" w:eastAsia="宋体" w:cs="宋体"/>
                <w:bCs/>
                <w:iCs/>
                <w:color w:val="auto"/>
                <w:kern w:val="2"/>
                <w:sz w:val="21"/>
                <w:szCs w:val="21"/>
                <w:highlight w:val="none"/>
                <w:lang w:val="en-US" w:eastAsia="zh-CN" w:bidi="ar-SA"/>
              </w:rPr>
              <w:t>形式：招标文件的修改一经在广州交易集团有限公司（广州公共资源交易中心）网站公开发布，发出即视作收到，以广州交易集团有限公司（广州公共资源交易中心）数字交易平台网站发布时间作为送达时间。无需投标人确认。投标人应自行关注，招标人不再一一通知。招标文件的澄清或修改内容作为招标文件的组成部分，具有约束作用。</w:t>
            </w:r>
          </w:p>
        </w:tc>
      </w:tr>
      <w:tr w14:paraId="3F52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1B99DD1E">
            <w:pPr>
              <w:pStyle w:val="23"/>
              <w:tabs>
                <w:tab w:val="left" w:pos="2127"/>
              </w:tabs>
              <w:kinsoku/>
              <w:overflowPunct/>
              <w:bidi w:val="0"/>
              <w:spacing w:line="360" w:lineRule="auto"/>
              <w:jc w:val="center"/>
              <w:textAlignment w:val="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3.1.1</w:t>
            </w:r>
          </w:p>
        </w:tc>
        <w:tc>
          <w:tcPr>
            <w:tcW w:w="1728" w:type="dxa"/>
            <w:vAlign w:val="center"/>
          </w:tcPr>
          <w:p w14:paraId="21232D90">
            <w:pPr>
              <w:pStyle w:val="23"/>
              <w:tabs>
                <w:tab w:val="left" w:pos="2127"/>
              </w:tabs>
              <w:kinsoku/>
              <w:overflowPunct/>
              <w:bidi w:val="0"/>
              <w:spacing w:line="360" w:lineRule="auto"/>
              <w:jc w:val="center"/>
              <w:textAlignment w:val="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Cs w:val="21"/>
                <w:highlight w:val="none"/>
              </w:rPr>
              <w:t>构成</w:t>
            </w:r>
            <w:r>
              <w:rPr>
                <w:rFonts w:hint="eastAsia" w:ascii="宋体" w:hAnsi="宋体" w:cs="宋体"/>
                <w:color w:val="auto"/>
                <w:kern w:val="0"/>
                <w:szCs w:val="21"/>
                <w:highlight w:val="none"/>
                <w:lang w:val="en-US" w:eastAsia="zh-CN"/>
              </w:rPr>
              <w:t>投标</w:t>
            </w:r>
            <w:r>
              <w:rPr>
                <w:rFonts w:hint="eastAsia" w:ascii="宋体" w:hAnsi="宋体" w:cs="宋体"/>
                <w:color w:val="auto"/>
                <w:kern w:val="0"/>
                <w:szCs w:val="21"/>
                <w:highlight w:val="none"/>
                <w:lang w:eastAsia="zh-CN"/>
              </w:rPr>
              <w:t>文件</w:t>
            </w:r>
            <w:r>
              <w:rPr>
                <w:rFonts w:hint="eastAsia" w:ascii="宋体" w:hAnsi="宋体" w:eastAsia="宋体" w:cs="宋体"/>
                <w:color w:val="auto"/>
                <w:kern w:val="0"/>
                <w:szCs w:val="21"/>
                <w:highlight w:val="none"/>
              </w:rPr>
              <w:t>的其他材料</w:t>
            </w:r>
          </w:p>
        </w:tc>
        <w:tc>
          <w:tcPr>
            <w:tcW w:w="7016" w:type="dxa"/>
            <w:vAlign w:val="center"/>
          </w:tcPr>
          <w:p w14:paraId="1001F1EE">
            <w:pPr>
              <w:tabs>
                <w:tab w:val="left" w:pos="2127"/>
              </w:tabs>
              <w:kinsoku/>
              <w:overflowPunct/>
              <w:autoSpaceDE w:val="0"/>
              <w:autoSpaceDN w:val="0"/>
              <w:bidi w:val="0"/>
              <w:adjustRightInd w:val="0"/>
              <w:spacing w:line="360" w:lineRule="auto"/>
              <w:jc w:val="left"/>
              <w:textAlignment w:val="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满足本项目评审要求的其他资料等投标人认为需要提供的资料。</w:t>
            </w:r>
          </w:p>
        </w:tc>
      </w:tr>
      <w:tr w14:paraId="64A4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245CE515">
            <w:pPr>
              <w:pStyle w:val="23"/>
              <w:tabs>
                <w:tab w:val="left" w:pos="2127"/>
              </w:tabs>
              <w:kinsoku/>
              <w:overflowPunct/>
              <w:bidi w:val="0"/>
              <w:spacing w:line="360" w:lineRule="auto"/>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3.2</w:t>
            </w:r>
            <w:r>
              <w:rPr>
                <w:rFonts w:hint="eastAsia" w:ascii="宋体" w:hAnsi="宋体" w:eastAsia="宋体" w:cs="宋体"/>
                <w:color w:val="auto"/>
                <w:kern w:val="0"/>
                <w:sz w:val="21"/>
                <w:szCs w:val="21"/>
                <w:highlight w:val="none"/>
                <w:u w:val="none"/>
                <w:lang w:val="en-US" w:eastAsia="zh-CN"/>
              </w:rPr>
              <w:t>.3</w:t>
            </w:r>
          </w:p>
        </w:tc>
        <w:tc>
          <w:tcPr>
            <w:tcW w:w="1728" w:type="dxa"/>
            <w:vAlign w:val="center"/>
          </w:tcPr>
          <w:p w14:paraId="4AD6DE6A">
            <w:pPr>
              <w:pStyle w:val="23"/>
              <w:tabs>
                <w:tab w:val="left" w:pos="2127"/>
              </w:tabs>
              <w:kinsoku/>
              <w:overflowPunct/>
              <w:bidi w:val="0"/>
              <w:spacing w:line="36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sz w:val="21"/>
                <w:szCs w:val="21"/>
                <w:highlight w:val="none"/>
                <w:u w:val="none"/>
              </w:rPr>
              <w:t>报价</w:t>
            </w:r>
            <w:r>
              <w:rPr>
                <w:rFonts w:hint="eastAsia" w:ascii="宋体" w:hAnsi="宋体" w:eastAsia="宋体" w:cs="宋体"/>
                <w:color w:val="auto"/>
                <w:sz w:val="21"/>
                <w:szCs w:val="21"/>
                <w:highlight w:val="none"/>
                <w:u w:val="none"/>
                <w:lang w:val="en-US" w:eastAsia="zh-CN"/>
              </w:rPr>
              <w:t>方式</w:t>
            </w:r>
          </w:p>
        </w:tc>
        <w:tc>
          <w:tcPr>
            <w:tcW w:w="7016" w:type="dxa"/>
            <w:vAlign w:val="center"/>
          </w:tcPr>
          <w:p w14:paraId="0623A6C0">
            <w:pPr>
              <w:pStyle w:val="23"/>
              <w:tabs>
                <w:tab w:val="left" w:pos="2127"/>
              </w:tabs>
              <w:kinsoku/>
              <w:overflowPunct/>
              <w:bidi w:val="0"/>
              <w:spacing w:line="360" w:lineRule="auto"/>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详见招标公告</w:t>
            </w:r>
          </w:p>
        </w:tc>
      </w:tr>
      <w:tr w14:paraId="3268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6D144926">
            <w:pPr>
              <w:pStyle w:val="23"/>
              <w:tabs>
                <w:tab w:val="left" w:pos="2127"/>
              </w:tabs>
              <w:kinsoku/>
              <w:overflowPunct/>
              <w:bidi w:val="0"/>
              <w:spacing w:line="360" w:lineRule="auto"/>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3.2.</w:t>
            </w:r>
            <w:r>
              <w:rPr>
                <w:rFonts w:hint="eastAsia" w:ascii="宋体" w:hAnsi="宋体" w:eastAsia="宋体" w:cs="宋体"/>
                <w:color w:val="auto"/>
                <w:sz w:val="21"/>
                <w:szCs w:val="21"/>
                <w:highlight w:val="none"/>
                <w:u w:val="none"/>
                <w:lang w:val="en-US" w:eastAsia="zh-CN"/>
              </w:rPr>
              <w:t>4</w:t>
            </w:r>
          </w:p>
        </w:tc>
        <w:tc>
          <w:tcPr>
            <w:tcW w:w="1728" w:type="dxa"/>
            <w:vAlign w:val="center"/>
          </w:tcPr>
          <w:p w14:paraId="74DDDEFB">
            <w:pPr>
              <w:pStyle w:val="23"/>
              <w:tabs>
                <w:tab w:val="left" w:pos="2127"/>
              </w:tabs>
              <w:kinsoku/>
              <w:overflowPunct/>
              <w:bidi w:val="0"/>
              <w:spacing w:line="360" w:lineRule="auto"/>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Cs w:val="21"/>
                <w:highlight w:val="none"/>
                <w:lang w:eastAsia="zh-CN"/>
              </w:rPr>
              <w:t>最高限价与</w:t>
            </w:r>
            <w:r>
              <w:rPr>
                <w:rFonts w:hint="eastAsia" w:hAnsi="宋体" w:cs="宋体"/>
                <w:color w:val="auto"/>
                <w:szCs w:val="21"/>
                <w:highlight w:val="none"/>
                <w:lang w:val="en-US" w:eastAsia="zh-CN"/>
              </w:rPr>
              <w:t>合同估算金额（</w:t>
            </w:r>
            <w:r>
              <w:rPr>
                <w:rFonts w:hint="eastAsia" w:ascii="宋体" w:hAnsi="宋体" w:eastAsia="宋体" w:cs="宋体"/>
                <w:b w:val="0"/>
                <w:bCs w:val="0"/>
                <w:color w:val="auto"/>
                <w:kern w:val="2"/>
                <w:sz w:val="21"/>
                <w:szCs w:val="21"/>
                <w:highlight w:val="none"/>
                <w:lang w:val="en-US" w:eastAsia="zh-CN" w:bidi="ar-SA"/>
              </w:rPr>
              <w:t>采购预算金额</w:t>
            </w:r>
            <w:r>
              <w:rPr>
                <w:rFonts w:hint="eastAsia" w:hAnsi="宋体" w:cs="宋体"/>
                <w:b w:val="0"/>
                <w:bCs w:val="0"/>
                <w:color w:val="auto"/>
                <w:kern w:val="2"/>
                <w:sz w:val="21"/>
                <w:szCs w:val="21"/>
                <w:highlight w:val="none"/>
                <w:lang w:val="en-US" w:eastAsia="zh-CN" w:bidi="ar-SA"/>
              </w:rPr>
              <w:t>）</w:t>
            </w:r>
          </w:p>
        </w:tc>
        <w:tc>
          <w:tcPr>
            <w:tcW w:w="7016" w:type="dxa"/>
            <w:vAlign w:val="center"/>
          </w:tcPr>
          <w:p w14:paraId="63DB43FD">
            <w:pPr>
              <w:kinsoku/>
              <w:overflowPunct/>
              <w:bidi w:val="0"/>
              <w:spacing w:line="360" w:lineRule="auto"/>
              <w:rPr>
                <w:rFonts w:hint="eastAsia" w:ascii="宋体" w:hAnsi="宋体" w:eastAsia="宋体" w:cs="宋体"/>
                <w:color w:val="auto"/>
                <w:kern w:val="2"/>
                <w:sz w:val="21"/>
                <w:highlight w:val="none"/>
                <w:lang w:val="en-US" w:eastAsia="zh-CN" w:bidi="ar-SA"/>
              </w:rPr>
            </w:pPr>
            <w:r>
              <w:rPr>
                <w:rFonts w:hint="eastAsia" w:ascii="宋体" w:hAnsi="宋体" w:eastAsia="宋体" w:cs="宋体"/>
                <w:bCs/>
                <w:color w:val="auto"/>
                <w:sz w:val="21"/>
                <w:szCs w:val="21"/>
                <w:highlight w:val="none"/>
                <w:u w:val="none"/>
                <w:lang w:val="en-US" w:eastAsia="zh-CN"/>
              </w:rPr>
              <w:t>详见招标公告</w:t>
            </w:r>
          </w:p>
        </w:tc>
      </w:tr>
      <w:tr w14:paraId="507C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07CB130B">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3.2.5</w:t>
            </w:r>
          </w:p>
        </w:tc>
        <w:tc>
          <w:tcPr>
            <w:tcW w:w="1728" w:type="dxa"/>
            <w:vAlign w:val="center"/>
          </w:tcPr>
          <w:p w14:paraId="39F8D45A">
            <w:pPr>
              <w:pStyle w:val="23"/>
              <w:tabs>
                <w:tab w:val="left" w:pos="2127"/>
              </w:tabs>
              <w:kinsoku/>
              <w:overflowPunct/>
              <w:bidi w:val="0"/>
              <w:spacing w:line="360" w:lineRule="auto"/>
              <w:jc w:val="center"/>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报价的其他要求</w:t>
            </w:r>
          </w:p>
        </w:tc>
        <w:tc>
          <w:tcPr>
            <w:tcW w:w="7016" w:type="dxa"/>
            <w:vAlign w:val="center"/>
          </w:tcPr>
          <w:p w14:paraId="4FB063C2">
            <w:pPr>
              <w:keepNext w:val="0"/>
              <w:keepLines w:val="0"/>
              <w:pageBreakBefore w:val="0"/>
              <w:widowControl w:val="0"/>
              <w:numPr>
                <w:ilvl w:val="0"/>
                <w:numId w:val="0"/>
              </w:numPr>
              <w:suppressLineNumbers w:val="0"/>
              <w:tabs>
                <w:tab w:val="left" w:pos="2127"/>
              </w:tabs>
              <w:kinsoku/>
              <w:wordWrap/>
              <w:overflowPunct/>
              <w:topLinePunct w:val="0"/>
              <w:autoSpaceDE w:val="0"/>
              <w:autoSpaceDN w:val="0"/>
              <w:bidi w:val="0"/>
              <w:adjustRightInd w:val="0"/>
              <w:snapToGrid/>
              <w:spacing w:before="0" w:beforeAutospacing="0" w:after="0" w:afterAutospacing="0" w:line="312" w:lineRule="auto"/>
              <w:ind w:right="0" w:rightChars="0"/>
              <w:jc w:val="left"/>
              <w:textAlignment w:val="auto"/>
              <w:outlineLvl w:val="9"/>
              <w:rPr>
                <w:rFonts w:hint="eastAsia" w:ascii="宋体" w:hAnsi="宋体" w:eastAsia="宋体" w:cs="宋体"/>
                <w:b/>
                <w:bCs/>
                <w:color w:val="auto"/>
                <w:szCs w:val="20"/>
                <w:highlight w:val="none"/>
                <w:lang w:val="en-US" w:eastAsia="zh-CN"/>
              </w:rPr>
            </w:pPr>
            <w:r>
              <w:rPr>
                <w:rFonts w:hint="eastAsia" w:ascii="宋体" w:hAnsi="宋体" w:cs="宋体"/>
                <w:b w:val="0"/>
                <w:bCs w:val="0"/>
                <w:color w:val="auto"/>
                <w:szCs w:val="20"/>
                <w:highlight w:val="none"/>
                <w:lang w:val="en-US" w:eastAsia="zh-CN"/>
              </w:rPr>
              <w:t>1.</w:t>
            </w:r>
            <w:r>
              <w:rPr>
                <w:rFonts w:hint="eastAsia" w:ascii="宋体" w:hAnsi="宋体" w:eastAsia="宋体" w:cs="宋体"/>
                <w:b w:val="0"/>
                <w:bCs w:val="0"/>
                <w:color w:val="auto"/>
                <w:szCs w:val="20"/>
                <w:highlight w:val="none"/>
                <w:lang w:val="en-US" w:eastAsia="zh-CN"/>
              </w:rPr>
              <w:t>有效报价：</w:t>
            </w:r>
            <w:r>
              <w:rPr>
                <w:rFonts w:hint="eastAsia" w:ascii="宋体" w:hAnsi="宋体" w:cs="宋体"/>
                <w:color w:val="auto"/>
                <w:kern w:val="0"/>
                <w:sz w:val="21"/>
                <w:szCs w:val="21"/>
                <w:highlight w:val="none"/>
                <w:lang w:val="en-US" w:eastAsia="zh-CN" w:bidi="ar-SA"/>
              </w:rPr>
              <w:t>含税单价不高于含税预算单价为有效报价，设置成本警示价，规定含税单价低于含税预算单价85%的必须附详细的成本分析报告（成本分析报告需充分说明单价和费用的组成、降低成本的合理措施及在其他项目中应用过的经验等，经评审通过后方可视为有效报价）。</w:t>
            </w:r>
          </w:p>
          <w:p w14:paraId="03AFBBC8">
            <w:pPr>
              <w:keepNext w:val="0"/>
              <w:keepLines w:val="0"/>
              <w:pageBreakBefore w:val="0"/>
              <w:widowControl w:val="0"/>
              <w:suppressLineNumbers w:val="0"/>
              <w:tabs>
                <w:tab w:val="left" w:pos="2127"/>
              </w:tabs>
              <w:kinsoku/>
              <w:wordWrap/>
              <w:overflowPunct/>
              <w:topLinePunct w:val="0"/>
              <w:autoSpaceDE w:val="0"/>
              <w:autoSpaceDN w:val="0"/>
              <w:bidi w:val="0"/>
              <w:adjustRightInd w:val="0"/>
              <w:snapToGrid/>
              <w:spacing w:before="0" w:beforeAutospacing="0" w:after="0" w:afterAutospacing="0" w:line="312" w:lineRule="auto"/>
              <w:ind w:left="0" w:right="0"/>
              <w:jc w:val="left"/>
              <w:textAlignment w:val="auto"/>
              <w:outlineLvl w:val="9"/>
              <w:rPr>
                <w:rFonts w:hint="eastAsia" w:ascii="宋体" w:hAnsi="宋体" w:eastAsia="宋体" w:cs="宋体"/>
                <w:b w:val="0"/>
                <w:bCs w:val="0"/>
                <w:color w:val="auto"/>
                <w:szCs w:val="20"/>
                <w:highlight w:val="none"/>
                <w:lang w:val="en-US" w:eastAsia="zh-CN"/>
              </w:rPr>
            </w:pPr>
            <w:r>
              <w:rPr>
                <w:rFonts w:hint="eastAsia" w:ascii="宋体" w:hAnsi="宋体" w:cs="宋体"/>
                <w:b w:val="0"/>
                <w:bCs w:val="0"/>
                <w:color w:val="auto"/>
                <w:szCs w:val="20"/>
                <w:highlight w:val="none"/>
                <w:lang w:val="en-US" w:eastAsia="zh-CN"/>
              </w:rPr>
              <w:t>2.</w:t>
            </w:r>
            <w:r>
              <w:rPr>
                <w:rFonts w:hint="eastAsia" w:ascii="宋体" w:hAnsi="宋体" w:eastAsia="宋体" w:cs="宋体"/>
                <w:b w:val="0"/>
                <w:bCs w:val="0"/>
                <w:color w:val="auto"/>
                <w:szCs w:val="20"/>
                <w:highlight w:val="none"/>
                <w:lang w:val="en-US" w:eastAsia="zh-CN"/>
              </w:rPr>
              <w:t>其他报价说明：</w:t>
            </w:r>
            <w:r>
              <w:rPr>
                <w:rFonts w:hint="eastAsia" w:ascii="宋体" w:hAnsi="宋体" w:cs="宋体"/>
                <w:color w:val="auto"/>
                <w:szCs w:val="21"/>
                <w:highlight w:val="none"/>
                <w:u w:val="none"/>
                <w:lang w:val="en-US" w:eastAsia="zh-CN"/>
              </w:rPr>
              <w:t>/</w:t>
            </w:r>
          </w:p>
          <w:p w14:paraId="5E6953FE">
            <w:pPr>
              <w:kinsoku/>
              <w:overflowPunct/>
              <w:bidi w:val="0"/>
              <w:spacing w:line="360" w:lineRule="auto"/>
              <w:rPr>
                <w:rFonts w:hint="eastAsia" w:ascii="宋体" w:hAnsi="宋体" w:cs="宋体"/>
                <w:b w:val="0"/>
                <w:bCs w:val="0"/>
                <w:color w:val="auto"/>
                <w:szCs w:val="20"/>
                <w:highlight w:val="none"/>
                <w:lang w:val="en-US" w:eastAsia="zh-CN"/>
              </w:rPr>
            </w:pPr>
            <w:r>
              <w:rPr>
                <w:rFonts w:hint="eastAsia" w:ascii="宋体" w:hAnsi="宋体" w:cs="宋体"/>
                <w:b w:val="0"/>
                <w:bCs w:val="0"/>
                <w:color w:val="auto"/>
                <w:szCs w:val="20"/>
                <w:highlight w:val="none"/>
                <w:lang w:val="en-US" w:eastAsia="zh-CN"/>
              </w:rPr>
              <w:t>3.结算方式：</w:t>
            </w:r>
            <w:r>
              <w:rPr>
                <w:rFonts w:hint="eastAsia" w:ascii="宋体" w:hAnsi="宋体" w:cs="宋体"/>
                <w:color w:val="auto"/>
                <w:kern w:val="0"/>
                <w:sz w:val="21"/>
                <w:szCs w:val="21"/>
                <w:highlight w:val="none"/>
                <w:lang w:val="en-US" w:eastAsia="zh-CN" w:bidi="ar-SA"/>
              </w:rPr>
              <w:t>按实结算，结算价=Σ调整后的供货价格×单片组件功率段×实际采购数量。</w:t>
            </w:r>
          </w:p>
          <w:p w14:paraId="416218B0">
            <w:pPr>
              <w:kinsoku/>
              <w:overflowPunct/>
              <w:bidi w:val="0"/>
              <w:spacing w:line="360" w:lineRule="auto"/>
              <w:rPr>
                <w:rFonts w:hint="eastAsia" w:ascii="宋体" w:hAnsi="宋体" w:cs="宋体"/>
                <w:b w:val="0"/>
                <w:bCs w:val="0"/>
                <w:color w:val="auto"/>
                <w:szCs w:val="20"/>
                <w:highlight w:val="none"/>
                <w:lang w:val="en-US" w:eastAsia="zh-CN"/>
              </w:rPr>
            </w:pPr>
            <w:r>
              <w:rPr>
                <w:rFonts w:hint="eastAsia" w:ascii="宋体" w:hAnsi="宋体" w:cs="宋体"/>
                <w:b w:val="0"/>
                <w:bCs w:val="0"/>
                <w:color w:val="auto"/>
                <w:szCs w:val="20"/>
                <w:highlight w:val="none"/>
                <w:lang w:val="en-US" w:eastAsia="zh-CN"/>
              </w:rPr>
              <w:t>4.支付方式：</w:t>
            </w:r>
            <w:r>
              <w:rPr>
                <w:rFonts w:hint="eastAsia" w:ascii="宋体" w:hAnsi="宋体" w:cs="宋体"/>
                <w:color w:val="auto"/>
                <w:kern w:val="0"/>
                <w:sz w:val="21"/>
                <w:szCs w:val="21"/>
                <w:highlight w:val="none"/>
                <w:lang w:val="en-US" w:eastAsia="zh-CN" w:bidi="ar-SA"/>
              </w:rPr>
              <w:t>买方下采购订单后1个月内预付单个采购订单金额的95%款，支付方式为转账，卖方收到预付款5个工作日内须一次性提供合法等额13%增值税专用发票给买方；5%采购订单款为质保金，本采购订单全部标的物质保期届满1年，并无索赔或索赔完成后，则卖方可凭相应金额的财务收据办理质保金支付申请手续，支付方式为转账（或买方在5个工作日内收到卖方等额的银行保函后按单个采购订单金额的100%款一次性付清，若未在规定时间内提供则在收到卖方等额的银行保函后单独支付，支付方式为转账）。以上款项支付，涉及境外支付的，延长30个工作日</w:t>
            </w:r>
            <w:r>
              <w:rPr>
                <w:rFonts w:hint="eastAsia" w:ascii="宋体" w:hAnsi="宋体" w:cs="宋体"/>
                <w:b w:val="0"/>
                <w:bCs w:val="0"/>
                <w:color w:val="auto"/>
                <w:szCs w:val="20"/>
                <w:highlight w:val="none"/>
                <w:lang w:val="en-US" w:eastAsia="zh-CN"/>
              </w:rPr>
              <w:t>。</w:t>
            </w:r>
          </w:p>
          <w:p w14:paraId="0A21BC92">
            <w:pPr>
              <w:kinsoku/>
              <w:overflowPunct/>
              <w:bidi w:val="0"/>
              <w:spacing w:line="360" w:lineRule="auto"/>
              <w:rPr>
                <w:rFonts w:hint="default"/>
                <w:highlight w:val="none"/>
                <w:lang w:val="en-US" w:eastAsia="zh-CN"/>
              </w:rPr>
            </w:pPr>
            <w:r>
              <w:rPr>
                <w:rFonts w:hint="eastAsia" w:ascii="宋体" w:hAnsi="宋体" w:eastAsia="宋体" w:cs="宋体"/>
                <w:b w:val="0"/>
                <w:bCs w:val="0"/>
                <w:color w:val="auto"/>
                <w:szCs w:val="20"/>
                <w:highlight w:val="none"/>
                <w:lang w:val="en-US" w:eastAsia="zh-CN"/>
              </w:rPr>
              <w:t>5.价格调整机制：</w:t>
            </w:r>
            <w:r>
              <w:rPr>
                <w:rFonts w:hint="eastAsia" w:ascii="宋体" w:hAnsi="宋体" w:eastAsia="宋体" w:cs="宋体"/>
                <w:b w:val="0"/>
                <w:bCs w:val="0"/>
                <w:color w:val="auto"/>
                <w:szCs w:val="20"/>
                <w:highlight w:val="none"/>
                <w:lang w:val="en-US" w:eastAsia="zh-CN"/>
              </w:rPr>
              <w:br w:type="textWrapping"/>
            </w:r>
            <w:r>
              <w:rPr>
                <w:rFonts w:hint="eastAsia" w:ascii="宋体" w:hAnsi="宋体" w:eastAsia="宋体" w:cs="宋体"/>
                <w:b w:val="0"/>
                <w:bCs w:val="0"/>
                <w:color w:val="auto"/>
                <w:szCs w:val="20"/>
                <w:highlight w:val="none"/>
                <w:lang w:val="en-US" w:eastAsia="zh-CN"/>
              </w:rPr>
              <w:t xml:space="preserve">    </w:t>
            </w:r>
            <w:r>
              <w:rPr>
                <w:rFonts w:hint="eastAsia" w:ascii="宋体" w:hAnsi="宋体" w:cs="宋体"/>
                <w:color w:val="auto"/>
                <w:kern w:val="0"/>
                <w:sz w:val="21"/>
                <w:szCs w:val="21"/>
                <w:highlight w:val="none"/>
                <w:lang w:val="en-US" w:eastAsia="zh-CN" w:bidi="ar-SA"/>
              </w:rPr>
              <w:t>（1）组件的价格波动系数K1：根据第三方咨询机构PV Infolink(https://www.infolink-group.com/zh-cn/solar/spot-price)公布的行业光伏组件人民币平均价（每瓦单价）计算组件价格波动系数，价格波动系数K1=（签发组件发货通知单近一周PV Infolink中国项目双面双玻组件人民币平均价A-投标截止日近一周PV Infolink中国项目双面双玻组件人民币平均价A0）/ 投标截止日近一周PV Infolink中国项目双面双玻组件人民币平均价A0。</w:t>
            </w:r>
            <w:r>
              <w:rPr>
                <w:rFonts w:hint="eastAsia" w:ascii="宋体" w:hAnsi="宋体" w:cs="宋体"/>
                <w:color w:val="auto"/>
                <w:kern w:val="0"/>
                <w:sz w:val="21"/>
                <w:szCs w:val="21"/>
                <w:highlight w:val="none"/>
                <w:lang w:val="en-US" w:eastAsia="zh-CN" w:bidi="ar-SA"/>
              </w:rPr>
              <w:br w:type="textWrapping"/>
            </w:r>
            <w:r>
              <w:rPr>
                <w:rFonts w:hint="eastAsia" w:ascii="宋体" w:hAnsi="宋体" w:cs="宋体"/>
                <w:color w:val="auto"/>
                <w:kern w:val="0"/>
                <w:sz w:val="21"/>
                <w:szCs w:val="21"/>
                <w:highlight w:val="none"/>
                <w:lang w:val="en-US" w:eastAsia="zh-CN" w:bidi="ar-SA"/>
              </w:rPr>
              <w:t xml:space="preserve">    （2）若∣K1∣＜3%，价格不调整；</w:t>
            </w:r>
            <w:r>
              <w:rPr>
                <w:rFonts w:hint="eastAsia" w:ascii="宋体" w:hAnsi="宋体" w:cs="宋体"/>
                <w:color w:val="auto"/>
                <w:kern w:val="0"/>
                <w:sz w:val="21"/>
                <w:szCs w:val="21"/>
                <w:highlight w:val="none"/>
                <w:lang w:val="en-US" w:eastAsia="zh-CN" w:bidi="ar-SA"/>
              </w:rPr>
              <w:br w:type="textWrapping"/>
            </w:r>
            <w:r>
              <w:rPr>
                <w:rFonts w:hint="eastAsia" w:ascii="宋体" w:hAnsi="宋体" w:cs="宋体"/>
                <w:color w:val="auto"/>
                <w:kern w:val="0"/>
                <w:sz w:val="21"/>
                <w:szCs w:val="21"/>
                <w:highlight w:val="none"/>
                <w:lang w:val="en-US" w:eastAsia="zh-CN" w:bidi="ar-SA"/>
              </w:rPr>
              <w:t xml:space="preserve">    （3）价格调减规则：若组件市场价格下跌，且∣价格波动系数K1∣≥3%，则调减后组件价格=中标组件价格*（1+价格波动系数K1+3%）。</w:t>
            </w:r>
            <w:r>
              <w:rPr>
                <w:rFonts w:hint="eastAsia" w:ascii="宋体" w:hAnsi="宋体" w:cs="宋体"/>
                <w:color w:val="auto"/>
                <w:kern w:val="0"/>
                <w:sz w:val="21"/>
                <w:szCs w:val="21"/>
                <w:highlight w:val="none"/>
                <w:lang w:val="en-US" w:eastAsia="zh-CN" w:bidi="ar-SA"/>
              </w:rPr>
              <w:br w:type="textWrapping"/>
            </w:r>
            <w:r>
              <w:rPr>
                <w:rFonts w:hint="eastAsia" w:ascii="宋体" w:hAnsi="宋体" w:cs="宋体"/>
                <w:color w:val="auto"/>
                <w:kern w:val="0"/>
                <w:sz w:val="21"/>
                <w:szCs w:val="21"/>
                <w:highlight w:val="none"/>
                <w:lang w:val="en-US" w:eastAsia="zh-CN" w:bidi="ar-SA"/>
              </w:rPr>
              <w:t xml:space="preserve">    （4）价格调增规则：价格调增规则：若组件市场价格上涨，且∣价格波动系数K1∣≥3%,则调增后组件价格=中标组件价格*（1+价格波动系数K1-3%）。</w:t>
            </w:r>
            <w:r>
              <w:rPr>
                <w:rFonts w:hint="eastAsia" w:ascii="宋体" w:hAnsi="宋体" w:cs="宋体"/>
                <w:color w:val="auto"/>
                <w:kern w:val="0"/>
                <w:sz w:val="21"/>
                <w:szCs w:val="21"/>
                <w:highlight w:val="none"/>
                <w:lang w:val="en-US" w:eastAsia="zh-CN" w:bidi="ar-SA"/>
              </w:rPr>
              <w:br w:type="textWrapping"/>
            </w:r>
            <w:r>
              <w:rPr>
                <w:rFonts w:hint="eastAsia" w:ascii="宋体" w:hAnsi="宋体" w:cs="宋体"/>
                <w:color w:val="auto"/>
                <w:kern w:val="0"/>
                <w:sz w:val="21"/>
                <w:szCs w:val="21"/>
                <w:highlight w:val="none"/>
                <w:lang w:val="en-US" w:eastAsia="zh-CN" w:bidi="ar-SA"/>
              </w:rPr>
              <w:t>例如：组件容量为630Wp，中标单价为0.70元/W，投标报价截止日前10天组件平均价为0.77元/W，供应商确认订单之日前10天组件平均价为0.78元/W，K1=[(0.78-0.77)/0.77]*100%=1%，K&lt;3%，价格无需调整，按照中标价执行，则组件合同价为ΣC=0.7*630=441。</w:t>
            </w:r>
            <w:r>
              <w:rPr>
                <w:rFonts w:hint="eastAsia" w:ascii="宋体" w:hAnsi="宋体" w:cs="宋体"/>
                <w:color w:val="auto"/>
                <w:kern w:val="0"/>
                <w:sz w:val="21"/>
                <w:szCs w:val="21"/>
                <w:highlight w:val="none"/>
                <w:lang w:val="en-US" w:eastAsia="zh-CN" w:bidi="ar-SA"/>
              </w:rPr>
              <w:br w:type="textWrapping"/>
            </w:r>
            <w:r>
              <w:rPr>
                <w:rFonts w:hint="eastAsia" w:ascii="宋体" w:hAnsi="宋体" w:cs="宋体"/>
                <w:color w:val="auto"/>
                <w:kern w:val="0"/>
                <w:sz w:val="21"/>
                <w:szCs w:val="21"/>
                <w:highlight w:val="none"/>
                <w:lang w:val="en-US" w:eastAsia="zh-CN" w:bidi="ar-SA"/>
              </w:rPr>
              <w:t>组件容量为630Wp，中标单价为0.70元/W，投标报价截止日前10天组件平均价为0.77元/W，供应商确认订单之日前10天组件平均价为0.70元/W，K1=[(0.7-0.77)/0.77]*100%=-9%，∣K1∣＞3%，价格进行调整，则组件合同价为ΣC=0.70*（1-9%+3%）*630=414.54。</w:t>
            </w:r>
            <w:r>
              <w:rPr>
                <w:rFonts w:hint="eastAsia" w:ascii="宋体" w:hAnsi="宋体" w:cs="宋体"/>
                <w:color w:val="auto"/>
                <w:kern w:val="0"/>
                <w:sz w:val="21"/>
                <w:szCs w:val="21"/>
                <w:highlight w:val="none"/>
                <w:lang w:val="en-US" w:eastAsia="zh-CN" w:bidi="ar-SA"/>
              </w:rPr>
              <w:br w:type="textWrapping"/>
            </w:r>
            <w:r>
              <w:rPr>
                <w:rFonts w:hint="eastAsia" w:ascii="宋体" w:hAnsi="宋体" w:cs="宋体"/>
                <w:color w:val="auto"/>
                <w:kern w:val="0"/>
                <w:sz w:val="21"/>
                <w:szCs w:val="21"/>
                <w:highlight w:val="none"/>
                <w:lang w:val="en-US" w:eastAsia="zh-CN" w:bidi="ar-SA"/>
              </w:rPr>
              <w:t>组件容量为630Wp，中标单价为0.70元/W，投标报价截止日前10天组件平均价为0.77元/W，供应商确认订单之日前10天组件平均价为0.80元/W，K1=[(0.8-0.77)/0.77]*100%=4%，∣K1∣＞3%，价格进行调整，则组件合同价为ΣC=0.70*（1+4%-3%）*630=445.41</w:t>
            </w:r>
            <w:r>
              <w:rPr>
                <w:rFonts w:hint="eastAsia" w:ascii="宋体" w:hAnsi="宋体" w:eastAsia="宋体" w:cs="宋体"/>
                <w:b w:val="0"/>
                <w:bCs w:val="0"/>
                <w:color w:val="auto"/>
                <w:szCs w:val="20"/>
                <w:highlight w:val="none"/>
                <w:lang w:val="en-US" w:eastAsia="zh-CN"/>
              </w:rPr>
              <w:t>。</w:t>
            </w:r>
          </w:p>
        </w:tc>
      </w:tr>
      <w:tr w14:paraId="104A9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1FD7BC22">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3.3.1</w:t>
            </w:r>
          </w:p>
        </w:tc>
        <w:tc>
          <w:tcPr>
            <w:tcW w:w="1728" w:type="dxa"/>
            <w:vAlign w:val="center"/>
          </w:tcPr>
          <w:p w14:paraId="1F0EBD4B">
            <w:pPr>
              <w:pStyle w:val="23"/>
              <w:tabs>
                <w:tab w:val="left" w:pos="2127"/>
              </w:tabs>
              <w:kinsoku/>
              <w:overflowPunct/>
              <w:bidi w:val="0"/>
              <w:spacing w:line="360" w:lineRule="auto"/>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0"/>
                <w:highlight w:val="none"/>
                <w:lang w:val="en-US" w:eastAsia="zh-CN"/>
              </w:rPr>
              <w:t>投标</w:t>
            </w:r>
            <w:r>
              <w:rPr>
                <w:rFonts w:hint="eastAsia" w:ascii="宋体" w:hAnsi="宋体" w:eastAsia="宋体" w:cs="宋体"/>
                <w:color w:val="auto"/>
                <w:szCs w:val="20"/>
                <w:highlight w:val="none"/>
                <w:lang w:eastAsia="zh-CN"/>
              </w:rPr>
              <w:t>有效期</w:t>
            </w:r>
          </w:p>
        </w:tc>
        <w:tc>
          <w:tcPr>
            <w:tcW w:w="7016" w:type="dxa"/>
            <w:vAlign w:val="center"/>
          </w:tcPr>
          <w:p w14:paraId="1ED71BB0">
            <w:pPr>
              <w:pStyle w:val="23"/>
              <w:tabs>
                <w:tab w:val="left" w:pos="2127"/>
              </w:tabs>
              <w:kinsoku/>
              <w:overflowPunct/>
              <w:bidi w:val="0"/>
              <w:spacing w:line="360" w:lineRule="auto"/>
              <w:textAlignment w:val="auto"/>
              <w:rPr>
                <w:rFonts w:hint="eastAsia" w:ascii="宋体" w:hAnsi="宋体" w:cs="宋体"/>
                <w:b w:val="0"/>
                <w:bCs w:val="0"/>
                <w:color w:val="auto"/>
                <w:szCs w:val="20"/>
                <w:highlight w:val="none"/>
                <w:lang w:val="en-US" w:eastAsia="zh-CN"/>
              </w:rPr>
            </w:pPr>
            <w:r>
              <w:rPr>
                <w:rFonts w:hint="eastAsia" w:ascii="宋体" w:hAnsi="宋体" w:cs="宋体"/>
                <w:color w:val="auto"/>
                <w:szCs w:val="21"/>
                <w:highlight w:val="none"/>
                <w:u w:val="none"/>
              </w:rPr>
              <w:t>自递交</w:t>
            </w:r>
            <w:r>
              <w:rPr>
                <w:rFonts w:hint="eastAsia" w:ascii="宋体" w:hAnsi="宋体" w:cs="宋体"/>
                <w:color w:val="auto"/>
                <w:szCs w:val="20"/>
                <w:highlight w:val="none"/>
                <w:lang w:val="en-US" w:eastAsia="zh-CN"/>
              </w:rPr>
              <w:t>投标</w:t>
            </w:r>
            <w:r>
              <w:rPr>
                <w:rFonts w:hint="eastAsia" w:ascii="宋体" w:hAnsi="宋体" w:cs="宋体"/>
                <w:color w:val="auto"/>
                <w:szCs w:val="21"/>
                <w:highlight w:val="none"/>
                <w:u w:val="none"/>
              </w:rPr>
              <w:t>文件截止之日起120日（日历日）</w:t>
            </w:r>
          </w:p>
        </w:tc>
      </w:tr>
      <w:tr w14:paraId="6023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579C42C4">
            <w:pPr>
              <w:pStyle w:val="23"/>
              <w:tabs>
                <w:tab w:val="left" w:pos="2127"/>
              </w:tabs>
              <w:kinsoku/>
              <w:overflowPunct/>
              <w:bidi w:val="0"/>
              <w:spacing w:line="360" w:lineRule="auto"/>
              <w:jc w:val="center"/>
              <w:rPr>
                <w:rFonts w:hint="eastAsia" w:ascii="宋体" w:hAnsi="宋体" w:eastAsia="宋体" w:cs="宋体"/>
                <w:color w:val="auto"/>
                <w:sz w:val="21"/>
                <w:szCs w:val="21"/>
                <w:highlight w:val="none"/>
                <w:u w:val="none"/>
              </w:rPr>
            </w:pPr>
            <w:r>
              <w:rPr>
                <w:rFonts w:hint="eastAsia" w:hAnsi="宋体"/>
                <w:color w:val="auto"/>
                <w:highlight w:val="none"/>
              </w:rPr>
              <w:t>3.4</w:t>
            </w:r>
            <w:r>
              <w:rPr>
                <w:rFonts w:hint="eastAsia" w:hAnsi="宋体"/>
                <w:color w:val="auto"/>
                <w:highlight w:val="none"/>
                <w:lang w:val="en-US" w:eastAsia="zh-CN"/>
              </w:rPr>
              <w:t>.1</w:t>
            </w:r>
          </w:p>
        </w:tc>
        <w:tc>
          <w:tcPr>
            <w:tcW w:w="1728" w:type="dxa"/>
            <w:vAlign w:val="center"/>
          </w:tcPr>
          <w:p w14:paraId="165973A2">
            <w:pPr>
              <w:pStyle w:val="23"/>
              <w:tabs>
                <w:tab w:val="left" w:pos="2127"/>
              </w:tabs>
              <w:kinsoku/>
              <w:overflowPunct/>
              <w:bidi w:val="0"/>
              <w:spacing w:line="360" w:lineRule="auto"/>
              <w:jc w:val="center"/>
              <w:rPr>
                <w:rFonts w:hint="eastAsia" w:ascii="宋体" w:hAnsi="宋体" w:cs="宋体"/>
                <w:color w:val="auto"/>
                <w:szCs w:val="20"/>
                <w:highlight w:val="none"/>
                <w:lang w:val="en-US" w:eastAsia="zh-CN"/>
              </w:rPr>
            </w:pPr>
            <w:r>
              <w:rPr>
                <w:rFonts w:hint="eastAsia" w:hAnsi="宋体"/>
                <w:color w:val="auto"/>
                <w:szCs w:val="21"/>
                <w:highlight w:val="none"/>
                <w:lang w:val="en-US" w:eastAsia="zh-CN"/>
              </w:rPr>
              <w:t>投标</w:t>
            </w:r>
            <w:r>
              <w:rPr>
                <w:rFonts w:hint="eastAsia" w:hAnsi="宋体"/>
                <w:color w:val="auto"/>
                <w:szCs w:val="21"/>
                <w:highlight w:val="none"/>
              </w:rPr>
              <w:t>保证金</w:t>
            </w:r>
          </w:p>
        </w:tc>
        <w:tc>
          <w:tcPr>
            <w:tcW w:w="7016" w:type="dxa"/>
            <w:vAlign w:val="center"/>
          </w:tcPr>
          <w:p w14:paraId="0DC6E820">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right="0"/>
              <w:rPr>
                <w:rFonts w:hint="eastAsia" w:ascii="宋体" w:hAnsi="宋体" w:eastAsia="宋体" w:cs="宋体"/>
                <w:bCs/>
                <w:color w:val="auto"/>
                <w:szCs w:val="20"/>
                <w:highlight w:val="none"/>
                <w:lang w:eastAsia="zh-CN"/>
              </w:rPr>
            </w:pPr>
            <w:r>
              <w:rPr>
                <w:rFonts w:hint="eastAsia" w:ascii="宋体" w:hAnsi="宋体" w:eastAsia="宋体" w:cs="宋体"/>
                <w:bCs/>
                <w:color w:val="auto"/>
                <w:szCs w:val="20"/>
                <w:highlight w:val="none"/>
                <w:lang w:eastAsia="zh-CN"/>
              </w:rPr>
              <w:t>☑</w:t>
            </w:r>
            <w:r>
              <w:rPr>
                <w:rFonts w:hint="eastAsia" w:ascii="宋体" w:hAnsi="宋体" w:eastAsia="宋体" w:cs="宋体"/>
                <w:bCs/>
                <w:color w:val="auto"/>
                <w:szCs w:val="20"/>
                <w:highlight w:val="none"/>
              </w:rPr>
              <w:t>不</w:t>
            </w:r>
            <w:r>
              <w:rPr>
                <w:rFonts w:hint="eastAsia" w:ascii="宋体" w:hAnsi="宋体" w:eastAsia="宋体" w:cs="宋体"/>
                <w:bCs/>
                <w:color w:val="auto"/>
                <w:szCs w:val="20"/>
                <w:highlight w:val="none"/>
                <w:lang w:eastAsia="zh-CN"/>
              </w:rPr>
              <w:t>要求递交</w:t>
            </w:r>
          </w:p>
          <w:p w14:paraId="74EEF7AF">
            <w:pPr>
              <w:keepNext w:val="0"/>
              <w:keepLines w:val="0"/>
              <w:pageBreakBefore w:val="0"/>
              <w:suppressLineNumbers w:val="0"/>
              <w:kinsoku/>
              <w:wordWrap/>
              <w:overflowPunct/>
              <w:topLinePunct w:val="0"/>
              <w:bidi w:val="0"/>
              <w:snapToGrid/>
              <w:spacing w:before="0" w:beforeAutospacing="0" w:after="0" w:afterAutospacing="0" w:line="312" w:lineRule="auto"/>
              <w:ind w:left="0" w:right="0"/>
              <w:rPr>
                <w:rFonts w:hint="eastAsia" w:ascii="宋体" w:hAnsi="宋体" w:eastAsia="宋体" w:cs="宋体"/>
                <w:bCs/>
                <w:color w:val="auto"/>
                <w:szCs w:val="20"/>
                <w:highlight w:val="none"/>
                <w:lang w:eastAsia="zh-CN"/>
              </w:rPr>
            </w:pPr>
            <w:r>
              <w:rPr>
                <w:rFonts w:hint="eastAsia" w:ascii="宋体" w:hAnsi="宋体" w:eastAsia="宋体" w:cs="宋体"/>
                <w:bCs/>
                <w:color w:val="auto"/>
                <w:szCs w:val="20"/>
                <w:highlight w:val="none"/>
              </w:rPr>
              <w:t>□</w:t>
            </w:r>
            <w:r>
              <w:rPr>
                <w:rFonts w:hint="eastAsia" w:ascii="宋体" w:hAnsi="宋体" w:eastAsia="宋体" w:cs="宋体"/>
                <w:bCs/>
                <w:color w:val="auto"/>
                <w:szCs w:val="20"/>
                <w:highlight w:val="none"/>
                <w:lang w:eastAsia="zh-CN"/>
              </w:rPr>
              <w:t>要求递交</w:t>
            </w:r>
          </w:p>
          <w:p w14:paraId="70CA7749">
            <w:pPr>
              <w:keepNext w:val="0"/>
              <w:keepLines w:val="0"/>
              <w:pageBreakBefore w:val="0"/>
              <w:suppressLineNumbers w:val="0"/>
              <w:kinsoku/>
              <w:wordWrap/>
              <w:overflowPunct/>
              <w:topLinePunct w:val="0"/>
              <w:bidi w:val="0"/>
              <w:snapToGrid/>
              <w:spacing w:before="0" w:beforeAutospacing="0" w:after="0" w:afterAutospacing="0" w:line="312" w:lineRule="auto"/>
              <w:ind w:left="0" w:right="0"/>
              <w:rPr>
                <w:rFonts w:hint="eastAsia" w:ascii="宋体" w:hAnsi="宋体" w:eastAsia="宋体" w:cs="宋体"/>
                <w:bCs/>
                <w:color w:val="auto"/>
                <w:szCs w:val="20"/>
                <w:highlight w:val="none"/>
                <w:u w:val="none"/>
                <w:lang w:val="en-US" w:eastAsia="zh-CN"/>
              </w:rPr>
            </w:pPr>
            <w:r>
              <w:rPr>
                <w:rFonts w:hint="eastAsia" w:ascii="宋体" w:hAnsi="宋体" w:eastAsia="宋体" w:cs="宋体"/>
                <w:bCs/>
                <w:color w:val="auto"/>
                <w:szCs w:val="20"/>
                <w:highlight w:val="none"/>
                <w:lang w:eastAsia="zh-CN"/>
              </w:rPr>
              <w:t>保证金的金额：</w:t>
            </w:r>
            <w:r>
              <w:rPr>
                <w:rFonts w:hint="eastAsia" w:ascii="宋体" w:hAnsi="宋体" w:eastAsia="宋体" w:cs="宋体"/>
                <w:bCs/>
                <w:color w:val="auto"/>
                <w:szCs w:val="20"/>
                <w:highlight w:val="none"/>
                <w:u w:val="single"/>
                <w:lang w:val="en-US" w:eastAsia="zh-CN"/>
              </w:rPr>
              <w:t xml:space="preserve">        </w:t>
            </w:r>
          </w:p>
          <w:p w14:paraId="359511D4">
            <w:pPr>
              <w:pStyle w:val="23"/>
              <w:kinsoku/>
              <w:overflowPunct/>
              <w:bidi w:val="0"/>
              <w:spacing w:line="360" w:lineRule="auto"/>
              <w:rPr>
                <w:rFonts w:hint="eastAsia" w:ascii="宋体" w:hAnsi="宋体" w:cs="宋体"/>
                <w:color w:val="auto"/>
                <w:szCs w:val="21"/>
                <w:highlight w:val="none"/>
                <w:u w:val="none"/>
              </w:rPr>
            </w:pPr>
            <w:r>
              <w:rPr>
                <w:rFonts w:hint="eastAsia" w:ascii="宋体" w:hAnsi="宋体" w:eastAsia="宋体" w:cs="宋体"/>
                <w:bCs/>
                <w:color w:val="auto"/>
                <w:szCs w:val="20"/>
                <w:highlight w:val="none"/>
                <w:u w:val="none"/>
                <w:lang w:val="en-US" w:eastAsia="zh-CN"/>
              </w:rPr>
              <w:t>保证金的形式：</w:t>
            </w:r>
            <w:r>
              <w:rPr>
                <w:rFonts w:hint="eastAsia" w:ascii="宋体" w:hAnsi="宋体" w:eastAsia="宋体" w:cs="宋体"/>
                <w:bCs/>
                <w:color w:val="auto"/>
                <w:szCs w:val="20"/>
                <w:highlight w:val="none"/>
                <w:u w:val="single"/>
                <w:lang w:val="en-US" w:eastAsia="zh-CN"/>
              </w:rPr>
              <w:t xml:space="preserve">        </w:t>
            </w:r>
          </w:p>
        </w:tc>
      </w:tr>
      <w:tr w14:paraId="51C9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6FB40513">
            <w:pPr>
              <w:pStyle w:val="23"/>
              <w:tabs>
                <w:tab w:val="left" w:pos="2127"/>
              </w:tabs>
              <w:kinsoku/>
              <w:overflowPunct/>
              <w:bidi w:val="0"/>
              <w:spacing w:line="360" w:lineRule="auto"/>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3.6</w:t>
            </w:r>
            <w:r>
              <w:rPr>
                <w:rFonts w:hint="eastAsia" w:ascii="宋体" w:hAnsi="宋体" w:eastAsia="宋体" w:cs="宋体"/>
                <w:color w:val="auto"/>
                <w:sz w:val="21"/>
                <w:szCs w:val="21"/>
                <w:highlight w:val="none"/>
                <w:u w:val="none"/>
                <w:lang w:val="en-US" w:eastAsia="zh-CN"/>
              </w:rPr>
              <w:t>.1</w:t>
            </w:r>
          </w:p>
        </w:tc>
        <w:tc>
          <w:tcPr>
            <w:tcW w:w="1728" w:type="dxa"/>
            <w:vAlign w:val="center"/>
          </w:tcPr>
          <w:p w14:paraId="668EE09C">
            <w:pPr>
              <w:pStyle w:val="23"/>
              <w:tabs>
                <w:tab w:val="left" w:pos="2127"/>
              </w:tabs>
              <w:kinsoku/>
              <w:overflowPunct/>
              <w:bidi w:val="0"/>
              <w:spacing w:line="360" w:lineRule="auto"/>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是否允许递交备选</w:t>
            </w:r>
            <w:r>
              <w:rPr>
                <w:rFonts w:hint="eastAsia" w:ascii="宋体" w:hAnsi="宋体" w:eastAsia="宋体" w:cs="宋体"/>
                <w:color w:val="auto"/>
                <w:sz w:val="21"/>
                <w:szCs w:val="21"/>
                <w:highlight w:val="none"/>
                <w:u w:val="none"/>
                <w:lang w:val="en-US" w:eastAsia="zh-CN"/>
              </w:rPr>
              <w:t>投标</w:t>
            </w:r>
            <w:r>
              <w:rPr>
                <w:rFonts w:hint="eastAsia" w:ascii="宋体" w:hAnsi="宋体" w:eastAsia="宋体" w:cs="宋体"/>
                <w:color w:val="auto"/>
                <w:sz w:val="21"/>
                <w:szCs w:val="21"/>
                <w:highlight w:val="none"/>
                <w:u w:val="none"/>
              </w:rPr>
              <w:t>方案</w:t>
            </w:r>
          </w:p>
        </w:tc>
        <w:tc>
          <w:tcPr>
            <w:tcW w:w="7016" w:type="dxa"/>
            <w:vAlign w:val="center"/>
          </w:tcPr>
          <w:p w14:paraId="0406AB62">
            <w:pPr>
              <w:pStyle w:val="23"/>
              <w:tabs>
                <w:tab w:val="left" w:pos="2127"/>
              </w:tabs>
              <w:kinsoku/>
              <w:overflowPunct/>
              <w:bidi w:val="0"/>
              <w:spacing w:line="360" w:lineRule="auto"/>
              <w:textAlignment w:val="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rPr>
              <w:t>不允许</w:t>
            </w:r>
          </w:p>
          <w:p w14:paraId="68DDEBB6">
            <w:pPr>
              <w:pStyle w:val="23"/>
              <w:tabs>
                <w:tab w:val="left" w:pos="2127"/>
              </w:tabs>
              <w:kinsoku/>
              <w:overflowPunct/>
              <w:bidi w:val="0"/>
              <w:spacing w:line="360" w:lineRule="auto"/>
              <w:textAlignment w:val="auto"/>
              <w:rPr>
                <w:rFonts w:hint="eastAsia" w:ascii="宋体" w:hAnsi="宋体" w:eastAsia="宋体" w:cs="宋体"/>
                <w:bCs/>
                <w:color w:val="auto"/>
                <w:kern w:val="2"/>
                <w:sz w:val="21"/>
                <w:szCs w:val="21"/>
                <w:highlight w:val="none"/>
                <w:u w:val="none"/>
                <w:lang w:val="en-US" w:eastAsia="zh-CN" w:bidi="ar-SA"/>
              </w:rPr>
            </w:pPr>
            <w:r>
              <w:rPr>
                <w:rFonts w:hint="eastAsia" w:ascii="宋体" w:hAnsi="宋体" w:eastAsia="宋体" w:cs="宋体"/>
                <w:bCs/>
                <w:color w:val="auto"/>
                <w:sz w:val="21"/>
                <w:szCs w:val="21"/>
                <w:highlight w:val="none"/>
                <w:u w:val="none"/>
              </w:rPr>
              <w:t>□允许</w:t>
            </w:r>
          </w:p>
        </w:tc>
      </w:tr>
      <w:tr w14:paraId="2E763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306A99B7">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u w:val="none"/>
              </w:rPr>
              <w:t>3.7.3</w:t>
            </w:r>
          </w:p>
        </w:tc>
        <w:tc>
          <w:tcPr>
            <w:tcW w:w="1728" w:type="dxa"/>
            <w:vAlign w:val="center"/>
          </w:tcPr>
          <w:p w14:paraId="6B3EA38E">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none"/>
              </w:rPr>
              <w:t>签字或盖章要求</w:t>
            </w:r>
          </w:p>
        </w:tc>
        <w:tc>
          <w:tcPr>
            <w:tcW w:w="7016" w:type="dxa"/>
            <w:vAlign w:val="center"/>
          </w:tcPr>
          <w:p w14:paraId="191299FD">
            <w:pPr>
              <w:pStyle w:val="23"/>
              <w:kinsoku/>
              <w:overflowPunct/>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全部采用电子文档，投标文件所附证书证件均为原件扫描件，并采用单位数字证书，按招标文件要求在相应位置加盖电子印章。投标文件中需个人签字或盖章的，应加盖个人电子印章或在线下完成后扫描上传</w:t>
            </w:r>
            <w:r>
              <w:rPr>
                <w:rFonts w:hint="eastAsia" w:hAnsi="宋体" w:cs="宋体"/>
                <w:color w:val="auto"/>
                <w:sz w:val="21"/>
                <w:szCs w:val="21"/>
                <w:highlight w:val="none"/>
                <w:lang w:eastAsia="zh-CN"/>
              </w:rPr>
              <w:t>。</w:t>
            </w:r>
            <w:r>
              <w:rPr>
                <w:rFonts w:hint="eastAsia" w:hAnsi="宋体"/>
                <w:color w:val="auto"/>
                <w:highlight w:val="none"/>
              </w:rPr>
              <w:t>具体操作按照广州公共资源交易中心平台【通用版】新电子招投标系统通用版操作指引（适用于建设工程不使用范本的各类电子标项目）的相关指南进行操作。</w:t>
            </w:r>
          </w:p>
          <w:p w14:paraId="704AC413">
            <w:pPr>
              <w:pStyle w:val="23"/>
              <w:kinsoku/>
              <w:overflowPunct/>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注释：投标文件电子文档需要投标人单位盖章的材料，投标人加盖电子印章即可，不得将投标人未对电子文档加盖实物印章作为否决投标的情形。</w:t>
            </w:r>
          </w:p>
        </w:tc>
      </w:tr>
      <w:tr w14:paraId="41F4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12385F2B">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rPr>
              <w:t>4.1.1</w:t>
            </w:r>
          </w:p>
        </w:tc>
        <w:tc>
          <w:tcPr>
            <w:tcW w:w="1728" w:type="dxa"/>
            <w:vAlign w:val="center"/>
          </w:tcPr>
          <w:p w14:paraId="5B34D7C5">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sz w:val="21"/>
                <w:szCs w:val="21"/>
                <w:highlight w:val="none"/>
              </w:rPr>
            </w:pPr>
            <w:r>
              <w:rPr>
                <w:color w:val="auto"/>
                <w:szCs w:val="21"/>
                <w:highlight w:val="none"/>
              </w:rPr>
              <w:t>投标文件加密要求</w:t>
            </w:r>
          </w:p>
        </w:tc>
        <w:tc>
          <w:tcPr>
            <w:tcW w:w="7016" w:type="dxa"/>
            <w:vAlign w:val="center"/>
          </w:tcPr>
          <w:p w14:paraId="0A60023F">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hAnsi="宋体"/>
                <w:color w:val="auto"/>
                <w:szCs w:val="21"/>
                <w:highlight w:val="none"/>
              </w:rPr>
              <w:t>网上递交的电子投标文件须进行加密。具体操作按照广州公共资源交易平台【通用版】新电子招投标系统通用版操作指引（适用于建设工程不使用范本的各类电子标项目）的相关指南进行操作。</w:t>
            </w:r>
          </w:p>
          <w:p w14:paraId="3F5A5E8F">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2.未按要求加密的投标文件，招标人将予以拒收。</w:t>
            </w:r>
          </w:p>
        </w:tc>
      </w:tr>
      <w:tr w14:paraId="59A6E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57F50B69">
            <w:pPr>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4.1.2</w:t>
            </w:r>
          </w:p>
        </w:tc>
        <w:tc>
          <w:tcPr>
            <w:tcW w:w="1728" w:type="dxa"/>
            <w:vAlign w:val="center"/>
          </w:tcPr>
          <w:p w14:paraId="0CEBF507">
            <w:pPr>
              <w:pStyle w:val="43"/>
              <w:spacing w:after="0"/>
              <w:ind w:left="0" w:leftChars="0" w:firstLine="0" w:firstLineChars="0"/>
              <w:jc w:val="both"/>
              <w:rPr>
                <w:color w:val="auto"/>
                <w:sz w:val="21"/>
                <w:szCs w:val="21"/>
                <w:highlight w:val="none"/>
              </w:rPr>
            </w:pPr>
            <w:r>
              <w:rPr>
                <w:rFonts w:hint="eastAsia" w:ascii="宋体" w:hAnsi="宋体" w:cs="宋体"/>
                <w:color w:val="auto"/>
                <w:kern w:val="2"/>
                <w:sz w:val="21"/>
                <w:szCs w:val="21"/>
                <w:highlight w:val="none"/>
              </w:rPr>
              <w:t>封套上应载明的信息（适用于提交备用光盘或U盘的情况）</w:t>
            </w:r>
          </w:p>
        </w:tc>
        <w:tc>
          <w:tcPr>
            <w:tcW w:w="7016" w:type="dxa"/>
            <w:vAlign w:val="center"/>
          </w:tcPr>
          <w:p w14:paraId="1413D6CD">
            <w:pPr>
              <w:pStyle w:val="16"/>
              <w:spacing w:after="0" w:line="360" w:lineRule="auto"/>
              <w:ind w:left="55" w:leftChars="26"/>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如有提交投标文件光盘或U盘备用，封套上应注明如下信息：</w:t>
            </w:r>
          </w:p>
          <w:p w14:paraId="46B5F230">
            <w:pPr>
              <w:spacing w:after="0" w:line="360" w:lineRule="auto"/>
              <w:ind w:left="55" w:leftChars="2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招标人名称：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ascii="宋体" w:hAnsi="宋体" w:eastAsia="宋体" w:cs="宋体"/>
                <w:color w:val="auto"/>
                <w:sz w:val="21"/>
                <w:szCs w:val="21"/>
                <w:highlight w:val="none"/>
                <w:u w:val="single"/>
              </w:rPr>
              <w:t xml:space="preserve">  </w:t>
            </w:r>
          </w:p>
          <w:p w14:paraId="3AFF6DC6">
            <w:pPr>
              <w:spacing w:after="0" w:line="360" w:lineRule="auto"/>
              <w:ind w:left="55" w:leftChars="2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w:t>
            </w:r>
            <w:r>
              <w:rPr>
                <w:rFonts w:hint="eastAsia" w:ascii="宋体" w:hAnsi="宋体" w:eastAsia="宋体" w:cs="宋体"/>
                <w:color w:val="auto"/>
                <w:sz w:val="21"/>
                <w:szCs w:val="21"/>
                <w:highlight w:val="none"/>
                <w:u w:val="single"/>
              </w:rPr>
              <w:t xml:space="preserve"> </w:t>
            </w:r>
            <w:r>
              <w:rPr>
                <w:rFonts w:ascii="宋体" w:hAnsi="宋体" w:eastAsia="宋体" w:cs="宋体"/>
                <w:color w:val="auto"/>
                <w:sz w:val="21"/>
                <w:szCs w:val="21"/>
                <w:highlight w:val="none"/>
                <w:u w:val="single"/>
              </w:rPr>
              <w:t xml:space="preserve">                  </w:t>
            </w:r>
          </w:p>
          <w:p w14:paraId="5E4B0798">
            <w:pPr>
              <w:pStyle w:val="16"/>
              <w:spacing w:after="0" w:line="360" w:lineRule="auto"/>
              <w:ind w:left="55" w:leftChars="26"/>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（项目名称） </w:t>
            </w:r>
            <w:r>
              <w:rPr>
                <w:rFonts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投标文件</w:t>
            </w:r>
          </w:p>
          <w:p w14:paraId="0F712A14">
            <w:pPr>
              <w:pStyle w:val="43"/>
              <w:spacing w:after="0" w:line="360" w:lineRule="auto"/>
              <w:ind w:left="0" w:leftChars="0" w:firstLine="0"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在</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日时前不得开启</w:t>
            </w:r>
          </w:p>
          <w:p w14:paraId="6447EC8B">
            <w:pPr>
              <w:pStyle w:val="43"/>
              <w:spacing w:after="0" w:line="360" w:lineRule="auto"/>
              <w:ind w:left="0" w:leftChars="0" w:firstLine="0" w:firstLineChars="0"/>
              <w:jc w:val="left"/>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注：投标人递交投标文件备用光盘时，如果包封上没有按规定密封并加写标志，招标人将不承担错放或提前开封的责任，由此造成的提前开封的，招标人予以拒绝，并退还给投标人。</w:t>
            </w:r>
          </w:p>
        </w:tc>
      </w:tr>
      <w:tr w14:paraId="0F6D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48900602">
            <w:pPr>
              <w:pStyle w:val="23"/>
              <w:kinsoku/>
              <w:overflowPunct/>
              <w:bidi w:val="0"/>
              <w:spacing w:line="360" w:lineRule="auto"/>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4.2.</w:t>
            </w:r>
            <w:r>
              <w:rPr>
                <w:rFonts w:hint="eastAsia" w:ascii="宋体" w:hAnsi="宋体" w:eastAsia="宋体" w:cs="宋体"/>
                <w:color w:val="auto"/>
                <w:sz w:val="21"/>
                <w:szCs w:val="21"/>
                <w:highlight w:val="none"/>
                <w:u w:val="none"/>
                <w:lang w:val="en-US" w:eastAsia="zh-CN"/>
              </w:rPr>
              <w:t>1</w:t>
            </w:r>
          </w:p>
        </w:tc>
        <w:tc>
          <w:tcPr>
            <w:tcW w:w="1728" w:type="dxa"/>
            <w:vAlign w:val="center"/>
          </w:tcPr>
          <w:p w14:paraId="0EFE684A">
            <w:pPr>
              <w:pStyle w:val="23"/>
              <w:kinsoku/>
              <w:overflowPunct/>
              <w:bidi w:val="0"/>
              <w:spacing w:line="360" w:lineRule="auto"/>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递交</w:t>
            </w:r>
            <w:r>
              <w:rPr>
                <w:rFonts w:hint="eastAsia" w:ascii="宋体" w:hAnsi="宋体" w:cs="宋体"/>
                <w:color w:val="auto"/>
                <w:sz w:val="21"/>
                <w:szCs w:val="21"/>
                <w:highlight w:val="none"/>
                <w:lang w:val="en-US" w:eastAsia="zh-CN"/>
              </w:rPr>
              <w:t>投标</w:t>
            </w:r>
            <w:r>
              <w:rPr>
                <w:rFonts w:hint="eastAsia" w:ascii="宋体" w:hAnsi="宋体" w:cs="宋体"/>
                <w:color w:val="auto"/>
                <w:sz w:val="21"/>
                <w:szCs w:val="21"/>
                <w:highlight w:val="none"/>
                <w:lang w:eastAsia="zh-CN"/>
              </w:rPr>
              <w:t>文件</w:t>
            </w:r>
            <w:r>
              <w:rPr>
                <w:rFonts w:hint="eastAsia" w:ascii="宋体" w:hAnsi="宋体" w:eastAsia="宋体" w:cs="宋体"/>
                <w:color w:val="auto"/>
                <w:sz w:val="21"/>
                <w:szCs w:val="21"/>
                <w:highlight w:val="none"/>
              </w:rPr>
              <w:t>截止时间</w:t>
            </w:r>
          </w:p>
        </w:tc>
        <w:tc>
          <w:tcPr>
            <w:tcW w:w="7016" w:type="dxa"/>
            <w:vAlign w:val="center"/>
          </w:tcPr>
          <w:p w14:paraId="3BA17349">
            <w:pPr>
              <w:pStyle w:val="23"/>
              <w:kinsoku/>
              <w:overflowPunct/>
              <w:bidi w:val="0"/>
              <w:spacing w:line="360" w:lineRule="auto"/>
              <w:textAlignment w:val="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详见广州交易集团有限公司（广州公共资源交易中心）网站信息。具体时间可以到广州交易集团有限公司（广州公共资源交易中心）交易平台“建设工程→项目查询（日程安排、答疑纪要）”输入本项目编号或项目名称进行查询。</w:t>
            </w:r>
          </w:p>
        </w:tc>
      </w:tr>
      <w:tr w14:paraId="683FA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062C175B">
            <w:pPr>
              <w:spacing w:after="0" w:line="240" w:lineRule="auto"/>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4.2.3</w:t>
            </w:r>
          </w:p>
        </w:tc>
        <w:tc>
          <w:tcPr>
            <w:tcW w:w="1728" w:type="dxa"/>
            <w:vAlign w:val="center"/>
          </w:tcPr>
          <w:p w14:paraId="2D9CA10D">
            <w:pPr>
              <w:pStyle w:val="43"/>
              <w:spacing w:after="0"/>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递交电子投标文件交易平台</w:t>
            </w:r>
          </w:p>
        </w:tc>
        <w:tc>
          <w:tcPr>
            <w:tcW w:w="7016" w:type="dxa"/>
            <w:vAlign w:val="center"/>
          </w:tcPr>
          <w:p w14:paraId="0717FEF5">
            <w:pPr>
              <w:snapToGrid w:val="0"/>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1.递交方式：网上递交投标文件 </w:t>
            </w:r>
          </w:p>
          <w:p w14:paraId="0D562C37">
            <w:pPr>
              <w:snapToGrid w:val="0"/>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2.交易平台：广州交易集团有限公司（广州公共资源交易中心）网站。</w:t>
            </w:r>
          </w:p>
          <w:p w14:paraId="51B8C272">
            <w:pPr>
              <w:pStyle w:val="43"/>
              <w:spacing w:after="0" w:line="360" w:lineRule="auto"/>
              <w:ind w:left="0" w:leftChars="0" w:firstLine="0" w:firstLineChars="0"/>
              <w:jc w:val="left"/>
              <w:rPr>
                <w:rFonts w:hint="eastAsia" w:ascii="宋体" w:hAnsi="宋体" w:eastAsia="宋体" w:cs="宋体"/>
                <w:color w:val="auto"/>
                <w:kern w:val="0"/>
                <w:sz w:val="21"/>
                <w:szCs w:val="21"/>
                <w:highlight w:val="none"/>
                <w:u w:val="none"/>
                <w:lang w:val="en-US" w:eastAsia="zh-CN" w:bidi="ar-SA"/>
              </w:rPr>
            </w:pPr>
            <w:r>
              <w:rPr>
                <w:rFonts w:hint="eastAsia" w:ascii="宋体" w:hAnsi="宋体" w:cs="宋体"/>
                <w:color w:val="auto"/>
                <w:sz w:val="21"/>
                <w:szCs w:val="21"/>
                <w:highlight w:val="none"/>
              </w:rPr>
              <w:t>3.上述时间是否有改变，请密切留意招标答疑纪要的相关信息。</w:t>
            </w:r>
          </w:p>
        </w:tc>
      </w:tr>
      <w:tr w14:paraId="25083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337D0BA2">
            <w:pPr>
              <w:pStyle w:val="23"/>
              <w:tabs>
                <w:tab w:val="left" w:pos="2127"/>
              </w:tabs>
              <w:kinsoku/>
              <w:overflowPunct/>
              <w:bidi w:val="0"/>
              <w:spacing w:line="360" w:lineRule="auto"/>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0"/>
                <w:sz w:val="21"/>
                <w:szCs w:val="21"/>
                <w:highlight w:val="none"/>
                <w:u w:val="none"/>
              </w:rPr>
              <w:t>4.2.</w:t>
            </w:r>
            <w:r>
              <w:rPr>
                <w:rFonts w:hint="eastAsia" w:hAnsi="宋体" w:cs="宋体"/>
                <w:color w:val="auto"/>
                <w:kern w:val="0"/>
                <w:sz w:val="21"/>
                <w:szCs w:val="21"/>
                <w:highlight w:val="none"/>
                <w:u w:val="none"/>
                <w:lang w:val="en-US" w:eastAsia="zh-CN"/>
              </w:rPr>
              <w:t>4</w:t>
            </w:r>
          </w:p>
        </w:tc>
        <w:tc>
          <w:tcPr>
            <w:tcW w:w="1728" w:type="dxa"/>
            <w:vAlign w:val="center"/>
          </w:tcPr>
          <w:p w14:paraId="0FD79599">
            <w:pPr>
              <w:pStyle w:val="23"/>
              <w:tabs>
                <w:tab w:val="left" w:pos="2127"/>
              </w:tabs>
              <w:kinsoku/>
              <w:overflowPunct/>
              <w:bidi w:val="0"/>
              <w:spacing w:line="360" w:lineRule="auto"/>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0"/>
                <w:szCs w:val="21"/>
                <w:highlight w:val="none"/>
              </w:rPr>
              <w:t>是否退还</w:t>
            </w:r>
            <w:r>
              <w:rPr>
                <w:rFonts w:hint="eastAsia" w:ascii="宋体" w:hAnsi="宋体" w:eastAsia="宋体" w:cs="宋体"/>
                <w:color w:val="auto"/>
                <w:kern w:val="0"/>
                <w:szCs w:val="21"/>
                <w:highlight w:val="none"/>
                <w:lang w:val="en-US" w:eastAsia="zh-CN"/>
              </w:rPr>
              <w:t>投标</w:t>
            </w:r>
            <w:r>
              <w:rPr>
                <w:rFonts w:hint="eastAsia" w:ascii="宋体" w:hAnsi="宋体" w:cs="宋体"/>
                <w:color w:val="auto"/>
                <w:kern w:val="0"/>
                <w:szCs w:val="21"/>
                <w:highlight w:val="none"/>
                <w:lang w:eastAsia="zh-CN"/>
              </w:rPr>
              <w:t>文件</w:t>
            </w:r>
          </w:p>
        </w:tc>
        <w:tc>
          <w:tcPr>
            <w:tcW w:w="7016" w:type="dxa"/>
            <w:vAlign w:val="center"/>
          </w:tcPr>
          <w:p w14:paraId="02FF4C3C">
            <w:pPr>
              <w:pStyle w:val="23"/>
              <w:tabs>
                <w:tab w:val="left" w:pos="2127"/>
              </w:tabs>
              <w:kinsoku/>
              <w:overflowPunct/>
              <w:bidi w:val="0"/>
              <w:spacing w:line="360" w:lineRule="auto"/>
              <w:textAlignment w:val="auto"/>
              <w:rPr>
                <w:rFonts w:hint="eastAsia" w:ascii="宋体" w:hAnsi="宋体" w:eastAsia="宋体" w:cs="宋体"/>
                <w:bCs/>
                <w:color w:val="auto"/>
                <w:sz w:val="21"/>
                <w:szCs w:val="21"/>
                <w:highlight w:val="none"/>
                <w:u w:val="none"/>
              </w:rPr>
            </w:pPr>
            <w:r>
              <w:rPr>
                <w:rFonts w:hint="eastAsia" w:ascii="宋体" w:hAnsi="宋体" w:eastAsia="宋体" w:cs="宋体"/>
                <w:color w:val="auto"/>
                <w:sz w:val="21"/>
                <w:szCs w:val="21"/>
                <w:highlight w:val="none"/>
                <w:u w:val="none"/>
                <w:lang w:eastAsia="zh-CN"/>
              </w:rPr>
              <w:t>☑</w:t>
            </w:r>
            <w:r>
              <w:rPr>
                <w:rFonts w:hint="eastAsia" w:ascii="宋体" w:hAnsi="宋体" w:eastAsia="宋体" w:cs="宋体"/>
                <w:bCs/>
                <w:color w:val="auto"/>
                <w:sz w:val="21"/>
                <w:szCs w:val="21"/>
                <w:highlight w:val="none"/>
                <w:u w:val="none"/>
              </w:rPr>
              <w:t>否</w:t>
            </w:r>
          </w:p>
          <w:p w14:paraId="2CC39A50">
            <w:pPr>
              <w:pStyle w:val="23"/>
              <w:tabs>
                <w:tab w:val="left" w:pos="2127"/>
              </w:tabs>
              <w:kinsoku/>
              <w:overflowPunct/>
              <w:bidi w:val="0"/>
              <w:spacing w:line="360" w:lineRule="auto"/>
              <w:textAlignment w:val="auto"/>
              <w:rPr>
                <w:rFonts w:hint="eastAsia" w:ascii="宋体" w:hAnsi="宋体" w:eastAsia="宋体" w:cs="宋体"/>
                <w:bCs/>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w:t>
            </w:r>
            <w:r>
              <w:rPr>
                <w:rFonts w:hint="eastAsia" w:ascii="宋体" w:hAnsi="宋体" w:eastAsia="宋体" w:cs="宋体"/>
                <w:bCs/>
                <w:color w:val="auto"/>
                <w:sz w:val="21"/>
                <w:szCs w:val="21"/>
                <w:highlight w:val="none"/>
                <w:u w:val="none"/>
              </w:rPr>
              <w:t>是</w:t>
            </w:r>
          </w:p>
        </w:tc>
      </w:tr>
      <w:tr w14:paraId="0558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3650B726">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rPr>
              <w:t>5.1</w:t>
            </w:r>
          </w:p>
        </w:tc>
        <w:tc>
          <w:tcPr>
            <w:tcW w:w="1728" w:type="dxa"/>
            <w:vAlign w:val="center"/>
          </w:tcPr>
          <w:p w14:paraId="631467DE">
            <w:pPr>
              <w:pStyle w:val="23"/>
              <w:tabs>
                <w:tab w:val="left" w:pos="2127"/>
              </w:tabs>
              <w:kinsoku/>
              <w:overflowPunct/>
              <w:bidi w:val="0"/>
              <w:spacing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Cs w:val="21"/>
                <w:highlight w:val="none"/>
              </w:rPr>
              <w:t>开标时间和地点</w:t>
            </w:r>
          </w:p>
        </w:tc>
        <w:tc>
          <w:tcPr>
            <w:tcW w:w="7016" w:type="dxa"/>
            <w:vAlign w:val="center"/>
          </w:tcPr>
          <w:p w14:paraId="1138DDEB">
            <w:pPr>
              <w:pStyle w:val="15"/>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1.开标时间：同投标截止时间</w:t>
            </w:r>
          </w:p>
          <w:p w14:paraId="23E73ACC">
            <w:pPr>
              <w:pStyle w:val="15"/>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2.开标地点：广州交易集团有限公司（广州公共资源交易中心）</w:t>
            </w:r>
          </w:p>
          <w:p w14:paraId="50E4F127">
            <w:pPr>
              <w:pStyle w:val="15"/>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注：（1）具体时间、地点可以到广州交易集团有限公司（广州公共资源交易中心）网站的项目查询(日程安排、答疑纪要)中输入本项目编号或项目名称进行查询。</w:t>
            </w:r>
          </w:p>
          <w:p w14:paraId="06E1214D">
            <w:pPr>
              <w:pStyle w:val="15"/>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（2）投标人也可选择参加在线开标，具体按照交易平台相关指南进行操作。详见：广州交易集团有限公司（广州公共资源交易中心）网站（http://www.gzggzy.cn）服务指南栏目。</w:t>
            </w:r>
          </w:p>
        </w:tc>
      </w:tr>
      <w:tr w14:paraId="771C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6AB49A9A">
            <w:pPr>
              <w:pStyle w:val="23"/>
              <w:tabs>
                <w:tab w:val="left" w:pos="2127"/>
              </w:tabs>
              <w:kinsoku/>
              <w:overflowPunct/>
              <w:bidi w:val="0"/>
              <w:spacing w:line="360" w:lineRule="auto"/>
              <w:jc w:val="center"/>
              <w:textAlignment w:val="auto"/>
              <w:rPr>
                <w:rFonts w:hint="default" w:ascii="宋体" w:hAnsi="宋体" w:eastAsia="宋体" w:cs="宋体"/>
                <w:color w:val="auto"/>
                <w:sz w:val="21"/>
                <w:szCs w:val="21"/>
                <w:highlight w:val="none"/>
                <w:u w:val="none"/>
                <w:lang w:val="en-US" w:eastAsia="zh-CN"/>
              </w:rPr>
            </w:pPr>
            <w:r>
              <w:rPr>
                <w:rFonts w:hint="eastAsia" w:hAnsi="宋体" w:cs="宋体"/>
                <w:color w:val="auto"/>
                <w:sz w:val="21"/>
                <w:szCs w:val="21"/>
                <w:highlight w:val="none"/>
                <w:u w:val="none"/>
                <w:lang w:val="en-US" w:eastAsia="zh-CN"/>
              </w:rPr>
              <w:t>5.2</w:t>
            </w:r>
          </w:p>
        </w:tc>
        <w:tc>
          <w:tcPr>
            <w:tcW w:w="1728" w:type="dxa"/>
            <w:vAlign w:val="center"/>
          </w:tcPr>
          <w:p w14:paraId="1A4D87BC">
            <w:pPr>
              <w:pStyle w:val="23"/>
              <w:tabs>
                <w:tab w:val="left" w:pos="2127"/>
              </w:tabs>
              <w:kinsoku/>
              <w:overflowPunct/>
              <w:bidi w:val="0"/>
              <w:spacing w:line="36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开标程序</w:t>
            </w:r>
          </w:p>
        </w:tc>
        <w:tc>
          <w:tcPr>
            <w:tcW w:w="7016" w:type="dxa"/>
            <w:vAlign w:val="center"/>
          </w:tcPr>
          <w:p w14:paraId="2A524196">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1.宣布开标纪律；</w:t>
            </w:r>
          </w:p>
          <w:p w14:paraId="56ED23D6">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2.宣布开标人、唱标人、记录人、监标人等有关人员姓名；</w:t>
            </w:r>
          </w:p>
          <w:p w14:paraId="707C49CD">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投标截止时间后一个小时内，投标人通过递交投标文件的交易平台对已递交的电子投标文件进行解密。投标人完成解密后，再由招标人进行解密。解密完成后，公布招标项目名称、投标人名称等相关信息。未在规定时间内解密的投标文件不参与开标、评标。</w:t>
            </w:r>
          </w:p>
          <w:p w14:paraId="50792A80">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4.截标后，开标开始时间因故推迟的，相关评标信息仍以原定的开标开始时间的信息为准。</w:t>
            </w:r>
          </w:p>
          <w:p w14:paraId="7ECF9D91">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5.备用光盘的读取按投标人须知前附表第9条第6点的规定执行。</w:t>
            </w:r>
          </w:p>
          <w:p w14:paraId="20B32F92">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14:paraId="76202F63">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开标方式采用电子开标和现场开标两种模式，投标人可选择在开标室参与开标或准时在线参加开标，也可不参加开标。参加在线开标的投标人登录新交易平台实时查看开标、唱标情况。新交易平台生成开标记录并向社会公众公布。</w:t>
            </w:r>
          </w:p>
          <w:p w14:paraId="4891BCCF">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参加现场开标的投标人对开标结果有异议的，应当在开标现场提出，同时出示本人身份证原件，招标人应当当场作出答复，并制作记录。参加在线开标的投标人对开标结果有异议的，投标人应通过交易平台在线提出，招标人应通过交易平台答复，答复后方可结束开标。</w:t>
            </w:r>
          </w:p>
          <w:p w14:paraId="26ABBEC2">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9.投标人未参加开标或在规定的时间内未提出异议的，视为对开标无异议。</w:t>
            </w:r>
          </w:p>
          <w:p w14:paraId="000021F5">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10.开标时，两个（含两个）以上的投标人加密打包投标文件电脑机器特征码一致的，不参与下一程序，并由评标委员会否决其投标。</w:t>
            </w:r>
          </w:p>
          <w:p w14:paraId="17F2402E">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11.投标人代表、招标人代表、监标人、记录人等有关人员在开标记录上签字确认；若有关人员不签字的，不影响开标程序；</w:t>
            </w:r>
          </w:p>
          <w:p w14:paraId="7B52A431">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12.开标结束。</w:t>
            </w:r>
          </w:p>
        </w:tc>
      </w:tr>
      <w:tr w14:paraId="0548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846" w:type="dxa"/>
            <w:vAlign w:val="center"/>
          </w:tcPr>
          <w:p w14:paraId="41263A36">
            <w:pPr>
              <w:pStyle w:val="23"/>
              <w:numPr>
                <w:ilvl w:val="0"/>
                <w:numId w:val="0"/>
              </w:numPr>
              <w:tabs>
                <w:tab w:val="left" w:pos="2127"/>
              </w:tabs>
              <w:kinsoku/>
              <w:overflowPunct/>
              <w:bidi w:val="0"/>
              <w:spacing w:line="360" w:lineRule="auto"/>
              <w:ind w:lef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rPr>
              <w:t>7.</w:t>
            </w:r>
            <w:r>
              <w:rPr>
                <w:rFonts w:hint="eastAsia" w:ascii="宋体" w:hAnsi="宋体" w:eastAsia="宋体" w:cs="宋体"/>
                <w:color w:val="auto"/>
                <w:sz w:val="21"/>
                <w:szCs w:val="21"/>
                <w:highlight w:val="none"/>
                <w:u w:val="none"/>
                <w:lang w:val="en-US" w:eastAsia="zh-CN"/>
              </w:rPr>
              <w:t>1</w:t>
            </w:r>
          </w:p>
        </w:tc>
        <w:tc>
          <w:tcPr>
            <w:tcW w:w="1728" w:type="dxa"/>
            <w:vAlign w:val="center"/>
          </w:tcPr>
          <w:p w14:paraId="22CBE966">
            <w:pPr>
              <w:pStyle w:val="23"/>
              <w:tabs>
                <w:tab w:val="left" w:pos="2127"/>
              </w:tabs>
              <w:kinsoku/>
              <w:overflowPunct/>
              <w:bidi w:val="0"/>
              <w:spacing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中标候选人公示媒介</w:t>
            </w:r>
          </w:p>
        </w:tc>
        <w:tc>
          <w:tcPr>
            <w:tcW w:w="7016" w:type="dxa"/>
            <w:vAlign w:val="center"/>
          </w:tcPr>
          <w:p w14:paraId="4215B26F">
            <w:pPr>
              <w:pStyle w:val="23"/>
              <w:kinsoku/>
              <w:overflowPunct/>
              <w:bidi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1.公示媒介：广州交易集团有限公司（广州公共资源交易中心）网站、中国招标投标公共服务平台、广东省招标投标监管网、广州国企阳光采购信息发布平台。</w:t>
            </w:r>
          </w:p>
          <w:p w14:paraId="41A7AE8C">
            <w:pPr>
              <w:pStyle w:val="23"/>
              <w:kinsoku/>
              <w:overflowPunct/>
              <w:bidi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2.公示期限：3日</w:t>
            </w:r>
          </w:p>
        </w:tc>
      </w:tr>
      <w:tr w14:paraId="03A0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26461280">
            <w:pPr>
              <w:pStyle w:val="23"/>
              <w:numPr>
                <w:ilvl w:val="0"/>
                <w:numId w:val="0"/>
              </w:numPr>
              <w:tabs>
                <w:tab w:val="left" w:pos="2127"/>
              </w:tabs>
              <w:kinsoku/>
              <w:overflowPunct/>
              <w:bidi w:val="0"/>
              <w:spacing w:line="360" w:lineRule="auto"/>
              <w:ind w:leftChars="0"/>
              <w:jc w:val="center"/>
              <w:textAlignment w:val="auto"/>
              <w:rPr>
                <w:rFonts w:hint="default"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7.2</w:t>
            </w:r>
          </w:p>
        </w:tc>
        <w:tc>
          <w:tcPr>
            <w:tcW w:w="1728" w:type="dxa"/>
            <w:vAlign w:val="center"/>
          </w:tcPr>
          <w:p w14:paraId="0F8D27FC">
            <w:pPr>
              <w:pStyle w:val="23"/>
              <w:kinsoku/>
              <w:overflowPunct/>
              <w:bidi w:val="0"/>
              <w:spacing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中标公告媒介</w:t>
            </w:r>
          </w:p>
        </w:tc>
        <w:tc>
          <w:tcPr>
            <w:tcW w:w="7016" w:type="dxa"/>
            <w:vAlign w:val="center"/>
          </w:tcPr>
          <w:p w14:paraId="12F12AA5">
            <w:pPr>
              <w:pStyle w:val="23"/>
              <w:kinsoku/>
              <w:overflowPunct/>
              <w:bidi w:val="0"/>
              <w:spacing w:line="360" w:lineRule="auto"/>
              <w:jc w:val="both"/>
              <w:textAlignment w:val="auto"/>
              <w:rPr>
                <w:rFonts w:hint="eastAsia"/>
                <w:color w:val="auto"/>
                <w:highlight w:val="none"/>
              </w:rPr>
            </w:pPr>
            <w:r>
              <w:rPr>
                <w:rFonts w:hint="eastAsia" w:ascii="宋体" w:hAnsi="宋体" w:eastAsia="宋体" w:cs="宋体"/>
                <w:color w:val="auto"/>
                <w:sz w:val="21"/>
                <w:szCs w:val="21"/>
                <w:highlight w:val="none"/>
              </w:rPr>
              <w:t>广州交易集团有限公司（广州公共资源交易中心）网站、中国招标投标公共服务平台、广东省招标投标监管网、广州国企阳光采购信息发布平台。</w:t>
            </w:r>
          </w:p>
        </w:tc>
      </w:tr>
      <w:tr w14:paraId="062C9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1029AEAB">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rPr>
              <w:t>7.</w:t>
            </w:r>
            <w:r>
              <w:rPr>
                <w:rFonts w:hint="eastAsia" w:ascii="宋体" w:hAnsi="宋体" w:eastAsia="宋体" w:cs="宋体"/>
                <w:color w:val="auto"/>
                <w:sz w:val="21"/>
                <w:szCs w:val="21"/>
                <w:highlight w:val="none"/>
                <w:u w:val="none"/>
                <w:lang w:val="en-US" w:eastAsia="zh-CN"/>
              </w:rPr>
              <w:t>6.1</w:t>
            </w:r>
          </w:p>
        </w:tc>
        <w:tc>
          <w:tcPr>
            <w:tcW w:w="1728" w:type="dxa"/>
            <w:vAlign w:val="center"/>
          </w:tcPr>
          <w:p w14:paraId="0697EB81">
            <w:pPr>
              <w:pStyle w:val="23"/>
              <w:tabs>
                <w:tab w:val="left" w:pos="2127"/>
              </w:tabs>
              <w:kinsoku/>
              <w:overflowPunct/>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u w:val="none"/>
                <w:lang w:val="en-US" w:eastAsia="zh-CN"/>
              </w:rPr>
              <w:t>履约保证金</w:t>
            </w:r>
          </w:p>
        </w:tc>
        <w:tc>
          <w:tcPr>
            <w:tcW w:w="7016" w:type="dxa"/>
            <w:vAlign w:val="center"/>
          </w:tcPr>
          <w:p w14:paraId="3D91C06B">
            <w:pPr>
              <w:pStyle w:val="23"/>
              <w:tabs>
                <w:tab w:val="left" w:pos="2127"/>
              </w:tabs>
              <w:kinsoku/>
              <w:overflowPunct/>
              <w:bidi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u w:val="none"/>
                <w:shd w:val="clear" w:color="auto" w:fill="auto"/>
                <w:lang w:eastAsia="zh-CN"/>
              </w:rPr>
              <w:t>☑</w:t>
            </w:r>
            <w:r>
              <w:rPr>
                <w:rFonts w:hint="eastAsia" w:ascii="宋体" w:hAnsi="宋体" w:eastAsia="宋体" w:cs="宋体"/>
                <w:color w:val="auto"/>
                <w:szCs w:val="21"/>
                <w:highlight w:val="none"/>
                <w:u w:val="none"/>
                <w:lang w:eastAsia="zh-CN"/>
              </w:rPr>
              <w:t>详见</w:t>
            </w:r>
            <w:r>
              <w:rPr>
                <w:rFonts w:hint="eastAsia" w:ascii="宋体" w:hAnsi="宋体" w:eastAsia="宋体" w:cs="宋体"/>
                <w:color w:val="auto"/>
                <w:kern w:val="0"/>
                <w:szCs w:val="32"/>
                <w:highlight w:val="none"/>
                <w:u w:val="none"/>
              </w:rPr>
              <w:t>合同条款及格式</w:t>
            </w:r>
          </w:p>
        </w:tc>
      </w:tr>
      <w:tr w14:paraId="3561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401E43AB">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8</w:t>
            </w:r>
          </w:p>
        </w:tc>
        <w:tc>
          <w:tcPr>
            <w:tcW w:w="1728" w:type="dxa"/>
            <w:vAlign w:val="center"/>
          </w:tcPr>
          <w:p w14:paraId="43FCE217">
            <w:pPr>
              <w:pStyle w:val="23"/>
              <w:tabs>
                <w:tab w:val="left" w:pos="2127"/>
              </w:tabs>
              <w:kinsoku/>
              <w:overflowPunct/>
              <w:bidi w:val="0"/>
              <w:spacing w:line="360" w:lineRule="auto"/>
              <w:jc w:val="center"/>
              <w:rPr>
                <w:rFonts w:hint="eastAsia" w:ascii="宋体" w:hAnsi="宋体" w:eastAsia="宋体" w:cs="宋体"/>
                <w:color w:val="auto"/>
                <w:kern w:val="0"/>
                <w:sz w:val="21"/>
                <w:szCs w:val="21"/>
                <w:highlight w:val="none"/>
                <w:u w:val="none"/>
                <w:lang w:val="en-US" w:eastAsia="zh-CN"/>
              </w:rPr>
            </w:pPr>
            <w:r>
              <w:rPr>
                <w:rFonts w:hint="eastAsia" w:hAnsi="宋体" w:cs="宋体"/>
                <w:color w:val="auto"/>
                <w:kern w:val="0"/>
                <w:sz w:val="21"/>
                <w:szCs w:val="21"/>
                <w:highlight w:val="none"/>
                <w:u w:val="none"/>
                <w:lang w:val="en-US" w:eastAsia="zh-CN" w:bidi="ar-SA"/>
              </w:rPr>
              <w:t>递交投标文件的最少投标人数量</w:t>
            </w:r>
          </w:p>
        </w:tc>
        <w:tc>
          <w:tcPr>
            <w:tcW w:w="7016" w:type="dxa"/>
            <w:vAlign w:val="center"/>
          </w:tcPr>
          <w:p w14:paraId="760AF9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highlight w:val="none"/>
                <w:lang w:eastAsia="zh-CN"/>
              </w:rPr>
            </w:pPr>
            <w:r>
              <w:rPr>
                <w:rFonts w:hint="eastAsia" w:ascii="宋体" w:hAnsi="宋体" w:cs="宋体"/>
                <w:b w:val="0"/>
                <w:bCs w:val="0"/>
                <w:color w:val="auto"/>
                <w:sz w:val="21"/>
                <w:szCs w:val="21"/>
                <w:highlight w:val="none"/>
                <w:lang w:eastAsia="zh-CN"/>
              </w:rPr>
              <w:t>中标人数量N+2</w:t>
            </w:r>
          </w:p>
        </w:tc>
      </w:tr>
      <w:tr w14:paraId="228E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38BDEE8D">
            <w:pPr>
              <w:pStyle w:val="23"/>
              <w:tabs>
                <w:tab w:val="left" w:pos="2127"/>
              </w:tabs>
              <w:kinsoku/>
              <w:overflowPunct/>
              <w:bidi w:val="0"/>
              <w:spacing w:line="360" w:lineRule="auto"/>
              <w:jc w:val="center"/>
              <w:textAlignment w:val="auto"/>
              <w:rPr>
                <w:rFonts w:hint="default" w:ascii="宋体" w:hAnsi="宋体" w:eastAsia="宋体" w:cs="宋体"/>
                <w:color w:val="auto"/>
                <w:sz w:val="21"/>
                <w:szCs w:val="21"/>
                <w:highlight w:val="none"/>
                <w:u w:val="none"/>
                <w:lang w:val="en-US" w:eastAsia="zh-CN"/>
              </w:rPr>
            </w:pPr>
            <w:r>
              <w:rPr>
                <w:rFonts w:hint="eastAsia" w:hAnsi="宋体" w:cs="宋体"/>
                <w:color w:val="auto"/>
                <w:sz w:val="21"/>
                <w:szCs w:val="21"/>
                <w:highlight w:val="none"/>
                <w:u w:val="none"/>
                <w:lang w:val="en-US" w:eastAsia="zh-CN"/>
              </w:rPr>
              <w:t>9</w:t>
            </w:r>
          </w:p>
        </w:tc>
        <w:tc>
          <w:tcPr>
            <w:tcW w:w="1728" w:type="dxa"/>
            <w:vAlign w:val="center"/>
          </w:tcPr>
          <w:p w14:paraId="78295889">
            <w:pPr>
              <w:pStyle w:val="43"/>
              <w:spacing w:after="0"/>
              <w:ind w:firstLine="210" w:firstLineChars="100"/>
              <w:jc w:val="center"/>
              <w:rPr>
                <w:rFonts w:hint="eastAsia" w:hAnsi="宋体" w:cs="宋体"/>
                <w:color w:val="auto"/>
                <w:kern w:val="0"/>
                <w:sz w:val="21"/>
                <w:szCs w:val="21"/>
                <w:highlight w:val="none"/>
                <w:u w:val="none"/>
                <w:lang w:val="en-US" w:eastAsia="zh-CN" w:bidi="ar-SA"/>
              </w:rPr>
            </w:pPr>
            <w:r>
              <w:rPr>
                <w:rFonts w:hint="eastAsia" w:ascii="宋体" w:hAnsi="宋体" w:cs="宋体"/>
                <w:color w:val="auto"/>
                <w:kern w:val="2"/>
                <w:sz w:val="21"/>
                <w:szCs w:val="21"/>
                <w:highlight w:val="none"/>
              </w:rPr>
              <w:t>是否采用电子招标投标</w:t>
            </w:r>
          </w:p>
        </w:tc>
        <w:tc>
          <w:tcPr>
            <w:tcW w:w="7016" w:type="dxa"/>
            <w:vAlign w:val="center"/>
          </w:tcPr>
          <w:p w14:paraId="6F4A6741">
            <w:pPr>
              <w:spacing w:after="0" w:line="360" w:lineRule="auto"/>
              <w:ind w:left="55" w:leftChars="26"/>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p w14:paraId="405466DC">
            <w:pPr>
              <w:spacing w:after="0" w:line="360" w:lineRule="auto"/>
              <w:ind w:left="2148" w:leftChars="26" w:hanging="2093" w:hangingChars="997"/>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☑是，具体要求：</w:t>
            </w:r>
          </w:p>
          <w:p w14:paraId="4CC9204D">
            <w:pPr>
              <w:spacing w:after="0" w:line="360" w:lineRule="auto"/>
              <w:ind w:left="55" w:leftChars="26"/>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r>
              <w:rPr>
                <w:rFonts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rPr>
              <w:t>投标文件全部采用电子文档，投标文件应按交易平台相关操作指南编制。如不按上述要求编制引起系统无法检索、读取相关信息的，其后果由投标人承担。投标文件</w:t>
            </w:r>
            <w:r>
              <w:rPr>
                <w:rFonts w:hint="eastAsia" w:ascii="宋体" w:hAnsi="宋体" w:eastAsia="宋体" w:cs="宋体"/>
                <w:color w:val="auto"/>
                <w:sz w:val="21"/>
                <w:szCs w:val="21"/>
                <w:highlight w:val="none"/>
              </w:rPr>
              <w:t>所附证书证件及证明文件均为原件扫描件，并应采用单位数字证书加盖电子印章。招标文件所附格式要求盖章处及招标文件要求投标文件盖章处需采用单位数字证书，按招标文件要求在相应位置加盖电子印章。投标文件中需个人签字或盖章的，应在线下完成后扫描上传。具体操作详见交易平台相关操作指南。</w:t>
            </w:r>
          </w:p>
          <w:p w14:paraId="68978461">
            <w:pPr>
              <w:spacing w:after="0" w:line="360" w:lineRule="auto"/>
              <w:ind w:left="55" w:leftChars="26"/>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rPr>
              <w:t>投标文件的修改与撤回：投标人修改或撤回已递交的投标文件，需在交易平台发出撤回通知，并按要求加盖电子印章。电子招标投标交易平台收到通知后，即时向投标人发出确认回执通知。</w:t>
            </w:r>
          </w:p>
          <w:p w14:paraId="174EEE95">
            <w:pPr>
              <w:spacing w:after="0" w:line="360" w:lineRule="auto"/>
              <w:ind w:left="55" w:leftChars="26"/>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rPr>
              <w:t>提交投标文件光盘备用</w:t>
            </w:r>
          </w:p>
          <w:p w14:paraId="791581C1">
            <w:pPr>
              <w:spacing w:after="0" w:line="360" w:lineRule="auto"/>
              <w:ind w:left="55" w:leftChars="26"/>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人可制作非加密的电子投标文件刻入光盘，在规定的时间、地点提交备用。刻录好的投标文件光盘密封在密封袋中，并在封口处加盖投标人单位公章。密封袋上应写明的内容要求见投标人须知前附表第4.1.2条。递交的光盘不得加密。光盘无法读取或导入的，则视为未提交备用投标文件光盘。如果投标人没有按规定通过广州交易集团有限公司（广州公共资源交易中心）网上递交电子投标文件的，不再接受提交的光盘。投标人也可不提交备用光盘。</w:t>
            </w:r>
          </w:p>
          <w:p w14:paraId="641E46C8">
            <w:pPr>
              <w:spacing w:after="0" w:line="360" w:lineRule="auto"/>
              <w:ind w:left="55" w:leftChars="26"/>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r>
              <w:rPr>
                <w:rFonts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rPr>
              <w:t>投标文件的递交：</w:t>
            </w:r>
          </w:p>
          <w:p w14:paraId="48BD28C7">
            <w:pPr>
              <w:spacing w:after="0" w:line="360" w:lineRule="auto"/>
              <w:ind w:left="55" w:leftChars="26"/>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投标文件递交的截止时间（投标截止时间，下同），投标人应在截止时间前通过电子招标投标交易平台递交电子投标文件。（截止时间投标人自行登陆广州交易集团有限公司（广州公共资源交易中心）查看），投标文件截止时间及开标时间是否有变化，请密切留意广州交易集团有限公司（广州公共资源交易中心）网站的相关信息。</w:t>
            </w:r>
          </w:p>
          <w:p w14:paraId="0DB9A88B">
            <w:pPr>
              <w:spacing w:after="0" w:line="360" w:lineRule="auto"/>
              <w:ind w:left="55" w:leftChars="26"/>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（2）投标人完成电子投标文件上传后，广州交易集团有限公司（广州公共资源交易中心）电子招标投标交易平台即时向投标人发出递交回执通知。递交时间以递交回执通知载明的传输时间为准。</w:t>
            </w:r>
          </w:p>
          <w:p w14:paraId="4952962A">
            <w:pPr>
              <w:spacing w:after="0" w:line="360" w:lineRule="auto"/>
              <w:ind w:left="55" w:leftChars="26"/>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（3）逾期送达的投标文件，广州交易集团有限公司（广州公共资源交易中心）电子招标投标交易平台将予以拒收。</w:t>
            </w:r>
          </w:p>
          <w:p w14:paraId="4CCB85E9">
            <w:pPr>
              <w:spacing w:after="0" w:line="360" w:lineRule="auto"/>
              <w:ind w:left="55" w:leftChars="26"/>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r>
              <w:rPr>
                <w:rFonts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rPr>
              <w:t>投标文件加密要求：</w:t>
            </w:r>
          </w:p>
          <w:p w14:paraId="2DD44D2A">
            <w:pPr>
              <w:spacing w:after="0" w:line="360" w:lineRule="auto"/>
              <w:ind w:left="55" w:leftChars="26"/>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（1）网上递交的电子投标文件须进行加密。具体操作详见广州交易集团有限公司（广州公共资源交易中心）交易平台相关操作指南。</w:t>
            </w:r>
          </w:p>
          <w:p w14:paraId="74A5B4B2">
            <w:pPr>
              <w:spacing w:after="0" w:line="360" w:lineRule="auto"/>
              <w:ind w:left="55" w:leftChars="26"/>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（2）未按要求加密的投标文件，招标人将予以拒收。</w:t>
            </w:r>
          </w:p>
          <w:p w14:paraId="458831A5">
            <w:pPr>
              <w:spacing w:after="0" w:line="360" w:lineRule="auto"/>
              <w:ind w:left="55" w:leftChars="26"/>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r>
              <w:rPr>
                <w:rFonts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rPr>
              <w:t>补救方案</w:t>
            </w:r>
          </w:p>
          <w:p w14:paraId="5B2DAC2B">
            <w:pPr>
              <w:spacing w:after="0" w:line="360" w:lineRule="auto"/>
              <w:ind w:left="55" w:leftChars="2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（1）投标文件解密失败的补救方案：</w:t>
            </w:r>
          </w:p>
          <w:p w14:paraId="60D7C017">
            <w:pPr>
              <w:spacing w:after="0" w:line="360" w:lineRule="auto"/>
              <w:ind w:left="55" w:leftChars="2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14:paraId="4FD0B2EC">
            <w:pPr>
              <w:spacing w:after="0" w:line="360" w:lineRule="auto"/>
              <w:ind w:left="55" w:leftChars="2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（2）评标时突发情况的补救方案</w:t>
            </w:r>
          </w:p>
          <w:p w14:paraId="2A98A04E">
            <w:pPr>
              <w:spacing w:after="0" w:line="360" w:lineRule="auto"/>
              <w:ind w:left="55" w:leftChars="2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若遇不可抗力发生（指网络瘫痪、服务器损坏、交易系统故障短期无法恢复等因素），由评标委员会开启投标人递交的全部投标文件光盘，并按光盘内容进行评审。</w:t>
            </w:r>
          </w:p>
          <w:p w14:paraId="05DA15C8">
            <w:pPr>
              <w:pStyle w:val="43"/>
              <w:spacing w:after="0" w:line="360" w:lineRule="auto"/>
              <w:ind w:left="0" w:leftChars="0" w:firstLine="0" w:firstLineChars="0"/>
              <w:jc w:val="left"/>
              <w:rPr>
                <w:rFonts w:hint="eastAsia" w:ascii="宋体" w:hAnsi="宋体" w:cs="宋体"/>
                <w:b w:val="0"/>
                <w:bCs w:val="0"/>
                <w:color w:val="auto"/>
                <w:sz w:val="21"/>
                <w:szCs w:val="21"/>
                <w:highlight w:val="none"/>
                <w:lang w:eastAsia="zh-CN"/>
              </w:rPr>
            </w:pPr>
            <w:r>
              <w:rPr>
                <w:rFonts w:hint="eastAsia" w:ascii="宋体" w:hAnsi="宋体" w:cs="宋体"/>
                <w:color w:val="auto"/>
                <w:sz w:val="21"/>
                <w:szCs w:val="21"/>
                <w:highlight w:val="none"/>
              </w:rPr>
              <w:t>（3）除发生上述情况外，开标评标均以投标人通过交易平台网上递交的电子投标文件为准。</w:t>
            </w:r>
          </w:p>
        </w:tc>
      </w:tr>
      <w:tr w14:paraId="3D44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1F324EC6">
            <w:pPr>
              <w:pStyle w:val="23"/>
              <w:tabs>
                <w:tab w:val="left" w:pos="2127"/>
              </w:tabs>
              <w:kinsoku/>
              <w:overflowPunct/>
              <w:bidi w:val="0"/>
              <w:spacing w:line="360" w:lineRule="auto"/>
              <w:jc w:val="center"/>
              <w:textAlignment w:val="auto"/>
              <w:rPr>
                <w:rFonts w:hint="default" w:ascii="宋体" w:hAnsi="宋体" w:eastAsia="宋体" w:cs="宋体"/>
                <w:color w:val="auto"/>
                <w:sz w:val="21"/>
                <w:szCs w:val="21"/>
                <w:highlight w:val="none"/>
                <w:u w:val="none"/>
                <w:lang w:val="en-US" w:eastAsia="zh-CN"/>
              </w:rPr>
            </w:pPr>
            <w:r>
              <w:rPr>
                <w:rFonts w:hint="eastAsia" w:hAnsi="宋体" w:cs="宋体"/>
                <w:color w:val="auto"/>
                <w:sz w:val="21"/>
                <w:szCs w:val="21"/>
                <w:highlight w:val="none"/>
                <w:u w:val="none"/>
                <w:lang w:val="en-US" w:eastAsia="zh-CN"/>
              </w:rPr>
              <w:t>10</w:t>
            </w:r>
          </w:p>
        </w:tc>
        <w:tc>
          <w:tcPr>
            <w:tcW w:w="1728" w:type="dxa"/>
            <w:vAlign w:val="center"/>
          </w:tcPr>
          <w:p w14:paraId="4148CFB6">
            <w:pPr>
              <w:pStyle w:val="23"/>
              <w:spacing w:line="360" w:lineRule="auto"/>
              <w:jc w:val="center"/>
              <w:rPr>
                <w:rFonts w:hint="eastAsia" w:hAnsi="宋体" w:cs="宋体"/>
                <w:color w:val="auto"/>
                <w:kern w:val="0"/>
                <w:sz w:val="21"/>
                <w:szCs w:val="21"/>
                <w:highlight w:val="none"/>
                <w:u w:val="none"/>
                <w:lang w:val="en-US" w:eastAsia="zh-CN" w:bidi="ar-SA"/>
              </w:rPr>
            </w:pPr>
            <w:r>
              <w:rPr>
                <w:rFonts w:hint="eastAsia" w:hAnsi="宋体"/>
                <w:color w:val="auto"/>
                <w:szCs w:val="21"/>
                <w:highlight w:val="none"/>
              </w:rPr>
              <w:t>交易服务费</w:t>
            </w:r>
          </w:p>
        </w:tc>
        <w:tc>
          <w:tcPr>
            <w:tcW w:w="7016" w:type="dxa"/>
            <w:vAlign w:val="center"/>
          </w:tcPr>
          <w:p w14:paraId="7BDB910C">
            <w:pPr>
              <w:pStyle w:val="23"/>
              <w:spacing w:line="360" w:lineRule="auto"/>
              <w:rPr>
                <w:rFonts w:hint="eastAsia" w:ascii="宋体" w:hAnsi="宋体" w:cs="宋体"/>
                <w:b w:val="0"/>
                <w:bCs w:val="0"/>
                <w:color w:val="auto"/>
                <w:sz w:val="21"/>
                <w:szCs w:val="21"/>
                <w:highlight w:val="none"/>
                <w:lang w:eastAsia="zh-CN"/>
              </w:rPr>
            </w:pPr>
            <w:r>
              <w:rPr>
                <w:rFonts w:hint="eastAsia" w:hAnsi="宋体"/>
                <w:color w:val="auto"/>
                <w:szCs w:val="21"/>
                <w:highlight w:val="none"/>
                <w:lang w:val="en-US" w:eastAsia="zh-CN"/>
              </w:rPr>
              <w:t>本招标项目由中标人向广州公共资源交易中心缴纳交易服务费，交易服务费缴费标准详见广州公共资源交易中心，本费用由投标人自行考虑，招标人不另行支付。</w:t>
            </w:r>
          </w:p>
        </w:tc>
      </w:tr>
      <w:tr w14:paraId="5A42B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481448CB">
            <w:pPr>
              <w:pStyle w:val="23"/>
              <w:tabs>
                <w:tab w:val="left" w:pos="2127"/>
              </w:tabs>
              <w:kinsoku/>
              <w:overflowPunct/>
              <w:bidi w:val="0"/>
              <w:spacing w:line="360" w:lineRule="auto"/>
              <w:jc w:val="center"/>
              <w:textAlignment w:val="auto"/>
              <w:rPr>
                <w:rFonts w:hint="default" w:hAnsi="宋体" w:cs="宋体"/>
                <w:color w:val="auto"/>
                <w:sz w:val="21"/>
                <w:szCs w:val="21"/>
                <w:highlight w:val="none"/>
                <w:u w:val="none"/>
                <w:lang w:val="en-US" w:eastAsia="zh-CN"/>
              </w:rPr>
            </w:pPr>
            <w:r>
              <w:rPr>
                <w:rFonts w:hint="eastAsia" w:hAnsi="宋体" w:cs="宋体"/>
                <w:color w:val="auto"/>
                <w:sz w:val="21"/>
                <w:szCs w:val="21"/>
                <w:highlight w:val="none"/>
                <w:u w:val="none"/>
                <w:lang w:val="en-US" w:eastAsia="zh-CN"/>
              </w:rPr>
              <w:t>11</w:t>
            </w:r>
          </w:p>
        </w:tc>
        <w:tc>
          <w:tcPr>
            <w:tcW w:w="1728" w:type="dxa"/>
            <w:vAlign w:val="center"/>
          </w:tcPr>
          <w:p w14:paraId="473492B6">
            <w:pPr>
              <w:spacing w:after="0" w:line="240" w:lineRule="auto"/>
              <w:jc w:val="center"/>
              <w:rPr>
                <w:rFonts w:hint="eastAsia" w:hAnsi="宋体"/>
                <w:color w:val="auto"/>
                <w:sz w:val="21"/>
                <w:szCs w:val="21"/>
                <w:highlight w:val="none"/>
              </w:rPr>
            </w:pPr>
            <w:r>
              <w:rPr>
                <w:rFonts w:hint="eastAsia" w:hAnsi="宋体"/>
                <w:color w:val="auto"/>
                <w:sz w:val="21"/>
                <w:szCs w:val="21"/>
                <w:highlight w:val="none"/>
              </w:rPr>
              <w:t>特别提示</w:t>
            </w:r>
          </w:p>
        </w:tc>
        <w:tc>
          <w:tcPr>
            <w:tcW w:w="7016" w:type="dxa"/>
            <w:vAlign w:val="center"/>
          </w:tcPr>
          <w:p w14:paraId="0E64D7F0">
            <w:pPr>
              <w:spacing w:after="0" w:line="360" w:lineRule="auto"/>
              <w:ind w:left="55" w:leftChars="2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1.招标公告、招标文件、答疑纪要等招标资料全部发布在广州交易集团有限公司（广州公共资源交易中心）网站，由投标人自行下载查阅。</w:t>
            </w:r>
          </w:p>
          <w:p w14:paraId="26A6AE03">
            <w:pPr>
              <w:spacing w:after="0" w:line="360" w:lineRule="auto"/>
              <w:ind w:left="55" w:leftChars="2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2.投标截止时间、开标时间和地点：发布在广州交易集团有限公司（广州公共资源交易中心）网站（具体在网站主页“交易业务”中“项目查询”栏目上以“项目名称”或“项目编号”进行查询）。</w:t>
            </w:r>
          </w:p>
          <w:p w14:paraId="378439C7">
            <w:pPr>
              <w:spacing w:after="0" w:line="360" w:lineRule="auto"/>
              <w:ind w:left="55" w:leftChars="26"/>
              <w:rPr>
                <w:rFonts w:hint="eastAsia" w:hAnsi="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.本</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采用全电子化资格后审方式，具体要求详见广州交易集团有限公司（广州公共资源交易中心）网站最新发布的指引。</w:t>
            </w:r>
          </w:p>
        </w:tc>
      </w:tr>
      <w:tr w14:paraId="3A0C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2DD1198B">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lang w:val="en-US" w:eastAsia="zh-CN"/>
              </w:rPr>
              <w:t>1</w:t>
            </w:r>
            <w:r>
              <w:rPr>
                <w:rFonts w:hint="eastAsia" w:hAnsi="宋体" w:cs="宋体"/>
                <w:color w:val="auto"/>
                <w:sz w:val="21"/>
                <w:szCs w:val="21"/>
                <w:highlight w:val="none"/>
                <w:u w:val="none"/>
                <w:lang w:val="en-US" w:eastAsia="zh-CN"/>
              </w:rPr>
              <w:t>2</w:t>
            </w:r>
          </w:p>
        </w:tc>
        <w:tc>
          <w:tcPr>
            <w:tcW w:w="1728" w:type="dxa"/>
            <w:vAlign w:val="center"/>
          </w:tcPr>
          <w:p w14:paraId="4147F39A">
            <w:pPr>
              <w:pStyle w:val="23"/>
              <w:tabs>
                <w:tab w:val="left" w:pos="2127"/>
              </w:tabs>
              <w:kinsoku/>
              <w:overflowPunct/>
              <w:bidi w:val="0"/>
              <w:spacing w:line="360" w:lineRule="auto"/>
              <w:jc w:val="center"/>
              <w:rPr>
                <w:rFonts w:hint="eastAsia" w:ascii="宋体" w:hAnsi="宋体" w:eastAsia="宋体" w:cs="宋体"/>
                <w:color w:val="auto"/>
                <w:sz w:val="21"/>
                <w:szCs w:val="21"/>
                <w:highlight w:val="none"/>
                <w:lang w:eastAsia="zh-CN"/>
              </w:rPr>
            </w:pPr>
            <w:r>
              <w:rPr>
                <w:rFonts w:hint="eastAsia" w:hAnsi="宋体" w:cs="仿宋_GB2312"/>
                <w:color w:val="auto"/>
                <w:kern w:val="0"/>
                <w:szCs w:val="21"/>
                <w:highlight w:val="none"/>
              </w:rPr>
              <w:t>需要补充的其他内容</w:t>
            </w:r>
          </w:p>
        </w:tc>
        <w:tc>
          <w:tcPr>
            <w:tcW w:w="7016" w:type="dxa"/>
            <w:vAlign w:val="center"/>
          </w:tcPr>
          <w:p w14:paraId="2D2D0FB3">
            <w:pPr>
              <w:keepNext w:val="0"/>
              <w:keepLines w:val="0"/>
              <w:pageBreakBefore w:val="0"/>
              <w:widowControl w:val="0"/>
              <w:suppressLineNumbers w:val="0"/>
              <w:tabs>
                <w:tab w:val="left" w:pos="2127"/>
              </w:tabs>
              <w:kinsoku/>
              <w:wordWrap/>
              <w:overflowPunct/>
              <w:topLinePunct w:val="0"/>
              <w:autoSpaceDE/>
              <w:autoSpaceDN/>
              <w:bidi w:val="0"/>
              <w:adjustRightInd/>
              <w:snapToGrid/>
              <w:spacing w:beforeAutospacing="0" w:afterAutospacing="0" w:line="312" w:lineRule="auto"/>
              <w:ind w:right="0" w:firstLine="420" w:firstLineChars="200"/>
              <w:textAlignment w:val="auto"/>
              <w:rPr>
                <w:rFonts w:hint="eastAsia" w:ascii="宋体" w:hAnsi="宋体" w:eastAsia="宋体" w:cs="宋体"/>
                <w:color w:val="auto"/>
                <w:kern w:val="0"/>
                <w:sz w:val="21"/>
                <w:szCs w:val="21"/>
                <w:highlight w:val="none"/>
                <w:u w:val="none"/>
              </w:rPr>
            </w:pPr>
            <w:r>
              <w:rPr>
                <w:rFonts w:hint="eastAsia" w:ascii="宋体" w:hAnsi="宋体" w:cs="宋体"/>
                <w:b w:val="0"/>
                <w:bCs w:val="0"/>
                <w:color w:val="auto"/>
                <w:sz w:val="21"/>
                <w:szCs w:val="21"/>
                <w:highlight w:val="none"/>
                <w:lang w:val="en-US" w:eastAsia="zh-CN"/>
              </w:rPr>
              <w:t>1.</w:t>
            </w:r>
            <w:r>
              <w:rPr>
                <w:rFonts w:hint="eastAsia" w:ascii="宋体" w:hAnsi="宋体" w:eastAsia="宋体" w:cs="宋体"/>
                <w:color w:val="000000"/>
                <w:szCs w:val="21"/>
                <w:highlight w:val="none"/>
                <w:u w:val="none"/>
                <w:lang w:val="en-US" w:eastAsia="zh-CN"/>
              </w:rPr>
              <w:t>本项目预计采购金额为经验预估值，具体以合同签订后实际委托为准</w:t>
            </w:r>
            <w:r>
              <w:rPr>
                <w:rFonts w:hint="eastAsia" w:ascii="宋体" w:hAnsi="宋体" w:cs="宋体"/>
                <w:bCs w:val="0"/>
                <w:color w:val="000000"/>
                <w:kern w:val="2"/>
                <w:sz w:val="21"/>
                <w:szCs w:val="21"/>
                <w:highlight w:val="none"/>
                <w:u w:val="none"/>
                <w:lang w:val="en-US" w:eastAsia="zh-CN" w:bidi="ar-SA"/>
              </w:rPr>
              <w:t>。</w:t>
            </w:r>
            <w:r>
              <w:rPr>
                <w:rFonts w:hint="eastAsia" w:ascii="宋体" w:hAnsi="宋体" w:cs="宋体"/>
                <w:bCs/>
                <w:color w:val="auto"/>
                <w:kern w:val="0"/>
                <w:sz w:val="21"/>
                <w:szCs w:val="21"/>
                <w:highlight w:val="none"/>
                <w:u w:val="none"/>
                <w:lang w:val="en-US" w:eastAsia="zh-CN" w:bidi="ar-SA"/>
              </w:rPr>
              <w:t>预计采购金额上下限浮动比例为：采购数量（金额）下限不低于80%，采购数量（金额）上限不超过150%，协议期未满，实际采购量（金额）达到预计采购量（金额）上限时，应提前终止框架协议。协议期届满，成交供应商实际采购量（金额）在预计采购量上下限之间的，按期终止框架协议；实际采购量（金额）未达到预计采购量（金额）下限的，有效期延长1年，在延长期内卖方实际供应量（金额）达到该下限之时，框架协议至此自动终止；延长期届满仍未达到该下限的，框架协议自动终止。</w:t>
            </w:r>
          </w:p>
          <w:p w14:paraId="6C6F9C9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12" w:lineRule="auto"/>
              <w:ind w:left="0" w:right="0" w:firstLine="420" w:firstLineChars="20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2.各标段根据</w:t>
            </w:r>
            <w:r>
              <w:rPr>
                <w:rFonts w:hint="eastAsia" w:ascii="宋体" w:hAnsi="宋体" w:cs="宋体"/>
                <w:color w:val="auto"/>
                <w:kern w:val="0"/>
                <w:sz w:val="21"/>
                <w:szCs w:val="21"/>
                <w:highlight w:val="none"/>
                <w:lang w:val="en-US" w:eastAsia="zh-CN" w:bidi="ar-SA"/>
              </w:rPr>
              <w:t>中标人</w:t>
            </w:r>
            <w:r>
              <w:rPr>
                <w:rFonts w:hint="eastAsia" w:ascii="宋体" w:hAnsi="宋体" w:eastAsia="宋体" w:cs="宋体"/>
                <w:color w:val="auto"/>
                <w:kern w:val="0"/>
                <w:sz w:val="21"/>
                <w:szCs w:val="21"/>
                <w:highlight w:val="none"/>
                <w:lang w:val="en-US" w:eastAsia="zh-CN" w:bidi="ar-SA"/>
              </w:rPr>
              <w:t>排名，由</w:t>
            </w:r>
            <w:r>
              <w:rPr>
                <w:rFonts w:hint="eastAsia" w:ascii="宋体" w:hAnsi="宋体" w:cs="宋体"/>
                <w:color w:val="auto"/>
                <w:kern w:val="0"/>
                <w:sz w:val="21"/>
                <w:szCs w:val="21"/>
                <w:highlight w:val="none"/>
                <w:lang w:val="en-US" w:eastAsia="zh-CN" w:bidi="ar-SA"/>
              </w:rPr>
              <w:t>招标</w:t>
            </w:r>
            <w:r>
              <w:rPr>
                <w:rFonts w:hint="eastAsia" w:ascii="宋体" w:hAnsi="宋体" w:eastAsia="宋体" w:cs="宋体"/>
                <w:color w:val="auto"/>
                <w:kern w:val="0"/>
                <w:sz w:val="21"/>
                <w:szCs w:val="21"/>
                <w:highlight w:val="none"/>
                <w:lang w:val="en-US" w:eastAsia="zh-CN" w:bidi="ar-SA"/>
              </w:rPr>
              <w:t>人根据</w:t>
            </w:r>
            <w:r>
              <w:rPr>
                <w:rFonts w:hint="eastAsia" w:ascii="宋体" w:hAnsi="宋体" w:cs="宋体"/>
                <w:color w:val="auto"/>
                <w:kern w:val="0"/>
                <w:sz w:val="21"/>
                <w:szCs w:val="21"/>
                <w:highlight w:val="none"/>
                <w:lang w:val="en-US" w:eastAsia="zh-CN" w:bidi="ar-SA"/>
              </w:rPr>
              <w:t>中标</w:t>
            </w:r>
            <w:r>
              <w:rPr>
                <w:rFonts w:hint="eastAsia" w:ascii="宋体" w:hAnsi="宋体" w:eastAsia="宋体" w:cs="宋体"/>
                <w:color w:val="auto"/>
                <w:kern w:val="0"/>
                <w:sz w:val="21"/>
                <w:szCs w:val="21"/>
                <w:highlight w:val="none"/>
                <w:lang w:val="en-US" w:eastAsia="zh-CN" w:bidi="ar-SA"/>
              </w:rPr>
              <w:t>比例进行分配，原则上分配偏差不超过下表约定范围。实施结果比例最小的不能小于5%。</w:t>
            </w:r>
          </w:p>
          <w:tbl>
            <w:tblPr>
              <w:tblStyle w:val="46"/>
              <w:tblW w:w="5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6"/>
              <w:gridCol w:w="2871"/>
            </w:tblGrid>
            <w:tr w14:paraId="555C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46" w:type="dxa"/>
                  <w:noWrap w:val="0"/>
                  <w:vAlign w:val="center"/>
                </w:tcPr>
                <w:p w14:paraId="373BFE43">
                  <w:pPr>
                    <w:keepNext w:val="0"/>
                    <w:keepLines w:val="0"/>
                    <w:pageBreakBefore w:val="0"/>
                    <w:suppressLineNumbers w:val="0"/>
                    <w:kinsoku/>
                    <w:wordWrap/>
                    <w:overflowPunct/>
                    <w:topLinePunct w:val="0"/>
                    <w:autoSpaceDE/>
                    <w:autoSpaceDN/>
                    <w:bidi w:val="0"/>
                    <w:adjustRightInd/>
                    <w:snapToGrid/>
                    <w:spacing w:beforeAutospacing="0" w:afterAutospacing="0" w:line="312" w:lineRule="auto"/>
                    <w:ind w:left="0" w:right="0"/>
                    <w:jc w:val="center"/>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eastAsia="zh-CN"/>
                    </w:rPr>
                    <w:t>中标比例</w:t>
                  </w:r>
                  <w:r>
                    <w:rPr>
                      <w:rFonts w:hint="eastAsia" w:ascii="宋体" w:hAnsi="宋体" w:eastAsia="宋体" w:cs="宋体"/>
                      <w:color w:val="auto"/>
                      <w:sz w:val="21"/>
                      <w:szCs w:val="21"/>
                      <w:highlight w:val="none"/>
                      <w:u w:val="none"/>
                    </w:rPr>
                    <w:t>区间</w:t>
                  </w:r>
                </w:p>
              </w:tc>
              <w:tc>
                <w:tcPr>
                  <w:tcW w:w="2871" w:type="dxa"/>
                  <w:noWrap w:val="0"/>
                  <w:vAlign w:val="center"/>
                </w:tcPr>
                <w:p w14:paraId="260BD17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12" w:lineRule="auto"/>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允许的分配偏差</w:t>
                  </w:r>
                </w:p>
                <w:p w14:paraId="118F452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12" w:lineRule="auto"/>
                    <w:ind w:left="0" w:right="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基数为</w:t>
                  </w:r>
                  <w:r>
                    <w:rPr>
                      <w:rFonts w:hint="eastAsia" w:ascii="宋体" w:hAnsi="宋体" w:cs="宋体"/>
                      <w:color w:val="auto"/>
                      <w:sz w:val="21"/>
                      <w:szCs w:val="21"/>
                      <w:highlight w:val="none"/>
                      <w:u w:val="none"/>
                      <w:lang w:val="en-US" w:eastAsia="zh-CN"/>
                    </w:rPr>
                    <w:t>标段合同估算金额</w:t>
                  </w:r>
                  <w:r>
                    <w:rPr>
                      <w:rFonts w:hint="eastAsia" w:ascii="宋体" w:hAnsi="宋体" w:eastAsia="宋体" w:cs="宋体"/>
                      <w:color w:val="auto"/>
                      <w:sz w:val="21"/>
                      <w:szCs w:val="21"/>
                      <w:highlight w:val="none"/>
                      <w:u w:val="none"/>
                      <w:lang w:eastAsia="zh-CN"/>
                    </w:rPr>
                    <w:t>）</w:t>
                  </w:r>
                </w:p>
              </w:tc>
            </w:tr>
            <w:tr w14:paraId="50DB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46" w:type="dxa"/>
                  <w:noWrap w:val="0"/>
                  <w:vAlign w:val="center"/>
                </w:tcPr>
                <w:p w14:paraId="1BB336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right="0"/>
                    <w:jc w:val="center"/>
                    <w:textAlignment w:val="center"/>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rPr>
                    <w:t>0%-100%</w:t>
                  </w:r>
                </w:p>
              </w:tc>
              <w:tc>
                <w:tcPr>
                  <w:tcW w:w="2871" w:type="dxa"/>
                  <w:noWrap w:val="0"/>
                  <w:vAlign w:val="center"/>
                </w:tcPr>
                <w:p w14:paraId="52D0DD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right="0"/>
                    <w:jc w:val="center"/>
                    <w:textAlignment w:val="center"/>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lang w:val="en-US" w:eastAsia="zh-CN"/>
                    </w:rPr>
                    <w:t>+10</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-15%</w:t>
                  </w:r>
                </w:p>
              </w:tc>
            </w:tr>
          </w:tbl>
          <w:p w14:paraId="4D86022B">
            <w:pPr>
              <w:keepNext w:val="0"/>
              <w:keepLines w:val="0"/>
              <w:pageBreakBefore w:val="0"/>
              <w:widowControl w:val="0"/>
              <w:suppressLineNumbers w:val="0"/>
              <w:tabs>
                <w:tab w:val="left" w:pos="2127"/>
              </w:tabs>
              <w:kinsoku/>
              <w:wordWrap/>
              <w:overflowPunct/>
              <w:topLinePunct w:val="0"/>
              <w:autoSpaceDE/>
              <w:autoSpaceDN/>
              <w:bidi w:val="0"/>
              <w:adjustRightInd/>
              <w:snapToGrid/>
              <w:spacing w:beforeAutospacing="0" w:afterAutospacing="0" w:line="312" w:lineRule="auto"/>
              <w:ind w:left="0" w:right="0" w:firstLine="420" w:firstLineChars="20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3</w:t>
            </w:r>
            <w:r>
              <w:rPr>
                <w:rFonts w:hint="eastAsia" w:ascii="宋体" w:hAnsi="宋体" w:eastAsia="宋体" w:cs="宋体"/>
                <w:color w:val="auto"/>
                <w:kern w:val="0"/>
                <w:sz w:val="21"/>
                <w:szCs w:val="21"/>
                <w:highlight w:val="none"/>
                <w:u w:val="none"/>
              </w:rPr>
              <w:t>.在实施过程中，若</w:t>
            </w:r>
            <w:r>
              <w:rPr>
                <w:rFonts w:hint="eastAsia" w:ascii="宋体" w:hAnsi="宋体" w:cs="宋体"/>
                <w:color w:val="auto"/>
                <w:kern w:val="0"/>
                <w:sz w:val="21"/>
                <w:szCs w:val="21"/>
                <w:highlight w:val="none"/>
                <w:u w:val="none"/>
                <w:lang w:eastAsia="zh-CN"/>
              </w:rPr>
              <w:t>中标人</w:t>
            </w:r>
            <w:r>
              <w:rPr>
                <w:rFonts w:hint="eastAsia" w:ascii="宋体" w:hAnsi="宋体" w:eastAsia="宋体" w:cs="宋体"/>
                <w:color w:val="auto"/>
                <w:kern w:val="0"/>
                <w:sz w:val="21"/>
                <w:szCs w:val="21"/>
                <w:highlight w:val="none"/>
                <w:u w:val="none"/>
              </w:rPr>
              <w:t>由于客观原因无法实施</w:t>
            </w:r>
            <w:r>
              <w:rPr>
                <w:rFonts w:hint="eastAsia" w:ascii="宋体" w:hAnsi="宋体" w:eastAsia="宋体" w:cs="宋体"/>
                <w:color w:val="auto"/>
                <w:kern w:val="0"/>
                <w:sz w:val="21"/>
                <w:szCs w:val="21"/>
                <w:highlight w:val="none"/>
                <w:u w:val="none"/>
                <w:lang w:val="en-US" w:eastAsia="zh-CN"/>
              </w:rPr>
              <w:t>的</w:t>
            </w:r>
            <w:r>
              <w:rPr>
                <w:rFonts w:hint="eastAsia" w:ascii="宋体" w:hAnsi="宋体" w:eastAsia="宋体" w:cs="宋体"/>
                <w:color w:val="auto"/>
                <w:kern w:val="0"/>
                <w:sz w:val="21"/>
                <w:szCs w:val="21"/>
                <w:highlight w:val="none"/>
                <w:u w:val="none"/>
              </w:rPr>
              <w:t>，则由</w:t>
            </w:r>
            <w:r>
              <w:rPr>
                <w:rFonts w:hint="eastAsia" w:ascii="宋体" w:hAnsi="宋体" w:cs="宋体"/>
                <w:color w:val="auto"/>
                <w:kern w:val="0"/>
                <w:sz w:val="21"/>
                <w:szCs w:val="21"/>
                <w:highlight w:val="none"/>
                <w:u w:val="none"/>
                <w:lang w:eastAsia="zh-CN"/>
              </w:rPr>
              <w:t>中标人</w:t>
            </w:r>
            <w:r>
              <w:rPr>
                <w:rFonts w:hint="eastAsia" w:ascii="宋体" w:hAnsi="宋体" w:eastAsia="宋体" w:cs="宋体"/>
                <w:color w:val="auto"/>
                <w:kern w:val="0"/>
                <w:sz w:val="21"/>
                <w:szCs w:val="21"/>
                <w:highlight w:val="none"/>
                <w:u w:val="none"/>
              </w:rPr>
              <w:t>报</w:t>
            </w:r>
            <w:r>
              <w:rPr>
                <w:rFonts w:hint="eastAsia" w:ascii="宋体" w:hAnsi="宋体" w:cs="宋体"/>
                <w:color w:val="auto"/>
                <w:kern w:val="0"/>
                <w:sz w:val="21"/>
                <w:szCs w:val="21"/>
                <w:highlight w:val="none"/>
                <w:u w:val="none"/>
                <w:lang w:eastAsia="zh-CN"/>
              </w:rPr>
              <w:t>招标</w:t>
            </w:r>
            <w:r>
              <w:rPr>
                <w:rFonts w:hint="eastAsia" w:ascii="宋体" w:hAnsi="宋体" w:eastAsia="宋体" w:cs="宋体"/>
                <w:color w:val="auto"/>
                <w:kern w:val="0"/>
                <w:sz w:val="21"/>
                <w:szCs w:val="21"/>
                <w:highlight w:val="none"/>
                <w:u w:val="none"/>
              </w:rPr>
              <w:t>人审批同意后，由</w:t>
            </w:r>
            <w:r>
              <w:rPr>
                <w:rFonts w:hint="eastAsia" w:ascii="宋体" w:hAnsi="宋体" w:cs="宋体"/>
                <w:color w:val="auto"/>
                <w:kern w:val="0"/>
                <w:sz w:val="21"/>
                <w:szCs w:val="21"/>
                <w:highlight w:val="none"/>
                <w:u w:val="none"/>
                <w:lang w:eastAsia="zh-CN"/>
              </w:rPr>
              <w:t>招标</w:t>
            </w:r>
            <w:r>
              <w:rPr>
                <w:rFonts w:hint="eastAsia" w:ascii="宋体" w:hAnsi="宋体" w:eastAsia="宋体" w:cs="宋体"/>
                <w:color w:val="auto"/>
                <w:kern w:val="0"/>
                <w:sz w:val="21"/>
                <w:szCs w:val="21"/>
                <w:highlight w:val="none"/>
                <w:u w:val="none"/>
              </w:rPr>
              <w:t>人进行调剂，在允许的分配偏差内由同一标段内的其他</w:t>
            </w:r>
            <w:r>
              <w:rPr>
                <w:rFonts w:hint="eastAsia" w:ascii="宋体" w:hAnsi="宋体" w:cs="宋体"/>
                <w:color w:val="auto"/>
                <w:kern w:val="0"/>
                <w:sz w:val="21"/>
                <w:szCs w:val="21"/>
                <w:highlight w:val="none"/>
                <w:u w:val="none"/>
                <w:lang w:eastAsia="zh-CN"/>
              </w:rPr>
              <w:t>中标人</w:t>
            </w:r>
            <w:r>
              <w:rPr>
                <w:rFonts w:hint="eastAsia" w:ascii="宋体" w:hAnsi="宋体" w:eastAsia="宋体" w:cs="宋体"/>
                <w:color w:val="auto"/>
                <w:kern w:val="0"/>
                <w:sz w:val="21"/>
                <w:szCs w:val="21"/>
                <w:highlight w:val="none"/>
                <w:u w:val="none"/>
              </w:rPr>
              <w:t>实施（注：由</w:t>
            </w:r>
            <w:r>
              <w:rPr>
                <w:rFonts w:hint="eastAsia" w:ascii="宋体" w:hAnsi="宋体" w:cs="宋体"/>
                <w:color w:val="auto"/>
                <w:kern w:val="0"/>
                <w:sz w:val="21"/>
                <w:szCs w:val="21"/>
                <w:highlight w:val="none"/>
                <w:u w:val="none"/>
                <w:lang w:eastAsia="zh-CN"/>
              </w:rPr>
              <w:t>中标人</w:t>
            </w:r>
            <w:r>
              <w:rPr>
                <w:rFonts w:hint="eastAsia" w:ascii="宋体" w:hAnsi="宋体" w:eastAsia="宋体" w:cs="宋体"/>
                <w:color w:val="auto"/>
                <w:kern w:val="0"/>
                <w:sz w:val="21"/>
                <w:szCs w:val="21"/>
                <w:highlight w:val="none"/>
                <w:u w:val="none"/>
              </w:rPr>
              <w:t>报审调剂造成的分配偏差纳入分配原则综合考虑）。</w:t>
            </w:r>
          </w:p>
          <w:p w14:paraId="523EC760">
            <w:pPr>
              <w:keepNext w:val="0"/>
              <w:keepLines w:val="0"/>
              <w:pageBreakBefore w:val="0"/>
              <w:widowControl w:val="0"/>
              <w:suppressLineNumbers w:val="0"/>
              <w:tabs>
                <w:tab w:val="left" w:pos="2127"/>
              </w:tabs>
              <w:kinsoku/>
              <w:wordWrap/>
              <w:overflowPunct/>
              <w:topLinePunct w:val="0"/>
              <w:autoSpaceDE/>
              <w:autoSpaceDN/>
              <w:bidi w:val="0"/>
              <w:adjustRightInd/>
              <w:snapToGrid/>
              <w:spacing w:beforeAutospacing="0" w:afterAutospacing="0" w:line="312" w:lineRule="auto"/>
              <w:ind w:left="0" w:right="0" w:firstLine="420" w:firstLineChars="200"/>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lang w:val="en-US" w:eastAsia="zh-CN"/>
              </w:rPr>
              <w:t>4</w:t>
            </w:r>
            <w:r>
              <w:rPr>
                <w:rFonts w:hint="eastAsia" w:ascii="宋体" w:hAnsi="宋体" w:eastAsia="宋体" w:cs="宋体"/>
                <w:color w:val="auto"/>
                <w:kern w:val="0"/>
                <w:sz w:val="21"/>
                <w:szCs w:val="21"/>
                <w:highlight w:val="none"/>
                <w:u w:val="none"/>
              </w:rPr>
              <w:t>.在实施过程中，若</w:t>
            </w:r>
            <w:r>
              <w:rPr>
                <w:rFonts w:hint="eastAsia" w:ascii="宋体" w:hAnsi="宋体" w:cs="宋体"/>
                <w:color w:val="auto"/>
                <w:kern w:val="0"/>
                <w:sz w:val="21"/>
                <w:szCs w:val="21"/>
                <w:highlight w:val="none"/>
                <w:u w:val="none"/>
                <w:lang w:eastAsia="zh-CN"/>
              </w:rPr>
              <w:t>中标人</w:t>
            </w:r>
            <w:r>
              <w:rPr>
                <w:rFonts w:hint="eastAsia" w:ascii="宋体" w:hAnsi="宋体" w:eastAsia="宋体" w:cs="宋体"/>
                <w:color w:val="auto"/>
                <w:kern w:val="0"/>
                <w:sz w:val="21"/>
                <w:szCs w:val="21"/>
                <w:highlight w:val="none"/>
                <w:u w:val="none"/>
              </w:rPr>
              <w:t>由于其他原因中途退出，无法继续履行合同的，按以下第（1）种方式执行。</w:t>
            </w:r>
          </w:p>
          <w:p w14:paraId="08C7CCC3">
            <w:pPr>
              <w:keepNext w:val="0"/>
              <w:keepLines w:val="0"/>
              <w:pageBreakBefore w:val="0"/>
              <w:widowControl w:val="0"/>
              <w:suppressLineNumbers w:val="0"/>
              <w:tabs>
                <w:tab w:val="left" w:pos="2127"/>
              </w:tabs>
              <w:kinsoku/>
              <w:wordWrap/>
              <w:overflowPunct/>
              <w:topLinePunct w:val="0"/>
              <w:autoSpaceDE/>
              <w:autoSpaceDN/>
              <w:bidi w:val="0"/>
              <w:adjustRightInd/>
              <w:snapToGrid/>
              <w:spacing w:beforeAutospacing="0" w:afterAutospacing="0" w:line="312" w:lineRule="auto"/>
              <w:ind w:left="0" w:right="0" w:firstLine="420" w:firstLineChars="200"/>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（1）剩余的分配份额在其他</w:t>
            </w:r>
            <w:r>
              <w:rPr>
                <w:rFonts w:hint="eastAsia" w:ascii="宋体" w:hAnsi="宋体" w:cs="宋体"/>
                <w:color w:val="auto"/>
                <w:kern w:val="0"/>
                <w:sz w:val="21"/>
                <w:szCs w:val="21"/>
                <w:highlight w:val="none"/>
                <w:u w:val="none"/>
                <w:lang w:eastAsia="zh-CN"/>
              </w:rPr>
              <w:t>中标人</w:t>
            </w:r>
            <w:r>
              <w:rPr>
                <w:rFonts w:hint="eastAsia" w:ascii="宋体" w:hAnsi="宋体" w:eastAsia="宋体" w:cs="宋体"/>
                <w:color w:val="auto"/>
                <w:kern w:val="0"/>
                <w:sz w:val="21"/>
                <w:szCs w:val="21"/>
                <w:highlight w:val="none"/>
                <w:u w:val="none"/>
              </w:rPr>
              <w:t>间根据其他</w:t>
            </w:r>
            <w:r>
              <w:rPr>
                <w:rFonts w:hint="eastAsia" w:ascii="宋体" w:hAnsi="宋体" w:cs="宋体"/>
                <w:color w:val="auto"/>
                <w:kern w:val="0"/>
                <w:sz w:val="21"/>
                <w:szCs w:val="21"/>
                <w:highlight w:val="none"/>
                <w:u w:val="none"/>
                <w:lang w:eastAsia="zh-CN"/>
              </w:rPr>
              <w:t>中标人</w:t>
            </w:r>
            <w:r>
              <w:rPr>
                <w:rFonts w:hint="eastAsia" w:ascii="宋体" w:hAnsi="宋体" w:eastAsia="宋体" w:cs="宋体"/>
                <w:color w:val="auto"/>
                <w:kern w:val="0"/>
                <w:sz w:val="21"/>
                <w:szCs w:val="21"/>
                <w:highlight w:val="none"/>
                <w:u w:val="none"/>
              </w:rPr>
              <w:t>各自的允许分配偏差进行分配，均达到允许的最大分配偏差时，按照其各自的</w:t>
            </w:r>
            <w:r>
              <w:rPr>
                <w:rFonts w:hint="eastAsia" w:ascii="宋体" w:hAnsi="宋体" w:cs="宋体"/>
                <w:color w:val="auto"/>
                <w:kern w:val="0"/>
                <w:sz w:val="21"/>
                <w:szCs w:val="21"/>
                <w:highlight w:val="none"/>
                <w:u w:val="none"/>
                <w:lang w:eastAsia="zh-CN"/>
              </w:rPr>
              <w:t>中标</w:t>
            </w:r>
            <w:r>
              <w:rPr>
                <w:rFonts w:hint="eastAsia" w:ascii="宋体" w:hAnsi="宋体" w:cs="宋体"/>
                <w:color w:val="auto"/>
                <w:sz w:val="21"/>
                <w:szCs w:val="21"/>
                <w:highlight w:val="none"/>
                <w:u w:val="none"/>
                <w:lang w:eastAsia="zh-CN"/>
              </w:rPr>
              <w:t>比例</w:t>
            </w:r>
            <w:r>
              <w:rPr>
                <w:rFonts w:hint="eastAsia" w:ascii="宋体" w:hAnsi="宋体" w:eastAsia="宋体" w:cs="宋体"/>
                <w:color w:val="auto"/>
                <w:kern w:val="0"/>
                <w:sz w:val="21"/>
                <w:szCs w:val="21"/>
                <w:highlight w:val="none"/>
                <w:u w:val="none"/>
              </w:rPr>
              <w:t>按比例进行分配。没有意愿承接的，需要提供书面说明；由于客观原因，其他</w:t>
            </w:r>
            <w:r>
              <w:rPr>
                <w:rFonts w:hint="eastAsia" w:ascii="宋体" w:hAnsi="宋体" w:cs="宋体"/>
                <w:color w:val="auto"/>
                <w:kern w:val="0"/>
                <w:sz w:val="21"/>
                <w:szCs w:val="21"/>
                <w:highlight w:val="none"/>
                <w:u w:val="none"/>
                <w:lang w:eastAsia="zh-CN"/>
              </w:rPr>
              <w:t>中标人</w:t>
            </w:r>
            <w:r>
              <w:rPr>
                <w:rFonts w:hint="eastAsia" w:ascii="宋体" w:hAnsi="宋体" w:eastAsia="宋体" w:cs="宋体"/>
                <w:color w:val="auto"/>
                <w:kern w:val="0"/>
                <w:sz w:val="21"/>
                <w:szCs w:val="21"/>
                <w:highlight w:val="none"/>
                <w:u w:val="none"/>
              </w:rPr>
              <w:t>均承接不过来的，执行下述条款（2）。</w:t>
            </w:r>
          </w:p>
          <w:p w14:paraId="366370DF">
            <w:pPr>
              <w:keepNext w:val="0"/>
              <w:keepLines w:val="0"/>
              <w:pageBreakBefore w:val="0"/>
              <w:widowControl w:val="0"/>
              <w:suppressLineNumbers w:val="0"/>
              <w:tabs>
                <w:tab w:val="left" w:pos="2127"/>
              </w:tabs>
              <w:kinsoku/>
              <w:wordWrap/>
              <w:overflowPunct/>
              <w:topLinePunct w:val="0"/>
              <w:autoSpaceDE/>
              <w:autoSpaceDN/>
              <w:bidi w:val="0"/>
              <w:adjustRightInd/>
              <w:snapToGrid/>
              <w:spacing w:beforeAutospacing="0" w:afterAutospacing="0" w:line="312" w:lineRule="auto"/>
              <w:ind w:left="0" w:right="0" w:firstLine="420" w:firstLineChars="200"/>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（2）剩余的分配份额根据其对应的</w:t>
            </w:r>
            <w:r>
              <w:rPr>
                <w:rFonts w:hint="eastAsia" w:ascii="宋体" w:hAnsi="宋体" w:cs="宋体"/>
                <w:color w:val="auto"/>
                <w:kern w:val="0"/>
                <w:sz w:val="21"/>
                <w:szCs w:val="21"/>
                <w:highlight w:val="none"/>
                <w:u w:val="none"/>
                <w:lang w:eastAsia="zh-CN"/>
              </w:rPr>
              <w:t>合同估算金额</w:t>
            </w:r>
            <w:r>
              <w:rPr>
                <w:rFonts w:hint="eastAsia" w:ascii="宋体" w:hAnsi="宋体" w:eastAsia="宋体" w:cs="宋体"/>
                <w:color w:val="auto"/>
                <w:kern w:val="0"/>
                <w:sz w:val="21"/>
                <w:szCs w:val="21"/>
                <w:highlight w:val="none"/>
                <w:u w:val="none"/>
              </w:rPr>
              <w:t>进行增补采购，增补采购时，原标段的所有</w:t>
            </w:r>
            <w:r>
              <w:rPr>
                <w:rFonts w:hint="eastAsia" w:ascii="宋体" w:hAnsi="宋体" w:cs="宋体"/>
                <w:color w:val="auto"/>
                <w:kern w:val="0"/>
                <w:sz w:val="21"/>
                <w:szCs w:val="21"/>
                <w:highlight w:val="none"/>
                <w:u w:val="none"/>
                <w:lang w:eastAsia="zh-CN"/>
              </w:rPr>
              <w:t>中标人</w:t>
            </w:r>
            <w:r>
              <w:rPr>
                <w:rFonts w:hint="eastAsia" w:ascii="宋体" w:hAnsi="宋体" w:eastAsia="宋体" w:cs="宋体"/>
                <w:color w:val="auto"/>
                <w:kern w:val="0"/>
                <w:sz w:val="21"/>
                <w:szCs w:val="21"/>
                <w:highlight w:val="none"/>
                <w:u w:val="none"/>
              </w:rPr>
              <w:t>（含中途退出）均不得参与。</w:t>
            </w:r>
          </w:p>
          <w:p w14:paraId="4F92EEBE">
            <w:pPr>
              <w:keepNext w:val="0"/>
              <w:keepLines w:val="0"/>
              <w:pageBreakBefore w:val="0"/>
              <w:widowControl w:val="0"/>
              <w:suppressLineNumbers w:val="0"/>
              <w:tabs>
                <w:tab w:val="left" w:pos="2127"/>
              </w:tabs>
              <w:kinsoku/>
              <w:wordWrap/>
              <w:overflowPunct/>
              <w:topLinePunct w:val="0"/>
              <w:autoSpaceDE/>
              <w:autoSpaceDN/>
              <w:bidi w:val="0"/>
              <w:adjustRightInd/>
              <w:snapToGrid/>
              <w:spacing w:beforeAutospacing="0" w:afterAutospacing="0" w:line="312" w:lineRule="auto"/>
              <w:ind w:left="0" w:right="0" w:firstLine="420" w:firstLineChars="200"/>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lang w:val="en-US" w:eastAsia="zh-CN"/>
              </w:rPr>
              <w:t>5</w:t>
            </w:r>
            <w:r>
              <w:rPr>
                <w:rFonts w:hint="eastAsia" w:ascii="宋体" w:hAnsi="宋体" w:eastAsia="宋体" w:cs="宋体"/>
                <w:color w:val="auto"/>
                <w:kern w:val="0"/>
                <w:sz w:val="21"/>
                <w:szCs w:val="21"/>
                <w:highlight w:val="none"/>
                <w:u w:val="none"/>
              </w:rPr>
              <w:t>.在合同签约前，若</w:t>
            </w:r>
            <w:r>
              <w:rPr>
                <w:rFonts w:hint="eastAsia" w:ascii="宋体" w:hAnsi="宋体" w:cs="宋体"/>
                <w:color w:val="auto"/>
                <w:kern w:val="0"/>
                <w:sz w:val="21"/>
                <w:szCs w:val="21"/>
                <w:highlight w:val="none"/>
                <w:u w:val="none"/>
                <w:lang w:val="en-US" w:eastAsia="zh-CN"/>
              </w:rPr>
              <w:t>中标人</w:t>
            </w:r>
            <w:r>
              <w:rPr>
                <w:rFonts w:hint="eastAsia" w:ascii="宋体" w:hAnsi="宋体" w:eastAsia="宋体" w:cs="宋体"/>
                <w:color w:val="auto"/>
                <w:kern w:val="0"/>
                <w:sz w:val="21"/>
                <w:szCs w:val="21"/>
                <w:highlight w:val="none"/>
                <w:u w:val="none"/>
              </w:rPr>
              <w:t>存在以下情况：存在被实施市场禁入处理的或</w:t>
            </w:r>
            <w:r>
              <w:rPr>
                <w:rFonts w:hint="eastAsia" w:ascii="宋体" w:hAnsi="宋体" w:cs="宋体"/>
                <w:color w:val="auto"/>
                <w:kern w:val="0"/>
                <w:sz w:val="21"/>
                <w:szCs w:val="21"/>
                <w:highlight w:val="none"/>
                <w:u w:val="none"/>
                <w:lang w:eastAsia="zh-CN"/>
              </w:rPr>
              <w:t>中标人</w:t>
            </w:r>
            <w:r>
              <w:rPr>
                <w:rFonts w:hint="eastAsia" w:ascii="宋体" w:hAnsi="宋体" w:eastAsia="宋体" w:cs="宋体"/>
                <w:color w:val="auto"/>
                <w:kern w:val="0"/>
                <w:sz w:val="21"/>
                <w:szCs w:val="21"/>
                <w:highlight w:val="none"/>
                <w:u w:val="none"/>
              </w:rPr>
              <w:t>放弃</w:t>
            </w:r>
            <w:r>
              <w:rPr>
                <w:rFonts w:hint="eastAsia" w:ascii="宋体" w:hAnsi="宋体" w:cs="宋体"/>
                <w:color w:val="auto"/>
                <w:kern w:val="0"/>
                <w:sz w:val="21"/>
                <w:szCs w:val="21"/>
                <w:highlight w:val="none"/>
                <w:u w:val="none"/>
                <w:lang w:eastAsia="zh-CN"/>
              </w:rPr>
              <w:t>中标</w:t>
            </w:r>
            <w:r>
              <w:rPr>
                <w:rFonts w:hint="eastAsia" w:ascii="宋体" w:hAnsi="宋体" w:eastAsia="宋体" w:cs="宋体"/>
                <w:color w:val="auto"/>
                <w:kern w:val="0"/>
                <w:sz w:val="21"/>
                <w:szCs w:val="21"/>
                <w:highlight w:val="none"/>
                <w:u w:val="none"/>
              </w:rPr>
              <w:t>资格的。</w:t>
            </w:r>
          </w:p>
          <w:p w14:paraId="70D24B81">
            <w:pPr>
              <w:keepNext w:val="0"/>
              <w:keepLines w:val="0"/>
              <w:pageBreakBefore w:val="0"/>
              <w:widowControl w:val="0"/>
              <w:suppressLineNumbers w:val="0"/>
              <w:tabs>
                <w:tab w:val="left" w:pos="2127"/>
              </w:tabs>
              <w:kinsoku/>
              <w:wordWrap/>
              <w:overflowPunct/>
              <w:topLinePunct w:val="0"/>
              <w:autoSpaceDE/>
              <w:autoSpaceDN/>
              <w:bidi w:val="0"/>
              <w:adjustRightInd/>
              <w:snapToGrid/>
              <w:spacing w:beforeAutospacing="0" w:afterAutospacing="0" w:line="312" w:lineRule="auto"/>
              <w:ind w:left="0" w:right="0" w:firstLine="420" w:firstLineChars="200"/>
              <w:textAlignment w:val="auto"/>
              <w:rPr>
                <w:rFonts w:hint="eastAsia" w:ascii="宋体" w:hAnsi="宋体" w:eastAsia="宋体" w:cs="宋体"/>
                <w:color w:val="auto"/>
                <w:kern w:val="0"/>
                <w:sz w:val="21"/>
                <w:szCs w:val="21"/>
                <w:highlight w:val="none"/>
                <w:u w:val="none"/>
              </w:rPr>
            </w:pPr>
            <w:r>
              <w:rPr>
                <w:rFonts w:hint="eastAsia" w:ascii="宋体" w:hAnsi="宋体" w:cs="宋体"/>
                <w:color w:val="auto"/>
                <w:kern w:val="0"/>
                <w:sz w:val="21"/>
                <w:szCs w:val="21"/>
                <w:highlight w:val="none"/>
                <w:u w:val="none"/>
                <w:lang w:eastAsia="zh-CN"/>
              </w:rPr>
              <w:t>招标</w:t>
            </w:r>
            <w:r>
              <w:rPr>
                <w:rFonts w:hint="eastAsia" w:ascii="宋体" w:hAnsi="宋体" w:eastAsia="宋体" w:cs="宋体"/>
                <w:color w:val="auto"/>
                <w:kern w:val="0"/>
                <w:sz w:val="21"/>
                <w:szCs w:val="21"/>
                <w:highlight w:val="none"/>
                <w:u w:val="none"/>
              </w:rPr>
              <w:t>人</w:t>
            </w:r>
            <w:r>
              <w:rPr>
                <w:rFonts w:hint="eastAsia" w:ascii="宋体" w:hAnsi="宋体" w:eastAsia="宋体" w:cs="宋体"/>
                <w:color w:val="000000"/>
                <w:sz w:val="21"/>
                <w:szCs w:val="21"/>
                <w:highlight w:val="none"/>
                <w:u w:val="none"/>
                <w:lang w:val="en-US" w:eastAsia="zh-CN"/>
              </w:rPr>
              <w:t>将按照</w:t>
            </w:r>
            <w:r>
              <w:rPr>
                <w:rFonts w:hint="eastAsia" w:ascii="宋体" w:hAnsi="宋体" w:cs="宋体"/>
                <w:color w:val="000000"/>
                <w:sz w:val="21"/>
                <w:szCs w:val="21"/>
                <w:highlight w:val="none"/>
                <w:u w:val="none"/>
                <w:lang w:val="en-US" w:eastAsia="zh-CN"/>
              </w:rPr>
              <w:t>评标委员会</w:t>
            </w:r>
            <w:r>
              <w:rPr>
                <w:rFonts w:hint="eastAsia" w:ascii="宋体" w:hAnsi="宋体" w:eastAsia="宋体" w:cs="宋体"/>
                <w:color w:val="000000"/>
                <w:sz w:val="21"/>
                <w:szCs w:val="21"/>
                <w:highlight w:val="none"/>
                <w:u w:val="none"/>
                <w:lang w:val="en-US" w:eastAsia="zh-CN"/>
              </w:rPr>
              <w:t>推荐的</w:t>
            </w:r>
            <w:r>
              <w:rPr>
                <w:rFonts w:hint="eastAsia" w:ascii="宋体" w:hAnsi="宋体" w:cs="宋体"/>
                <w:color w:val="000000"/>
                <w:sz w:val="21"/>
                <w:szCs w:val="21"/>
                <w:highlight w:val="none"/>
                <w:u w:val="none"/>
                <w:lang w:val="en-US" w:eastAsia="zh-CN"/>
              </w:rPr>
              <w:t>中标候选人</w:t>
            </w:r>
            <w:r>
              <w:rPr>
                <w:rFonts w:hint="eastAsia" w:ascii="宋体" w:hAnsi="宋体" w:eastAsia="宋体" w:cs="宋体"/>
                <w:color w:val="000000"/>
                <w:sz w:val="21"/>
                <w:szCs w:val="21"/>
                <w:highlight w:val="none"/>
                <w:u w:val="none"/>
                <w:lang w:val="en-US" w:eastAsia="zh-CN"/>
              </w:rPr>
              <w:t>顺序将合同授予排名次之的</w:t>
            </w:r>
            <w:r>
              <w:rPr>
                <w:rFonts w:hint="eastAsia" w:ascii="宋体" w:hAnsi="宋体" w:cs="宋体"/>
                <w:color w:val="000000"/>
                <w:sz w:val="21"/>
                <w:szCs w:val="21"/>
                <w:highlight w:val="none"/>
                <w:u w:val="none"/>
                <w:lang w:val="en-US" w:eastAsia="zh-CN"/>
              </w:rPr>
              <w:t>中标候选人</w:t>
            </w:r>
            <w:r>
              <w:rPr>
                <w:rFonts w:hint="eastAsia" w:ascii="宋体" w:hAnsi="宋体" w:eastAsia="宋体" w:cs="宋体"/>
                <w:color w:val="000000"/>
                <w:sz w:val="21"/>
                <w:szCs w:val="21"/>
                <w:highlight w:val="none"/>
                <w:u w:val="none"/>
                <w:lang w:val="en-US" w:eastAsia="zh-CN"/>
              </w:rPr>
              <w:t>，或重新</w:t>
            </w:r>
            <w:r>
              <w:rPr>
                <w:rFonts w:hint="eastAsia" w:ascii="宋体" w:hAnsi="宋体" w:cs="宋体"/>
                <w:color w:val="000000"/>
                <w:sz w:val="21"/>
                <w:szCs w:val="21"/>
                <w:highlight w:val="none"/>
                <w:u w:val="none"/>
                <w:lang w:val="en-US" w:eastAsia="zh-CN"/>
              </w:rPr>
              <w:t>招标</w:t>
            </w:r>
            <w:r>
              <w:rPr>
                <w:rFonts w:hint="eastAsia" w:ascii="宋体" w:hAnsi="宋体" w:eastAsia="宋体" w:cs="宋体"/>
                <w:color w:val="000000"/>
                <w:sz w:val="21"/>
                <w:szCs w:val="21"/>
                <w:highlight w:val="none"/>
                <w:u w:val="none"/>
                <w:lang w:val="en-US" w:eastAsia="zh-CN"/>
              </w:rPr>
              <w:t>。</w:t>
            </w:r>
            <w:r>
              <w:rPr>
                <w:rFonts w:hint="eastAsia" w:ascii="宋体" w:hAnsi="宋体" w:cs="宋体"/>
                <w:color w:val="000000"/>
                <w:sz w:val="21"/>
                <w:szCs w:val="21"/>
                <w:highlight w:val="none"/>
                <w:u w:val="none"/>
                <w:lang w:val="en-US" w:eastAsia="zh-CN"/>
              </w:rPr>
              <w:t>招标</w:t>
            </w:r>
            <w:r>
              <w:rPr>
                <w:rFonts w:hint="eastAsia" w:ascii="宋体" w:hAnsi="宋体" w:eastAsia="宋体" w:cs="宋体"/>
                <w:color w:val="000000"/>
                <w:sz w:val="21"/>
                <w:szCs w:val="21"/>
                <w:highlight w:val="none"/>
                <w:u w:val="none"/>
                <w:lang w:val="en-US" w:eastAsia="zh-CN"/>
              </w:rPr>
              <w:t>人将合同授予排名次之</w:t>
            </w:r>
            <w:r>
              <w:rPr>
                <w:rFonts w:hint="eastAsia" w:ascii="宋体" w:hAnsi="宋体" w:cs="宋体"/>
                <w:color w:val="000000"/>
                <w:sz w:val="21"/>
                <w:szCs w:val="21"/>
                <w:highlight w:val="none"/>
                <w:u w:val="none"/>
                <w:lang w:val="en-US" w:eastAsia="zh-CN"/>
              </w:rPr>
              <w:t>中标候选人</w:t>
            </w:r>
            <w:r>
              <w:rPr>
                <w:rFonts w:hint="eastAsia" w:ascii="宋体" w:hAnsi="宋体" w:eastAsia="宋体" w:cs="宋体"/>
                <w:color w:val="000000"/>
                <w:sz w:val="21"/>
                <w:szCs w:val="21"/>
                <w:highlight w:val="none"/>
                <w:u w:val="none"/>
                <w:lang w:val="en-US" w:eastAsia="zh-CN"/>
              </w:rPr>
              <w:t>的，</w:t>
            </w:r>
            <w:r>
              <w:rPr>
                <w:rFonts w:hint="eastAsia" w:ascii="宋体" w:hAnsi="宋体" w:eastAsia="宋体" w:cs="宋体"/>
                <w:color w:val="auto"/>
                <w:kern w:val="0"/>
                <w:sz w:val="21"/>
                <w:szCs w:val="21"/>
                <w:highlight w:val="none"/>
                <w:u w:val="none"/>
              </w:rPr>
              <w:t>应根据</w:t>
            </w:r>
            <w:r>
              <w:rPr>
                <w:rFonts w:hint="eastAsia" w:ascii="宋体" w:hAnsi="宋体" w:cs="宋体"/>
                <w:color w:val="auto"/>
                <w:kern w:val="0"/>
                <w:sz w:val="21"/>
                <w:szCs w:val="21"/>
                <w:highlight w:val="none"/>
                <w:u w:val="none"/>
                <w:lang w:eastAsia="zh-CN"/>
              </w:rPr>
              <w:t>中标候选人</w:t>
            </w:r>
            <w:r>
              <w:rPr>
                <w:rFonts w:hint="eastAsia" w:ascii="宋体" w:hAnsi="宋体" w:eastAsia="宋体" w:cs="宋体"/>
                <w:color w:val="auto"/>
                <w:kern w:val="0"/>
                <w:sz w:val="21"/>
                <w:szCs w:val="21"/>
                <w:highlight w:val="none"/>
                <w:u w:val="none"/>
              </w:rPr>
              <w:t>的推荐情况，进行</w:t>
            </w:r>
            <w:r>
              <w:rPr>
                <w:rFonts w:hint="eastAsia" w:ascii="宋体" w:hAnsi="宋体" w:cs="宋体"/>
                <w:color w:val="auto"/>
                <w:kern w:val="0"/>
                <w:sz w:val="21"/>
                <w:szCs w:val="21"/>
                <w:highlight w:val="none"/>
                <w:u w:val="none"/>
                <w:lang w:eastAsia="zh-CN"/>
              </w:rPr>
              <w:t>中标</w:t>
            </w:r>
            <w:r>
              <w:rPr>
                <w:rFonts w:hint="eastAsia" w:ascii="宋体" w:hAnsi="宋体" w:eastAsia="宋体" w:cs="宋体"/>
                <w:color w:val="auto"/>
                <w:kern w:val="0"/>
                <w:sz w:val="21"/>
                <w:szCs w:val="21"/>
                <w:highlight w:val="none"/>
                <w:u w:val="none"/>
              </w:rPr>
              <w:t>结果调整确认，原则上按照</w:t>
            </w:r>
            <w:r>
              <w:rPr>
                <w:rFonts w:hint="eastAsia" w:ascii="宋体" w:hAnsi="宋体" w:cs="宋体"/>
                <w:color w:val="auto"/>
                <w:kern w:val="0"/>
                <w:sz w:val="21"/>
                <w:szCs w:val="21"/>
                <w:highlight w:val="none"/>
                <w:u w:val="none"/>
                <w:lang w:eastAsia="zh-CN"/>
              </w:rPr>
              <w:t>中标候选人</w:t>
            </w:r>
            <w:r>
              <w:rPr>
                <w:rFonts w:hint="eastAsia" w:ascii="宋体" w:hAnsi="宋体" w:eastAsia="宋体" w:cs="宋体"/>
                <w:color w:val="auto"/>
                <w:kern w:val="0"/>
                <w:sz w:val="21"/>
                <w:szCs w:val="21"/>
                <w:highlight w:val="none"/>
                <w:u w:val="none"/>
              </w:rPr>
              <w:t>的推荐排名，依序递补。</w:t>
            </w:r>
          </w:p>
          <w:p w14:paraId="443CBFE8">
            <w:pPr>
              <w:keepNext w:val="0"/>
              <w:keepLines w:val="0"/>
              <w:pageBreakBefore w:val="0"/>
              <w:widowControl w:val="0"/>
              <w:suppressLineNumbers w:val="0"/>
              <w:tabs>
                <w:tab w:val="left" w:pos="2127"/>
              </w:tabs>
              <w:kinsoku/>
              <w:wordWrap/>
              <w:overflowPunct/>
              <w:topLinePunct w:val="0"/>
              <w:autoSpaceDE/>
              <w:autoSpaceDN/>
              <w:bidi w:val="0"/>
              <w:adjustRightInd/>
              <w:snapToGrid/>
              <w:spacing w:beforeAutospacing="0" w:afterAutospacing="0" w:line="312" w:lineRule="auto"/>
              <w:ind w:left="0" w:right="0" w:firstLine="420" w:firstLineChars="200"/>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（1）而在调整确认前若存在部分原</w:t>
            </w:r>
            <w:r>
              <w:rPr>
                <w:rFonts w:hint="eastAsia" w:ascii="宋体" w:hAnsi="宋体" w:cs="宋体"/>
                <w:color w:val="auto"/>
                <w:kern w:val="0"/>
                <w:sz w:val="21"/>
                <w:szCs w:val="21"/>
                <w:highlight w:val="none"/>
                <w:u w:val="none"/>
                <w:lang w:eastAsia="zh-CN"/>
              </w:rPr>
              <w:t>中标人</w:t>
            </w:r>
            <w:r>
              <w:rPr>
                <w:rFonts w:hint="eastAsia" w:ascii="宋体" w:hAnsi="宋体" w:eastAsia="宋体" w:cs="宋体"/>
                <w:color w:val="auto"/>
                <w:kern w:val="0"/>
                <w:sz w:val="21"/>
                <w:szCs w:val="21"/>
                <w:highlight w:val="none"/>
                <w:u w:val="none"/>
              </w:rPr>
              <w:t>已经完成合同签约的，当调整确认改变原合同签约</w:t>
            </w:r>
            <w:r>
              <w:rPr>
                <w:rFonts w:hint="eastAsia" w:ascii="宋体" w:hAnsi="宋体" w:cs="宋体"/>
                <w:color w:val="auto"/>
                <w:kern w:val="0"/>
                <w:sz w:val="21"/>
                <w:szCs w:val="21"/>
                <w:highlight w:val="none"/>
                <w:u w:val="none"/>
                <w:lang w:eastAsia="zh-CN"/>
              </w:rPr>
              <w:t>中标</w:t>
            </w:r>
            <w:r>
              <w:rPr>
                <w:rFonts w:hint="eastAsia" w:ascii="宋体" w:hAnsi="宋体" w:eastAsia="宋体" w:cs="宋体"/>
                <w:color w:val="auto"/>
                <w:kern w:val="0"/>
                <w:sz w:val="21"/>
                <w:szCs w:val="21"/>
                <w:highlight w:val="none"/>
                <w:u w:val="none"/>
              </w:rPr>
              <w:t>份额的，需签订补充协议。</w:t>
            </w:r>
          </w:p>
          <w:p w14:paraId="18B7CA76">
            <w:pPr>
              <w:keepNext w:val="0"/>
              <w:keepLines w:val="0"/>
              <w:pageBreakBefore w:val="0"/>
              <w:widowControl w:val="0"/>
              <w:suppressLineNumbers w:val="0"/>
              <w:tabs>
                <w:tab w:val="left" w:pos="2127"/>
              </w:tabs>
              <w:kinsoku/>
              <w:wordWrap/>
              <w:overflowPunct/>
              <w:topLinePunct w:val="0"/>
              <w:autoSpaceDE/>
              <w:autoSpaceDN/>
              <w:bidi w:val="0"/>
              <w:adjustRightInd/>
              <w:snapToGrid/>
              <w:spacing w:beforeAutospacing="0" w:afterAutospacing="0" w:line="312" w:lineRule="auto"/>
              <w:ind w:left="0" w:right="0" w:firstLine="420" w:firstLineChars="200"/>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（2）而在调整确认时若存在剩余的</w:t>
            </w:r>
            <w:r>
              <w:rPr>
                <w:rFonts w:hint="eastAsia" w:ascii="宋体" w:hAnsi="宋体" w:cs="宋体"/>
                <w:color w:val="auto"/>
                <w:kern w:val="0"/>
                <w:sz w:val="21"/>
                <w:szCs w:val="21"/>
                <w:highlight w:val="none"/>
                <w:u w:val="none"/>
                <w:lang w:eastAsia="zh-CN"/>
              </w:rPr>
              <w:t>中标候选人</w:t>
            </w:r>
            <w:r>
              <w:rPr>
                <w:rFonts w:hint="eastAsia" w:ascii="宋体" w:hAnsi="宋体" w:eastAsia="宋体" w:cs="宋体"/>
                <w:color w:val="auto"/>
                <w:kern w:val="0"/>
                <w:sz w:val="21"/>
                <w:szCs w:val="21"/>
                <w:highlight w:val="none"/>
                <w:u w:val="none"/>
              </w:rPr>
              <w:t>推荐家数少于</w:t>
            </w:r>
            <w:r>
              <w:rPr>
                <w:rFonts w:hint="eastAsia" w:ascii="宋体" w:hAnsi="宋体" w:cs="宋体"/>
                <w:color w:val="auto"/>
                <w:kern w:val="0"/>
                <w:sz w:val="21"/>
                <w:szCs w:val="21"/>
                <w:highlight w:val="none"/>
                <w:u w:val="none"/>
                <w:lang w:eastAsia="zh-CN"/>
              </w:rPr>
              <w:t>中标人</w:t>
            </w:r>
            <w:r>
              <w:rPr>
                <w:rFonts w:hint="eastAsia" w:ascii="宋体" w:hAnsi="宋体" w:eastAsia="宋体" w:cs="宋体"/>
                <w:color w:val="auto"/>
                <w:kern w:val="0"/>
                <w:sz w:val="21"/>
                <w:szCs w:val="21"/>
                <w:highlight w:val="none"/>
                <w:u w:val="none"/>
              </w:rPr>
              <w:t>家数时，若剩余的</w:t>
            </w:r>
            <w:r>
              <w:rPr>
                <w:rFonts w:hint="eastAsia" w:ascii="宋体" w:hAnsi="宋体" w:cs="宋体"/>
                <w:color w:val="auto"/>
                <w:kern w:val="0"/>
                <w:sz w:val="21"/>
                <w:szCs w:val="21"/>
                <w:highlight w:val="none"/>
                <w:u w:val="none"/>
                <w:lang w:eastAsia="zh-CN"/>
              </w:rPr>
              <w:t>中标候选人</w:t>
            </w:r>
            <w:r>
              <w:rPr>
                <w:rFonts w:hint="eastAsia" w:ascii="宋体" w:hAnsi="宋体" w:eastAsia="宋体" w:cs="宋体"/>
                <w:color w:val="auto"/>
                <w:kern w:val="0"/>
                <w:sz w:val="21"/>
                <w:szCs w:val="21"/>
                <w:highlight w:val="none"/>
                <w:u w:val="none"/>
              </w:rPr>
              <w:t>推荐家数＞1家时，按第①种方式进行</w:t>
            </w:r>
            <w:r>
              <w:rPr>
                <w:rFonts w:hint="eastAsia" w:ascii="宋体" w:hAnsi="宋体" w:cs="宋体"/>
                <w:color w:val="auto"/>
                <w:kern w:val="0"/>
                <w:sz w:val="21"/>
                <w:szCs w:val="21"/>
                <w:highlight w:val="none"/>
                <w:u w:val="none"/>
                <w:lang w:eastAsia="zh-CN"/>
              </w:rPr>
              <w:t>中标</w:t>
            </w:r>
            <w:r>
              <w:rPr>
                <w:rFonts w:hint="eastAsia" w:ascii="宋体" w:hAnsi="宋体" w:eastAsia="宋体" w:cs="宋体"/>
                <w:color w:val="auto"/>
                <w:kern w:val="0"/>
                <w:sz w:val="21"/>
                <w:szCs w:val="21"/>
                <w:highlight w:val="none"/>
                <w:u w:val="none"/>
              </w:rPr>
              <w:t>结果调整确认；若剩余的</w:t>
            </w:r>
            <w:r>
              <w:rPr>
                <w:rFonts w:hint="eastAsia" w:ascii="宋体" w:hAnsi="宋体" w:cs="宋体"/>
                <w:color w:val="auto"/>
                <w:kern w:val="0"/>
                <w:sz w:val="21"/>
                <w:szCs w:val="21"/>
                <w:highlight w:val="none"/>
                <w:u w:val="none"/>
                <w:lang w:eastAsia="zh-CN"/>
              </w:rPr>
              <w:t>中标候选人</w:t>
            </w:r>
            <w:r>
              <w:rPr>
                <w:rFonts w:hint="eastAsia" w:ascii="宋体" w:hAnsi="宋体" w:eastAsia="宋体" w:cs="宋体"/>
                <w:color w:val="auto"/>
                <w:kern w:val="0"/>
                <w:sz w:val="21"/>
                <w:szCs w:val="21"/>
                <w:highlight w:val="none"/>
                <w:u w:val="none"/>
              </w:rPr>
              <w:t>推荐家数=1家时，按第②种方式进行</w:t>
            </w:r>
            <w:r>
              <w:rPr>
                <w:rFonts w:hint="eastAsia" w:ascii="宋体" w:hAnsi="宋体" w:cs="宋体"/>
                <w:color w:val="auto"/>
                <w:kern w:val="0"/>
                <w:sz w:val="21"/>
                <w:szCs w:val="21"/>
                <w:highlight w:val="none"/>
                <w:u w:val="none"/>
                <w:lang w:eastAsia="zh-CN"/>
              </w:rPr>
              <w:t>中标</w:t>
            </w:r>
            <w:r>
              <w:rPr>
                <w:rFonts w:hint="eastAsia" w:ascii="宋体" w:hAnsi="宋体" w:eastAsia="宋体" w:cs="宋体"/>
                <w:color w:val="auto"/>
                <w:kern w:val="0"/>
                <w:sz w:val="21"/>
                <w:szCs w:val="21"/>
                <w:highlight w:val="none"/>
                <w:u w:val="none"/>
              </w:rPr>
              <w:t>结果调整确认。</w:t>
            </w:r>
          </w:p>
          <w:p w14:paraId="7ABCF595">
            <w:pPr>
              <w:keepNext w:val="0"/>
              <w:keepLines w:val="0"/>
              <w:pageBreakBefore w:val="0"/>
              <w:widowControl w:val="0"/>
              <w:suppressLineNumbers w:val="0"/>
              <w:tabs>
                <w:tab w:val="left" w:pos="2127"/>
              </w:tabs>
              <w:kinsoku/>
              <w:wordWrap/>
              <w:overflowPunct/>
              <w:topLinePunct w:val="0"/>
              <w:autoSpaceDE/>
              <w:autoSpaceDN/>
              <w:bidi w:val="0"/>
              <w:adjustRightInd/>
              <w:snapToGrid/>
              <w:spacing w:beforeAutospacing="0" w:afterAutospacing="0" w:line="312" w:lineRule="auto"/>
              <w:ind w:left="0" w:right="0" w:firstLine="420" w:firstLineChars="200"/>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①根据</w:t>
            </w:r>
            <w:r>
              <w:rPr>
                <w:rFonts w:hint="eastAsia" w:ascii="宋体" w:hAnsi="宋体" w:cs="宋体"/>
                <w:color w:val="auto"/>
                <w:kern w:val="0"/>
                <w:sz w:val="21"/>
                <w:szCs w:val="21"/>
                <w:highlight w:val="none"/>
                <w:u w:val="none"/>
                <w:lang w:eastAsia="zh-CN"/>
              </w:rPr>
              <w:t>中标候选人</w:t>
            </w:r>
            <w:r>
              <w:rPr>
                <w:rFonts w:hint="eastAsia" w:ascii="宋体" w:hAnsi="宋体" w:eastAsia="宋体" w:cs="宋体"/>
                <w:color w:val="auto"/>
                <w:kern w:val="0"/>
                <w:sz w:val="21"/>
                <w:szCs w:val="21"/>
                <w:highlight w:val="none"/>
                <w:u w:val="none"/>
              </w:rPr>
              <w:t>的推荐情况，进行</w:t>
            </w:r>
            <w:r>
              <w:rPr>
                <w:rFonts w:hint="eastAsia" w:ascii="宋体" w:hAnsi="宋体" w:cs="宋体"/>
                <w:color w:val="auto"/>
                <w:kern w:val="0"/>
                <w:sz w:val="21"/>
                <w:szCs w:val="21"/>
                <w:highlight w:val="none"/>
                <w:u w:val="none"/>
                <w:lang w:eastAsia="zh-CN"/>
              </w:rPr>
              <w:t>中标</w:t>
            </w:r>
            <w:r>
              <w:rPr>
                <w:rFonts w:hint="eastAsia" w:ascii="宋体" w:hAnsi="宋体" w:eastAsia="宋体" w:cs="宋体"/>
                <w:color w:val="auto"/>
                <w:kern w:val="0"/>
                <w:sz w:val="21"/>
                <w:szCs w:val="21"/>
                <w:highlight w:val="none"/>
                <w:u w:val="none"/>
              </w:rPr>
              <w:t>结果调整确认，原则上按照</w:t>
            </w:r>
            <w:r>
              <w:rPr>
                <w:rFonts w:hint="eastAsia" w:ascii="宋体" w:hAnsi="宋体" w:cs="宋体"/>
                <w:color w:val="auto"/>
                <w:kern w:val="0"/>
                <w:sz w:val="21"/>
                <w:szCs w:val="21"/>
                <w:highlight w:val="none"/>
                <w:u w:val="none"/>
                <w:lang w:eastAsia="zh-CN"/>
              </w:rPr>
              <w:t>中标候选人</w:t>
            </w:r>
            <w:r>
              <w:rPr>
                <w:rFonts w:hint="eastAsia" w:ascii="宋体" w:hAnsi="宋体" w:eastAsia="宋体" w:cs="宋体"/>
                <w:color w:val="auto"/>
                <w:kern w:val="0"/>
                <w:sz w:val="21"/>
                <w:szCs w:val="21"/>
                <w:highlight w:val="none"/>
                <w:u w:val="none"/>
              </w:rPr>
              <w:t>的推荐排名，依序递补，进行</w:t>
            </w:r>
            <w:r>
              <w:rPr>
                <w:rFonts w:hint="eastAsia" w:ascii="宋体" w:hAnsi="宋体" w:cs="宋体"/>
                <w:color w:val="auto"/>
                <w:kern w:val="0"/>
                <w:sz w:val="21"/>
                <w:szCs w:val="21"/>
                <w:highlight w:val="none"/>
                <w:u w:val="none"/>
                <w:lang w:eastAsia="zh-CN"/>
              </w:rPr>
              <w:t>中标人</w:t>
            </w:r>
            <w:r>
              <w:rPr>
                <w:rFonts w:hint="eastAsia" w:ascii="宋体" w:hAnsi="宋体" w:eastAsia="宋体" w:cs="宋体"/>
                <w:color w:val="auto"/>
                <w:kern w:val="0"/>
                <w:sz w:val="21"/>
                <w:szCs w:val="21"/>
                <w:highlight w:val="none"/>
                <w:u w:val="none"/>
              </w:rPr>
              <w:t>调整确认，剩余的</w:t>
            </w:r>
            <w:r>
              <w:rPr>
                <w:rFonts w:hint="eastAsia" w:ascii="宋体" w:hAnsi="宋体" w:cs="宋体"/>
                <w:color w:val="auto"/>
                <w:kern w:val="0"/>
                <w:sz w:val="21"/>
                <w:szCs w:val="21"/>
                <w:highlight w:val="none"/>
                <w:u w:val="none"/>
                <w:lang w:eastAsia="zh-CN"/>
              </w:rPr>
              <w:t>中标</w:t>
            </w:r>
            <w:r>
              <w:rPr>
                <w:rFonts w:hint="eastAsia" w:ascii="宋体" w:hAnsi="宋体" w:eastAsia="宋体" w:cs="宋体"/>
                <w:color w:val="auto"/>
                <w:kern w:val="0"/>
                <w:sz w:val="21"/>
                <w:szCs w:val="21"/>
                <w:highlight w:val="none"/>
                <w:u w:val="none"/>
              </w:rPr>
              <w:t>份额结合已经</w:t>
            </w:r>
            <w:r>
              <w:rPr>
                <w:rFonts w:hint="eastAsia" w:ascii="宋体" w:hAnsi="宋体" w:cs="宋体"/>
                <w:color w:val="auto"/>
                <w:kern w:val="0"/>
                <w:sz w:val="21"/>
                <w:szCs w:val="21"/>
                <w:highlight w:val="none"/>
                <w:u w:val="none"/>
                <w:lang w:eastAsia="zh-CN"/>
              </w:rPr>
              <w:t>中标</w:t>
            </w:r>
            <w:r>
              <w:rPr>
                <w:rFonts w:hint="eastAsia" w:ascii="宋体" w:hAnsi="宋体" w:cs="宋体"/>
                <w:color w:val="auto"/>
                <w:sz w:val="21"/>
                <w:szCs w:val="21"/>
                <w:highlight w:val="none"/>
                <w:u w:val="none"/>
                <w:lang w:eastAsia="zh-CN"/>
              </w:rPr>
              <w:t>比例</w:t>
            </w:r>
            <w:r>
              <w:rPr>
                <w:rFonts w:hint="eastAsia" w:ascii="宋体" w:hAnsi="宋体" w:eastAsia="宋体" w:cs="宋体"/>
                <w:color w:val="auto"/>
                <w:kern w:val="0"/>
                <w:sz w:val="21"/>
                <w:szCs w:val="21"/>
                <w:highlight w:val="none"/>
                <w:u w:val="none"/>
              </w:rPr>
              <w:t>份额占比进行分配，按照调整后的</w:t>
            </w:r>
            <w:r>
              <w:rPr>
                <w:rFonts w:hint="eastAsia" w:ascii="宋体" w:hAnsi="宋体" w:cs="宋体"/>
                <w:color w:val="auto"/>
                <w:kern w:val="0"/>
                <w:sz w:val="21"/>
                <w:szCs w:val="21"/>
                <w:highlight w:val="none"/>
                <w:u w:val="none"/>
                <w:lang w:eastAsia="zh-CN"/>
              </w:rPr>
              <w:t>中标</w:t>
            </w:r>
            <w:r>
              <w:rPr>
                <w:rFonts w:hint="eastAsia" w:ascii="宋体" w:hAnsi="宋体" w:eastAsia="宋体" w:cs="宋体"/>
                <w:color w:val="auto"/>
                <w:kern w:val="0"/>
                <w:sz w:val="21"/>
                <w:szCs w:val="21"/>
                <w:highlight w:val="none"/>
                <w:u w:val="none"/>
              </w:rPr>
              <w:t>份额进行最终分配，不再增补。</w:t>
            </w:r>
          </w:p>
          <w:p w14:paraId="7AAE0976">
            <w:pPr>
              <w:keepNext w:val="0"/>
              <w:keepLines w:val="0"/>
              <w:pageBreakBefore w:val="0"/>
              <w:widowControl w:val="0"/>
              <w:suppressLineNumbers w:val="0"/>
              <w:tabs>
                <w:tab w:val="left" w:pos="2127"/>
              </w:tabs>
              <w:kinsoku/>
              <w:wordWrap/>
              <w:overflowPunct/>
              <w:topLinePunct w:val="0"/>
              <w:autoSpaceDE/>
              <w:autoSpaceDN/>
              <w:bidi w:val="0"/>
              <w:adjustRightInd/>
              <w:snapToGrid/>
              <w:spacing w:beforeAutospacing="0" w:afterAutospacing="0" w:line="312" w:lineRule="auto"/>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u w:val="none"/>
              </w:rPr>
              <w:t>②根据</w:t>
            </w:r>
            <w:r>
              <w:rPr>
                <w:rFonts w:hint="eastAsia" w:ascii="宋体" w:hAnsi="宋体" w:cs="宋体"/>
                <w:color w:val="auto"/>
                <w:kern w:val="0"/>
                <w:sz w:val="21"/>
                <w:szCs w:val="21"/>
                <w:highlight w:val="none"/>
                <w:u w:val="none"/>
                <w:lang w:eastAsia="zh-CN"/>
              </w:rPr>
              <w:t>中标候选人</w:t>
            </w:r>
            <w:r>
              <w:rPr>
                <w:rFonts w:hint="eastAsia" w:ascii="宋体" w:hAnsi="宋体" w:eastAsia="宋体" w:cs="宋体"/>
                <w:color w:val="auto"/>
                <w:kern w:val="0"/>
                <w:sz w:val="21"/>
                <w:szCs w:val="21"/>
                <w:highlight w:val="none"/>
                <w:u w:val="none"/>
              </w:rPr>
              <w:t>的推荐情况，进行</w:t>
            </w:r>
            <w:r>
              <w:rPr>
                <w:rFonts w:hint="eastAsia" w:ascii="宋体" w:hAnsi="宋体" w:cs="宋体"/>
                <w:color w:val="auto"/>
                <w:kern w:val="0"/>
                <w:sz w:val="21"/>
                <w:szCs w:val="21"/>
                <w:highlight w:val="none"/>
                <w:u w:val="none"/>
                <w:lang w:eastAsia="zh-CN"/>
              </w:rPr>
              <w:t>中标</w:t>
            </w:r>
            <w:r>
              <w:rPr>
                <w:rFonts w:hint="eastAsia" w:ascii="宋体" w:hAnsi="宋体" w:eastAsia="宋体" w:cs="宋体"/>
                <w:color w:val="auto"/>
                <w:kern w:val="0"/>
                <w:sz w:val="21"/>
                <w:szCs w:val="21"/>
                <w:highlight w:val="none"/>
                <w:u w:val="none"/>
              </w:rPr>
              <w:t>结果调整确认，原则上按照</w:t>
            </w:r>
            <w:r>
              <w:rPr>
                <w:rFonts w:hint="eastAsia" w:ascii="宋体" w:hAnsi="宋体" w:cs="宋体"/>
                <w:color w:val="auto"/>
                <w:kern w:val="0"/>
                <w:sz w:val="21"/>
                <w:szCs w:val="21"/>
                <w:highlight w:val="none"/>
                <w:u w:val="none"/>
                <w:lang w:eastAsia="zh-CN"/>
              </w:rPr>
              <w:t>中标候选人</w:t>
            </w:r>
            <w:r>
              <w:rPr>
                <w:rFonts w:hint="eastAsia" w:ascii="宋体" w:hAnsi="宋体" w:eastAsia="宋体" w:cs="宋体"/>
                <w:color w:val="auto"/>
                <w:kern w:val="0"/>
                <w:sz w:val="21"/>
                <w:szCs w:val="21"/>
                <w:highlight w:val="none"/>
                <w:u w:val="none"/>
              </w:rPr>
              <w:t>的推荐排名，依序递补，进行</w:t>
            </w:r>
            <w:r>
              <w:rPr>
                <w:rFonts w:hint="eastAsia" w:ascii="宋体" w:hAnsi="宋体" w:cs="宋体"/>
                <w:color w:val="auto"/>
                <w:kern w:val="0"/>
                <w:sz w:val="21"/>
                <w:szCs w:val="21"/>
                <w:highlight w:val="none"/>
                <w:u w:val="none"/>
                <w:lang w:eastAsia="zh-CN"/>
              </w:rPr>
              <w:t>中标人</w:t>
            </w:r>
            <w:r>
              <w:rPr>
                <w:rFonts w:hint="eastAsia" w:ascii="宋体" w:hAnsi="宋体" w:eastAsia="宋体" w:cs="宋体"/>
                <w:color w:val="auto"/>
                <w:kern w:val="0"/>
                <w:sz w:val="21"/>
                <w:szCs w:val="21"/>
                <w:highlight w:val="none"/>
                <w:u w:val="none"/>
              </w:rPr>
              <w:t>调整确认，剩余的</w:t>
            </w:r>
            <w:r>
              <w:rPr>
                <w:rFonts w:hint="eastAsia" w:ascii="宋体" w:hAnsi="宋体" w:cs="宋体"/>
                <w:color w:val="auto"/>
                <w:kern w:val="0"/>
                <w:sz w:val="21"/>
                <w:szCs w:val="21"/>
                <w:highlight w:val="none"/>
                <w:u w:val="none"/>
                <w:lang w:eastAsia="zh-CN"/>
              </w:rPr>
              <w:t>中标</w:t>
            </w:r>
            <w:r>
              <w:rPr>
                <w:rFonts w:hint="eastAsia" w:ascii="宋体" w:hAnsi="宋体" w:eastAsia="宋体" w:cs="宋体"/>
                <w:color w:val="auto"/>
                <w:kern w:val="0"/>
                <w:sz w:val="21"/>
                <w:szCs w:val="21"/>
                <w:highlight w:val="none"/>
                <w:u w:val="none"/>
              </w:rPr>
              <w:t>份额不在已经</w:t>
            </w:r>
            <w:r>
              <w:rPr>
                <w:rFonts w:hint="eastAsia" w:ascii="宋体" w:hAnsi="宋体" w:cs="宋体"/>
                <w:color w:val="auto"/>
                <w:kern w:val="0"/>
                <w:sz w:val="21"/>
                <w:szCs w:val="21"/>
                <w:highlight w:val="none"/>
                <w:u w:val="none"/>
                <w:lang w:eastAsia="zh-CN"/>
              </w:rPr>
              <w:t>中标</w:t>
            </w:r>
            <w:r>
              <w:rPr>
                <w:rFonts w:hint="eastAsia" w:ascii="宋体" w:hAnsi="宋体" w:cs="宋体"/>
                <w:color w:val="auto"/>
                <w:kern w:val="0"/>
                <w:sz w:val="21"/>
                <w:szCs w:val="21"/>
                <w:highlight w:val="none"/>
                <w:u w:val="none"/>
                <w:lang w:val="en-US" w:eastAsia="zh-CN"/>
              </w:rPr>
              <w:t>比例</w:t>
            </w:r>
            <w:r>
              <w:rPr>
                <w:rFonts w:hint="eastAsia" w:ascii="宋体" w:hAnsi="宋体" w:eastAsia="宋体" w:cs="宋体"/>
                <w:color w:val="auto"/>
                <w:kern w:val="0"/>
                <w:sz w:val="21"/>
                <w:szCs w:val="21"/>
                <w:highlight w:val="none"/>
                <w:u w:val="none"/>
              </w:rPr>
              <w:t>份额中进行分配。剩余的</w:t>
            </w:r>
            <w:r>
              <w:rPr>
                <w:rFonts w:hint="eastAsia" w:ascii="宋体" w:hAnsi="宋体" w:cs="宋体"/>
                <w:color w:val="auto"/>
                <w:kern w:val="0"/>
                <w:sz w:val="21"/>
                <w:szCs w:val="21"/>
                <w:highlight w:val="none"/>
                <w:u w:val="none"/>
                <w:lang w:val="en-US" w:eastAsia="zh-CN"/>
              </w:rPr>
              <w:t>中标</w:t>
            </w:r>
            <w:r>
              <w:rPr>
                <w:rFonts w:hint="eastAsia" w:ascii="宋体" w:hAnsi="宋体" w:eastAsia="宋体" w:cs="宋体"/>
                <w:color w:val="auto"/>
                <w:kern w:val="0"/>
                <w:sz w:val="21"/>
                <w:szCs w:val="21"/>
                <w:highlight w:val="none"/>
                <w:u w:val="none"/>
              </w:rPr>
              <w:t>份额根据其对应的</w:t>
            </w:r>
            <w:r>
              <w:rPr>
                <w:rFonts w:hint="eastAsia" w:ascii="宋体" w:hAnsi="宋体" w:cs="宋体"/>
                <w:color w:val="auto"/>
                <w:kern w:val="0"/>
                <w:sz w:val="21"/>
                <w:szCs w:val="21"/>
                <w:highlight w:val="none"/>
                <w:u w:val="none"/>
                <w:lang w:eastAsia="zh-CN"/>
              </w:rPr>
              <w:t>合同估算金额</w:t>
            </w:r>
            <w:r>
              <w:rPr>
                <w:rFonts w:hint="eastAsia" w:ascii="宋体" w:hAnsi="宋体" w:eastAsia="宋体" w:cs="宋体"/>
                <w:color w:val="auto"/>
                <w:kern w:val="0"/>
                <w:sz w:val="21"/>
                <w:szCs w:val="21"/>
                <w:highlight w:val="none"/>
                <w:u w:val="none"/>
              </w:rPr>
              <w:t>进行增补采购，增补采购时，原标段的所有</w:t>
            </w:r>
            <w:r>
              <w:rPr>
                <w:rFonts w:hint="eastAsia" w:ascii="宋体" w:hAnsi="宋体" w:cs="宋体"/>
                <w:color w:val="auto"/>
                <w:kern w:val="0"/>
                <w:sz w:val="21"/>
                <w:szCs w:val="21"/>
                <w:highlight w:val="none"/>
                <w:u w:val="none"/>
                <w:lang w:eastAsia="zh-CN"/>
              </w:rPr>
              <w:t>中标人</w:t>
            </w:r>
            <w:r>
              <w:rPr>
                <w:rFonts w:hint="eastAsia" w:ascii="宋体" w:hAnsi="宋体" w:eastAsia="宋体" w:cs="宋体"/>
                <w:color w:val="auto"/>
                <w:kern w:val="0"/>
                <w:sz w:val="21"/>
                <w:szCs w:val="21"/>
                <w:highlight w:val="none"/>
                <w:u w:val="none"/>
              </w:rPr>
              <w:t>以及放弃</w:t>
            </w:r>
            <w:r>
              <w:rPr>
                <w:rFonts w:hint="eastAsia" w:ascii="宋体" w:hAnsi="宋体" w:cs="宋体"/>
                <w:color w:val="auto"/>
                <w:kern w:val="0"/>
                <w:sz w:val="21"/>
                <w:szCs w:val="21"/>
                <w:highlight w:val="none"/>
                <w:u w:val="none"/>
                <w:lang w:eastAsia="zh-CN"/>
              </w:rPr>
              <w:t>中标</w:t>
            </w:r>
            <w:r>
              <w:rPr>
                <w:rFonts w:hint="eastAsia" w:ascii="宋体" w:hAnsi="宋体" w:eastAsia="宋体" w:cs="宋体"/>
                <w:color w:val="auto"/>
                <w:kern w:val="0"/>
                <w:sz w:val="21"/>
                <w:szCs w:val="21"/>
                <w:highlight w:val="none"/>
                <w:u w:val="none"/>
              </w:rPr>
              <w:t>的</w:t>
            </w:r>
            <w:r>
              <w:rPr>
                <w:rFonts w:hint="eastAsia" w:ascii="宋体" w:hAnsi="宋体" w:cs="宋体"/>
                <w:color w:val="auto"/>
                <w:kern w:val="0"/>
                <w:sz w:val="21"/>
                <w:szCs w:val="21"/>
                <w:highlight w:val="none"/>
                <w:u w:val="none"/>
                <w:lang w:val="en-US" w:eastAsia="zh-CN"/>
              </w:rPr>
              <w:t>投标人</w:t>
            </w:r>
            <w:r>
              <w:rPr>
                <w:rFonts w:hint="eastAsia" w:ascii="宋体" w:hAnsi="宋体" w:eastAsia="宋体" w:cs="宋体"/>
                <w:color w:val="auto"/>
                <w:kern w:val="0"/>
                <w:sz w:val="21"/>
                <w:szCs w:val="21"/>
                <w:highlight w:val="none"/>
                <w:u w:val="none"/>
              </w:rPr>
              <w:t>均不得参与。</w:t>
            </w:r>
          </w:p>
        </w:tc>
      </w:tr>
      <w:tr w14:paraId="3BCE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 w:type="dxa"/>
            <w:vAlign w:val="center"/>
          </w:tcPr>
          <w:p w14:paraId="55AC8B44">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u w:val="none"/>
                <w:lang w:val="en-US" w:eastAsia="zh-CN"/>
              </w:rPr>
              <w:t>1</w:t>
            </w:r>
            <w:r>
              <w:rPr>
                <w:rFonts w:hint="eastAsia" w:hAnsi="宋体" w:cs="宋体"/>
                <w:color w:val="auto"/>
                <w:kern w:val="0"/>
                <w:sz w:val="21"/>
                <w:szCs w:val="21"/>
                <w:highlight w:val="none"/>
                <w:u w:val="none"/>
                <w:lang w:val="en-US" w:eastAsia="zh-CN"/>
              </w:rPr>
              <w:t>3</w:t>
            </w:r>
          </w:p>
        </w:tc>
        <w:tc>
          <w:tcPr>
            <w:tcW w:w="1728" w:type="dxa"/>
            <w:vAlign w:val="center"/>
          </w:tcPr>
          <w:p w14:paraId="1880E79F">
            <w:pPr>
              <w:pStyle w:val="23"/>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hAnsi="宋体"/>
                <w:color w:val="auto"/>
                <w:szCs w:val="21"/>
                <w:highlight w:val="none"/>
                <w:lang w:val="en-US" w:eastAsia="zh-CN"/>
              </w:rPr>
              <w:t>招标</w:t>
            </w:r>
            <w:r>
              <w:rPr>
                <w:rFonts w:hint="eastAsia" w:ascii="宋体" w:hAnsi="宋体" w:eastAsia="宋体" w:cs="宋体"/>
                <w:color w:val="auto"/>
                <w:sz w:val="21"/>
                <w:szCs w:val="21"/>
                <w:highlight w:val="none"/>
                <w:u w:val="none"/>
              </w:rPr>
              <w:t>代理服务费</w:t>
            </w:r>
          </w:p>
        </w:tc>
        <w:tc>
          <w:tcPr>
            <w:tcW w:w="7016" w:type="dxa"/>
            <w:vAlign w:val="top"/>
          </w:tcPr>
          <w:p w14:paraId="63C90096">
            <w:pPr>
              <w:kinsoku/>
              <w:overflowPunct/>
              <w:bidi w:val="0"/>
              <w:spacing w:line="360" w:lineRule="auto"/>
              <w:textAlignment w:val="auto"/>
              <w:rPr>
                <w:rFonts w:ascii="宋体" w:hAnsi="宋体"/>
                <w:color w:val="auto"/>
                <w:szCs w:val="21"/>
                <w:highlight w:val="none"/>
              </w:rPr>
            </w:pPr>
            <w:r>
              <w:rPr>
                <w:rFonts w:hint="eastAsia" w:ascii="宋体" w:hAnsi="宋体"/>
                <w:color w:val="auto"/>
                <w:szCs w:val="21"/>
                <w:highlight w:val="none"/>
              </w:rPr>
              <w:t>1）代理费类型：</w:t>
            </w:r>
            <w:r>
              <w:rPr>
                <w:rFonts w:hint="eastAsia" w:ascii="宋体" w:hAnsi="宋体" w:cs="宋体"/>
                <w:color w:val="auto"/>
                <w:szCs w:val="21"/>
                <w:highlight w:val="none"/>
                <w:lang w:val="en-US" w:eastAsia="zh-CN"/>
              </w:rPr>
              <w:t>货物类</w:t>
            </w:r>
          </w:p>
          <w:p w14:paraId="6E4FEA1B">
            <w:pPr>
              <w:pStyle w:val="23"/>
              <w:kinsoku/>
              <w:overflowPunct/>
              <w:bidi w:val="0"/>
              <w:spacing w:line="360" w:lineRule="auto"/>
              <w:textAlignment w:val="auto"/>
              <w:rPr>
                <w:rFonts w:hint="eastAsia" w:hAnsi="宋体"/>
                <w:color w:val="auto"/>
                <w:szCs w:val="21"/>
                <w:highlight w:val="none"/>
              </w:rPr>
            </w:pPr>
            <w:r>
              <w:rPr>
                <w:rFonts w:hint="eastAsia" w:hAnsi="宋体"/>
                <w:color w:val="auto"/>
                <w:szCs w:val="21"/>
                <w:highlight w:val="none"/>
              </w:rPr>
              <w:t>2）</w:t>
            </w:r>
            <w:r>
              <w:rPr>
                <w:rFonts w:hint="eastAsia" w:hAnsi="宋体"/>
                <w:color w:val="auto"/>
                <w:szCs w:val="21"/>
                <w:highlight w:val="none"/>
                <w:lang w:val="en-US" w:eastAsia="zh-CN"/>
              </w:rPr>
              <w:t>招标</w:t>
            </w:r>
            <w:r>
              <w:rPr>
                <w:rFonts w:hint="eastAsia" w:hAnsi="宋体"/>
                <w:color w:val="auto"/>
                <w:szCs w:val="21"/>
                <w:highlight w:val="none"/>
              </w:rPr>
              <w:t>代理服务费：</w:t>
            </w:r>
            <w:r>
              <w:rPr>
                <w:rFonts w:hint="eastAsia"/>
                <w:highlight w:val="none"/>
              </w:rPr>
              <w:t>本项目代理服务费包括</w:t>
            </w:r>
            <w:r>
              <w:rPr>
                <w:rFonts w:hint="eastAsia" w:hAnsi="宋体"/>
                <w:color w:val="auto"/>
                <w:szCs w:val="21"/>
                <w:highlight w:val="none"/>
                <w:lang w:val="en-US" w:eastAsia="zh-CN"/>
              </w:rPr>
              <w:t>招标</w:t>
            </w:r>
            <w:r>
              <w:rPr>
                <w:rFonts w:hint="eastAsia" w:ascii="宋体" w:hAnsi="宋体" w:cs="宋体"/>
                <w:szCs w:val="21"/>
                <w:highlight w:val="none"/>
              </w:rPr>
              <w:t>代理服务费</w:t>
            </w:r>
            <w:r>
              <w:rPr>
                <w:rFonts w:hint="eastAsia" w:ascii="宋体" w:hAnsi="宋体" w:cs="宋体"/>
                <w:szCs w:val="21"/>
                <w:highlight w:val="none"/>
                <w:lang w:eastAsia="zh-CN"/>
              </w:rPr>
              <w:t>、</w:t>
            </w:r>
            <w:r>
              <w:rPr>
                <w:rFonts w:hint="eastAsia"/>
                <w:highlight w:val="none"/>
                <w:lang w:val="en-US" w:eastAsia="zh-CN"/>
              </w:rPr>
              <w:t>评标（评审）专家劳务费、评标专家差旅费、住宿费、公证费等</w:t>
            </w:r>
            <w:r>
              <w:rPr>
                <w:rFonts w:hint="eastAsia" w:ascii="宋体" w:hAnsi="宋体" w:cs="宋体"/>
                <w:szCs w:val="21"/>
                <w:highlight w:val="none"/>
              </w:rPr>
              <w:t>，</w:t>
            </w:r>
            <w:r>
              <w:rPr>
                <w:rFonts w:hint="eastAsia" w:ascii="宋体" w:hAnsi="宋体"/>
                <w:szCs w:val="21"/>
                <w:highlight w:val="none"/>
              </w:rPr>
              <w:t>由中标人支付。</w:t>
            </w:r>
          </w:p>
          <w:p w14:paraId="52B14ECC">
            <w:pPr>
              <w:pStyle w:val="19"/>
              <w:spacing w:line="360" w:lineRule="auto"/>
              <w:ind w:left="0" w:leftChars="0" w:firstLine="540"/>
              <w:rPr>
                <w:rFonts w:ascii="宋体" w:hAnsi="宋体"/>
                <w:szCs w:val="21"/>
                <w:highlight w:val="none"/>
              </w:rPr>
            </w:pPr>
            <w:r>
              <w:rPr>
                <w:rFonts w:hint="eastAsia" w:ascii="宋体" w:hAnsi="宋体"/>
                <w:szCs w:val="21"/>
                <w:highlight w:val="none"/>
                <w:lang w:val="zh-CN"/>
              </w:rPr>
              <w:t>按以下相应费率（详见下表）使用</w:t>
            </w:r>
            <w:r>
              <w:rPr>
                <w:rFonts w:hint="eastAsia" w:ascii="宋体" w:hAnsi="宋体"/>
                <w:b/>
                <w:bCs/>
                <w:szCs w:val="21"/>
                <w:highlight w:val="none"/>
                <w:lang w:val="zh-CN"/>
              </w:rPr>
              <w:t>差额定率累进法</w:t>
            </w:r>
            <w:r>
              <w:rPr>
                <w:rFonts w:hint="eastAsia" w:ascii="宋体" w:hAnsi="宋体"/>
                <w:szCs w:val="21"/>
                <w:highlight w:val="none"/>
                <w:lang w:val="zh-CN"/>
              </w:rPr>
              <w:t>计算（</w:t>
            </w:r>
            <w:r>
              <w:rPr>
                <w:rFonts w:hint="eastAsia" w:ascii="宋体" w:hAnsi="宋体"/>
                <w:szCs w:val="21"/>
                <w:highlight w:val="none"/>
              </w:rPr>
              <w:t>合同实施期间，若国家或行业主管部门颁发了新的收费标准按新标准执行），按计算结果的</w:t>
            </w:r>
            <w:r>
              <w:rPr>
                <w:rFonts w:hint="eastAsia" w:ascii="宋体" w:hAnsi="宋体"/>
                <w:b w:val="0"/>
                <w:bCs w:val="0"/>
                <w:szCs w:val="21"/>
                <w:highlight w:val="none"/>
                <w:u w:val="single"/>
                <w:lang w:val="en-US" w:eastAsia="zh-CN"/>
              </w:rPr>
              <w:t xml:space="preserve"> </w:t>
            </w:r>
            <w:r>
              <w:rPr>
                <w:rFonts w:hint="eastAsia" w:ascii="宋体" w:hAnsi="宋体" w:cs="宋体"/>
                <w:color w:val="auto"/>
                <w:kern w:val="0"/>
                <w:sz w:val="21"/>
                <w:szCs w:val="21"/>
                <w:highlight w:val="none"/>
                <w:u w:val="single"/>
                <w:lang w:val="en-US" w:eastAsia="zh-CN" w:bidi="ar-SA"/>
              </w:rPr>
              <w:t>90</w:t>
            </w:r>
            <w:r>
              <w:rPr>
                <w:rFonts w:hint="eastAsia" w:ascii="宋体" w:hAnsi="宋体"/>
                <w:b w:val="0"/>
                <w:bCs w:val="0"/>
                <w:szCs w:val="21"/>
                <w:highlight w:val="none"/>
                <w:u w:val="single"/>
              </w:rPr>
              <w:t>%</w:t>
            </w:r>
            <w:r>
              <w:rPr>
                <w:rFonts w:hint="eastAsia" w:ascii="宋体" w:hAnsi="宋体"/>
                <w:szCs w:val="21"/>
                <w:highlight w:val="none"/>
              </w:rPr>
              <w:t xml:space="preserve">收取。 </w:t>
            </w:r>
          </w:p>
          <w:tbl>
            <w:tblPr>
              <w:tblStyle w:val="46"/>
              <w:tblW w:w="5000" w:type="pct"/>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1840"/>
              <w:gridCol w:w="1641"/>
              <w:gridCol w:w="1641"/>
              <w:gridCol w:w="1648"/>
            </w:tblGrid>
            <w:tr w14:paraId="21CC249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771" w:hRule="atLeast"/>
              </w:trPr>
              <w:tc>
                <w:tcPr>
                  <w:tcW w:w="5000" w:type="pct"/>
                  <w:gridSpan w:val="4"/>
                  <w:tcBorders>
                    <w:top w:val="double" w:color="auto" w:sz="4" w:space="0"/>
                    <w:left w:val="double" w:color="auto" w:sz="4" w:space="0"/>
                    <w:bottom w:val="double" w:color="auto" w:sz="4" w:space="0"/>
                    <w:right w:val="double" w:color="auto" w:sz="4" w:space="0"/>
                  </w:tcBorders>
                  <w:noWrap w:val="0"/>
                  <w:vAlign w:val="center"/>
                </w:tcPr>
                <w:p w14:paraId="607D8A15">
                  <w:pPr>
                    <w:jc w:val="center"/>
                    <w:rPr>
                      <w:rFonts w:ascii="宋体" w:hAnsi="宋体"/>
                      <w:b/>
                      <w:szCs w:val="21"/>
                      <w:highlight w:val="none"/>
                    </w:rPr>
                  </w:pPr>
                  <w:r>
                    <w:rPr>
                      <w:rFonts w:hint="eastAsia" w:ascii="宋体" w:hAnsi="宋体"/>
                      <w:b/>
                      <w:szCs w:val="21"/>
                      <w:highlight w:val="none"/>
                    </w:rPr>
                    <w:t>招标代理服务收费标准</w:t>
                  </w:r>
                </w:p>
              </w:tc>
            </w:tr>
            <w:tr w14:paraId="25FCF77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74" w:hRule="atLeast"/>
              </w:trPr>
              <w:tc>
                <w:tcPr>
                  <w:tcW w:w="1359" w:type="pct"/>
                  <w:tcBorders>
                    <w:top w:val="double" w:color="auto" w:sz="4" w:space="0"/>
                    <w:left w:val="double" w:color="auto" w:sz="4" w:space="0"/>
                    <w:bottom w:val="double" w:color="auto" w:sz="4" w:space="0"/>
                    <w:right w:val="double" w:color="auto" w:sz="4" w:space="0"/>
                  </w:tcBorders>
                  <w:noWrap w:val="0"/>
                  <w:vAlign w:val="center"/>
                </w:tcPr>
                <w:p w14:paraId="42D8C1F9">
                  <w:pPr>
                    <w:jc w:val="center"/>
                    <w:rPr>
                      <w:rFonts w:ascii="宋体" w:hAnsi="宋体"/>
                      <w:szCs w:val="21"/>
                      <w:highlight w:val="none"/>
                    </w:rPr>
                  </w:pPr>
                  <w:r>
                    <w:rPr>
                      <w:rFonts w:hint="eastAsia" w:ascii="宋体" w:hAnsi="宋体"/>
                      <w:szCs w:val="21"/>
                      <w:highlight w:val="none"/>
                    </w:rPr>
                    <w:t>估算发包金额或预算金额</w:t>
                  </w:r>
                </w:p>
              </w:tc>
              <w:tc>
                <w:tcPr>
                  <w:tcW w:w="1212" w:type="pct"/>
                  <w:tcBorders>
                    <w:top w:val="double" w:color="auto" w:sz="4" w:space="0"/>
                    <w:left w:val="double" w:color="auto" w:sz="4" w:space="0"/>
                    <w:bottom w:val="double" w:color="auto" w:sz="4" w:space="0"/>
                    <w:right w:val="double" w:color="auto" w:sz="4" w:space="0"/>
                  </w:tcBorders>
                  <w:noWrap w:val="0"/>
                  <w:vAlign w:val="center"/>
                </w:tcPr>
                <w:p w14:paraId="3ECDFC73">
                  <w:pPr>
                    <w:jc w:val="center"/>
                    <w:rPr>
                      <w:rFonts w:ascii="宋体" w:hAnsi="宋体"/>
                      <w:szCs w:val="21"/>
                      <w:highlight w:val="none"/>
                    </w:rPr>
                  </w:pPr>
                  <w:r>
                    <w:rPr>
                      <w:rFonts w:hint="eastAsia" w:ascii="宋体" w:hAnsi="宋体"/>
                      <w:szCs w:val="21"/>
                      <w:highlight w:val="none"/>
                    </w:rPr>
                    <w:t>货物招标费率</w:t>
                  </w:r>
                </w:p>
              </w:tc>
              <w:tc>
                <w:tcPr>
                  <w:tcW w:w="1212" w:type="pct"/>
                  <w:tcBorders>
                    <w:top w:val="double" w:color="auto" w:sz="4" w:space="0"/>
                    <w:left w:val="double" w:color="auto" w:sz="4" w:space="0"/>
                    <w:bottom w:val="double" w:color="auto" w:sz="4" w:space="0"/>
                    <w:right w:val="double" w:color="auto" w:sz="4" w:space="0"/>
                  </w:tcBorders>
                  <w:noWrap w:val="0"/>
                  <w:vAlign w:val="center"/>
                </w:tcPr>
                <w:p w14:paraId="1E4BEC73">
                  <w:pPr>
                    <w:jc w:val="center"/>
                    <w:rPr>
                      <w:rFonts w:ascii="宋体" w:hAnsi="宋体"/>
                      <w:szCs w:val="21"/>
                      <w:highlight w:val="none"/>
                    </w:rPr>
                  </w:pPr>
                  <w:r>
                    <w:rPr>
                      <w:rFonts w:hint="eastAsia" w:ascii="宋体" w:hAnsi="宋体"/>
                      <w:szCs w:val="21"/>
                      <w:highlight w:val="none"/>
                    </w:rPr>
                    <w:t>服务招标费率</w:t>
                  </w:r>
                </w:p>
              </w:tc>
              <w:tc>
                <w:tcPr>
                  <w:tcW w:w="1215" w:type="pct"/>
                  <w:tcBorders>
                    <w:top w:val="double" w:color="auto" w:sz="4" w:space="0"/>
                    <w:left w:val="double" w:color="auto" w:sz="4" w:space="0"/>
                    <w:bottom w:val="double" w:color="auto" w:sz="4" w:space="0"/>
                    <w:right w:val="double" w:color="auto" w:sz="4" w:space="0"/>
                  </w:tcBorders>
                  <w:noWrap w:val="0"/>
                  <w:vAlign w:val="center"/>
                </w:tcPr>
                <w:p w14:paraId="63897B5B">
                  <w:pPr>
                    <w:jc w:val="center"/>
                    <w:rPr>
                      <w:rFonts w:ascii="宋体" w:hAnsi="宋体"/>
                      <w:szCs w:val="21"/>
                      <w:highlight w:val="none"/>
                    </w:rPr>
                  </w:pPr>
                  <w:r>
                    <w:rPr>
                      <w:rFonts w:hint="eastAsia" w:ascii="宋体" w:hAnsi="宋体"/>
                      <w:szCs w:val="21"/>
                      <w:highlight w:val="none"/>
                    </w:rPr>
                    <w:t>工程招标费率</w:t>
                  </w:r>
                </w:p>
              </w:tc>
            </w:tr>
            <w:tr w14:paraId="21A0866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12" w:hRule="exact"/>
              </w:trPr>
              <w:tc>
                <w:tcPr>
                  <w:tcW w:w="1359" w:type="pct"/>
                  <w:tcBorders>
                    <w:top w:val="double" w:color="auto" w:sz="4" w:space="0"/>
                    <w:left w:val="double" w:color="auto" w:sz="4" w:space="0"/>
                    <w:bottom w:val="double" w:color="auto" w:sz="4" w:space="0"/>
                    <w:right w:val="double" w:color="auto" w:sz="4" w:space="0"/>
                  </w:tcBorders>
                  <w:noWrap w:val="0"/>
                  <w:vAlign w:val="center"/>
                </w:tcPr>
                <w:p w14:paraId="7602F3E2">
                  <w:pPr>
                    <w:rPr>
                      <w:rFonts w:ascii="宋体" w:hAnsi="宋体"/>
                      <w:szCs w:val="21"/>
                      <w:highlight w:val="none"/>
                    </w:rPr>
                  </w:pPr>
                  <w:r>
                    <w:rPr>
                      <w:rFonts w:hint="eastAsia" w:ascii="宋体" w:hAnsi="宋体"/>
                      <w:szCs w:val="21"/>
                      <w:highlight w:val="none"/>
                    </w:rPr>
                    <w:t>100万元以下</w:t>
                  </w:r>
                </w:p>
              </w:tc>
              <w:tc>
                <w:tcPr>
                  <w:tcW w:w="1212" w:type="pct"/>
                  <w:tcBorders>
                    <w:top w:val="double" w:color="auto" w:sz="4" w:space="0"/>
                    <w:left w:val="double" w:color="auto" w:sz="4" w:space="0"/>
                    <w:bottom w:val="double" w:color="auto" w:sz="4" w:space="0"/>
                    <w:right w:val="double" w:color="auto" w:sz="4" w:space="0"/>
                  </w:tcBorders>
                  <w:noWrap w:val="0"/>
                  <w:vAlign w:val="center"/>
                </w:tcPr>
                <w:p w14:paraId="2685EA5F">
                  <w:pPr>
                    <w:jc w:val="center"/>
                    <w:rPr>
                      <w:rFonts w:ascii="宋体" w:hAnsi="宋体"/>
                      <w:szCs w:val="21"/>
                      <w:highlight w:val="none"/>
                    </w:rPr>
                  </w:pPr>
                  <w:r>
                    <w:rPr>
                      <w:rFonts w:hint="eastAsia" w:ascii="宋体" w:hAnsi="宋体"/>
                      <w:szCs w:val="21"/>
                      <w:highlight w:val="none"/>
                    </w:rPr>
                    <w:t>1.5%</w:t>
                  </w:r>
                </w:p>
              </w:tc>
              <w:tc>
                <w:tcPr>
                  <w:tcW w:w="1212" w:type="pct"/>
                  <w:tcBorders>
                    <w:top w:val="double" w:color="auto" w:sz="4" w:space="0"/>
                    <w:left w:val="double" w:color="auto" w:sz="4" w:space="0"/>
                    <w:bottom w:val="double" w:color="auto" w:sz="4" w:space="0"/>
                    <w:right w:val="double" w:color="auto" w:sz="4" w:space="0"/>
                  </w:tcBorders>
                  <w:noWrap w:val="0"/>
                  <w:vAlign w:val="center"/>
                </w:tcPr>
                <w:p w14:paraId="310BAB0E">
                  <w:pPr>
                    <w:jc w:val="center"/>
                    <w:rPr>
                      <w:rFonts w:ascii="宋体" w:hAnsi="宋体"/>
                      <w:szCs w:val="21"/>
                      <w:highlight w:val="none"/>
                    </w:rPr>
                  </w:pPr>
                  <w:r>
                    <w:rPr>
                      <w:rFonts w:hint="eastAsia" w:ascii="宋体" w:hAnsi="宋体"/>
                      <w:szCs w:val="21"/>
                      <w:highlight w:val="none"/>
                    </w:rPr>
                    <w:t>1.5%</w:t>
                  </w:r>
                </w:p>
              </w:tc>
              <w:tc>
                <w:tcPr>
                  <w:tcW w:w="1215" w:type="pct"/>
                  <w:tcBorders>
                    <w:top w:val="double" w:color="auto" w:sz="4" w:space="0"/>
                    <w:left w:val="double" w:color="auto" w:sz="4" w:space="0"/>
                    <w:bottom w:val="double" w:color="auto" w:sz="4" w:space="0"/>
                    <w:right w:val="double" w:color="auto" w:sz="4" w:space="0"/>
                  </w:tcBorders>
                  <w:noWrap w:val="0"/>
                  <w:vAlign w:val="center"/>
                </w:tcPr>
                <w:p w14:paraId="622CEA66">
                  <w:pPr>
                    <w:jc w:val="center"/>
                    <w:rPr>
                      <w:rFonts w:ascii="宋体" w:hAnsi="宋体"/>
                      <w:szCs w:val="21"/>
                      <w:highlight w:val="none"/>
                    </w:rPr>
                  </w:pPr>
                  <w:r>
                    <w:rPr>
                      <w:rFonts w:hint="eastAsia" w:ascii="宋体" w:hAnsi="宋体"/>
                      <w:szCs w:val="21"/>
                      <w:highlight w:val="none"/>
                    </w:rPr>
                    <w:t>1.0%</w:t>
                  </w:r>
                </w:p>
              </w:tc>
            </w:tr>
            <w:tr w14:paraId="7B197CD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12" w:hRule="exact"/>
              </w:trPr>
              <w:tc>
                <w:tcPr>
                  <w:tcW w:w="1359" w:type="pct"/>
                  <w:tcBorders>
                    <w:top w:val="double" w:color="auto" w:sz="4" w:space="0"/>
                    <w:left w:val="double" w:color="auto" w:sz="4" w:space="0"/>
                    <w:bottom w:val="double" w:color="auto" w:sz="4" w:space="0"/>
                    <w:right w:val="double" w:color="auto" w:sz="4" w:space="0"/>
                  </w:tcBorders>
                  <w:noWrap w:val="0"/>
                  <w:vAlign w:val="center"/>
                </w:tcPr>
                <w:p w14:paraId="0A7D7306">
                  <w:pPr>
                    <w:rPr>
                      <w:rFonts w:ascii="宋体" w:hAnsi="宋体"/>
                      <w:szCs w:val="21"/>
                      <w:highlight w:val="none"/>
                    </w:rPr>
                  </w:pPr>
                  <w:r>
                    <w:rPr>
                      <w:rFonts w:hint="eastAsia" w:ascii="宋体" w:hAnsi="宋体"/>
                      <w:szCs w:val="21"/>
                      <w:highlight w:val="none"/>
                    </w:rPr>
                    <w:t>100-500万元</w:t>
                  </w:r>
                </w:p>
              </w:tc>
              <w:tc>
                <w:tcPr>
                  <w:tcW w:w="1212" w:type="pct"/>
                  <w:tcBorders>
                    <w:top w:val="double" w:color="auto" w:sz="4" w:space="0"/>
                    <w:left w:val="double" w:color="auto" w:sz="4" w:space="0"/>
                    <w:bottom w:val="double" w:color="auto" w:sz="4" w:space="0"/>
                    <w:right w:val="double" w:color="auto" w:sz="4" w:space="0"/>
                  </w:tcBorders>
                  <w:noWrap w:val="0"/>
                  <w:vAlign w:val="center"/>
                </w:tcPr>
                <w:p w14:paraId="476AF939">
                  <w:pPr>
                    <w:jc w:val="center"/>
                    <w:rPr>
                      <w:rFonts w:ascii="宋体" w:hAnsi="宋体"/>
                      <w:szCs w:val="21"/>
                      <w:highlight w:val="none"/>
                    </w:rPr>
                  </w:pPr>
                  <w:r>
                    <w:rPr>
                      <w:rFonts w:hint="eastAsia" w:ascii="宋体" w:hAnsi="宋体"/>
                      <w:szCs w:val="21"/>
                      <w:highlight w:val="none"/>
                    </w:rPr>
                    <w:t>1.1%</w:t>
                  </w:r>
                </w:p>
              </w:tc>
              <w:tc>
                <w:tcPr>
                  <w:tcW w:w="1212" w:type="pct"/>
                  <w:tcBorders>
                    <w:top w:val="double" w:color="auto" w:sz="4" w:space="0"/>
                    <w:left w:val="double" w:color="auto" w:sz="4" w:space="0"/>
                    <w:bottom w:val="double" w:color="auto" w:sz="4" w:space="0"/>
                    <w:right w:val="double" w:color="auto" w:sz="4" w:space="0"/>
                  </w:tcBorders>
                  <w:noWrap w:val="0"/>
                  <w:vAlign w:val="center"/>
                </w:tcPr>
                <w:p w14:paraId="55B38DC5">
                  <w:pPr>
                    <w:jc w:val="center"/>
                    <w:rPr>
                      <w:rFonts w:ascii="宋体" w:hAnsi="宋体"/>
                      <w:szCs w:val="21"/>
                      <w:highlight w:val="none"/>
                    </w:rPr>
                  </w:pPr>
                  <w:r>
                    <w:rPr>
                      <w:rFonts w:hint="eastAsia" w:ascii="宋体" w:hAnsi="宋体"/>
                      <w:szCs w:val="21"/>
                      <w:highlight w:val="none"/>
                    </w:rPr>
                    <w:t>0.8%</w:t>
                  </w:r>
                </w:p>
              </w:tc>
              <w:tc>
                <w:tcPr>
                  <w:tcW w:w="1215" w:type="pct"/>
                  <w:tcBorders>
                    <w:top w:val="double" w:color="auto" w:sz="4" w:space="0"/>
                    <w:left w:val="double" w:color="auto" w:sz="4" w:space="0"/>
                    <w:bottom w:val="double" w:color="auto" w:sz="4" w:space="0"/>
                    <w:right w:val="double" w:color="auto" w:sz="4" w:space="0"/>
                  </w:tcBorders>
                  <w:noWrap w:val="0"/>
                  <w:vAlign w:val="center"/>
                </w:tcPr>
                <w:p w14:paraId="18B21BEF">
                  <w:pPr>
                    <w:jc w:val="center"/>
                    <w:rPr>
                      <w:rFonts w:ascii="宋体" w:hAnsi="宋体"/>
                      <w:szCs w:val="21"/>
                      <w:highlight w:val="none"/>
                    </w:rPr>
                  </w:pPr>
                  <w:r>
                    <w:rPr>
                      <w:rFonts w:hint="eastAsia" w:ascii="宋体" w:hAnsi="宋体"/>
                      <w:szCs w:val="21"/>
                      <w:highlight w:val="none"/>
                    </w:rPr>
                    <w:t>0.7%</w:t>
                  </w:r>
                </w:p>
              </w:tc>
            </w:tr>
            <w:tr w14:paraId="283C8B8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12" w:hRule="exact"/>
              </w:trPr>
              <w:tc>
                <w:tcPr>
                  <w:tcW w:w="1359" w:type="pct"/>
                  <w:tcBorders>
                    <w:top w:val="double" w:color="auto" w:sz="4" w:space="0"/>
                    <w:left w:val="double" w:color="auto" w:sz="4" w:space="0"/>
                    <w:bottom w:val="double" w:color="auto" w:sz="4" w:space="0"/>
                    <w:right w:val="double" w:color="auto" w:sz="4" w:space="0"/>
                  </w:tcBorders>
                  <w:noWrap w:val="0"/>
                  <w:vAlign w:val="center"/>
                </w:tcPr>
                <w:p w14:paraId="4EAA8904">
                  <w:pPr>
                    <w:rPr>
                      <w:rFonts w:ascii="宋体" w:hAnsi="宋体"/>
                      <w:szCs w:val="21"/>
                      <w:highlight w:val="none"/>
                    </w:rPr>
                  </w:pPr>
                  <w:r>
                    <w:rPr>
                      <w:rFonts w:hint="eastAsia" w:ascii="宋体" w:hAnsi="宋体"/>
                      <w:szCs w:val="21"/>
                      <w:highlight w:val="none"/>
                    </w:rPr>
                    <w:t>500-1000万元</w:t>
                  </w:r>
                </w:p>
              </w:tc>
              <w:tc>
                <w:tcPr>
                  <w:tcW w:w="1212" w:type="pct"/>
                  <w:tcBorders>
                    <w:top w:val="double" w:color="auto" w:sz="4" w:space="0"/>
                    <w:left w:val="double" w:color="auto" w:sz="4" w:space="0"/>
                    <w:bottom w:val="double" w:color="auto" w:sz="4" w:space="0"/>
                    <w:right w:val="double" w:color="auto" w:sz="4" w:space="0"/>
                  </w:tcBorders>
                  <w:noWrap w:val="0"/>
                  <w:vAlign w:val="center"/>
                </w:tcPr>
                <w:p w14:paraId="4E0D160E">
                  <w:pPr>
                    <w:jc w:val="center"/>
                    <w:rPr>
                      <w:rFonts w:ascii="宋体" w:hAnsi="宋体"/>
                      <w:szCs w:val="21"/>
                      <w:highlight w:val="none"/>
                    </w:rPr>
                  </w:pPr>
                  <w:r>
                    <w:rPr>
                      <w:rFonts w:hint="eastAsia" w:ascii="宋体" w:hAnsi="宋体"/>
                      <w:szCs w:val="21"/>
                      <w:highlight w:val="none"/>
                    </w:rPr>
                    <w:t>0.8%</w:t>
                  </w:r>
                </w:p>
              </w:tc>
              <w:tc>
                <w:tcPr>
                  <w:tcW w:w="1212" w:type="pct"/>
                  <w:tcBorders>
                    <w:top w:val="double" w:color="auto" w:sz="4" w:space="0"/>
                    <w:left w:val="double" w:color="auto" w:sz="4" w:space="0"/>
                    <w:bottom w:val="double" w:color="auto" w:sz="4" w:space="0"/>
                    <w:right w:val="double" w:color="auto" w:sz="4" w:space="0"/>
                  </w:tcBorders>
                  <w:noWrap w:val="0"/>
                  <w:vAlign w:val="center"/>
                </w:tcPr>
                <w:p w14:paraId="55AC0935">
                  <w:pPr>
                    <w:jc w:val="center"/>
                    <w:rPr>
                      <w:rFonts w:ascii="宋体" w:hAnsi="宋体"/>
                      <w:szCs w:val="21"/>
                      <w:highlight w:val="none"/>
                    </w:rPr>
                  </w:pPr>
                  <w:r>
                    <w:rPr>
                      <w:rFonts w:hint="eastAsia" w:ascii="宋体" w:hAnsi="宋体"/>
                      <w:szCs w:val="21"/>
                      <w:highlight w:val="none"/>
                    </w:rPr>
                    <w:t>0.45%</w:t>
                  </w:r>
                </w:p>
              </w:tc>
              <w:tc>
                <w:tcPr>
                  <w:tcW w:w="1215" w:type="pct"/>
                  <w:tcBorders>
                    <w:top w:val="double" w:color="auto" w:sz="4" w:space="0"/>
                    <w:left w:val="double" w:color="auto" w:sz="4" w:space="0"/>
                    <w:bottom w:val="double" w:color="auto" w:sz="4" w:space="0"/>
                    <w:right w:val="double" w:color="auto" w:sz="4" w:space="0"/>
                  </w:tcBorders>
                  <w:noWrap w:val="0"/>
                  <w:vAlign w:val="center"/>
                </w:tcPr>
                <w:p w14:paraId="2C041D47">
                  <w:pPr>
                    <w:jc w:val="center"/>
                    <w:rPr>
                      <w:rFonts w:ascii="宋体" w:hAnsi="宋体"/>
                      <w:szCs w:val="21"/>
                      <w:highlight w:val="none"/>
                    </w:rPr>
                  </w:pPr>
                  <w:r>
                    <w:rPr>
                      <w:rFonts w:hint="eastAsia" w:ascii="宋体" w:hAnsi="宋体"/>
                      <w:szCs w:val="21"/>
                      <w:highlight w:val="none"/>
                    </w:rPr>
                    <w:t>0.55%</w:t>
                  </w:r>
                </w:p>
              </w:tc>
            </w:tr>
            <w:tr w14:paraId="7CD6A16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12" w:hRule="exact"/>
              </w:trPr>
              <w:tc>
                <w:tcPr>
                  <w:tcW w:w="1359" w:type="pct"/>
                  <w:tcBorders>
                    <w:top w:val="double" w:color="auto" w:sz="4" w:space="0"/>
                    <w:left w:val="double" w:color="auto" w:sz="4" w:space="0"/>
                    <w:bottom w:val="double" w:color="auto" w:sz="4" w:space="0"/>
                    <w:right w:val="double" w:color="auto" w:sz="4" w:space="0"/>
                  </w:tcBorders>
                  <w:noWrap w:val="0"/>
                  <w:vAlign w:val="center"/>
                </w:tcPr>
                <w:p w14:paraId="50E473DA">
                  <w:pPr>
                    <w:rPr>
                      <w:rFonts w:ascii="宋体" w:hAnsi="宋体"/>
                      <w:szCs w:val="21"/>
                      <w:highlight w:val="none"/>
                    </w:rPr>
                  </w:pPr>
                  <w:r>
                    <w:rPr>
                      <w:rFonts w:hint="eastAsia" w:ascii="宋体" w:hAnsi="宋体"/>
                      <w:szCs w:val="21"/>
                      <w:highlight w:val="none"/>
                    </w:rPr>
                    <w:t>1000-5000万元</w:t>
                  </w:r>
                </w:p>
              </w:tc>
              <w:tc>
                <w:tcPr>
                  <w:tcW w:w="1212" w:type="pct"/>
                  <w:tcBorders>
                    <w:top w:val="double" w:color="auto" w:sz="4" w:space="0"/>
                    <w:left w:val="double" w:color="auto" w:sz="4" w:space="0"/>
                    <w:bottom w:val="double" w:color="auto" w:sz="4" w:space="0"/>
                    <w:right w:val="double" w:color="auto" w:sz="4" w:space="0"/>
                  </w:tcBorders>
                  <w:noWrap w:val="0"/>
                  <w:vAlign w:val="center"/>
                </w:tcPr>
                <w:p w14:paraId="06F5BD99">
                  <w:pPr>
                    <w:jc w:val="center"/>
                    <w:rPr>
                      <w:rFonts w:ascii="宋体" w:hAnsi="宋体"/>
                      <w:szCs w:val="21"/>
                      <w:highlight w:val="none"/>
                    </w:rPr>
                  </w:pPr>
                  <w:r>
                    <w:rPr>
                      <w:rFonts w:hint="eastAsia" w:ascii="宋体" w:hAnsi="宋体"/>
                      <w:szCs w:val="21"/>
                      <w:highlight w:val="none"/>
                    </w:rPr>
                    <w:t>0.5%</w:t>
                  </w:r>
                </w:p>
              </w:tc>
              <w:tc>
                <w:tcPr>
                  <w:tcW w:w="1212" w:type="pct"/>
                  <w:tcBorders>
                    <w:top w:val="double" w:color="auto" w:sz="4" w:space="0"/>
                    <w:left w:val="double" w:color="auto" w:sz="4" w:space="0"/>
                    <w:bottom w:val="double" w:color="auto" w:sz="4" w:space="0"/>
                    <w:right w:val="double" w:color="auto" w:sz="4" w:space="0"/>
                  </w:tcBorders>
                  <w:noWrap w:val="0"/>
                  <w:vAlign w:val="center"/>
                </w:tcPr>
                <w:p w14:paraId="264A3F48">
                  <w:pPr>
                    <w:jc w:val="center"/>
                    <w:rPr>
                      <w:rFonts w:ascii="宋体" w:hAnsi="宋体"/>
                      <w:szCs w:val="21"/>
                      <w:highlight w:val="none"/>
                    </w:rPr>
                  </w:pPr>
                  <w:r>
                    <w:rPr>
                      <w:rFonts w:hint="eastAsia" w:ascii="宋体" w:hAnsi="宋体"/>
                      <w:szCs w:val="21"/>
                      <w:highlight w:val="none"/>
                    </w:rPr>
                    <w:t>0.25%</w:t>
                  </w:r>
                </w:p>
              </w:tc>
              <w:tc>
                <w:tcPr>
                  <w:tcW w:w="1215" w:type="pct"/>
                  <w:tcBorders>
                    <w:top w:val="double" w:color="auto" w:sz="4" w:space="0"/>
                    <w:left w:val="double" w:color="auto" w:sz="4" w:space="0"/>
                    <w:bottom w:val="double" w:color="auto" w:sz="4" w:space="0"/>
                    <w:right w:val="double" w:color="auto" w:sz="4" w:space="0"/>
                  </w:tcBorders>
                  <w:noWrap w:val="0"/>
                  <w:vAlign w:val="center"/>
                </w:tcPr>
                <w:p w14:paraId="2D019D50">
                  <w:pPr>
                    <w:jc w:val="center"/>
                    <w:rPr>
                      <w:rFonts w:ascii="宋体" w:hAnsi="宋体"/>
                      <w:szCs w:val="21"/>
                      <w:highlight w:val="none"/>
                    </w:rPr>
                  </w:pPr>
                  <w:r>
                    <w:rPr>
                      <w:rFonts w:hint="eastAsia" w:ascii="宋体" w:hAnsi="宋体"/>
                      <w:szCs w:val="21"/>
                      <w:highlight w:val="none"/>
                    </w:rPr>
                    <w:t>0.35%</w:t>
                  </w:r>
                </w:p>
              </w:tc>
            </w:tr>
            <w:tr w14:paraId="60B98A3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12" w:hRule="exact"/>
              </w:trPr>
              <w:tc>
                <w:tcPr>
                  <w:tcW w:w="1359" w:type="pct"/>
                  <w:tcBorders>
                    <w:top w:val="double" w:color="auto" w:sz="4" w:space="0"/>
                    <w:left w:val="double" w:color="auto" w:sz="4" w:space="0"/>
                    <w:bottom w:val="double" w:color="auto" w:sz="4" w:space="0"/>
                    <w:right w:val="double" w:color="auto" w:sz="4" w:space="0"/>
                  </w:tcBorders>
                  <w:noWrap w:val="0"/>
                  <w:vAlign w:val="center"/>
                </w:tcPr>
                <w:p w14:paraId="480CD470">
                  <w:pPr>
                    <w:rPr>
                      <w:rFonts w:ascii="宋体" w:hAnsi="宋体"/>
                      <w:szCs w:val="21"/>
                      <w:highlight w:val="none"/>
                    </w:rPr>
                  </w:pPr>
                  <w:r>
                    <w:rPr>
                      <w:rFonts w:hint="eastAsia" w:ascii="宋体" w:hAnsi="宋体"/>
                      <w:szCs w:val="21"/>
                      <w:highlight w:val="none"/>
                    </w:rPr>
                    <w:t>0.5-1亿元</w:t>
                  </w:r>
                </w:p>
              </w:tc>
              <w:tc>
                <w:tcPr>
                  <w:tcW w:w="1212" w:type="pct"/>
                  <w:tcBorders>
                    <w:top w:val="double" w:color="auto" w:sz="4" w:space="0"/>
                    <w:left w:val="double" w:color="auto" w:sz="4" w:space="0"/>
                    <w:bottom w:val="double" w:color="auto" w:sz="4" w:space="0"/>
                    <w:right w:val="double" w:color="auto" w:sz="4" w:space="0"/>
                  </w:tcBorders>
                  <w:noWrap w:val="0"/>
                  <w:vAlign w:val="center"/>
                </w:tcPr>
                <w:p w14:paraId="34431531">
                  <w:pPr>
                    <w:jc w:val="center"/>
                    <w:rPr>
                      <w:rFonts w:ascii="宋体" w:hAnsi="宋体"/>
                      <w:szCs w:val="21"/>
                      <w:highlight w:val="none"/>
                    </w:rPr>
                  </w:pPr>
                  <w:r>
                    <w:rPr>
                      <w:rFonts w:hint="eastAsia" w:ascii="宋体" w:hAnsi="宋体"/>
                      <w:szCs w:val="21"/>
                      <w:highlight w:val="none"/>
                    </w:rPr>
                    <w:t xml:space="preserve">0.25% </w:t>
                  </w:r>
                </w:p>
              </w:tc>
              <w:tc>
                <w:tcPr>
                  <w:tcW w:w="1212" w:type="pct"/>
                  <w:tcBorders>
                    <w:top w:val="double" w:color="auto" w:sz="4" w:space="0"/>
                    <w:left w:val="double" w:color="auto" w:sz="4" w:space="0"/>
                    <w:bottom w:val="double" w:color="auto" w:sz="4" w:space="0"/>
                    <w:right w:val="double" w:color="auto" w:sz="4" w:space="0"/>
                  </w:tcBorders>
                  <w:noWrap w:val="0"/>
                  <w:vAlign w:val="center"/>
                </w:tcPr>
                <w:p w14:paraId="315335F9">
                  <w:pPr>
                    <w:jc w:val="center"/>
                    <w:rPr>
                      <w:rFonts w:ascii="宋体" w:hAnsi="宋体"/>
                      <w:szCs w:val="21"/>
                      <w:highlight w:val="none"/>
                    </w:rPr>
                  </w:pPr>
                  <w:r>
                    <w:rPr>
                      <w:rFonts w:hint="eastAsia" w:ascii="宋体" w:hAnsi="宋体"/>
                      <w:szCs w:val="21"/>
                      <w:highlight w:val="none"/>
                    </w:rPr>
                    <w:t>0.1%</w:t>
                  </w:r>
                </w:p>
              </w:tc>
              <w:tc>
                <w:tcPr>
                  <w:tcW w:w="1215" w:type="pct"/>
                  <w:tcBorders>
                    <w:top w:val="double" w:color="auto" w:sz="4" w:space="0"/>
                    <w:left w:val="double" w:color="auto" w:sz="4" w:space="0"/>
                    <w:bottom w:val="double" w:color="auto" w:sz="4" w:space="0"/>
                    <w:right w:val="double" w:color="auto" w:sz="4" w:space="0"/>
                  </w:tcBorders>
                  <w:noWrap w:val="0"/>
                  <w:vAlign w:val="center"/>
                </w:tcPr>
                <w:p w14:paraId="76CFB3DB">
                  <w:pPr>
                    <w:jc w:val="center"/>
                    <w:rPr>
                      <w:rFonts w:ascii="宋体" w:hAnsi="宋体"/>
                      <w:szCs w:val="21"/>
                      <w:highlight w:val="none"/>
                    </w:rPr>
                  </w:pPr>
                  <w:r>
                    <w:rPr>
                      <w:rFonts w:hint="eastAsia" w:ascii="宋体" w:hAnsi="宋体"/>
                      <w:szCs w:val="21"/>
                      <w:highlight w:val="none"/>
                    </w:rPr>
                    <w:t>0.2%</w:t>
                  </w:r>
                </w:p>
              </w:tc>
            </w:tr>
            <w:tr w14:paraId="0EFC56A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12" w:hRule="exact"/>
              </w:trPr>
              <w:tc>
                <w:tcPr>
                  <w:tcW w:w="1359" w:type="pct"/>
                  <w:tcBorders>
                    <w:top w:val="double" w:color="auto" w:sz="4" w:space="0"/>
                    <w:left w:val="double" w:color="auto" w:sz="4" w:space="0"/>
                    <w:bottom w:val="double" w:color="auto" w:sz="4" w:space="0"/>
                    <w:right w:val="double" w:color="auto" w:sz="4" w:space="0"/>
                  </w:tcBorders>
                  <w:noWrap w:val="0"/>
                  <w:vAlign w:val="center"/>
                </w:tcPr>
                <w:p w14:paraId="0CD3A66E">
                  <w:pPr>
                    <w:jc w:val="left"/>
                    <w:rPr>
                      <w:rFonts w:ascii="宋体" w:hAnsi="宋体"/>
                      <w:szCs w:val="21"/>
                      <w:highlight w:val="none"/>
                    </w:rPr>
                  </w:pPr>
                  <w:r>
                    <w:rPr>
                      <w:rFonts w:hint="eastAsia" w:ascii="宋体" w:hAnsi="宋体"/>
                      <w:szCs w:val="21"/>
                      <w:highlight w:val="none"/>
                    </w:rPr>
                    <w:t xml:space="preserve">1-5亿元 </w:t>
                  </w:r>
                </w:p>
              </w:tc>
              <w:tc>
                <w:tcPr>
                  <w:tcW w:w="1212" w:type="pct"/>
                  <w:tcBorders>
                    <w:top w:val="double" w:color="auto" w:sz="4" w:space="0"/>
                    <w:left w:val="double" w:color="auto" w:sz="4" w:space="0"/>
                    <w:bottom w:val="double" w:color="auto" w:sz="4" w:space="0"/>
                    <w:right w:val="double" w:color="auto" w:sz="4" w:space="0"/>
                  </w:tcBorders>
                  <w:noWrap w:val="0"/>
                  <w:vAlign w:val="center"/>
                </w:tcPr>
                <w:p w14:paraId="5044E7D7">
                  <w:pPr>
                    <w:jc w:val="center"/>
                    <w:rPr>
                      <w:rFonts w:ascii="宋体" w:hAnsi="宋体"/>
                      <w:szCs w:val="21"/>
                      <w:highlight w:val="none"/>
                    </w:rPr>
                  </w:pPr>
                  <w:r>
                    <w:rPr>
                      <w:rFonts w:hint="eastAsia" w:ascii="宋体" w:hAnsi="宋体"/>
                      <w:szCs w:val="21"/>
                      <w:highlight w:val="none"/>
                    </w:rPr>
                    <w:t>0.05%</w:t>
                  </w:r>
                </w:p>
              </w:tc>
              <w:tc>
                <w:tcPr>
                  <w:tcW w:w="1212" w:type="pct"/>
                  <w:tcBorders>
                    <w:top w:val="double" w:color="auto" w:sz="4" w:space="0"/>
                    <w:left w:val="double" w:color="auto" w:sz="4" w:space="0"/>
                    <w:bottom w:val="double" w:color="auto" w:sz="4" w:space="0"/>
                    <w:right w:val="double" w:color="auto" w:sz="4" w:space="0"/>
                  </w:tcBorders>
                  <w:noWrap w:val="0"/>
                  <w:vAlign w:val="center"/>
                </w:tcPr>
                <w:p w14:paraId="013847EB">
                  <w:pPr>
                    <w:jc w:val="center"/>
                    <w:rPr>
                      <w:rFonts w:ascii="宋体" w:hAnsi="宋体"/>
                      <w:szCs w:val="21"/>
                      <w:highlight w:val="none"/>
                    </w:rPr>
                  </w:pPr>
                  <w:r>
                    <w:rPr>
                      <w:rFonts w:hint="eastAsia" w:ascii="宋体" w:hAnsi="宋体"/>
                      <w:szCs w:val="21"/>
                      <w:highlight w:val="none"/>
                    </w:rPr>
                    <w:t>0.05%</w:t>
                  </w:r>
                </w:p>
              </w:tc>
              <w:tc>
                <w:tcPr>
                  <w:tcW w:w="1215" w:type="pct"/>
                  <w:tcBorders>
                    <w:top w:val="double" w:color="auto" w:sz="4" w:space="0"/>
                    <w:left w:val="double" w:color="auto" w:sz="4" w:space="0"/>
                    <w:bottom w:val="double" w:color="auto" w:sz="4" w:space="0"/>
                    <w:right w:val="double" w:color="auto" w:sz="4" w:space="0"/>
                  </w:tcBorders>
                  <w:noWrap w:val="0"/>
                  <w:vAlign w:val="center"/>
                </w:tcPr>
                <w:p w14:paraId="17C2AAB4">
                  <w:pPr>
                    <w:jc w:val="center"/>
                    <w:rPr>
                      <w:rFonts w:ascii="宋体" w:hAnsi="宋体"/>
                      <w:szCs w:val="21"/>
                      <w:highlight w:val="none"/>
                    </w:rPr>
                  </w:pPr>
                  <w:r>
                    <w:rPr>
                      <w:rFonts w:hint="eastAsia" w:ascii="宋体" w:hAnsi="宋体"/>
                      <w:szCs w:val="21"/>
                      <w:highlight w:val="none"/>
                    </w:rPr>
                    <w:t>0.05%</w:t>
                  </w:r>
                </w:p>
              </w:tc>
            </w:tr>
            <w:tr w14:paraId="31087EA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12" w:hRule="exact"/>
              </w:trPr>
              <w:tc>
                <w:tcPr>
                  <w:tcW w:w="1359" w:type="pct"/>
                  <w:tcBorders>
                    <w:top w:val="double" w:color="auto" w:sz="4" w:space="0"/>
                    <w:left w:val="double" w:color="auto" w:sz="4" w:space="0"/>
                    <w:bottom w:val="double" w:color="auto" w:sz="4" w:space="0"/>
                    <w:right w:val="double" w:color="auto" w:sz="4" w:space="0"/>
                  </w:tcBorders>
                  <w:noWrap w:val="0"/>
                  <w:vAlign w:val="center"/>
                </w:tcPr>
                <w:p w14:paraId="71168581">
                  <w:pPr>
                    <w:jc w:val="left"/>
                    <w:rPr>
                      <w:rFonts w:ascii="宋体" w:hAnsi="宋体"/>
                      <w:szCs w:val="21"/>
                      <w:highlight w:val="none"/>
                    </w:rPr>
                  </w:pPr>
                  <w:r>
                    <w:rPr>
                      <w:rFonts w:hint="eastAsia" w:ascii="宋体" w:hAnsi="宋体"/>
                      <w:szCs w:val="21"/>
                      <w:highlight w:val="none"/>
                    </w:rPr>
                    <w:t>5-10亿元</w:t>
                  </w:r>
                </w:p>
              </w:tc>
              <w:tc>
                <w:tcPr>
                  <w:tcW w:w="1212" w:type="pct"/>
                  <w:tcBorders>
                    <w:top w:val="double" w:color="auto" w:sz="4" w:space="0"/>
                    <w:left w:val="double" w:color="auto" w:sz="4" w:space="0"/>
                    <w:bottom w:val="double" w:color="auto" w:sz="4" w:space="0"/>
                    <w:right w:val="double" w:color="auto" w:sz="4" w:space="0"/>
                  </w:tcBorders>
                  <w:noWrap w:val="0"/>
                  <w:vAlign w:val="center"/>
                </w:tcPr>
                <w:p w14:paraId="3E7297FE">
                  <w:pPr>
                    <w:jc w:val="center"/>
                    <w:rPr>
                      <w:rFonts w:ascii="宋体" w:hAnsi="宋体"/>
                      <w:szCs w:val="21"/>
                      <w:highlight w:val="none"/>
                    </w:rPr>
                  </w:pPr>
                  <w:r>
                    <w:rPr>
                      <w:rFonts w:hint="eastAsia" w:ascii="宋体" w:hAnsi="宋体"/>
                      <w:szCs w:val="21"/>
                      <w:highlight w:val="none"/>
                    </w:rPr>
                    <w:t>0.035%</w:t>
                  </w:r>
                </w:p>
              </w:tc>
              <w:tc>
                <w:tcPr>
                  <w:tcW w:w="1212" w:type="pct"/>
                  <w:tcBorders>
                    <w:top w:val="double" w:color="auto" w:sz="4" w:space="0"/>
                    <w:left w:val="double" w:color="auto" w:sz="4" w:space="0"/>
                    <w:bottom w:val="double" w:color="auto" w:sz="4" w:space="0"/>
                    <w:right w:val="double" w:color="auto" w:sz="4" w:space="0"/>
                  </w:tcBorders>
                  <w:noWrap w:val="0"/>
                  <w:vAlign w:val="center"/>
                </w:tcPr>
                <w:p w14:paraId="6159174E">
                  <w:pPr>
                    <w:jc w:val="center"/>
                    <w:rPr>
                      <w:rFonts w:ascii="宋体" w:hAnsi="宋体"/>
                      <w:szCs w:val="21"/>
                      <w:highlight w:val="none"/>
                    </w:rPr>
                  </w:pPr>
                  <w:r>
                    <w:rPr>
                      <w:rFonts w:hint="eastAsia" w:ascii="宋体" w:hAnsi="宋体"/>
                      <w:szCs w:val="21"/>
                      <w:highlight w:val="none"/>
                    </w:rPr>
                    <w:t>0.035%</w:t>
                  </w:r>
                </w:p>
              </w:tc>
              <w:tc>
                <w:tcPr>
                  <w:tcW w:w="1215" w:type="pct"/>
                  <w:tcBorders>
                    <w:top w:val="double" w:color="auto" w:sz="4" w:space="0"/>
                    <w:left w:val="double" w:color="auto" w:sz="4" w:space="0"/>
                    <w:bottom w:val="double" w:color="auto" w:sz="4" w:space="0"/>
                    <w:right w:val="double" w:color="auto" w:sz="4" w:space="0"/>
                  </w:tcBorders>
                  <w:noWrap w:val="0"/>
                  <w:vAlign w:val="center"/>
                </w:tcPr>
                <w:p w14:paraId="46B563C5">
                  <w:pPr>
                    <w:jc w:val="center"/>
                    <w:rPr>
                      <w:rFonts w:ascii="宋体" w:hAnsi="宋体"/>
                      <w:szCs w:val="21"/>
                      <w:highlight w:val="none"/>
                    </w:rPr>
                  </w:pPr>
                  <w:r>
                    <w:rPr>
                      <w:rFonts w:hint="eastAsia" w:ascii="宋体" w:hAnsi="宋体"/>
                      <w:szCs w:val="21"/>
                      <w:highlight w:val="none"/>
                    </w:rPr>
                    <w:t>0.035%</w:t>
                  </w:r>
                </w:p>
              </w:tc>
            </w:tr>
          </w:tbl>
          <w:p w14:paraId="4F7761D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注：由中标人或成交单位支付项目，原则上以甲方提供的标段/标包（最小采购划分）估算发包金额或预算金额为计费基数。</w:t>
            </w:r>
          </w:p>
          <w:p w14:paraId="028054C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Courier New" w:eastAsia="宋体" w:cs="Times New Roman"/>
                <w:color w:val="auto"/>
                <w:kern w:val="2"/>
                <w:sz w:val="21"/>
                <w:highlight w:val="none"/>
                <w:lang w:val="en-US" w:eastAsia="zh-CN" w:bidi="ar-SA"/>
              </w:rPr>
              <w:t>评标（评审）专家劳务费、评标专家差旅费、住宿费、公证费等以实际发生的费用为准。</w:t>
            </w:r>
          </w:p>
          <w:p w14:paraId="31718E3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Times New Roman"/>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highlight w:val="none"/>
                <w:lang w:val="en-US" w:eastAsia="zh-CN" w:bidi="ar-SA"/>
              </w:rPr>
              <w:t>最终采购代理服务费以广州竣盛工程造价咨询有限公司出具的收费通知单为准。</w:t>
            </w:r>
          </w:p>
          <w:p w14:paraId="3E090DD8">
            <w:pPr>
              <w:widowControl w:val="0"/>
              <w:kinsoku/>
              <w:overflowPunct/>
              <w:bidi w:val="0"/>
              <w:spacing w:line="360" w:lineRule="auto"/>
              <w:jc w:val="both"/>
              <w:textAlignment w:val="auto"/>
              <w:rPr>
                <w:rFonts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3）费用支付方式：成交单位在领取</w:t>
            </w:r>
            <w:r>
              <w:rPr>
                <w:rFonts w:hint="eastAsia" w:ascii="宋体" w:hAnsi="宋体" w:cs="Times New Roman"/>
                <w:color w:val="auto"/>
                <w:kern w:val="2"/>
                <w:sz w:val="21"/>
                <w:szCs w:val="21"/>
                <w:highlight w:val="none"/>
                <w:lang w:val="en-US" w:eastAsia="zh-CN" w:bidi="ar-SA"/>
              </w:rPr>
              <w:t>中标</w:t>
            </w:r>
            <w:r>
              <w:rPr>
                <w:rFonts w:hint="eastAsia" w:ascii="宋体" w:hAnsi="宋体" w:eastAsia="宋体" w:cs="Times New Roman"/>
                <w:color w:val="auto"/>
                <w:kern w:val="2"/>
                <w:sz w:val="21"/>
                <w:szCs w:val="21"/>
                <w:highlight w:val="none"/>
                <w:lang w:val="en-US" w:eastAsia="zh-CN" w:bidi="ar-SA"/>
              </w:rPr>
              <w:t>通知书前向采购代理机构广州竣盛工程造价咨询有限公司一次性支付。代理机构同时向缴费单位开具发票。</w:t>
            </w:r>
          </w:p>
          <w:p w14:paraId="36299CE4">
            <w:pPr>
              <w:widowControl w:val="0"/>
              <w:kinsoku/>
              <w:overflowPunct/>
              <w:bidi w:val="0"/>
              <w:spacing w:line="360" w:lineRule="auto"/>
              <w:jc w:val="both"/>
              <w:textAlignment w:val="auto"/>
              <w:rPr>
                <w:rFonts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4）汇款</w:t>
            </w:r>
            <w:r>
              <w:rPr>
                <w:rFonts w:ascii="宋体" w:hAnsi="宋体" w:eastAsia="宋体" w:cs="Times New Roman"/>
                <w:color w:val="auto"/>
                <w:kern w:val="2"/>
                <w:sz w:val="21"/>
                <w:szCs w:val="21"/>
                <w:highlight w:val="none"/>
                <w:lang w:val="en-US" w:eastAsia="zh-CN" w:bidi="ar-SA"/>
              </w:rPr>
              <w:t>帐号</w:t>
            </w:r>
            <w:r>
              <w:rPr>
                <w:rFonts w:hint="eastAsia" w:ascii="宋体" w:hAnsi="宋体" w:eastAsia="宋体" w:cs="Times New Roman"/>
                <w:color w:val="auto"/>
                <w:kern w:val="2"/>
                <w:sz w:val="21"/>
                <w:szCs w:val="21"/>
                <w:highlight w:val="none"/>
                <w:lang w:val="en-US" w:eastAsia="zh-CN" w:bidi="ar-SA"/>
              </w:rPr>
              <w:t>：</w:t>
            </w:r>
          </w:p>
          <w:p w14:paraId="025C5C85">
            <w:pPr>
              <w:widowControl w:val="0"/>
              <w:kinsoku/>
              <w:overflowPunct/>
              <w:bidi w:val="0"/>
              <w:spacing w:line="360" w:lineRule="auto"/>
              <w:jc w:val="both"/>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收款单位：广州竣盛工程造价咨询有限公司</w:t>
            </w:r>
          </w:p>
          <w:p w14:paraId="323B235A">
            <w:pPr>
              <w:widowControl w:val="0"/>
              <w:kinsoku/>
              <w:overflowPunct/>
              <w:bidi w:val="0"/>
              <w:spacing w:line="360" w:lineRule="auto"/>
              <w:jc w:val="both"/>
              <w:textAlignment w:val="auto"/>
              <w:rPr>
                <w:rFonts w:hint="eastAsia" w:ascii="宋体" w:hAnsi="宋体" w:eastAsia="宋体" w:cs="Times New Roman"/>
                <w:color w:val="auto"/>
                <w:kern w:val="2"/>
                <w:sz w:val="21"/>
                <w:szCs w:val="21"/>
                <w:highlight w:val="none"/>
                <w:lang w:val="en-US" w:eastAsia="zh-CN" w:bidi="ar-SA"/>
              </w:rPr>
            </w:pPr>
            <w:r>
              <w:rPr>
                <w:rFonts w:ascii="宋体" w:hAnsi="宋体" w:eastAsia="宋体" w:cs="Times New Roman"/>
                <w:color w:val="auto"/>
                <w:kern w:val="2"/>
                <w:sz w:val="21"/>
                <w:szCs w:val="21"/>
                <w:highlight w:val="none"/>
                <w:lang w:val="en-US" w:eastAsia="zh-CN" w:bidi="ar-SA"/>
              </w:rPr>
              <w:t>开户行</w:t>
            </w:r>
            <w:r>
              <w:rPr>
                <w:rFonts w:hint="eastAsia" w:ascii="宋体" w:hAnsi="宋体" w:eastAsia="宋体" w:cs="Times New Roman"/>
                <w:color w:val="auto"/>
                <w:kern w:val="2"/>
                <w:sz w:val="21"/>
                <w:szCs w:val="21"/>
                <w:highlight w:val="none"/>
                <w:lang w:val="en-US" w:eastAsia="zh-CN" w:bidi="ar-SA"/>
              </w:rPr>
              <w:t>：建行广州供电局大厦支行</w:t>
            </w:r>
          </w:p>
          <w:p w14:paraId="6479C56B">
            <w:pPr>
              <w:widowControl w:val="0"/>
              <w:kinsoku/>
              <w:overflowPunct/>
              <w:bidi w:val="0"/>
              <w:spacing w:line="360" w:lineRule="auto"/>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银行账号：44001101260052500061</w:t>
            </w:r>
          </w:p>
          <w:p w14:paraId="6D270CB3">
            <w:pPr>
              <w:widowControl w:val="0"/>
              <w:kinsoku/>
              <w:overflowPunct/>
              <w:bidi w:val="0"/>
              <w:spacing w:line="360" w:lineRule="auto"/>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*2017年7月1日起招标代理业务必须开具增值税发票，为不影响招标代理业务顺利进行，请各单位开票前准备以下资料发送至junshengzb@126.com：</w:t>
            </w:r>
          </w:p>
          <w:p w14:paraId="6C6C5A60">
            <w:pPr>
              <w:widowControl w:val="0"/>
              <w:kinsoku/>
              <w:overflowPunct/>
              <w:bidi w:val="0"/>
              <w:spacing w:line="360" w:lineRule="auto"/>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1、营业执照副本复印件；</w:t>
            </w:r>
          </w:p>
          <w:p w14:paraId="7981C5C0">
            <w:pPr>
              <w:widowControl w:val="0"/>
              <w:kinsoku/>
              <w:overflowPunct/>
              <w:bidi w:val="0"/>
              <w:spacing w:line="360" w:lineRule="auto"/>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2、国税登记证副本复印件(已办理三证合一的不需提供)；</w:t>
            </w:r>
          </w:p>
          <w:p w14:paraId="1ADA6D1E">
            <w:pPr>
              <w:widowControl w:val="0"/>
              <w:kinsoku/>
              <w:overflowPunct/>
              <w:bidi w:val="0"/>
              <w:spacing w:line="360" w:lineRule="auto"/>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3、开户许可证复印件；</w:t>
            </w:r>
          </w:p>
          <w:p w14:paraId="0DC7A217">
            <w:pPr>
              <w:widowControl w:val="0"/>
              <w:kinsoku/>
              <w:overflowPunct/>
              <w:bidi w:val="0"/>
              <w:spacing w:line="360" w:lineRule="auto"/>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4、一般纳税人证明复印件或税务事项通知书（认定通知）。</w:t>
            </w:r>
          </w:p>
          <w:p w14:paraId="26ECF32A">
            <w:pPr>
              <w:kinsoku/>
              <w:overflowPunct/>
              <w:bidi w:val="0"/>
              <w:spacing w:line="360" w:lineRule="auto"/>
              <w:textAlignment w:val="auto"/>
              <w:rPr>
                <w:rFonts w:hint="eastAsia" w:ascii="宋体" w:hAnsi="宋体" w:eastAsia="宋体" w:cs="宋体"/>
                <w:color w:val="auto"/>
                <w:szCs w:val="21"/>
                <w:highlight w:val="none"/>
              </w:rPr>
            </w:pPr>
            <w:r>
              <w:rPr>
                <w:rFonts w:hint="eastAsia" w:ascii="宋体" w:hAnsi="宋体" w:eastAsia="宋体" w:cs="宋体"/>
                <w:color w:val="auto"/>
                <w:highlight w:val="none"/>
              </w:rPr>
              <w:t>5、如需开具增值税专用发票，请提供公司名称、纳税人识别号、地址电话、开户行及账号信息。</w:t>
            </w:r>
          </w:p>
          <w:p w14:paraId="7A2A6F49">
            <w:pPr>
              <w:widowControl w:val="0"/>
              <w:kinsoku/>
              <w:overflowPunct/>
              <w:bidi w:val="0"/>
              <w:spacing w:line="360" w:lineRule="auto"/>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上述资料需加盖公章。</w:t>
            </w:r>
          </w:p>
          <w:p w14:paraId="44F7A618">
            <w:pPr>
              <w:kinsoku/>
              <w:overflowPunct/>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注：由于增值税专用发票抵扣期为自开票之日起360天内（不是一年），超过360天未抵扣的专用发票不能抵扣不能作废</w:t>
            </w:r>
            <w:r>
              <w:rPr>
                <w:rFonts w:hint="eastAsia" w:ascii="宋体" w:hAnsi="宋体" w:eastAsia="宋体" w:cs="宋体"/>
                <w:color w:val="auto"/>
                <w:szCs w:val="21"/>
                <w:highlight w:val="none"/>
                <w:lang w:eastAsia="zh-CN"/>
              </w:rPr>
              <w:t>。</w:t>
            </w:r>
          </w:p>
        </w:tc>
      </w:tr>
    </w:tbl>
    <w:p w14:paraId="05B41F53">
      <w:pPr>
        <w:pStyle w:val="23"/>
        <w:tabs>
          <w:tab w:val="left" w:pos="2127"/>
        </w:tabs>
        <w:kinsoku/>
        <w:overflowPunct/>
        <w:bidi w:val="0"/>
        <w:spacing w:line="360" w:lineRule="auto"/>
        <w:jc w:val="center"/>
        <w:textAlignment w:val="auto"/>
        <w:rPr>
          <w:rFonts w:hAnsi="宋体"/>
          <w:color w:val="auto"/>
          <w:highlight w:val="none"/>
        </w:rPr>
        <w:sectPr>
          <w:footerReference r:id="rId6" w:type="default"/>
          <w:pgSz w:w="11906" w:h="16838"/>
          <w:pgMar w:top="1440" w:right="1080" w:bottom="1440" w:left="1080" w:header="964"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7A24A866">
      <w:pPr>
        <w:pStyle w:val="4"/>
        <w:pageBreakBefore/>
        <w:widowControl/>
        <w:tabs>
          <w:tab w:val="left" w:pos="2127"/>
        </w:tabs>
        <w:kinsoku/>
        <w:overflowPunct/>
        <w:bidi w:val="0"/>
        <w:spacing w:before="0" w:after="0" w:line="360" w:lineRule="auto"/>
        <w:textAlignment w:val="auto"/>
        <w:rPr>
          <w:rFonts w:ascii="宋体" w:hAnsi="宋体" w:eastAsia="宋体"/>
          <w:color w:val="auto"/>
          <w:sz w:val="24"/>
          <w:szCs w:val="24"/>
          <w:highlight w:val="none"/>
        </w:rPr>
      </w:pPr>
      <w:bookmarkStart w:id="37" w:name="_Toc3352"/>
      <w:bookmarkStart w:id="38" w:name="_Toc17368"/>
      <w:bookmarkStart w:id="39" w:name="_Toc7163"/>
      <w:bookmarkStart w:id="40" w:name="_Toc31064"/>
      <w:bookmarkStart w:id="41" w:name="_Toc4778"/>
      <w:bookmarkStart w:id="42" w:name="_Toc26030"/>
      <w:bookmarkStart w:id="43" w:name="_Toc4911"/>
      <w:bookmarkStart w:id="44" w:name="_Toc11329"/>
      <w:bookmarkStart w:id="45" w:name="_Toc8598"/>
      <w:bookmarkStart w:id="46" w:name="_Toc30066"/>
      <w:bookmarkStart w:id="47" w:name="_Toc10546"/>
      <w:bookmarkStart w:id="48" w:name="_Toc28372"/>
      <w:bookmarkStart w:id="49" w:name="_Toc5412"/>
      <w:bookmarkStart w:id="50" w:name="_Toc24100"/>
      <w:bookmarkStart w:id="51" w:name="_Toc24021"/>
      <w:bookmarkStart w:id="52" w:name="_Toc10624"/>
      <w:bookmarkStart w:id="53" w:name="_Toc1286"/>
      <w:r>
        <w:rPr>
          <w:rFonts w:hint="eastAsia" w:ascii="宋体" w:hAnsi="宋体" w:eastAsia="宋体"/>
          <w:color w:val="auto"/>
          <w:sz w:val="24"/>
          <w:szCs w:val="24"/>
          <w:highlight w:val="none"/>
        </w:rPr>
        <w:t>1. 总则</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7735E71F">
      <w:pPr>
        <w:pStyle w:val="23"/>
        <w:tabs>
          <w:tab w:val="left" w:pos="2127"/>
        </w:tabs>
        <w:kinsoku/>
        <w:overflowPunct/>
        <w:bidi w:val="0"/>
        <w:spacing w:line="360" w:lineRule="auto"/>
        <w:textAlignment w:val="auto"/>
        <w:outlineLvl w:val="2"/>
        <w:rPr>
          <w:rFonts w:hAnsi="宋体"/>
          <w:b/>
          <w:color w:val="auto"/>
          <w:highlight w:val="none"/>
        </w:rPr>
      </w:pPr>
      <w:bookmarkStart w:id="54" w:name="_Toc848"/>
      <w:bookmarkStart w:id="55" w:name="_Toc13387"/>
      <w:bookmarkStart w:id="56" w:name="_Toc9960"/>
      <w:bookmarkStart w:id="57" w:name="_Toc8451"/>
      <w:bookmarkStart w:id="58" w:name="_Toc484792183"/>
      <w:bookmarkStart w:id="59" w:name="_Toc5528"/>
      <w:bookmarkStart w:id="60" w:name="_Toc17283"/>
      <w:bookmarkStart w:id="61" w:name="_Toc26343"/>
      <w:bookmarkStart w:id="62" w:name="_Toc7561"/>
      <w:bookmarkStart w:id="63" w:name="_Toc29850"/>
      <w:bookmarkStart w:id="64" w:name="_Toc13381"/>
      <w:bookmarkStart w:id="65" w:name="_Toc26902"/>
      <w:bookmarkStart w:id="66" w:name="_Toc10347"/>
      <w:bookmarkStart w:id="67" w:name="_Toc4806"/>
      <w:bookmarkStart w:id="68" w:name="_Toc2176"/>
      <w:bookmarkStart w:id="69" w:name="_Toc19602"/>
      <w:bookmarkStart w:id="70" w:name="_Toc24178"/>
      <w:bookmarkStart w:id="71" w:name="_Toc1581"/>
      <w:bookmarkStart w:id="72" w:name="_Toc482803070"/>
      <w:bookmarkStart w:id="73" w:name="_Toc7632"/>
      <w:bookmarkStart w:id="74" w:name="_Toc19890"/>
      <w:bookmarkStart w:id="75" w:name="_Toc23451"/>
      <w:bookmarkStart w:id="76" w:name="_Toc2290"/>
      <w:bookmarkStart w:id="77" w:name="_Toc18693"/>
      <w:bookmarkStart w:id="78" w:name="_Toc30093"/>
      <w:bookmarkStart w:id="79" w:name="_Toc12418"/>
      <w:bookmarkStart w:id="80" w:name="_Toc18681"/>
      <w:bookmarkStart w:id="81" w:name="_Toc22963"/>
      <w:bookmarkStart w:id="82" w:name="_Toc18271"/>
      <w:bookmarkStart w:id="83" w:name="_Toc7937"/>
      <w:bookmarkStart w:id="84" w:name="_Toc15856"/>
      <w:bookmarkStart w:id="85" w:name="_Toc15019"/>
      <w:bookmarkStart w:id="86" w:name="_Toc20654"/>
      <w:bookmarkStart w:id="87" w:name="_Toc28322"/>
      <w:bookmarkStart w:id="88" w:name="_Toc22124"/>
      <w:bookmarkStart w:id="89" w:name="_Toc29265"/>
      <w:bookmarkStart w:id="90" w:name="_Toc26785"/>
      <w:bookmarkStart w:id="91" w:name="_Toc18111"/>
      <w:bookmarkStart w:id="92" w:name="_Toc17748"/>
      <w:bookmarkStart w:id="93" w:name="_Toc14826"/>
      <w:bookmarkStart w:id="94" w:name="_Toc20149"/>
      <w:bookmarkStart w:id="95" w:name="_Toc16170"/>
      <w:bookmarkStart w:id="96" w:name="_Toc29916"/>
      <w:bookmarkStart w:id="97" w:name="_Toc20854"/>
      <w:bookmarkStart w:id="98" w:name="_Toc889"/>
      <w:bookmarkStart w:id="99" w:name="_Toc13251"/>
      <w:bookmarkStart w:id="100" w:name="_Toc24558"/>
      <w:bookmarkStart w:id="101" w:name="_Toc27278"/>
      <w:bookmarkStart w:id="102" w:name="_Toc26855"/>
      <w:r>
        <w:rPr>
          <w:rFonts w:hint="eastAsia" w:hAnsi="宋体"/>
          <w:b/>
          <w:color w:val="auto"/>
          <w:highlight w:val="none"/>
        </w:rPr>
        <w:t>1.1 项目概况</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3FA0E2DF">
      <w:pPr>
        <w:pStyle w:val="23"/>
        <w:tabs>
          <w:tab w:val="left" w:pos="2127"/>
        </w:tabs>
        <w:kinsoku/>
        <w:overflowPunct/>
        <w:bidi w:val="0"/>
        <w:spacing w:line="360" w:lineRule="auto"/>
        <w:ind w:firstLine="315" w:firstLineChars="150"/>
        <w:textAlignment w:val="auto"/>
        <w:rPr>
          <w:rFonts w:hAnsi="宋体"/>
          <w:color w:val="auto"/>
          <w:highlight w:val="none"/>
        </w:rPr>
      </w:pPr>
      <w:r>
        <w:rPr>
          <w:rFonts w:hint="eastAsia" w:hAnsi="宋体"/>
          <w:color w:val="auto"/>
          <w:highlight w:val="none"/>
        </w:rPr>
        <w:t>1.1.1根据</w:t>
      </w:r>
      <w:r>
        <w:rPr>
          <w:rFonts w:hint="eastAsia" w:ascii="宋体" w:hAnsi="宋体" w:eastAsia="宋体" w:cs="宋体"/>
          <w:color w:val="auto"/>
          <w:highlight w:val="none"/>
        </w:rPr>
        <w:t>广州南方投资集团有限公司</w:t>
      </w:r>
      <w:r>
        <w:rPr>
          <w:rFonts w:hint="eastAsia" w:hAnsi="宋体"/>
          <w:color w:val="auto"/>
          <w:highlight w:val="none"/>
        </w:rPr>
        <w:t>采购相关规定，本项目已具备</w:t>
      </w:r>
      <w:r>
        <w:rPr>
          <w:rFonts w:hint="eastAsia" w:hAnsi="宋体"/>
          <w:color w:val="auto"/>
          <w:highlight w:val="none"/>
          <w:lang w:val="en-US" w:eastAsia="zh-CN"/>
        </w:rPr>
        <w:t>招标</w:t>
      </w:r>
      <w:r>
        <w:rPr>
          <w:rFonts w:hint="eastAsia" w:hAnsi="宋体"/>
          <w:color w:val="auto"/>
          <w:highlight w:val="none"/>
        </w:rPr>
        <w:t>条件，现对本项目进行招标。</w:t>
      </w:r>
    </w:p>
    <w:p w14:paraId="0FD471F2">
      <w:pPr>
        <w:pStyle w:val="23"/>
        <w:kinsoku/>
        <w:overflowPunct/>
        <w:bidi w:val="0"/>
        <w:spacing w:line="360" w:lineRule="auto"/>
        <w:ind w:firstLine="315" w:firstLineChars="150"/>
        <w:textAlignment w:val="auto"/>
        <w:rPr>
          <w:rFonts w:hAnsi="宋体"/>
          <w:color w:val="auto"/>
          <w:szCs w:val="21"/>
          <w:highlight w:val="none"/>
        </w:rPr>
      </w:pPr>
      <w:r>
        <w:rPr>
          <w:rFonts w:hint="eastAsia" w:hAnsi="宋体"/>
          <w:color w:val="auto"/>
          <w:szCs w:val="21"/>
          <w:highlight w:val="none"/>
        </w:rPr>
        <w:t>1.1.2 招标人：见投标人须知前附表。</w:t>
      </w:r>
    </w:p>
    <w:p w14:paraId="3ACD655C">
      <w:pPr>
        <w:pStyle w:val="23"/>
        <w:kinsoku/>
        <w:overflowPunct/>
        <w:bidi w:val="0"/>
        <w:spacing w:line="360" w:lineRule="auto"/>
        <w:ind w:firstLine="315" w:firstLineChars="150"/>
        <w:textAlignment w:val="auto"/>
        <w:rPr>
          <w:rFonts w:hAnsi="宋体"/>
          <w:color w:val="auto"/>
          <w:szCs w:val="21"/>
          <w:highlight w:val="none"/>
        </w:rPr>
      </w:pPr>
      <w:r>
        <w:rPr>
          <w:rFonts w:hint="eastAsia" w:hAnsi="宋体"/>
          <w:color w:val="auto"/>
          <w:szCs w:val="21"/>
          <w:highlight w:val="none"/>
        </w:rPr>
        <w:t xml:space="preserve">1.1.3 </w:t>
      </w:r>
      <w:r>
        <w:rPr>
          <w:rFonts w:hint="eastAsia" w:hAnsi="宋体"/>
          <w:color w:val="auto"/>
          <w:szCs w:val="21"/>
          <w:highlight w:val="none"/>
          <w:lang w:eastAsia="zh-CN"/>
        </w:rPr>
        <w:t>招标服务机构</w:t>
      </w:r>
      <w:r>
        <w:rPr>
          <w:rFonts w:hint="eastAsia" w:hAnsi="宋体"/>
          <w:color w:val="auto"/>
          <w:szCs w:val="21"/>
          <w:highlight w:val="none"/>
        </w:rPr>
        <w:t>：见投标人须知前附表。</w:t>
      </w:r>
    </w:p>
    <w:p w14:paraId="136D3683">
      <w:pPr>
        <w:pStyle w:val="23"/>
        <w:tabs>
          <w:tab w:val="left" w:pos="2127"/>
        </w:tabs>
        <w:kinsoku/>
        <w:overflowPunct/>
        <w:bidi w:val="0"/>
        <w:spacing w:line="360" w:lineRule="auto"/>
        <w:ind w:firstLine="315" w:firstLineChars="150"/>
        <w:textAlignment w:val="auto"/>
        <w:rPr>
          <w:rFonts w:hint="eastAsia" w:hAnsi="宋体"/>
          <w:color w:val="auto"/>
          <w:highlight w:val="none"/>
        </w:rPr>
      </w:pPr>
      <w:bookmarkStart w:id="103" w:name="_Toc2085"/>
      <w:bookmarkStart w:id="104" w:name="_Toc23372"/>
      <w:bookmarkStart w:id="105" w:name="_Toc25134"/>
      <w:bookmarkStart w:id="106" w:name="_Toc8458"/>
      <w:bookmarkStart w:id="107" w:name="_Toc21918"/>
      <w:bookmarkStart w:id="108" w:name="_Toc17551"/>
      <w:bookmarkStart w:id="109" w:name="_Toc29269"/>
      <w:bookmarkStart w:id="110" w:name="_Toc14135"/>
      <w:bookmarkStart w:id="111" w:name="_Toc14456"/>
      <w:bookmarkStart w:id="112" w:name="_Toc22791"/>
      <w:bookmarkStart w:id="113" w:name="_Toc6396"/>
      <w:bookmarkStart w:id="114" w:name="_Toc18368"/>
      <w:bookmarkStart w:id="115" w:name="_Toc20078"/>
      <w:bookmarkStart w:id="116" w:name="_Toc29924"/>
      <w:bookmarkStart w:id="117" w:name="_Toc28975"/>
      <w:bookmarkStart w:id="118" w:name="_Toc15834"/>
      <w:bookmarkStart w:id="119" w:name="_Toc4727"/>
      <w:bookmarkStart w:id="120" w:name="_Toc17061"/>
      <w:bookmarkStart w:id="121" w:name="_Toc25510"/>
      <w:bookmarkStart w:id="122" w:name="_Toc1047"/>
      <w:bookmarkStart w:id="123" w:name="_Toc7608"/>
      <w:bookmarkStart w:id="124" w:name="_Toc484792184"/>
      <w:bookmarkStart w:id="125" w:name="_Toc30413"/>
      <w:bookmarkStart w:id="126" w:name="_Toc4312"/>
      <w:bookmarkStart w:id="127" w:name="_Toc27502"/>
      <w:bookmarkStart w:id="128" w:name="_Toc3476"/>
      <w:bookmarkStart w:id="129" w:name="_Toc13677"/>
      <w:bookmarkStart w:id="130" w:name="_Toc4707"/>
      <w:bookmarkStart w:id="131" w:name="_Toc31750"/>
      <w:bookmarkStart w:id="132" w:name="_Toc1657"/>
      <w:bookmarkStart w:id="133" w:name="_Toc15348"/>
      <w:bookmarkStart w:id="134" w:name="_Toc5734"/>
      <w:bookmarkStart w:id="135" w:name="_Toc19253"/>
      <w:bookmarkStart w:id="136" w:name="_Toc31887"/>
      <w:bookmarkStart w:id="137" w:name="_Toc31822"/>
      <w:bookmarkStart w:id="138" w:name="_Toc2806"/>
      <w:bookmarkStart w:id="139" w:name="_Toc10939"/>
      <w:bookmarkStart w:id="140" w:name="_Toc482803071"/>
      <w:bookmarkStart w:id="141" w:name="_Toc15911"/>
      <w:bookmarkStart w:id="142" w:name="_Toc1913"/>
      <w:bookmarkStart w:id="143" w:name="_Toc15986"/>
      <w:bookmarkStart w:id="144" w:name="_Toc9260"/>
      <w:bookmarkStart w:id="145" w:name="_Toc12936"/>
      <w:bookmarkStart w:id="146" w:name="_Toc5825"/>
      <w:bookmarkStart w:id="147" w:name="_Toc11665"/>
      <w:bookmarkStart w:id="148" w:name="_Toc26099"/>
      <w:bookmarkStart w:id="149" w:name="_Toc31468"/>
      <w:bookmarkStart w:id="150" w:name="_Toc19323"/>
      <w:r>
        <w:rPr>
          <w:rFonts w:hint="eastAsia" w:hAnsi="宋体"/>
          <w:color w:val="auto"/>
          <w:highlight w:val="none"/>
        </w:rPr>
        <w:t xml:space="preserve">1.1.4 </w:t>
      </w:r>
      <w:r>
        <w:rPr>
          <w:rFonts w:hint="eastAsia" w:ascii="宋体" w:hAnsi="宋体" w:eastAsia="宋体" w:cs="宋体"/>
          <w:color w:val="auto"/>
          <w:highlight w:val="none"/>
        </w:rPr>
        <w:t>项目</w:t>
      </w:r>
      <w:r>
        <w:rPr>
          <w:rFonts w:hint="eastAsia" w:ascii="宋体" w:hAnsi="宋体" w:eastAsia="宋体" w:cs="宋体"/>
          <w:color w:val="auto"/>
          <w:szCs w:val="20"/>
          <w:highlight w:val="none"/>
          <w:lang w:val="en-US" w:eastAsia="zh-CN"/>
        </w:rPr>
        <w:t>/</w:t>
      </w:r>
      <w:r>
        <w:rPr>
          <w:rFonts w:hint="eastAsia" w:ascii="宋体" w:hAnsi="宋体" w:eastAsia="宋体" w:cs="宋体"/>
          <w:color w:val="auto"/>
          <w:szCs w:val="20"/>
          <w:highlight w:val="none"/>
          <w:lang w:eastAsia="zh-CN"/>
        </w:rPr>
        <w:t>标段</w:t>
      </w:r>
      <w:r>
        <w:rPr>
          <w:rFonts w:hint="eastAsia" w:ascii="宋体" w:hAnsi="宋体" w:eastAsia="宋体" w:cs="宋体"/>
          <w:color w:val="auto"/>
          <w:highlight w:val="none"/>
        </w:rPr>
        <w:t>名称</w:t>
      </w:r>
      <w:r>
        <w:rPr>
          <w:rFonts w:hint="eastAsia" w:hAnsi="宋体"/>
          <w:color w:val="auto"/>
          <w:highlight w:val="none"/>
        </w:rPr>
        <w:t>：</w:t>
      </w:r>
      <w:r>
        <w:rPr>
          <w:rFonts w:hint="eastAsia" w:hAnsi="宋体"/>
          <w:color w:val="auto"/>
          <w:szCs w:val="21"/>
          <w:highlight w:val="none"/>
        </w:rPr>
        <w:t>见投标人须知前附表。</w:t>
      </w:r>
    </w:p>
    <w:p w14:paraId="532124F2">
      <w:pPr>
        <w:pStyle w:val="23"/>
        <w:tabs>
          <w:tab w:val="left" w:pos="2127"/>
        </w:tabs>
        <w:kinsoku/>
        <w:overflowPunct/>
        <w:bidi w:val="0"/>
        <w:spacing w:line="360" w:lineRule="auto"/>
        <w:ind w:firstLine="315" w:firstLineChars="150"/>
        <w:textAlignment w:val="auto"/>
        <w:rPr>
          <w:rFonts w:hint="eastAsia" w:hAnsi="宋体"/>
          <w:color w:val="auto"/>
          <w:highlight w:val="none"/>
        </w:rPr>
      </w:pPr>
      <w:r>
        <w:rPr>
          <w:rFonts w:hint="eastAsia" w:hAnsi="宋体"/>
          <w:color w:val="auto"/>
          <w:highlight w:val="none"/>
        </w:rPr>
        <w:t xml:space="preserve">1.1.5 </w:t>
      </w:r>
      <w:r>
        <w:rPr>
          <w:rFonts w:hint="eastAsia" w:ascii="宋体" w:hAnsi="宋体" w:eastAsia="宋体" w:cs="宋体"/>
          <w:color w:val="auto"/>
          <w:highlight w:val="none"/>
          <w:lang w:val="en-US" w:eastAsia="zh-CN"/>
        </w:rPr>
        <w:t>项目地点</w:t>
      </w:r>
      <w:r>
        <w:rPr>
          <w:rFonts w:hint="eastAsia" w:hAnsi="宋体"/>
          <w:color w:val="auto"/>
          <w:highlight w:val="none"/>
        </w:rPr>
        <w:t>：</w:t>
      </w:r>
      <w:r>
        <w:rPr>
          <w:rFonts w:hint="eastAsia" w:hAnsi="宋体"/>
          <w:color w:val="auto"/>
          <w:szCs w:val="21"/>
          <w:highlight w:val="none"/>
        </w:rPr>
        <w:t>见投标人须知前附表。</w:t>
      </w:r>
    </w:p>
    <w:p w14:paraId="2177B373">
      <w:pPr>
        <w:pStyle w:val="23"/>
        <w:tabs>
          <w:tab w:val="left" w:pos="2127"/>
        </w:tabs>
        <w:kinsoku/>
        <w:overflowPunct/>
        <w:bidi w:val="0"/>
        <w:spacing w:line="360" w:lineRule="auto"/>
        <w:ind w:firstLine="315" w:firstLineChars="150"/>
        <w:textAlignment w:val="auto"/>
        <w:rPr>
          <w:rFonts w:hint="eastAsia" w:hAnsi="宋体"/>
          <w:color w:val="auto"/>
          <w:highlight w:val="none"/>
        </w:rPr>
      </w:pPr>
      <w:r>
        <w:rPr>
          <w:rFonts w:hint="eastAsia" w:hAnsi="宋体"/>
          <w:color w:val="auto"/>
          <w:highlight w:val="none"/>
        </w:rPr>
        <w:t>1.1.6 项目概况：</w:t>
      </w:r>
      <w:r>
        <w:rPr>
          <w:rFonts w:hint="eastAsia" w:hAnsi="宋体"/>
          <w:color w:val="auto"/>
          <w:szCs w:val="21"/>
          <w:highlight w:val="none"/>
        </w:rPr>
        <w:t>见投标人须知前附表。</w:t>
      </w:r>
    </w:p>
    <w:p w14:paraId="14E2D54B">
      <w:pPr>
        <w:pStyle w:val="23"/>
        <w:tabs>
          <w:tab w:val="left" w:pos="2127"/>
        </w:tabs>
        <w:kinsoku/>
        <w:overflowPunct/>
        <w:bidi w:val="0"/>
        <w:spacing w:line="360" w:lineRule="auto"/>
        <w:ind w:firstLine="315" w:firstLineChars="150"/>
        <w:textAlignment w:val="auto"/>
        <w:rPr>
          <w:rFonts w:hint="eastAsia" w:hAnsi="宋体"/>
          <w:color w:val="auto"/>
          <w:highlight w:val="none"/>
        </w:rPr>
      </w:pPr>
      <w:r>
        <w:rPr>
          <w:rFonts w:hint="eastAsia" w:hAnsi="宋体"/>
          <w:color w:val="auto"/>
          <w:highlight w:val="none"/>
        </w:rPr>
        <w:t>1.1.7 标段划分：</w:t>
      </w:r>
      <w:r>
        <w:rPr>
          <w:rFonts w:hint="eastAsia" w:hAnsi="宋体"/>
          <w:color w:val="auto"/>
          <w:szCs w:val="21"/>
          <w:highlight w:val="none"/>
        </w:rPr>
        <w:t>见投标人须知前附表。</w:t>
      </w:r>
    </w:p>
    <w:p w14:paraId="00F94E17">
      <w:pPr>
        <w:pStyle w:val="23"/>
        <w:tabs>
          <w:tab w:val="left" w:pos="2127"/>
        </w:tabs>
        <w:kinsoku/>
        <w:overflowPunct/>
        <w:bidi w:val="0"/>
        <w:spacing w:line="360" w:lineRule="auto"/>
        <w:textAlignment w:val="auto"/>
        <w:outlineLvl w:val="2"/>
        <w:rPr>
          <w:rFonts w:hAnsi="宋体"/>
          <w:b/>
          <w:color w:val="auto"/>
          <w:highlight w:val="none"/>
        </w:rPr>
      </w:pPr>
      <w:bookmarkStart w:id="151" w:name="_Toc30379"/>
      <w:r>
        <w:rPr>
          <w:rFonts w:hint="eastAsia" w:hAnsi="宋体"/>
          <w:b/>
          <w:color w:val="auto"/>
          <w:highlight w:val="none"/>
        </w:rPr>
        <w:t>1.2 资金落实情况</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0DB4B6DE">
      <w:pPr>
        <w:pStyle w:val="23"/>
        <w:kinsoku/>
        <w:overflowPunct/>
        <w:bidi w:val="0"/>
        <w:spacing w:line="360" w:lineRule="auto"/>
        <w:ind w:firstLine="315" w:firstLineChars="150"/>
        <w:textAlignment w:val="auto"/>
        <w:rPr>
          <w:rFonts w:hAnsi="宋体"/>
          <w:color w:val="auto"/>
          <w:szCs w:val="21"/>
          <w:highlight w:val="none"/>
        </w:rPr>
      </w:pPr>
      <w:r>
        <w:rPr>
          <w:rFonts w:hint="eastAsia" w:hAnsi="宋体"/>
          <w:color w:val="auto"/>
          <w:szCs w:val="21"/>
          <w:highlight w:val="none"/>
        </w:rPr>
        <w:t>1.2.2</w:t>
      </w:r>
      <w:r>
        <w:rPr>
          <w:rFonts w:hint="eastAsia" w:hAnsi="宋体" w:cs="仿宋_GB2312"/>
          <w:color w:val="auto"/>
          <w:szCs w:val="21"/>
          <w:highlight w:val="none"/>
        </w:rPr>
        <w:t>资金落实情况</w:t>
      </w:r>
      <w:r>
        <w:rPr>
          <w:rFonts w:hint="eastAsia" w:hAnsi="宋体"/>
          <w:color w:val="auto"/>
          <w:szCs w:val="21"/>
          <w:highlight w:val="none"/>
        </w:rPr>
        <w:t>：见投标人须知前附表。</w:t>
      </w:r>
    </w:p>
    <w:p w14:paraId="2F060F6D">
      <w:pPr>
        <w:pStyle w:val="23"/>
        <w:tabs>
          <w:tab w:val="left" w:pos="2127"/>
        </w:tabs>
        <w:kinsoku/>
        <w:overflowPunct/>
        <w:bidi w:val="0"/>
        <w:spacing w:line="360" w:lineRule="auto"/>
        <w:textAlignment w:val="auto"/>
        <w:outlineLvl w:val="2"/>
        <w:rPr>
          <w:rFonts w:hint="eastAsia" w:hAnsi="宋体" w:eastAsia="宋体"/>
          <w:b/>
          <w:color w:val="auto"/>
          <w:highlight w:val="none"/>
          <w:lang w:val="en-US" w:eastAsia="zh-CN"/>
        </w:rPr>
      </w:pPr>
      <w:bookmarkStart w:id="152" w:name="_Toc306294182"/>
      <w:bookmarkStart w:id="153" w:name="_Toc2163"/>
      <w:bookmarkStart w:id="154" w:name="_Toc650"/>
      <w:bookmarkStart w:id="155" w:name="_Toc25647"/>
      <w:bookmarkStart w:id="156" w:name="_Toc6766"/>
      <w:bookmarkStart w:id="157" w:name="_Toc20807"/>
      <w:bookmarkStart w:id="158" w:name="_Toc11990"/>
      <w:bookmarkStart w:id="159" w:name="_Toc20812"/>
      <w:bookmarkStart w:id="160" w:name="_Toc12784"/>
      <w:bookmarkStart w:id="161" w:name="_Toc18844"/>
      <w:bookmarkStart w:id="162" w:name="_Toc24048"/>
      <w:bookmarkStart w:id="163" w:name="_Toc32237"/>
      <w:bookmarkStart w:id="164" w:name="_Toc210"/>
      <w:bookmarkStart w:id="165" w:name="_Toc21725"/>
      <w:bookmarkStart w:id="166" w:name="_Toc30505"/>
      <w:bookmarkStart w:id="167" w:name="_Toc7694"/>
      <w:bookmarkStart w:id="168" w:name="_Toc12078"/>
      <w:bookmarkStart w:id="169" w:name="_Toc30492"/>
      <w:bookmarkStart w:id="170" w:name="_Toc28466"/>
      <w:bookmarkStart w:id="171" w:name="_Toc26756"/>
      <w:bookmarkStart w:id="172" w:name="_Toc30782"/>
      <w:bookmarkStart w:id="173" w:name="_Toc26325"/>
      <w:bookmarkStart w:id="174" w:name="_Toc26208"/>
      <w:bookmarkStart w:id="175" w:name="_Toc28329"/>
      <w:bookmarkStart w:id="176" w:name="_Toc14379"/>
      <w:bookmarkStart w:id="177" w:name="_Toc14161"/>
      <w:bookmarkStart w:id="178" w:name="_Toc3707"/>
      <w:bookmarkStart w:id="179" w:name="_Toc482803073"/>
      <w:bookmarkStart w:id="180" w:name="_Toc11505"/>
      <w:bookmarkStart w:id="181" w:name="_Toc25841"/>
      <w:bookmarkStart w:id="182" w:name="_Toc30688"/>
      <w:bookmarkStart w:id="183" w:name="_Toc3669"/>
      <w:bookmarkStart w:id="184" w:name="_Toc26783"/>
      <w:bookmarkStart w:id="185" w:name="_Toc32099"/>
      <w:bookmarkStart w:id="186" w:name="_Toc23547"/>
      <w:bookmarkStart w:id="187" w:name="_Toc13671"/>
      <w:bookmarkStart w:id="188" w:name="_Toc5737"/>
      <w:bookmarkStart w:id="189" w:name="_Toc15721"/>
      <w:bookmarkStart w:id="190" w:name="_Toc17139"/>
      <w:bookmarkStart w:id="191" w:name="_Toc1072"/>
      <w:bookmarkStart w:id="192" w:name="_Toc16264"/>
      <w:bookmarkStart w:id="193" w:name="_Toc23079"/>
      <w:bookmarkStart w:id="194" w:name="_Toc26589"/>
      <w:bookmarkStart w:id="195" w:name="_Toc4546"/>
      <w:bookmarkStart w:id="196" w:name="_Toc484792186"/>
      <w:bookmarkStart w:id="197" w:name="_Toc13232"/>
      <w:bookmarkStart w:id="198" w:name="_Toc8396"/>
      <w:bookmarkStart w:id="199" w:name="_Toc26063"/>
      <w:bookmarkStart w:id="200" w:name="_Toc6600"/>
      <w:bookmarkStart w:id="201" w:name="_Toc29554"/>
      <w:r>
        <w:rPr>
          <w:rFonts w:hint="eastAsia" w:hAnsi="宋体"/>
          <w:b/>
          <w:color w:val="auto"/>
          <w:highlight w:val="none"/>
        </w:rPr>
        <w:t xml:space="preserve">1.3 </w:t>
      </w:r>
      <w:r>
        <w:rPr>
          <w:rFonts w:hint="eastAsia" w:hAnsi="宋体"/>
          <w:b/>
          <w:color w:val="auto"/>
          <w:highlight w:val="none"/>
          <w:lang w:val="en-US" w:eastAsia="zh-CN"/>
        </w:rPr>
        <w:t>招标</w:t>
      </w:r>
      <w:r>
        <w:rPr>
          <w:rFonts w:hint="eastAsia" w:hAnsi="宋体"/>
          <w:b/>
          <w:color w:val="auto"/>
          <w:highlight w:val="none"/>
        </w:rPr>
        <w:t>范围、</w:t>
      </w:r>
      <w:bookmarkEnd w:id="152"/>
      <w:r>
        <w:rPr>
          <w:rFonts w:hint="eastAsia" w:hAnsi="宋体"/>
          <w:b/>
          <w:color w:val="auto"/>
          <w:highlight w:val="none"/>
          <w:lang w:eastAsia="zh-CN"/>
        </w:rPr>
        <w:t>计划工期（或交货期、服务期）</w:t>
      </w:r>
      <w:r>
        <w:rPr>
          <w:rFonts w:hint="eastAsia" w:hAnsi="宋体"/>
          <w:b/>
          <w:color w:val="auto"/>
          <w:highlight w:val="none"/>
        </w:rPr>
        <w:t>（或交货期、服务期）</w:t>
      </w:r>
      <w:r>
        <w:rPr>
          <w:rFonts w:hint="eastAsia" w:hAnsi="宋体"/>
          <w:b/>
          <w:color w:val="auto"/>
          <w:highlight w:val="none"/>
          <w:lang w:eastAsia="zh-CN"/>
        </w:rPr>
        <w:t>、</w:t>
      </w:r>
      <w:r>
        <w:rPr>
          <w:rFonts w:hint="eastAsia" w:hAnsi="宋体" w:cs="宋体"/>
          <w:b/>
          <w:bCs w:val="0"/>
          <w:color w:val="auto"/>
          <w:szCs w:val="21"/>
          <w:highlight w:val="none"/>
          <w:lang w:val="en-US" w:eastAsia="zh-CN"/>
        </w:rPr>
        <w:t>招标相关要求</w:t>
      </w:r>
      <w:r>
        <w:rPr>
          <w:rFonts w:hint="eastAsia" w:ascii="宋体" w:hAnsi="宋体" w:eastAsia="宋体" w:cs="宋体"/>
          <w:b/>
          <w:bCs w:val="0"/>
          <w:color w:val="auto"/>
          <w:szCs w:val="21"/>
          <w:highlight w:val="none"/>
          <w:lang w:val="en-US" w:eastAsia="zh-CN"/>
        </w:rPr>
        <w:t>、承包方式</w:t>
      </w:r>
      <w:bookmarkEnd w:id="153"/>
    </w:p>
    <w:p w14:paraId="76F3DC47">
      <w:pPr>
        <w:pStyle w:val="23"/>
        <w:tabs>
          <w:tab w:val="left" w:pos="2127"/>
        </w:tabs>
        <w:kinsoku/>
        <w:overflowPunct/>
        <w:bidi w:val="0"/>
        <w:spacing w:line="360" w:lineRule="auto"/>
        <w:ind w:firstLine="315" w:firstLineChars="150"/>
        <w:textAlignment w:val="auto"/>
        <w:rPr>
          <w:rFonts w:hint="eastAsia" w:ascii="宋体" w:hAnsi="宋体" w:eastAsia="宋体" w:cs="Times New Roman"/>
          <w:color w:val="auto"/>
          <w:highlight w:val="none"/>
        </w:rPr>
      </w:pPr>
      <w:r>
        <w:rPr>
          <w:rFonts w:hint="eastAsia" w:ascii="宋体" w:hAnsi="宋体" w:eastAsia="宋体" w:cs="Times New Roman"/>
          <w:color w:val="auto"/>
          <w:highlight w:val="none"/>
        </w:rPr>
        <w:t>1.3.1招标范围：</w:t>
      </w:r>
      <w:r>
        <w:rPr>
          <w:rFonts w:hint="eastAsia" w:hAnsi="宋体"/>
          <w:color w:val="auto"/>
          <w:szCs w:val="21"/>
          <w:highlight w:val="none"/>
        </w:rPr>
        <w:t>见投标人须知前附表。</w:t>
      </w:r>
    </w:p>
    <w:p w14:paraId="0D66E41F">
      <w:pPr>
        <w:pStyle w:val="23"/>
        <w:tabs>
          <w:tab w:val="left" w:pos="2127"/>
        </w:tabs>
        <w:kinsoku/>
        <w:overflowPunct/>
        <w:bidi w:val="0"/>
        <w:spacing w:line="360" w:lineRule="auto"/>
        <w:ind w:firstLine="315" w:firstLineChars="150"/>
        <w:textAlignment w:val="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rPr>
        <w:t>1.3.2</w:t>
      </w:r>
      <w:r>
        <w:rPr>
          <w:rFonts w:hint="eastAsia" w:hAnsi="宋体" w:cs="Times New Roman"/>
          <w:color w:val="auto"/>
          <w:highlight w:val="none"/>
          <w:lang w:eastAsia="zh-CN"/>
        </w:rPr>
        <w:t>计划工期（或交货期、服务期）</w:t>
      </w:r>
      <w:r>
        <w:rPr>
          <w:rFonts w:hint="eastAsia" w:ascii="宋体" w:hAnsi="宋体" w:eastAsia="宋体" w:cs="Times New Roman"/>
          <w:color w:val="auto"/>
          <w:highlight w:val="none"/>
        </w:rPr>
        <w:t>（或交货期、服务期）：</w:t>
      </w:r>
      <w:r>
        <w:rPr>
          <w:rFonts w:hint="eastAsia" w:hAnsi="宋体"/>
          <w:color w:val="auto"/>
          <w:szCs w:val="21"/>
          <w:highlight w:val="none"/>
        </w:rPr>
        <w:t>见投标人须知前附表。</w:t>
      </w:r>
    </w:p>
    <w:p w14:paraId="5CABEA67">
      <w:pPr>
        <w:pStyle w:val="23"/>
        <w:tabs>
          <w:tab w:val="left" w:pos="2127"/>
        </w:tabs>
        <w:kinsoku/>
        <w:overflowPunct/>
        <w:bidi w:val="0"/>
        <w:spacing w:line="360" w:lineRule="auto"/>
        <w:ind w:firstLine="315" w:firstLineChars="150"/>
        <w:textAlignment w:val="auto"/>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1.3.</w:t>
      </w:r>
      <w:r>
        <w:rPr>
          <w:rFonts w:hint="eastAsia" w:ascii="宋体" w:hAnsi="宋体" w:eastAsia="宋体" w:cs="Times New Roman"/>
          <w:color w:val="auto"/>
          <w:highlight w:val="none"/>
          <w:lang w:val="en-US" w:eastAsia="zh-CN"/>
        </w:rPr>
        <w:t>3</w:t>
      </w:r>
      <w:r>
        <w:rPr>
          <w:rFonts w:hint="eastAsia" w:hAnsi="宋体" w:cs="Times New Roman"/>
          <w:color w:val="auto"/>
          <w:highlight w:val="none"/>
          <w:lang w:val="en-US" w:eastAsia="zh-CN"/>
        </w:rPr>
        <w:t>招标相关要求</w:t>
      </w:r>
      <w:r>
        <w:rPr>
          <w:rFonts w:hint="eastAsia" w:ascii="宋体" w:hAnsi="宋体" w:eastAsia="宋体" w:cs="Times New Roman"/>
          <w:color w:val="auto"/>
          <w:highlight w:val="none"/>
        </w:rPr>
        <w:t>：</w:t>
      </w:r>
      <w:r>
        <w:rPr>
          <w:rFonts w:hint="eastAsia" w:hAnsi="宋体"/>
          <w:color w:val="auto"/>
          <w:szCs w:val="21"/>
          <w:highlight w:val="none"/>
        </w:rPr>
        <w:t>见投标人须知前附表。</w:t>
      </w:r>
    </w:p>
    <w:p w14:paraId="15F640AE">
      <w:pPr>
        <w:pStyle w:val="23"/>
        <w:tabs>
          <w:tab w:val="left" w:pos="2127"/>
        </w:tabs>
        <w:kinsoku/>
        <w:overflowPunct/>
        <w:bidi w:val="0"/>
        <w:spacing w:line="360" w:lineRule="auto"/>
        <w:ind w:firstLine="315" w:firstLineChars="150"/>
        <w:textAlignment w:val="auto"/>
        <w:rPr>
          <w:rFonts w:hint="eastAsia" w:ascii="宋体" w:hAnsi="宋体" w:eastAsia="宋体" w:cs="Times New Roman"/>
          <w:color w:val="auto"/>
          <w:kern w:val="2"/>
          <w:sz w:val="21"/>
          <w:highlight w:val="none"/>
          <w:lang w:val="en-US" w:eastAsia="zh-CN" w:bidi="ar-SA"/>
        </w:rPr>
      </w:pPr>
      <w:r>
        <w:rPr>
          <w:rFonts w:hint="eastAsia" w:ascii="宋体" w:hAnsi="宋体" w:eastAsia="宋体" w:cs="Times New Roman"/>
          <w:color w:val="auto"/>
          <w:kern w:val="2"/>
          <w:sz w:val="21"/>
          <w:highlight w:val="none"/>
          <w:lang w:val="en-US" w:eastAsia="zh-CN" w:bidi="ar-SA"/>
        </w:rPr>
        <w:t>1.3.4 承包方式：</w:t>
      </w:r>
      <w:r>
        <w:rPr>
          <w:rFonts w:hint="eastAsia" w:hAnsi="宋体"/>
          <w:color w:val="auto"/>
          <w:szCs w:val="21"/>
          <w:highlight w:val="none"/>
        </w:rPr>
        <w:t>见投标人须知前附表。</w:t>
      </w:r>
    </w:p>
    <w:p w14:paraId="28242BC0">
      <w:pPr>
        <w:pStyle w:val="23"/>
        <w:tabs>
          <w:tab w:val="left" w:pos="2127"/>
        </w:tabs>
        <w:kinsoku/>
        <w:overflowPunct/>
        <w:bidi w:val="0"/>
        <w:spacing w:line="360" w:lineRule="auto"/>
        <w:textAlignment w:val="auto"/>
        <w:outlineLvl w:val="2"/>
        <w:rPr>
          <w:rFonts w:hAnsi="宋体"/>
          <w:b/>
          <w:color w:val="auto"/>
          <w:highlight w:val="none"/>
        </w:rPr>
      </w:pPr>
      <w:bookmarkStart w:id="202" w:name="_Toc28847"/>
      <w:r>
        <w:rPr>
          <w:rFonts w:hint="eastAsia" w:hAnsi="宋体"/>
          <w:b/>
          <w:color w:val="auto"/>
          <w:highlight w:val="none"/>
        </w:rPr>
        <w:t>1.4 投标人资格要求</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7BFC3FC6">
      <w:pPr>
        <w:pStyle w:val="23"/>
        <w:tabs>
          <w:tab w:val="left" w:pos="2127"/>
        </w:tabs>
        <w:kinsoku/>
        <w:overflowPunct/>
        <w:bidi w:val="0"/>
        <w:spacing w:line="360" w:lineRule="auto"/>
        <w:ind w:firstLine="315" w:firstLineChars="150"/>
        <w:textAlignment w:val="auto"/>
        <w:rPr>
          <w:rFonts w:hint="eastAsia" w:hAnsi="宋体" w:eastAsia="Calibri" w:cs="Times New Roman"/>
          <w:color w:val="auto"/>
          <w:highlight w:val="none"/>
        </w:rPr>
      </w:pPr>
      <w:r>
        <w:rPr>
          <w:rFonts w:hint="eastAsia" w:hAnsi="宋体" w:eastAsia="Calibri" w:cs="Times New Roman"/>
          <w:color w:val="auto"/>
          <w:highlight w:val="none"/>
        </w:rPr>
        <w:t>1.4.1 投标人资格要求：见</w:t>
      </w:r>
      <w:r>
        <w:rPr>
          <w:rFonts w:hint="eastAsia" w:hAnsi="宋体" w:eastAsia="宋体" w:cs="Times New Roman"/>
          <w:color w:val="auto"/>
          <w:highlight w:val="none"/>
          <w:lang w:val="en-US" w:eastAsia="zh-CN"/>
        </w:rPr>
        <w:t>投标人</w:t>
      </w:r>
      <w:r>
        <w:rPr>
          <w:rFonts w:hint="eastAsia" w:hAnsi="宋体" w:eastAsia="Calibri" w:cs="Times New Roman"/>
          <w:color w:val="auto"/>
          <w:highlight w:val="none"/>
        </w:rPr>
        <w:t>须知前附表。</w:t>
      </w:r>
    </w:p>
    <w:p w14:paraId="12942952">
      <w:pPr>
        <w:pStyle w:val="23"/>
        <w:tabs>
          <w:tab w:val="left" w:pos="2127"/>
        </w:tabs>
        <w:kinsoku/>
        <w:overflowPunct/>
        <w:bidi w:val="0"/>
        <w:spacing w:line="360" w:lineRule="auto"/>
        <w:ind w:firstLine="283" w:firstLineChars="135"/>
        <w:textAlignment w:val="auto"/>
        <w:rPr>
          <w:rFonts w:hAnsi="宋体"/>
          <w:color w:val="auto"/>
          <w:highlight w:val="none"/>
        </w:rPr>
      </w:pPr>
      <w:r>
        <w:rPr>
          <w:rFonts w:hint="eastAsia" w:hAnsi="宋体"/>
          <w:color w:val="auto"/>
          <w:highlight w:val="none"/>
        </w:rPr>
        <w:t>1.4.2</w:t>
      </w:r>
      <w:r>
        <w:rPr>
          <w:rFonts w:hint="eastAsia" w:hAnsi="宋体"/>
          <w:color w:val="auto"/>
          <w:highlight w:val="none"/>
          <w:lang w:val="en-US" w:eastAsia="zh-CN"/>
        </w:rPr>
        <w:t xml:space="preserve"> </w:t>
      </w:r>
      <w:r>
        <w:rPr>
          <w:rFonts w:hint="eastAsia" w:hAnsi="宋体" w:cs="仿宋_GB2312"/>
          <w:color w:val="auto"/>
          <w:kern w:val="0"/>
          <w:szCs w:val="21"/>
          <w:highlight w:val="none"/>
        </w:rPr>
        <w:t>投标人须知前附表规定接受联合体投标的，除应符合本章第</w:t>
      </w:r>
      <w:r>
        <w:rPr>
          <w:rFonts w:hAnsi="宋体" w:cs="TimesNewRomanPSMT"/>
          <w:color w:val="auto"/>
          <w:kern w:val="0"/>
          <w:szCs w:val="21"/>
          <w:highlight w:val="none"/>
        </w:rPr>
        <w:t xml:space="preserve">1.4.1 </w:t>
      </w:r>
      <w:r>
        <w:rPr>
          <w:rFonts w:hint="eastAsia" w:hAnsi="宋体" w:cs="仿宋_GB2312"/>
          <w:color w:val="auto"/>
          <w:kern w:val="0"/>
          <w:szCs w:val="21"/>
          <w:highlight w:val="none"/>
        </w:rPr>
        <w:t>项和投标人须知前附表的要求外，</w:t>
      </w:r>
      <w:r>
        <w:rPr>
          <w:rFonts w:hint="eastAsia" w:hAnsi="宋体"/>
          <w:color w:val="auto"/>
          <w:highlight w:val="none"/>
        </w:rPr>
        <w:t>还应遵守以下规定：</w:t>
      </w:r>
    </w:p>
    <w:p w14:paraId="276BF5D4">
      <w:pPr>
        <w:pStyle w:val="23"/>
        <w:tabs>
          <w:tab w:val="left" w:pos="2127"/>
        </w:tabs>
        <w:kinsoku/>
        <w:overflowPunct/>
        <w:bidi w:val="0"/>
        <w:spacing w:line="360" w:lineRule="auto"/>
        <w:ind w:firstLine="315" w:firstLineChars="150"/>
        <w:textAlignment w:val="auto"/>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）联合体各方应按招标文件提供的格式签订联合体协议书，明确联合体牵头人和各方权利义务；</w:t>
      </w:r>
    </w:p>
    <w:p w14:paraId="23D99D8F">
      <w:pPr>
        <w:pStyle w:val="23"/>
        <w:tabs>
          <w:tab w:val="left" w:pos="2127"/>
        </w:tabs>
        <w:kinsoku/>
        <w:overflowPunct/>
        <w:bidi w:val="0"/>
        <w:spacing w:line="360" w:lineRule="auto"/>
        <w:ind w:firstLine="315" w:firstLineChars="150"/>
        <w:textAlignment w:val="auto"/>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）由同一专业的单位组成的联合体，按照资质等级较低的单位确定资质等级；</w:t>
      </w:r>
    </w:p>
    <w:p w14:paraId="63446350">
      <w:pPr>
        <w:pStyle w:val="23"/>
        <w:tabs>
          <w:tab w:val="left" w:pos="2127"/>
        </w:tabs>
        <w:kinsoku/>
        <w:overflowPunct/>
        <w:bidi w:val="0"/>
        <w:spacing w:line="360" w:lineRule="auto"/>
        <w:ind w:firstLine="315" w:firstLineChars="150"/>
        <w:jc w:val="left"/>
        <w:textAlignment w:val="auto"/>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w:t>
      </w:r>
      <w:r>
        <w:rPr>
          <w:rFonts w:hint="eastAsia" w:ascii="宋体" w:hAnsi="宋体" w:cs="宋体"/>
          <w:color w:val="auto"/>
          <w:kern w:val="0"/>
          <w:szCs w:val="21"/>
          <w:highlight w:val="none"/>
        </w:rPr>
        <w:t>联合体各方不得再以自己名义单独或参加其他联合体在</w:t>
      </w:r>
      <w:r>
        <w:rPr>
          <w:rFonts w:hint="eastAsia" w:hAnsi="宋体" w:eastAsia="Calibri" w:cs="Times New Roman"/>
          <w:color w:val="auto"/>
          <w:highlight w:val="none"/>
        </w:rPr>
        <w:t>同一标段或者未划分标段的同一</w:t>
      </w:r>
      <w:r>
        <w:rPr>
          <w:rFonts w:hint="eastAsia" w:hAnsi="宋体" w:eastAsia="宋体" w:cs="Times New Roman"/>
          <w:color w:val="auto"/>
          <w:highlight w:val="none"/>
          <w:lang w:val="en-US" w:eastAsia="zh-CN"/>
        </w:rPr>
        <w:t>招标</w:t>
      </w:r>
      <w:r>
        <w:rPr>
          <w:rFonts w:hint="eastAsia" w:hAnsi="宋体" w:eastAsia="Calibri" w:cs="Times New Roman"/>
          <w:color w:val="auto"/>
          <w:highlight w:val="none"/>
        </w:rPr>
        <w:t>项目</w:t>
      </w:r>
      <w:r>
        <w:rPr>
          <w:rFonts w:hint="eastAsia" w:hAnsi="宋体" w:eastAsia="宋体" w:cs="Times New Roman"/>
          <w:color w:val="auto"/>
          <w:highlight w:val="none"/>
          <w:lang w:val="en-US" w:eastAsia="zh-CN"/>
        </w:rPr>
        <w:t>中</w:t>
      </w:r>
      <w:r>
        <w:rPr>
          <w:rFonts w:hint="eastAsia" w:ascii="宋体" w:hAnsi="宋体" w:cs="宋体"/>
          <w:color w:val="auto"/>
          <w:kern w:val="0"/>
          <w:szCs w:val="21"/>
          <w:highlight w:val="none"/>
        </w:rPr>
        <w:t>投标，否则各相关投标均无效。</w:t>
      </w:r>
    </w:p>
    <w:p w14:paraId="52CACFA2">
      <w:pPr>
        <w:pStyle w:val="23"/>
        <w:tabs>
          <w:tab w:val="left" w:pos="2127"/>
        </w:tabs>
        <w:kinsoku/>
        <w:overflowPunct/>
        <w:bidi w:val="0"/>
        <w:spacing w:line="360" w:lineRule="auto"/>
        <w:ind w:firstLine="315" w:firstLineChars="150"/>
        <w:jc w:val="left"/>
        <w:textAlignment w:val="auto"/>
        <w:rPr>
          <w:rFonts w:hAnsi="宋体"/>
          <w:color w:val="auto"/>
          <w:highlight w:val="none"/>
        </w:rPr>
      </w:pPr>
      <w:r>
        <w:rPr>
          <w:rFonts w:hAnsi="宋体"/>
          <w:color w:val="auto"/>
          <w:highlight w:val="none"/>
        </w:rPr>
        <w:t xml:space="preserve">1.4.3 </w:t>
      </w:r>
      <w:r>
        <w:rPr>
          <w:rFonts w:hint="eastAsia" w:hAnsi="宋体"/>
          <w:color w:val="auto"/>
          <w:highlight w:val="none"/>
        </w:rPr>
        <w:t>投标人不得存在下列情形之一：</w:t>
      </w:r>
    </w:p>
    <w:p w14:paraId="3E88E949">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kern w:val="2"/>
          <w:sz w:val="21"/>
          <w:highlight w:val="none"/>
          <w:lang w:val="en-US" w:eastAsia="zh-CN" w:bidi="ar-SA"/>
        </w:rPr>
      </w:pPr>
      <w:bookmarkStart w:id="203" w:name="_Toc482803074"/>
      <w:bookmarkStart w:id="204" w:name="_Toc7294"/>
      <w:bookmarkStart w:id="205" w:name="_Toc20022"/>
      <w:bookmarkStart w:id="206" w:name="_Toc10630"/>
      <w:bookmarkStart w:id="207" w:name="_Toc12318"/>
      <w:bookmarkStart w:id="208" w:name="_Toc17470"/>
      <w:bookmarkStart w:id="209" w:name="_Toc24089"/>
      <w:bookmarkStart w:id="210" w:name="_Toc19556"/>
      <w:bookmarkStart w:id="211" w:name="_Toc13388"/>
      <w:bookmarkStart w:id="212" w:name="_Toc16880"/>
      <w:bookmarkStart w:id="213" w:name="_Toc18803"/>
      <w:bookmarkStart w:id="214" w:name="_Toc22151"/>
      <w:bookmarkStart w:id="215" w:name="_Toc28479"/>
      <w:bookmarkStart w:id="216" w:name="_Toc484792187"/>
      <w:bookmarkStart w:id="217" w:name="_Toc15002"/>
      <w:bookmarkStart w:id="218" w:name="_Toc18001"/>
      <w:bookmarkStart w:id="219" w:name="_Toc5252"/>
      <w:r>
        <w:rPr>
          <w:rFonts w:hint="eastAsia" w:ascii="宋体" w:hAnsi="宋体" w:eastAsia="宋体" w:cs="宋体"/>
          <w:color w:val="auto"/>
          <w:kern w:val="2"/>
          <w:sz w:val="21"/>
          <w:highlight w:val="none"/>
          <w:lang w:val="en-US" w:eastAsia="zh-CN" w:bidi="ar-SA"/>
        </w:rPr>
        <w:t>（1）为</w:t>
      </w:r>
      <w:r>
        <w:rPr>
          <w:rFonts w:hint="eastAsia" w:hAnsi="宋体"/>
          <w:color w:val="auto"/>
          <w:highlight w:val="none"/>
        </w:rPr>
        <w:t>投标人</w:t>
      </w:r>
      <w:r>
        <w:rPr>
          <w:rFonts w:hint="eastAsia" w:ascii="宋体" w:hAnsi="宋体" w:eastAsia="宋体" w:cs="宋体"/>
          <w:color w:val="auto"/>
          <w:kern w:val="2"/>
          <w:sz w:val="21"/>
          <w:highlight w:val="none"/>
          <w:lang w:val="en-US" w:eastAsia="zh-CN" w:bidi="ar-SA"/>
        </w:rPr>
        <w:t>不具有独立法人资格的附属机构（单位）；</w:t>
      </w:r>
    </w:p>
    <w:p w14:paraId="728EBA85">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（2）为投标标段前期准备提供设计或咨询服务的；</w:t>
      </w:r>
    </w:p>
    <w:p w14:paraId="23CC43ED">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（3）为投标标段的监理人；</w:t>
      </w:r>
    </w:p>
    <w:p w14:paraId="3C0E41BE">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（4）为投标标段的代建人；</w:t>
      </w:r>
    </w:p>
    <w:p w14:paraId="636A1FFF">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（5）为投标标段提供招标代理服务的；</w:t>
      </w:r>
    </w:p>
    <w:p w14:paraId="68125F2A">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（6）与投标标段的监理人或代建人或招标服务机构同为一个法定代表人的；</w:t>
      </w:r>
    </w:p>
    <w:p w14:paraId="6C5DD3FB">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（7）与投标标段的监理人或代建人或招标服务机构相互控股或参股的；</w:t>
      </w:r>
    </w:p>
    <w:p w14:paraId="4910B7DB">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（8）与投标标段的监理人或代建人或招标服务机构有员工相互任职或工作的；</w:t>
      </w:r>
    </w:p>
    <w:p w14:paraId="43BEA563">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（9）与招标人存在利害关系且可能影响采购公正性；</w:t>
      </w:r>
    </w:p>
    <w:p w14:paraId="1071C2AF">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（10）与投标标段的其他投标人为同一个单位负责人；</w:t>
      </w:r>
    </w:p>
    <w:p w14:paraId="147FA2B6">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（11）与投标标段的其他投标人存在控股、管理关系；</w:t>
      </w:r>
    </w:p>
    <w:p w14:paraId="4887FEF6">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（12）被依法暂停或者取消投标资格；</w:t>
      </w:r>
    </w:p>
    <w:p w14:paraId="49871C59">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（13）被责令停产停业、暂扣或者吊销许可证、暂扣或者吊销执照的；</w:t>
      </w:r>
    </w:p>
    <w:p w14:paraId="4797E255">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（14）进入清算程序，或被宣告破产，或其他丧失履约能力的情形；</w:t>
      </w:r>
    </w:p>
    <w:p w14:paraId="67EB7DE2">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（15）财产被接管或冻结的；</w:t>
      </w:r>
    </w:p>
    <w:p w14:paraId="128C7CBB">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（16）</w:t>
      </w:r>
      <w:r>
        <w:rPr>
          <w:rFonts w:hint="eastAsia" w:ascii="宋体" w:hAnsi="宋体" w:cs="宋体"/>
          <w:color w:val="auto"/>
          <w:kern w:val="2"/>
          <w:sz w:val="21"/>
          <w:highlight w:val="none"/>
          <w:lang w:val="en-US" w:eastAsia="zh-CN" w:bidi="ar-SA"/>
        </w:rPr>
        <w:t>【仅适用工程施工类采购】</w:t>
      </w:r>
      <w:r>
        <w:rPr>
          <w:rFonts w:hint="eastAsia" w:ascii="宋体" w:hAnsi="宋体" w:eastAsia="宋体" w:cs="宋体"/>
          <w:color w:val="auto"/>
          <w:kern w:val="2"/>
          <w:sz w:val="21"/>
          <w:highlight w:val="none"/>
          <w:lang w:val="en-US" w:eastAsia="zh-CN" w:bidi="ar-SA"/>
        </w:rPr>
        <w:t>在最近三年内有骗取中标或严重违约或重大工程质量问题的；</w:t>
      </w:r>
      <w:r>
        <w:rPr>
          <w:rFonts w:hint="eastAsia" w:ascii="宋体" w:hAnsi="宋体" w:cs="宋体"/>
          <w:color w:val="auto"/>
          <w:kern w:val="2"/>
          <w:sz w:val="21"/>
          <w:highlight w:val="none"/>
          <w:lang w:val="en-US" w:eastAsia="zh-CN" w:bidi="ar-SA"/>
        </w:rPr>
        <w:t>（注：以相关行业主管部门的行政处罚决定或司法机关出具的有关法律文书为准）</w:t>
      </w:r>
    </w:p>
    <w:p w14:paraId="116BEE5F">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（17）被</w:t>
      </w:r>
      <w:r>
        <w:rPr>
          <w:rFonts w:hint="eastAsia" w:ascii="宋体" w:hAnsi="宋体" w:cs="宋体"/>
          <w:color w:val="auto"/>
          <w:kern w:val="2"/>
          <w:sz w:val="21"/>
          <w:highlight w:val="none"/>
          <w:lang w:val="en-US" w:eastAsia="zh-CN" w:bidi="ar-SA"/>
        </w:rPr>
        <w:t>市场监督管理机关</w:t>
      </w:r>
      <w:r>
        <w:rPr>
          <w:rFonts w:hint="eastAsia" w:ascii="宋体" w:hAnsi="宋体" w:eastAsia="宋体" w:cs="宋体"/>
          <w:color w:val="auto"/>
          <w:kern w:val="2"/>
          <w:sz w:val="21"/>
          <w:highlight w:val="none"/>
          <w:lang w:val="en-US" w:eastAsia="zh-CN" w:bidi="ar-SA"/>
        </w:rPr>
        <w:t>在全国企业信用信息公示系统中列入严重违法失信企业名单；</w:t>
      </w:r>
    </w:p>
    <w:p w14:paraId="486F897A">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（18）在“中国执行信息公开网”网站（zxgk.court.gov.cn)列入失信被执行人名单；</w:t>
      </w:r>
    </w:p>
    <w:p w14:paraId="380CA8EB">
      <w:pPr>
        <w:keepNext w:val="0"/>
        <w:keepLines w:val="0"/>
        <w:pageBreakBefore w:val="0"/>
        <w:widowControl w:val="0"/>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（19）在近三年内</w:t>
      </w:r>
      <w:r>
        <w:rPr>
          <w:rFonts w:hint="eastAsia" w:ascii="宋体" w:hAnsi="宋体" w:cs="宋体"/>
          <w:color w:val="auto"/>
          <w:kern w:val="2"/>
          <w:sz w:val="21"/>
          <w:highlight w:val="none"/>
          <w:lang w:val="en-US" w:eastAsia="zh-CN" w:bidi="ar-SA"/>
        </w:rPr>
        <w:t>投标人</w:t>
      </w:r>
      <w:r>
        <w:rPr>
          <w:rFonts w:hint="eastAsia" w:ascii="宋体" w:hAnsi="宋体" w:eastAsia="宋体" w:cs="宋体"/>
          <w:color w:val="auto"/>
          <w:kern w:val="2"/>
          <w:sz w:val="21"/>
          <w:highlight w:val="none"/>
          <w:lang w:val="en-US" w:eastAsia="zh-CN" w:bidi="ar-SA"/>
        </w:rPr>
        <w:t>或其法定代表人、拟委任的项目负责人（如有）有行贿犯罪行为的；</w:t>
      </w:r>
      <w:r>
        <w:rPr>
          <w:rFonts w:hint="eastAsia" w:ascii="宋体" w:hAnsi="宋体" w:cs="宋体"/>
          <w:color w:val="auto"/>
          <w:kern w:val="2"/>
          <w:sz w:val="21"/>
          <w:highlight w:val="none"/>
          <w:lang w:val="en-US" w:eastAsia="zh-CN" w:bidi="ar-SA"/>
        </w:rPr>
        <w:t>（注：</w:t>
      </w:r>
      <w:r>
        <w:rPr>
          <w:rFonts w:hint="eastAsia" w:ascii="宋体" w:hAnsi="宋体" w:cs="宋体"/>
          <w:color w:val="auto"/>
          <w:kern w:val="2"/>
          <w:sz w:val="21"/>
          <w:highlight w:val="none"/>
          <w:shd w:val="clear" w:color="auto" w:fill="auto"/>
          <w:lang w:val="en-US" w:eastAsia="zh-CN" w:bidi="ar-SA"/>
        </w:rPr>
        <w:t>以</w:t>
      </w:r>
      <w:r>
        <w:rPr>
          <w:color w:val="auto"/>
          <w:highlight w:val="none"/>
        </w:rPr>
        <w:t>中国裁判文书网</w:t>
      </w:r>
      <w:r>
        <w:rPr>
          <w:rFonts w:hint="eastAsia"/>
          <w:color w:val="auto"/>
          <w:highlight w:val="none"/>
          <w:lang w:eastAsia="zh-CN"/>
        </w:rPr>
        <w:t>查询记录为准</w:t>
      </w:r>
      <w:r>
        <w:rPr>
          <w:rFonts w:hint="eastAsia" w:ascii="宋体" w:hAnsi="宋体" w:cs="宋体"/>
          <w:color w:val="auto"/>
          <w:kern w:val="2"/>
          <w:sz w:val="21"/>
          <w:highlight w:val="none"/>
          <w:lang w:val="en-US" w:eastAsia="zh-CN" w:bidi="ar-SA"/>
        </w:rPr>
        <w:t>）</w:t>
      </w:r>
    </w:p>
    <w:p w14:paraId="695AFC6A">
      <w:pPr>
        <w:pStyle w:val="23"/>
        <w:tabs>
          <w:tab w:val="left" w:pos="2127"/>
        </w:tabs>
        <w:kinsoku/>
        <w:overflowPunct/>
        <w:bidi w:val="0"/>
        <w:spacing w:line="360" w:lineRule="auto"/>
        <w:ind w:firstLine="315" w:firstLineChars="150"/>
        <w:textAlignment w:val="auto"/>
        <w:rPr>
          <w:rFonts w:hint="eastAsia" w:hAnsi="宋体"/>
          <w:color w:val="auto"/>
          <w:highlight w:val="none"/>
        </w:rPr>
      </w:pPr>
      <w:r>
        <w:rPr>
          <w:rFonts w:hint="eastAsia" w:ascii="宋体" w:hAnsi="宋体" w:eastAsia="宋体" w:cs="宋体"/>
          <w:color w:val="auto"/>
          <w:kern w:val="2"/>
          <w:sz w:val="21"/>
          <w:highlight w:val="none"/>
          <w:lang w:val="en-US" w:eastAsia="zh-CN" w:bidi="ar-SA"/>
        </w:rPr>
        <w:t>（20）法律法规规定的其他情形。</w:t>
      </w:r>
    </w:p>
    <w:p w14:paraId="6692F715">
      <w:pPr>
        <w:pStyle w:val="23"/>
        <w:tabs>
          <w:tab w:val="left" w:pos="2127"/>
        </w:tabs>
        <w:kinsoku/>
        <w:overflowPunct/>
        <w:bidi w:val="0"/>
        <w:spacing w:line="360" w:lineRule="auto"/>
        <w:textAlignment w:val="auto"/>
        <w:outlineLvl w:val="2"/>
        <w:rPr>
          <w:rFonts w:hAnsi="宋体"/>
          <w:b/>
          <w:color w:val="auto"/>
          <w:highlight w:val="none"/>
        </w:rPr>
      </w:pPr>
      <w:bookmarkStart w:id="220" w:name="_Toc21604"/>
      <w:bookmarkStart w:id="221" w:name="_Toc10107"/>
      <w:bookmarkStart w:id="222" w:name="_Toc9904"/>
      <w:bookmarkStart w:id="223" w:name="_Toc11255"/>
      <w:bookmarkStart w:id="224" w:name="_Toc15416"/>
      <w:bookmarkStart w:id="225" w:name="_Toc24848"/>
      <w:bookmarkStart w:id="226" w:name="_Toc12126"/>
      <w:bookmarkStart w:id="227" w:name="_Toc6843"/>
      <w:bookmarkStart w:id="228" w:name="_Toc27067"/>
      <w:bookmarkStart w:id="229" w:name="_Toc6510"/>
      <w:bookmarkStart w:id="230" w:name="_Toc6006"/>
      <w:bookmarkStart w:id="231" w:name="_Toc25388"/>
      <w:bookmarkStart w:id="232" w:name="_Toc3655"/>
      <w:bookmarkStart w:id="233" w:name="_Toc5981"/>
      <w:bookmarkStart w:id="234" w:name="_Toc23409"/>
      <w:bookmarkStart w:id="235" w:name="_Toc2036"/>
      <w:bookmarkStart w:id="236" w:name="_Toc12838"/>
      <w:bookmarkStart w:id="237" w:name="_Toc17020"/>
      <w:bookmarkStart w:id="238" w:name="_Toc12926"/>
      <w:bookmarkStart w:id="239" w:name="_Toc8355"/>
      <w:bookmarkStart w:id="240" w:name="_Toc6622"/>
      <w:bookmarkStart w:id="241" w:name="_Toc9964"/>
      <w:bookmarkStart w:id="242" w:name="_Toc22236"/>
      <w:bookmarkStart w:id="243" w:name="_Toc7792"/>
      <w:bookmarkStart w:id="244" w:name="_Toc18173"/>
      <w:bookmarkStart w:id="245" w:name="_Toc9197"/>
      <w:bookmarkStart w:id="246" w:name="_Toc21202"/>
      <w:bookmarkStart w:id="247" w:name="_Toc6142"/>
      <w:bookmarkStart w:id="248" w:name="_Toc6265"/>
      <w:bookmarkStart w:id="249" w:name="_Toc6648"/>
      <w:bookmarkStart w:id="250" w:name="_Toc16648"/>
      <w:bookmarkStart w:id="251" w:name="_Toc23755"/>
      <w:r>
        <w:rPr>
          <w:rFonts w:hint="eastAsia" w:hAnsi="宋体"/>
          <w:b/>
          <w:color w:val="auto"/>
          <w:highlight w:val="none"/>
        </w:rPr>
        <w:t>1.5 费用承担</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089F6D71">
      <w:pPr>
        <w:pStyle w:val="23"/>
        <w:tabs>
          <w:tab w:val="left" w:pos="2127"/>
        </w:tabs>
        <w:kinsoku/>
        <w:overflowPunct/>
        <w:bidi w:val="0"/>
        <w:spacing w:line="360" w:lineRule="auto"/>
        <w:ind w:firstLine="420" w:firstLineChars="200"/>
        <w:textAlignment w:val="auto"/>
        <w:rPr>
          <w:rFonts w:hAnsi="宋体"/>
          <w:color w:val="auto"/>
          <w:highlight w:val="none"/>
        </w:rPr>
      </w:pPr>
      <w:r>
        <w:rPr>
          <w:rFonts w:hint="eastAsia" w:hAnsi="宋体"/>
          <w:color w:val="auto"/>
          <w:highlight w:val="none"/>
        </w:rPr>
        <w:t>投标人准备和参加投标活动发生的费用自理。</w:t>
      </w:r>
    </w:p>
    <w:p w14:paraId="77F448B8">
      <w:pPr>
        <w:pStyle w:val="23"/>
        <w:tabs>
          <w:tab w:val="left" w:pos="2127"/>
        </w:tabs>
        <w:kinsoku/>
        <w:overflowPunct/>
        <w:bidi w:val="0"/>
        <w:spacing w:line="360" w:lineRule="auto"/>
        <w:textAlignment w:val="auto"/>
        <w:outlineLvl w:val="2"/>
        <w:rPr>
          <w:rFonts w:hAnsi="宋体"/>
          <w:b/>
          <w:color w:val="auto"/>
          <w:highlight w:val="none"/>
        </w:rPr>
      </w:pPr>
      <w:bookmarkStart w:id="252" w:name="_Toc9585"/>
      <w:bookmarkStart w:id="253" w:name="_Toc13104"/>
      <w:bookmarkStart w:id="254" w:name="_Toc25008"/>
      <w:bookmarkStart w:id="255" w:name="_Toc32695"/>
      <w:bookmarkStart w:id="256" w:name="_Toc30806"/>
      <w:bookmarkStart w:id="257" w:name="_Toc5565"/>
      <w:bookmarkStart w:id="258" w:name="_Toc5928"/>
      <w:bookmarkStart w:id="259" w:name="_Toc15324"/>
      <w:bookmarkStart w:id="260" w:name="_Toc12514"/>
      <w:bookmarkStart w:id="261" w:name="_Toc28507"/>
      <w:bookmarkStart w:id="262" w:name="_Toc482803075"/>
      <w:bookmarkStart w:id="263" w:name="_Toc7016"/>
      <w:bookmarkStart w:id="264" w:name="_Toc22388"/>
      <w:bookmarkStart w:id="265" w:name="_Toc6186"/>
      <w:bookmarkStart w:id="266" w:name="_Toc29196"/>
      <w:bookmarkStart w:id="267" w:name="_Toc28420"/>
      <w:bookmarkStart w:id="268" w:name="_Toc27437"/>
      <w:bookmarkStart w:id="269" w:name="_Toc11107"/>
      <w:bookmarkStart w:id="270" w:name="_Toc9596"/>
      <w:bookmarkStart w:id="271" w:name="_Toc15523"/>
      <w:bookmarkStart w:id="272" w:name="_Toc5278"/>
      <w:bookmarkStart w:id="273" w:name="_Toc16051"/>
      <w:bookmarkStart w:id="274" w:name="_Toc25097"/>
      <w:bookmarkStart w:id="275" w:name="_Toc25337"/>
      <w:bookmarkStart w:id="276" w:name="_Toc6372"/>
      <w:bookmarkStart w:id="277" w:name="_Toc26094"/>
      <w:bookmarkStart w:id="278" w:name="_Toc22338"/>
      <w:bookmarkStart w:id="279" w:name="_Toc6585"/>
      <w:bookmarkStart w:id="280" w:name="_Toc4993"/>
      <w:bookmarkStart w:id="281" w:name="_Toc11146"/>
      <w:bookmarkStart w:id="282" w:name="_Toc21294"/>
      <w:bookmarkStart w:id="283" w:name="_Toc26264"/>
      <w:bookmarkStart w:id="284" w:name="_Toc16171"/>
      <w:bookmarkStart w:id="285" w:name="_Toc27078"/>
      <w:bookmarkStart w:id="286" w:name="_Toc20000"/>
      <w:bookmarkStart w:id="287" w:name="_Toc7328"/>
      <w:bookmarkStart w:id="288" w:name="_Toc13740"/>
      <w:bookmarkStart w:id="289" w:name="_Toc27956"/>
      <w:bookmarkStart w:id="290" w:name="_Toc484792188"/>
      <w:bookmarkStart w:id="291" w:name="_Toc2441"/>
      <w:bookmarkStart w:id="292" w:name="_Toc14710"/>
      <w:bookmarkStart w:id="293" w:name="_Toc3661"/>
      <w:bookmarkStart w:id="294" w:name="_Toc6850"/>
      <w:bookmarkStart w:id="295" w:name="_Toc11132"/>
      <w:bookmarkStart w:id="296" w:name="_Toc9135"/>
      <w:bookmarkStart w:id="297" w:name="_Toc10777"/>
      <w:bookmarkStart w:id="298" w:name="_Toc1960"/>
      <w:bookmarkStart w:id="299" w:name="_Toc29441"/>
      <w:bookmarkStart w:id="300" w:name="_Toc16539"/>
      <w:r>
        <w:rPr>
          <w:rFonts w:hint="eastAsia" w:hAnsi="宋体"/>
          <w:b/>
          <w:color w:val="auto"/>
          <w:highlight w:val="none"/>
        </w:rPr>
        <w:t>1.6 保密</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6E961396">
      <w:pPr>
        <w:pStyle w:val="23"/>
        <w:tabs>
          <w:tab w:val="left" w:pos="2127"/>
        </w:tabs>
        <w:kinsoku/>
        <w:overflowPunct/>
        <w:bidi w:val="0"/>
        <w:spacing w:line="360" w:lineRule="auto"/>
        <w:ind w:firstLine="435"/>
        <w:textAlignment w:val="auto"/>
        <w:rPr>
          <w:rFonts w:hAnsi="宋体"/>
          <w:color w:val="auto"/>
          <w:highlight w:val="none"/>
        </w:rPr>
      </w:pPr>
      <w:r>
        <w:rPr>
          <w:rFonts w:hint="eastAsia" w:ascii="宋体" w:hAnsi="宋体" w:cs="宋体"/>
          <w:color w:val="auto"/>
          <w:kern w:val="0"/>
          <w:szCs w:val="21"/>
          <w:highlight w:val="none"/>
        </w:rPr>
        <w:t>参与招标投标活动</w:t>
      </w:r>
      <w:r>
        <w:rPr>
          <w:rFonts w:hint="eastAsia" w:ascii="宋体" w:hAnsi="宋体" w:cs="宋体"/>
          <w:color w:val="auto"/>
          <w:spacing w:val="-2"/>
          <w:kern w:val="0"/>
          <w:szCs w:val="21"/>
          <w:highlight w:val="none"/>
        </w:rPr>
        <w:t>的</w:t>
      </w:r>
      <w:r>
        <w:rPr>
          <w:rFonts w:hint="eastAsia" w:ascii="宋体" w:hAnsi="宋体" w:cs="宋体"/>
          <w:color w:val="auto"/>
          <w:kern w:val="0"/>
          <w:szCs w:val="21"/>
          <w:highlight w:val="none"/>
        </w:rPr>
        <w:t>各</w:t>
      </w:r>
      <w:r>
        <w:rPr>
          <w:rFonts w:hint="eastAsia" w:ascii="宋体" w:hAnsi="宋体" w:cs="宋体"/>
          <w:color w:val="auto"/>
          <w:spacing w:val="-2"/>
          <w:kern w:val="0"/>
          <w:szCs w:val="21"/>
          <w:highlight w:val="none"/>
        </w:rPr>
        <w:t>方</w:t>
      </w:r>
      <w:r>
        <w:rPr>
          <w:rFonts w:hint="eastAsia" w:ascii="宋体" w:hAnsi="宋体" w:cs="宋体"/>
          <w:color w:val="auto"/>
          <w:kern w:val="0"/>
          <w:szCs w:val="21"/>
          <w:highlight w:val="none"/>
        </w:rPr>
        <w:t>应对招标文件和投</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文</w:t>
      </w:r>
      <w:r>
        <w:rPr>
          <w:rFonts w:hint="eastAsia" w:ascii="宋体" w:hAnsi="宋体" w:cs="宋体"/>
          <w:color w:val="auto"/>
          <w:spacing w:val="-2"/>
          <w:kern w:val="0"/>
          <w:szCs w:val="21"/>
          <w:highlight w:val="none"/>
        </w:rPr>
        <w:t>件</w:t>
      </w:r>
      <w:r>
        <w:rPr>
          <w:rFonts w:hint="eastAsia" w:ascii="宋体" w:hAnsi="宋体" w:cs="宋体"/>
          <w:color w:val="auto"/>
          <w:kern w:val="0"/>
          <w:szCs w:val="21"/>
          <w:highlight w:val="none"/>
        </w:rPr>
        <w:t>中的商业和技术等</w:t>
      </w:r>
      <w:r>
        <w:rPr>
          <w:rFonts w:hint="eastAsia" w:ascii="宋体" w:hAnsi="宋体" w:cs="宋体"/>
          <w:color w:val="auto"/>
          <w:spacing w:val="-2"/>
          <w:kern w:val="0"/>
          <w:szCs w:val="21"/>
          <w:highlight w:val="none"/>
        </w:rPr>
        <w:t>秘</w:t>
      </w:r>
      <w:r>
        <w:rPr>
          <w:rFonts w:hint="eastAsia" w:ascii="宋体" w:hAnsi="宋体" w:cs="宋体"/>
          <w:color w:val="auto"/>
          <w:kern w:val="0"/>
          <w:szCs w:val="21"/>
          <w:highlight w:val="none"/>
        </w:rPr>
        <w:t>密</w:t>
      </w:r>
      <w:r>
        <w:rPr>
          <w:rFonts w:hint="eastAsia" w:ascii="宋体" w:hAnsi="宋体" w:cs="宋体"/>
          <w:color w:val="auto"/>
          <w:spacing w:val="-2"/>
          <w:kern w:val="0"/>
          <w:szCs w:val="21"/>
          <w:highlight w:val="none"/>
        </w:rPr>
        <w:t>保</w:t>
      </w:r>
      <w:r>
        <w:rPr>
          <w:rFonts w:hint="eastAsia" w:ascii="宋体" w:hAnsi="宋体" w:cs="宋体"/>
          <w:color w:val="auto"/>
          <w:kern w:val="0"/>
          <w:szCs w:val="21"/>
          <w:highlight w:val="none"/>
        </w:rPr>
        <w:t>密，否则应承担相</w:t>
      </w:r>
      <w:r>
        <w:rPr>
          <w:rFonts w:hint="eastAsia" w:ascii="宋体" w:hAnsi="宋体" w:cs="宋体"/>
          <w:color w:val="auto"/>
          <w:spacing w:val="-2"/>
          <w:kern w:val="0"/>
          <w:szCs w:val="21"/>
          <w:highlight w:val="none"/>
        </w:rPr>
        <w:t>应</w:t>
      </w:r>
      <w:r>
        <w:rPr>
          <w:rFonts w:hint="eastAsia" w:ascii="宋体" w:hAnsi="宋体" w:cs="宋体"/>
          <w:color w:val="auto"/>
          <w:kern w:val="0"/>
          <w:szCs w:val="21"/>
          <w:highlight w:val="none"/>
        </w:rPr>
        <w:t>的</w:t>
      </w:r>
      <w:r>
        <w:rPr>
          <w:rFonts w:hint="eastAsia" w:ascii="宋体" w:hAnsi="宋体" w:cs="宋体"/>
          <w:color w:val="auto"/>
          <w:spacing w:val="-2"/>
          <w:kern w:val="0"/>
          <w:szCs w:val="21"/>
          <w:highlight w:val="none"/>
        </w:rPr>
        <w:t>法</w:t>
      </w:r>
      <w:r>
        <w:rPr>
          <w:rFonts w:hint="eastAsia" w:ascii="宋体" w:hAnsi="宋体" w:cs="宋体"/>
          <w:color w:val="auto"/>
          <w:kern w:val="0"/>
          <w:szCs w:val="21"/>
          <w:highlight w:val="none"/>
        </w:rPr>
        <w:t>律</w:t>
      </w:r>
      <w:r>
        <w:rPr>
          <w:rFonts w:hint="eastAsia" w:ascii="宋体" w:hAnsi="宋体" w:cs="宋体"/>
          <w:color w:val="auto"/>
          <w:spacing w:val="-2"/>
          <w:kern w:val="0"/>
          <w:szCs w:val="21"/>
          <w:highlight w:val="none"/>
        </w:rPr>
        <w:t>责</w:t>
      </w:r>
      <w:r>
        <w:rPr>
          <w:rFonts w:hint="eastAsia" w:ascii="宋体" w:hAnsi="宋体" w:cs="宋体"/>
          <w:color w:val="auto"/>
          <w:kern w:val="0"/>
          <w:szCs w:val="21"/>
          <w:highlight w:val="none"/>
        </w:rPr>
        <w:t>任</w:t>
      </w:r>
      <w:r>
        <w:rPr>
          <w:rFonts w:hint="eastAsia" w:hAnsi="宋体"/>
          <w:color w:val="auto"/>
          <w:highlight w:val="none"/>
        </w:rPr>
        <w:t>。</w:t>
      </w:r>
    </w:p>
    <w:p w14:paraId="5AE61843">
      <w:pPr>
        <w:pStyle w:val="23"/>
        <w:tabs>
          <w:tab w:val="left" w:pos="2127"/>
        </w:tabs>
        <w:kinsoku/>
        <w:overflowPunct/>
        <w:bidi w:val="0"/>
        <w:spacing w:line="360" w:lineRule="auto"/>
        <w:textAlignment w:val="auto"/>
        <w:outlineLvl w:val="2"/>
        <w:rPr>
          <w:rFonts w:hAnsi="宋体"/>
          <w:b/>
          <w:color w:val="auto"/>
          <w:highlight w:val="none"/>
        </w:rPr>
      </w:pPr>
      <w:bookmarkStart w:id="301" w:name="_Toc10833"/>
      <w:bookmarkStart w:id="302" w:name="_Toc26752"/>
      <w:bookmarkStart w:id="303" w:name="_Toc2140"/>
      <w:bookmarkStart w:id="304" w:name="_Toc27917"/>
      <w:bookmarkStart w:id="305" w:name="_Toc24165"/>
      <w:bookmarkStart w:id="306" w:name="_Toc5801"/>
      <w:bookmarkStart w:id="307" w:name="_Toc8388"/>
      <w:bookmarkStart w:id="308" w:name="_Toc31833"/>
      <w:bookmarkStart w:id="309" w:name="_Toc31114"/>
      <w:bookmarkStart w:id="310" w:name="_Toc21415"/>
      <w:bookmarkStart w:id="311" w:name="_Toc9458"/>
      <w:bookmarkStart w:id="312" w:name="_Toc1675"/>
      <w:bookmarkStart w:id="313" w:name="_Toc6482"/>
      <w:bookmarkStart w:id="314" w:name="_Toc18701"/>
      <w:bookmarkStart w:id="315" w:name="_Toc7932"/>
      <w:bookmarkStart w:id="316" w:name="_Toc9922"/>
      <w:bookmarkStart w:id="317" w:name="_Toc24250"/>
      <w:bookmarkStart w:id="318" w:name="_Toc16233"/>
      <w:bookmarkStart w:id="319" w:name="_Toc17076"/>
      <w:bookmarkStart w:id="320" w:name="_Toc15081"/>
      <w:bookmarkStart w:id="321" w:name="_Toc7225"/>
      <w:bookmarkStart w:id="322" w:name="_Toc24428"/>
      <w:bookmarkStart w:id="323" w:name="_Toc11913"/>
      <w:bookmarkStart w:id="324" w:name="_Toc15287"/>
      <w:bookmarkStart w:id="325" w:name="_Toc32007"/>
      <w:bookmarkStart w:id="326" w:name="_Toc5193"/>
      <w:bookmarkStart w:id="327" w:name="_Toc484792189"/>
      <w:bookmarkStart w:id="328" w:name="_Toc3364"/>
      <w:bookmarkStart w:id="329" w:name="_Toc30771"/>
      <w:bookmarkStart w:id="330" w:name="_Toc9973"/>
      <w:bookmarkStart w:id="331" w:name="_Toc7108"/>
      <w:bookmarkStart w:id="332" w:name="_Toc3872"/>
      <w:bookmarkStart w:id="333" w:name="_Toc15293"/>
      <w:bookmarkStart w:id="334" w:name="_Toc28907"/>
      <w:bookmarkStart w:id="335" w:name="_Toc9483"/>
      <w:bookmarkStart w:id="336" w:name="_Toc17746"/>
      <w:bookmarkStart w:id="337" w:name="_Toc7110"/>
      <w:bookmarkStart w:id="338" w:name="_Toc17606"/>
      <w:bookmarkStart w:id="339" w:name="_Toc25412"/>
      <w:bookmarkStart w:id="340" w:name="_Toc482803076"/>
      <w:bookmarkStart w:id="341" w:name="_Toc28485"/>
      <w:bookmarkStart w:id="342" w:name="_Toc7720"/>
      <w:bookmarkStart w:id="343" w:name="_Toc7022"/>
      <w:bookmarkStart w:id="344" w:name="_Toc30364"/>
      <w:bookmarkStart w:id="345" w:name="_Toc27386"/>
      <w:bookmarkStart w:id="346" w:name="_Toc19350"/>
      <w:bookmarkStart w:id="347" w:name="_Toc22355"/>
      <w:bookmarkStart w:id="348" w:name="_Toc1323"/>
      <w:bookmarkStart w:id="349" w:name="_Toc16199"/>
      <w:r>
        <w:rPr>
          <w:rFonts w:hint="eastAsia" w:hAnsi="宋体"/>
          <w:b/>
          <w:color w:val="auto"/>
          <w:highlight w:val="none"/>
        </w:rPr>
        <w:t>1.7 语言文字</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6C9BCCFF">
      <w:pPr>
        <w:pStyle w:val="23"/>
        <w:tabs>
          <w:tab w:val="left" w:pos="2127"/>
        </w:tabs>
        <w:kinsoku/>
        <w:overflowPunct/>
        <w:bidi w:val="0"/>
        <w:spacing w:line="360" w:lineRule="auto"/>
        <w:textAlignment w:val="auto"/>
        <w:rPr>
          <w:rFonts w:hAnsi="宋体"/>
          <w:b/>
          <w:color w:val="auto"/>
          <w:highlight w:val="none"/>
        </w:rPr>
      </w:pPr>
      <w:r>
        <w:rPr>
          <w:rFonts w:hint="eastAsia" w:hAnsi="宋体"/>
          <w:b/>
          <w:color w:val="auto"/>
          <w:highlight w:val="none"/>
        </w:rPr>
        <w:t xml:space="preserve">    </w:t>
      </w:r>
      <w:r>
        <w:rPr>
          <w:rFonts w:hint="eastAsia" w:ascii="宋体" w:hAnsi="宋体" w:cs="宋体"/>
          <w:color w:val="auto"/>
          <w:kern w:val="0"/>
          <w:szCs w:val="21"/>
          <w:highlight w:val="none"/>
        </w:rPr>
        <w:t>招标</w:t>
      </w:r>
      <w:r>
        <w:rPr>
          <w:rFonts w:hint="eastAsia" w:ascii="宋体" w:hAnsi="宋体" w:cs="宋体"/>
          <w:color w:val="auto"/>
          <w:spacing w:val="-2"/>
          <w:kern w:val="0"/>
          <w:szCs w:val="21"/>
          <w:highlight w:val="none"/>
        </w:rPr>
        <w:t>投</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文</w:t>
      </w:r>
      <w:r>
        <w:rPr>
          <w:rFonts w:hint="eastAsia" w:ascii="宋体" w:hAnsi="宋体" w:cs="宋体"/>
          <w:color w:val="auto"/>
          <w:kern w:val="0"/>
          <w:szCs w:val="21"/>
          <w:highlight w:val="none"/>
        </w:rPr>
        <w:t>件</w:t>
      </w:r>
      <w:r>
        <w:rPr>
          <w:rFonts w:hint="eastAsia" w:ascii="宋体" w:hAnsi="宋体" w:cs="宋体"/>
          <w:color w:val="auto"/>
          <w:spacing w:val="-2"/>
          <w:kern w:val="0"/>
          <w:szCs w:val="21"/>
          <w:highlight w:val="none"/>
        </w:rPr>
        <w:t>使</w:t>
      </w:r>
      <w:r>
        <w:rPr>
          <w:rFonts w:hint="eastAsia" w:ascii="宋体" w:hAnsi="宋体" w:cs="宋体"/>
          <w:color w:val="auto"/>
          <w:kern w:val="0"/>
          <w:szCs w:val="21"/>
          <w:highlight w:val="none"/>
        </w:rPr>
        <w:t>用</w:t>
      </w:r>
      <w:r>
        <w:rPr>
          <w:rFonts w:hint="eastAsia" w:ascii="宋体" w:hAnsi="宋体" w:cs="宋体"/>
          <w:color w:val="auto"/>
          <w:spacing w:val="-2"/>
          <w:kern w:val="0"/>
          <w:szCs w:val="21"/>
          <w:highlight w:val="none"/>
        </w:rPr>
        <w:t>的</w:t>
      </w:r>
      <w:r>
        <w:rPr>
          <w:rFonts w:hint="eastAsia" w:ascii="宋体" w:hAnsi="宋体" w:cs="宋体"/>
          <w:color w:val="auto"/>
          <w:kern w:val="0"/>
          <w:szCs w:val="21"/>
          <w:highlight w:val="none"/>
        </w:rPr>
        <w:t>语</w:t>
      </w:r>
      <w:r>
        <w:rPr>
          <w:rFonts w:hint="eastAsia" w:ascii="宋体" w:hAnsi="宋体" w:cs="宋体"/>
          <w:color w:val="auto"/>
          <w:spacing w:val="-2"/>
          <w:kern w:val="0"/>
          <w:szCs w:val="21"/>
          <w:highlight w:val="none"/>
        </w:rPr>
        <w:t>言</w:t>
      </w:r>
      <w:r>
        <w:rPr>
          <w:rFonts w:hint="eastAsia" w:ascii="宋体" w:hAnsi="宋体" w:cs="宋体"/>
          <w:color w:val="auto"/>
          <w:kern w:val="0"/>
          <w:szCs w:val="21"/>
          <w:highlight w:val="none"/>
        </w:rPr>
        <w:t>文字</w:t>
      </w:r>
      <w:r>
        <w:rPr>
          <w:rFonts w:hint="eastAsia" w:ascii="宋体" w:hAnsi="宋体" w:cs="宋体"/>
          <w:color w:val="auto"/>
          <w:spacing w:val="-2"/>
          <w:kern w:val="0"/>
          <w:szCs w:val="21"/>
          <w:highlight w:val="none"/>
        </w:rPr>
        <w:t>为</w:t>
      </w:r>
      <w:r>
        <w:rPr>
          <w:rFonts w:hint="eastAsia" w:ascii="宋体" w:hAnsi="宋体" w:cs="宋体"/>
          <w:color w:val="auto"/>
          <w:kern w:val="0"/>
          <w:szCs w:val="21"/>
          <w:highlight w:val="none"/>
        </w:rPr>
        <w:t>中</w:t>
      </w:r>
      <w:r>
        <w:rPr>
          <w:rFonts w:hint="eastAsia" w:ascii="宋体" w:hAnsi="宋体" w:cs="宋体"/>
          <w:color w:val="auto"/>
          <w:spacing w:val="-2"/>
          <w:kern w:val="0"/>
          <w:szCs w:val="21"/>
          <w:highlight w:val="none"/>
        </w:rPr>
        <w:t>文</w:t>
      </w:r>
      <w:r>
        <w:rPr>
          <w:rFonts w:hint="eastAsia" w:ascii="宋体" w:hAnsi="宋体" w:cs="宋体"/>
          <w:color w:val="auto"/>
          <w:kern w:val="0"/>
          <w:szCs w:val="21"/>
          <w:highlight w:val="none"/>
        </w:rPr>
        <w:t>。</w:t>
      </w:r>
      <w:r>
        <w:rPr>
          <w:rFonts w:hint="eastAsia" w:ascii="宋体" w:hAnsi="宋体" w:cs="宋体"/>
          <w:color w:val="auto"/>
          <w:spacing w:val="-2"/>
          <w:kern w:val="0"/>
          <w:szCs w:val="21"/>
          <w:highlight w:val="none"/>
        </w:rPr>
        <w:t>专</w:t>
      </w:r>
      <w:r>
        <w:rPr>
          <w:rFonts w:hint="eastAsia" w:ascii="宋体" w:hAnsi="宋体" w:cs="宋体"/>
          <w:color w:val="auto"/>
          <w:kern w:val="0"/>
          <w:szCs w:val="21"/>
          <w:highlight w:val="none"/>
        </w:rPr>
        <w:t>用</w:t>
      </w:r>
      <w:r>
        <w:rPr>
          <w:rFonts w:hint="eastAsia" w:ascii="宋体" w:hAnsi="宋体" w:cs="宋体"/>
          <w:color w:val="auto"/>
          <w:spacing w:val="-2"/>
          <w:kern w:val="0"/>
          <w:szCs w:val="21"/>
          <w:highlight w:val="none"/>
        </w:rPr>
        <w:t>术</w:t>
      </w:r>
      <w:r>
        <w:rPr>
          <w:rFonts w:hint="eastAsia" w:ascii="宋体" w:hAnsi="宋体" w:cs="宋体"/>
          <w:color w:val="auto"/>
          <w:kern w:val="0"/>
          <w:szCs w:val="21"/>
          <w:highlight w:val="none"/>
        </w:rPr>
        <w:t>语</w:t>
      </w:r>
      <w:r>
        <w:rPr>
          <w:rFonts w:hint="eastAsia" w:ascii="宋体" w:hAnsi="宋体" w:cs="宋体"/>
          <w:color w:val="auto"/>
          <w:spacing w:val="-2"/>
          <w:kern w:val="0"/>
          <w:szCs w:val="21"/>
          <w:highlight w:val="none"/>
        </w:rPr>
        <w:t>使</w:t>
      </w:r>
      <w:r>
        <w:rPr>
          <w:rFonts w:hint="eastAsia" w:ascii="宋体" w:hAnsi="宋体" w:cs="宋体"/>
          <w:color w:val="auto"/>
          <w:kern w:val="0"/>
          <w:szCs w:val="21"/>
          <w:highlight w:val="none"/>
        </w:rPr>
        <w:t>用外</w:t>
      </w:r>
      <w:r>
        <w:rPr>
          <w:rFonts w:hint="eastAsia" w:ascii="宋体" w:hAnsi="宋体" w:cs="宋体"/>
          <w:color w:val="auto"/>
          <w:spacing w:val="-2"/>
          <w:kern w:val="0"/>
          <w:szCs w:val="21"/>
          <w:highlight w:val="none"/>
        </w:rPr>
        <w:t>文</w:t>
      </w:r>
      <w:r>
        <w:rPr>
          <w:rFonts w:hint="eastAsia" w:ascii="宋体" w:hAnsi="宋体" w:cs="宋体"/>
          <w:color w:val="auto"/>
          <w:kern w:val="0"/>
          <w:szCs w:val="21"/>
          <w:highlight w:val="none"/>
        </w:rPr>
        <w:t>的</w:t>
      </w:r>
      <w:r>
        <w:rPr>
          <w:rFonts w:hint="eastAsia" w:ascii="宋体" w:hAnsi="宋体" w:cs="宋体"/>
          <w:color w:val="auto"/>
          <w:spacing w:val="-2"/>
          <w:kern w:val="0"/>
          <w:szCs w:val="21"/>
          <w:highlight w:val="none"/>
        </w:rPr>
        <w:t>，</w:t>
      </w:r>
      <w:r>
        <w:rPr>
          <w:rFonts w:hint="eastAsia" w:ascii="宋体" w:hAnsi="宋体" w:cs="宋体"/>
          <w:color w:val="auto"/>
          <w:kern w:val="0"/>
          <w:szCs w:val="21"/>
          <w:highlight w:val="none"/>
        </w:rPr>
        <w:t>应</w:t>
      </w:r>
      <w:r>
        <w:rPr>
          <w:rFonts w:hint="eastAsia" w:ascii="宋体" w:hAnsi="宋体" w:cs="宋体"/>
          <w:color w:val="auto"/>
          <w:spacing w:val="-2"/>
          <w:kern w:val="0"/>
          <w:szCs w:val="21"/>
          <w:highlight w:val="none"/>
        </w:rPr>
        <w:t>附</w:t>
      </w:r>
      <w:r>
        <w:rPr>
          <w:rFonts w:hint="eastAsia" w:ascii="宋体" w:hAnsi="宋体" w:cs="宋体"/>
          <w:color w:val="auto"/>
          <w:kern w:val="0"/>
          <w:szCs w:val="21"/>
          <w:highlight w:val="none"/>
        </w:rPr>
        <w:t>有</w:t>
      </w:r>
      <w:r>
        <w:rPr>
          <w:rFonts w:hint="eastAsia" w:ascii="宋体" w:hAnsi="宋体" w:cs="宋体"/>
          <w:color w:val="auto"/>
          <w:spacing w:val="-2"/>
          <w:kern w:val="0"/>
          <w:szCs w:val="21"/>
          <w:highlight w:val="none"/>
        </w:rPr>
        <w:t>中</w:t>
      </w:r>
      <w:r>
        <w:rPr>
          <w:rFonts w:hint="eastAsia" w:ascii="宋体" w:hAnsi="宋体" w:cs="宋体"/>
          <w:color w:val="auto"/>
          <w:kern w:val="0"/>
          <w:szCs w:val="21"/>
          <w:highlight w:val="none"/>
        </w:rPr>
        <w:t>文</w:t>
      </w:r>
      <w:r>
        <w:rPr>
          <w:rFonts w:hint="eastAsia" w:ascii="宋体" w:hAnsi="宋体" w:cs="宋体"/>
          <w:color w:val="auto"/>
          <w:spacing w:val="-2"/>
          <w:kern w:val="0"/>
          <w:szCs w:val="21"/>
          <w:highlight w:val="none"/>
        </w:rPr>
        <w:t>注</w:t>
      </w:r>
      <w:r>
        <w:rPr>
          <w:rFonts w:hint="eastAsia" w:ascii="宋体" w:hAnsi="宋体" w:cs="宋体"/>
          <w:color w:val="auto"/>
          <w:kern w:val="0"/>
          <w:szCs w:val="21"/>
          <w:highlight w:val="none"/>
        </w:rPr>
        <w:t>释</w:t>
      </w:r>
      <w:r>
        <w:rPr>
          <w:rFonts w:hint="eastAsia" w:hAnsi="宋体"/>
          <w:color w:val="auto"/>
          <w:highlight w:val="none"/>
        </w:rPr>
        <w:t>。</w:t>
      </w:r>
    </w:p>
    <w:p w14:paraId="0208C6A1">
      <w:pPr>
        <w:pStyle w:val="23"/>
        <w:tabs>
          <w:tab w:val="left" w:pos="2127"/>
        </w:tabs>
        <w:kinsoku/>
        <w:overflowPunct/>
        <w:bidi w:val="0"/>
        <w:spacing w:line="360" w:lineRule="auto"/>
        <w:textAlignment w:val="auto"/>
        <w:outlineLvl w:val="2"/>
        <w:rPr>
          <w:rFonts w:hAnsi="宋体"/>
          <w:b/>
          <w:color w:val="auto"/>
          <w:highlight w:val="none"/>
        </w:rPr>
      </w:pPr>
      <w:bookmarkStart w:id="350" w:name="_Toc31905"/>
      <w:bookmarkStart w:id="351" w:name="_Toc15623"/>
      <w:bookmarkStart w:id="352" w:name="_Toc3282"/>
      <w:bookmarkStart w:id="353" w:name="_Toc5636"/>
      <w:bookmarkStart w:id="354" w:name="_Toc19414"/>
      <w:bookmarkStart w:id="355" w:name="_Toc25825"/>
      <w:bookmarkStart w:id="356" w:name="_Toc16886"/>
      <w:bookmarkStart w:id="357" w:name="_Toc331"/>
      <w:bookmarkStart w:id="358" w:name="_Toc26944"/>
      <w:bookmarkStart w:id="359" w:name="_Toc17788"/>
      <w:bookmarkStart w:id="360" w:name="_Toc482803077"/>
      <w:bookmarkStart w:id="361" w:name="_Toc6253"/>
      <w:bookmarkStart w:id="362" w:name="_Toc8330"/>
      <w:bookmarkStart w:id="363" w:name="_Toc3555"/>
      <w:bookmarkStart w:id="364" w:name="_Toc26718"/>
      <w:bookmarkStart w:id="365" w:name="_Toc16388"/>
      <w:bookmarkStart w:id="366" w:name="_Toc1146"/>
      <w:bookmarkStart w:id="367" w:name="_Toc25143"/>
      <w:bookmarkStart w:id="368" w:name="_Toc5744"/>
      <w:bookmarkStart w:id="369" w:name="_Toc24597"/>
      <w:bookmarkStart w:id="370" w:name="_Toc19663"/>
      <w:bookmarkStart w:id="371" w:name="_Toc10201"/>
      <w:bookmarkStart w:id="372" w:name="_Toc30800"/>
      <w:bookmarkStart w:id="373" w:name="_Toc6595"/>
      <w:bookmarkStart w:id="374" w:name="_Toc25570"/>
      <w:bookmarkStart w:id="375" w:name="_Toc17298"/>
      <w:bookmarkStart w:id="376" w:name="_Toc3610"/>
      <w:bookmarkStart w:id="377" w:name="_Toc22904"/>
      <w:bookmarkStart w:id="378" w:name="_Toc10578"/>
      <w:bookmarkStart w:id="379" w:name="_Toc21060"/>
      <w:bookmarkStart w:id="380" w:name="_Toc25268"/>
      <w:bookmarkStart w:id="381" w:name="_Toc29602"/>
      <w:bookmarkStart w:id="382" w:name="_Toc1845"/>
      <w:bookmarkStart w:id="383" w:name="_Toc484792190"/>
      <w:bookmarkStart w:id="384" w:name="_Toc1243"/>
      <w:bookmarkStart w:id="385" w:name="_Toc22394"/>
      <w:bookmarkStart w:id="386" w:name="_Toc12225"/>
      <w:bookmarkStart w:id="387" w:name="_Toc15439"/>
      <w:bookmarkStart w:id="388" w:name="_Toc825"/>
      <w:bookmarkStart w:id="389" w:name="_Toc5858"/>
      <w:bookmarkStart w:id="390" w:name="_Toc13518"/>
      <w:bookmarkStart w:id="391" w:name="_Toc19001"/>
      <w:bookmarkStart w:id="392" w:name="_Toc310"/>
      <w:bookmarkStart w:id="393" w:name="_Toc22042"/>
      <w:bookmarkStart w:id="394" w:name="_Toc26068"/>
      <w:bookmarkStart w:id="395" w:name="_Toc26018"/>
      <w:bookmarkStart w:id="396" w:name="_Toc4308"/>
      <w:bookmarkStart w:id="397" w:name="_Toc19285"/>
      <w:bookmarkStart w:id="398" w:name="_Toc17448"/>
      <w:r>
        <w:rPr>
          <w:rFonts w:hint="eastAsia" w:hAnsi="宋体"/>
          <w:b/>
          <w:color w:val="auto"/>
          <w:highlight w:val="none"/>
        </w:rPr>
        <w:t>1.8 计量单位</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0EA01EED">
      <w:pPr>
        <w:pStyle w:val="23"/>
        <w:tabs>
          <w:tab w:val="left" w:pos="2127"/>
        </w:tabs>
        <w:kinsoku/>
        <w:overflowPunct/>
        <w:bidi w:val="0"/>
        <w:spacing w:line="360" w:lineRule="auto"/>
        <w:textAlignment w:val="auto"/>
        <w:rPr>
          <w:rFonts w:hAnsi="宋体"/>
          <w:color w:val="auto"/>
          <w:highlight w:val="none"/>
        </w:rPr>
      </w:pPr>
      <w:r>
        <w:rPr>
          <w:rFonts w:hint="eastAsia" w:hAnsi="宋体"/>
          <w:b/>
          <w:color w:val="auto"/>
          <w:highlight w:val="none"/>
        </w:rPr>
        <w:t xml:space="preserve">   </w:t>
      </w:r>
      <w:r>
        <w:rPr>
          <w:rFonts w:hint="eastAsia" w:hAnsi="宋体"/>
          <w:color w:val="auto"/>
          <w:highlight w:val="none"/>
        </w:rPr>
        <w:t xml:space="preserve"> 所有计量单位均采用中华人民共和国法定计量单位。</w:t>
      </w:r>
    </w:p>
    <w:p w14:paraId="5ABECA7D">
      <w:pPr>
        <w:tabs>
          <w:tab w:val="left" w:pos="2127"/>
        </w:tabs>
        <w:kinsoku/>
        <w:wordWrap/>
        <w:overflowPunct/>
        <w:topLinePunct w:val="0"/>
        <w:autoSpaceDE/>
        <w:autoSpaceDN/>
        <w:bidi w:val="0"/>
        <w:adjustRightInd/>
        <w:snapToGrid/>
        <w:spacing w:line="312" w:lineRule="auto"/>
        <w:ind w:left="0" w:leftChars="0"/>
        <w:textAlignment w:val="auto"/>
        <w:outlineLvl w:val="2"/>
        <w:rPr>
          <w:rFonts w:hint="eastAsia" w:ascii="宋体" w:hAnsi="宋体" w:eastAsia="宋体" w:cs="宋体"/>
          <w:b/>
          <w:color w:val="auto"/>
          <w:highlight w:val="none"/>
        </w:rPr>
      </w:pPr>
      <w:bookmarkStart w:id="399" w:name="_Toc14634"/>
      <w:bookmarkStart w:id="400" w:name="_Toc26563"/>
      <w:bookmarkStart w:id="401" w:name="_Toc8928"/>
      <w:bookmarkStart w:id="402" w:name="_Toc22079"/>
      <w:bookmarkStart w:id="403" w:name="_Toc29032"/>
      <w:bookmarkStart w:id="404" w:name="_Toc32371"/>
      <w:bookmarkStart w:id="405" w:name="_Toc7522"/>
      <w:bookmarkStart w:id="406" w:name="_Toc26474"/>
      <w:bookmarkStart w:id="407" w:name="_Toc28977"/>
      <w:bookmarkStart w:id="408" w:name="_Toc25700"/>
      <w:bookmarkStart w:id="409" w:name="_Toc10310"/>
      <w:bookmarkStart w:id="410" w:name="_Toc31602"/>
      <w:bookmarkStart w:id="411" w:name="_Toc482803078"/>
      <w:bookmarkStart w:id="412" w:name="_Toc27539"/>
      <w:bookmarkStart w:id="413" w:name="_Toc13024"/>
      <w:bookmarkStart w:id="414" w:name="_Toc5496"/>
      <w:bookmarkStart w:id="415" w:name="_Toc484792191"/>
      <w:bookmarkStart w:id="416" w:name="_Toc11679"/>
      <w:bookmarkStart w:id="417" w:name="_Toc5678"/>
      <w:bookmarkStart w:id="418" w:name="_Toc9415"/>
      <w:bookmarkStart w:id="419" w:name="_Toc24000"/>
      <w:bookmarkStart w:id="420" w:name="_Toc22005"/>
      <w:bookmarkStart w:id="421" w:name="_Toc19893"/>
      <w:bookmarkStart w:id="422" w:name="_Toc4114"/>
      <w:bookmarkStart w:id="423" w:name="_Toc8935"/>
      <w:bookmarkStart w:id="424" w:name="_Toc967"/>
      <w:bookmarkStart w:id="425" w:name="_Toc293"/>
      <w:bookmarkStart w:id="426" w:name="_Toc32752"/>
      <w:bookmarkStart w:id="427" w:name="_Toc13247"/>
      <w:bookmarkStart w:id="428" w:name="_Toc23676"/>
      <w:bookmarkStart w:id="429" w:name="_Toc16697"/>
      <w:bookmarkStart w:id="430" w:name="_Toc17306"/>
      <w:bookmarkStart w:id="431" w:name="_Toc32622"/>
      <w:bookmarkStart w:id="432" w:name="_Toc8565"/>
      <w:bookmarkStart w:id="433" w:name="_Toc25901"/>
      <w:bookmarkStart w:id="434" w:name="_Toc3747"/>
      <w:bookmarkStart w:id="435" w:name="_Toc13098"/>
      <w:bookmarkStart w:id="436" w:name="_Toc29853"/>
      <w:bookmarkStart w:id="437" w:name="_Toc15188"/>
      <w:bookmarkStart w:id="438" w:name="_Toc15317"/>
      <w:bookmarkStart w:id="439" w:name="_Toc14950"/>
      <w:bookmarkStart w:id="440" w:name="_Toc20921"/>
      <w:bookmarkStart w:id="441" w:name="_Toc18502"/>
      <w:bookmarkStart w:id="442" w:name="_Toc20850"/>
      <w:bookmarkStart w:id="443" w:name="_Toc3174"/>
      <w:bookmarkStart w:id="444" w:name="_Toc23724"/>
      <w:bookmarkStart w:id="445" w:name="_Toc18563"/>
      <w:bookmarkStart w:id="446" w:name="_Toc10557"/>
      <w:bookmarkStart w:id="447" w:name="_Toc5990"/>
      <w:r>
        <w:rPr>
          <w:rFonts w:hint="eastAsia" w:ascii="宋体" w:hAnsi="宋体" w:eastAsia="宋体" w:cs="宋体"/>
          <w:b/>
          <w:color w:val="auto"/>
          <w:highlight w:val="none"/>
        </w:rPr>
        <w:t>1.9 踏勘现场</w:t>
      </w:r>
      <w:bookmarkEnd w:id="399"/>
      <w:bookmarkEnd w:id="400"/>
      <w:bookmarkEnd w:id="401"/>
      <w:bookmarkEnd w:id="402"/>
      <w:bookmarkEnd w:id="403"/>
      <w:bookmarkEnd w:id="404"/>
      <w:bookmarkEnd w:id="405"/>
    </w:p>
    <w:p w14:paraId="4C92C79D">
      <w:pPr>
        <w:tabs>
          <w:tab w:val="left" w:pos="2127"/>
        </w:tabs>
        <w:kinsoku/>
        <w:wordWrap/>
        <w:overflowPunct/>
        <w:topLinePunct w:val="0"/>
        <w:autoSpaceDE/>
        <w:autoSpaceDN/>
        <w:bidi w:val="0"/>
        <w:adjustRightInd/>
        <w:snapToGrid/>
        <w:spacing w:line="312" w:lineRule="auto"/>
        <w:ind w:left="0" w:leftChars="0" w:firstLine="435"/>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1.9.1 </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须知前附表规定组织踏勘现场的，</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lang w:eastAsia="zh-CN"/>
        </w:rPr>
        <w:t>人</w:t>
      </w:r>
      <w:r>
        <w:rPr>
          <w:rFonts w:hint="eastAsia" w:ascii="宋体" w:hAnsi="宋体" w:eastAsia="宋体" w:cs="宋体"/>
          <w:color w:val="auto"/>
          <w:highlight w:val="none"/>
        </w:rPr>
        <w:t>按</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须知前附表规定的时间、地点组织</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踏勘项目现场。</w:t>
      </w:r>
    </w:p>
    <w:p w14:paraId="368A185B">
      <w:pPr>
        <w:tabs>
          <w:tab w:val="left" w:pos="2127"/>
        </w:tabs>
        <w:kinsoku/>
        <w:wordWrap/>
        <w:overflowPunct/>
        <w:topLinePunct w:val="0"/>
        <w:autoSpaceDE/>
        <w:autoSpaceDN/>
        <w:bidi w:val="0"/>
        <w:adjustRightInd/>
        <w:snapToGrid/>
        <w:spacing w:line="312" w:lineRule="auto"/>
        <w:ind w:left="0" w:leftChars="0" w:firstLine="435"/>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1.9.2 </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踏勘现场发生的费用自理。</w:t>
      </w:r>
    </w:p>
    <w:p w14:paraId="3637CF91">
      <w:pPr>
        <w:tabs>
          <w:tab w:val="left" w:pos="2127"/>
        </w:tabs>
        <w:kinsoku/>
        <w:wordWrap/>
        <w:overflowPunct/>
        <w:topLinePunct w:val="0"/>
        <w:autoSpaceDE/>
        <w:autoSpaceDN/>
        <w:bidi w:val="0"/>
        <w:adjustRightInd/>
        <w:snapToGrid/>
        <w:spacing w:line="312" w:lineRule="auto"/>
        <w:ind w:left="0" w:leftChars="0" w:firstLine="435"/>
        <w:textAlignment w:val="auto"/>
        <w:rPr>
          <w:rFonts w:hint="eastAsia" w:ascii="宋体" w:hAnsi="宋体" w:eastAsia="宋体" w:cs="宋体"/>
          <w:color w:val="auto"/>
          <w:highlight w:val="none"/>
        </w:rPr>
      </w:pPr>
      <w:r>
        <w:rPr>
          <w:rFonts w:hint="eastAsia" w:ascii="宋体" w:hAnsi="宋体" w:eastAsia="宋体" w:cs="宋体"/>
          <w:color w:val="auto"/>
          <w:highlight w:val="none"/>
        </w:rPr>
        <w:t>1.9.3 除</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lang w:eastAsia="zh-CN"/>
        </w:rPr>
        <w:t>人</w:t>
      </w:r>
      <w:r>
        <w:rPr>
          <w:rFonts w:hint="eastAsia" w:ascii="宋体" w:hAnsi="宋体" w:eastAsia="宋体" w:cs="宋体"/>
          <w:color w:val="auto"/>
          <w:highlight w:val="none"/>
        </w:rPr>
        <w:t>的原因外，</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自行负责在踏勘现场中所发生的人员伤亡和财产损失。</w:t>
      </w:r>
    </w:p>
    <w:p w14:paraId="77E599EF">
      <w:pPr>
        <w:tabs>
          <w:tab w:val="left" w:pos="2127"/>
        </w:tabs>
        <w:kinsoku/>
        <w:wordWrap/>
        <w:overflowPunct/>
        <w:topLinePunct w:val="0"/>
        <w:autoSpaceDE/>
        <w:autoSpaceDN/>
        <w:bidi w:val="0"/>
        <w:adjustRightInd/>
        <w:snapToGrid/>
        <w:spacing w:line="312" w:lineRule="auto"/>
        <w:ind w:left="0" w:leftChars="0" w:firstLine="435"/>
        <w:textAlignment w:val="auto"/>
        <w:rPr>
          <w:rFonts w:hint="eastAsia" w:hAnsi="宋体"/>
          <w:b/>
          <w:color w:val="auto"/>
          <w:highlight w:val="none"/>
        </w:rPr>
      </w:pPr>
      <w:r>
        <w:rPr>
          <w:rFonts w:hint="eastAsia" w:ascii="宋体" w:hAnsi="宋体" w:eastAsia="宋体" w:cs="宋体"/>
          <w:color w:val="auto"/>
          <w:highlight w:val="none"/>
        </w:rPr>
        <w:t xml:space="preserve">1.9.4 </w:t>
      </w:r>
      <w:r>
        <w:rPr>
          <w:rFonts w:hint="eastAsia" w:hAnsi="宋体"/>
          <w:color w:val="auto"/>
          <w:highlight w:val="none"/>
        </w:rPr>
        <w:t>招标人在踏勘现场中介绍的工程场地和相关的周边环境情况，供投标人在编制投标文件时参考，招标人不对投标人据此作出的判断和决策负责</w:t>
      </w:r>
      <w:r>
        <w:rPr>
          <w:rFonts w:hint="eastAsia" w:ascii="宋体" w:hAnsi="宋体" w:eastAsia="宋体" w:cs="宋体"/>
          <w:color w:val="auto"/>
          <w:highlight w:val="none"/>
        </w:rPr>
        <w:t>。</w:t>
      </w:r>
    </w:p>
    <w:p w14:paraId="4E0BEF5B">
      <w:pPr>
        <w:pStyle w:val="23"/>
        <w:tabs>
          <w:tab w:val="left" w:pos="2127"/>
        </w:tabs>
        <w:kinsoku/>
        <w:overflowPunct/>
        <w:bidi w:val="0"/>
        <w:spacing w:line="360" w:lineRule="auto"/>
        <w:textAlignment w:val="auto"/>
        <w:outlineLvl w:val="2"/>
        <w:rPr>
          <w:rFonts w:hAnsi="宋体"/>
          <w:b/>
          <w:color w:val="auto"/>
          <w:highlight w:val="none"/>
        </w:rPr>
      </w:pPr>
      <w:bookmarkStart w:id="448" w:name="_Toc3699"/>
      <w:bookmarkStart w:id="449" w:name="_Toc12442"/>
      <w:bookmarkStart w:id="450" w:name="_Toc16017"/>
      <w:bookmarkStart w:id="451" w:name="_Toc23139"/>
      <w:bookmarkStart w:id="452" w:name="_Toc27810"/>
      <w:bookmarkStart w:id="453" w:name="_Toc25303"/>
      <w:bookmarkStart w:id="454" w:name="_Toc23417"/>
      <w:r>
        <w:rPr>
          <w:rFonts w:hint="eastAsia" w:hAnsi="宋体"/>
          <w:b/>
          <w:color w:val="auto"/>
          <w:highlight w:val="none"/>
        </w:rPr>
        <w:t>1.</w:t>
      </w:r>
      <w:r>
        <w:rPr>
          <w:rFonts w:hint="eastAsia" w:hAnsi="宋体"/>
          <w:b/>
          <w:color w:val="auto"/>
          <w:highlight w:val="none"/>
          <w:lang w:val="en-US" w:eastAsia="zh-CN"/>
        </w:rPr>
        <w:t>10</w:t>
      </w:r>
      <w:r>
        <w:rPr>
          <w:rFonts w:hint="eastAsia" w:hAnsi="宋体"/>
          <w:b/>
          <w:color w:val="auto"/>
          <w:highlight w:val="none"/>
        </w:rPr>
        <w:t xml:space="preserve"> 投标预备会</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7FB4AFFF">
      <w:pPr>
        <w:pStyle w:val="23"/>
        <w:tabs>
          <w:tab w:val="left" w:pos="2127"/>
        </w:tabs>
        <w:kinsoku/>
        <w:overflowPunct/>
        <w:bidi w:val="0"/>
        <w:spacing w:line="360" w:lineRule="auto"/>
        <w:ind w:firstLine="435"/>
        <w:textAlignment w:val="auto"/>
        <w:rPr>
          <w:rFonts w:hAnsi="宋体"/>
          <w:color w:val="auto"/>
          <w:highlight w:val="none"/>
        </w:rPr>
      </w:pPr>
      <w:r>
        <w:rPr>
          <w:rFonts w:hAnsi="宋体"/>
          <w:color w:val="auto"/>
          <w:highlight w:val="none"/>
        </w:rPr>
        <w:t>1.</w:t>
      </w:r>
      <w:r>
        <w:rPr>
          <w:rFonts w:hint="eastAsia" w:hAnsi="宋体"/>
          <w:color w:val="auto"/>
          <w:highlight w:val="none"/>
          <w:lang w:val="en-US" w:eastAsia="zh-CN"/>
        </w:rPr>
        <w:t>10</w:t>
      </w:r>
      <w:r>
        <w:rPr>
          <w:rFonts w:hAnsi="宋体"/>
          <w:color w:val="auto"/>
          <w:highlight w:val="none"/>
        </w:rPr>
        <w:t xml:space="preserve">.1 </w:t>
      </w:r>
      <w:r>
        <w:rPr>
          <w:rFonts w:hint="eastAsia" w:hAnsi="宋体"/>
          <w:color w:val="auto"/>
          <w:highlight w:val="none"/>
        </w:rPr>
        <w:t>投标人须知前附表规定召开投标预备会的，招标人按投标人须知前附表规定的时间和地点召开投标预备会，澄清投标人提出的问题。</w:t>
      </w:r>
    </w:p>
    <w:p w14:paraId="6EEF8A1B">
      <w:pPr>
        <w:pStyle w:val="23"/>
        <w:tabs>
          <w:tab w:val="left" w:pos="2127"/>
        </w:tabs>
        <w:kinsoku/>
        <w:overflowPunct/>
        <w:bidi w:val="0"/>
        <w:spacing w:line="360" w:lineRule="auto"/>
        <w:ind w:firstLine="435"/>
        <w:textAlignment w:val="auto"/>
        <w:rPr>
          <w:rFonts w:hAnsi="宋体"/>
          <w:color w:val="auto"/>
          <w:highlight w:val="none"/>
        </w:rPr>
      </w:pPr>
      <w:r>
        <w:rPr>
          <w:rFonts w:hAnsi="宋体"/>
          <w:color w:val="auto"/>
          <w:highlight w:val="none"/>
        </w:rPr>
        <w:t>1.</w:t>
      </w:r>
      <w:r>
        <w:rPr>
          <w:rFonts w:hint="eastAsia" w:hAnsi="宋体"/>
          <w:color w:val="auto"/>
          <w:highlight w:val="none"/>
          <w:lang w:val="en-US" w:eastAsia="zh-CN"/>
        </w:rPr>
        <w:t>10</w:t>
      </w:r>
      <w:r>
        <w:rPr>
          <w:rFonts w:hAnsi="宋体"/>
          <w:color w:val="auto"/>
          <w:highlight w:val="none"/>
        </w:rPr>
        <w:t xml:space="preserve">.2 </w:t>
      </w:r>
      <w:r>
        <w:rPr>
          <w:rFonts w:hint="eastAsia" w:hAnsi="宋体"/>
          <w:color w:val="auto"/>
          <w:highlight w:val="none"/>
        </w:rPr>
        <w:t>投标人应在投标人须知前附表规定的时间前，</w:t>
      </w:r>
      <w:r>
        <w:rPr>
          <w:rFonts w:hint="eastAsia" w:ascii="宋体" w:hAnsi="宋体" w:eastAsia="宋体" w:cs="宋体"/>
          <w:color w:val="auto"/>
          <w:highlight w:val="none"/>
        </w:rPr>
        <w:t>按照</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须知前附表2.2.1款规定方式将提出的问题送达</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lang w:eastAsia="zh-CN"/>
        </w:rPr>
        <w:t>人</w:t>
      </w:r>
      <w:r>
        <w:rPr>
          <w:rFonts w:hint="eastAsia" w:ascii="宋体" w:hAnsi="宋体" w:eastAsia="宋体" w:cs="宋体"/>
          <w:color w:val="auto"/>
          <w:highlight w:val="none"/>
        </w:rPr>
        <w:t>，以便</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lang w:eastAsia="zh-CN"/>
        </w:rPr>
        <w:t>人</w:t>
      </w:r>
      <w:r>
        <w:rPr>
          <w:rFonts w:hint="eastAsia" w:ascii="宋体" w:hAnsi="宋体" w:eastAsia="宋体" w:cs="宋体"/>
          <w:color w:val="auto"/>
          <w:highlight w:val="none"/>
        </w:rPr>
        <w:t>在会议期间澄清。</w:t>
      </w:r>
    </w:p>
    <w:p w14:paraId="3ED99C7A">
      <w:pPr>
        <w:pStyle w:val="23"/>
        <w:tabs>
          <w:tab w:val="left" w:pos="2127"/>
        </w:tabs>
        <w:kinsoku/>
        <w:overflowPunct/>
        <w:bidi w:val="0"/>
        <w:spacing w:line="360" w:lineRule="auto"/>
        <w:ind w:firstLine="435"/>
        <w:textAlignment w:val="auto"/>
        <w:rPr>
          <w:rFonts w:hint="eastAsia" w:hAnsi="宋体"/>
          <w:color w:val="auto"/>
          <w:highlight w:val="none"/>
        </w:rPr>
      </w:pPr>
      <w:r>
        <w:rPr>
          <w:rFonts w:hAnsi="宋体"/>
          <w:color w:val="auto"/>
          <w:highlight w:val="none"/>
        </w:rPr>
        <w:t>1.</w:t>
      </w:r>
      <w:r>
        <w:rPr>
          <w:rFonts w:hint="eastAsia" w:hAnsi="宋体"/>
          <w:color w:val="auto"/>
          <w:highlight w:val="none"/>
          <w:lang w:val="en-US" w:eastAsia="zh-CN"/>
        </w:rPr>
        <w:t>10</w:t>
      </w:r>
      <w:r>
        <w:rPr>
          <w:rFonts w:hAnsi="宋体"/>
          <w:color w:val="auto"/>
          <w:highlight w:val="none"/>
        </w:rPr>
        <w:t xml:space="preserve">.3 </w:t>
      </w:r>
      <w:r>
        <w:rPr>
          <w:rFonts w:hint="eastAsia" w:hAnsi="宋体"/>
          <w:color w:val="auto"/>
          <w:highlight w:val="none"/>
        </w:rPr>
        <w:t>投标预备会</w:t>
      </w:r>
      <w:r>
        <w:rPr>
          <w:rFonts w:hint="eastAsia" w:ascii="宋体" w:hAnsi="宋体" w:eastAsia="宋体" w:cs="宋体"/>
          <w:color w:val="auto"/>
          <w:highlight w:val="none"/>
        </w:rPr>
        <w:t>后，</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lang w:eastAsia="zh-CN"/>
        </w:rPr>
        <w:t>人</w:t>
      </w:r>
      <w:r>
        <w:rPr>
          <w:rFonts w:hint="eastAsia" w:ascii="宋体" w:hAnsi="宋体" w:eastAsia="宋体" w:cs="宋体"/>
          <w:color w:val="auto"/>
          <w:highlight w:val="none"/>
        </w:rPr>
        <w:t>对</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所提问题进行澄清，以</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须知前附表2.2.2款规定方式通知所有</w:t>
      </w:r>
      <w:r>
        <w:rPr>
          <w:rFonts w:hint="eastAsia" w:ascii="宋体" w:hAnsi="宋体" w:eastAsia="宋体" w:cs="宋体"/>
          <w:color w:val="auto"/>
          <w:highlight w:val="none"/>
          <w:lang w:val="en-US" w:eastAsia="zh-CN"/>
        </w:rPr>
        <w:t>获取招标</w:t>
      </w:r>
      <w:r>
        <w:rPr>
          <w:rFonts w:hint="eastAsia" w:ascii="宋体" w:hAnsi="宋体" w:eastAsia="宋体" w:cs="宋体"/>
          <w:color w:val="auto"/>
          <w:highlight w:val="none"/>
          <w:lang w:eastAsia="zh-CN"/>
        </w:rPr>
        <w:t>文件</w:t>
      </w:r>
      <w:r>
        <w:rPr>
          <w:rFonts w:hint="eastAsia" w:ascii="宋体" w:hAnsi="宋体" w:eastAsia="宋体" w:cs="宋体"/>
          <w:color w:val="auto"/>
          <w:highlight w:val="none"/>
        </w:rPr>
        <w:t>的</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。该澄清内容为</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lang w:eastAsia="zh-CN"/>
        </w:rPr>
        <w:t>文件</w:t>
      </w:r>
      <w:r>
        <w:rPr>
          <w:rFonts w:hint="eastAsia" w:ascii="宋体" w:hAnsi="宋体" w:eastAsia="宋体" w:cs="宋体"/>
          <w:color w:val="auto"/>
          <w:highlight w:val="none"/>
        </w:rPr>
        <w:t>的组成部分。</w:t>
      </w:r>
    </w:p>
    <w:p w14:paraId="7B03063F">
      <w:pPr>
        <w:tabs>
          <w:tab w:val="left" w:pos="2127"/>
        </w:tabs>
        <w:kinsoku/>
        <w:wordWrap/>
        <w:overflowPunct/>
        <w:topLinePunct w:val="0"/>
        <w:autoSpaceDE/>
        <w:autoSpaceDN/>
        <w:bidi w:val="0"/>
        <w:adjustRightInd/>
        <w:snapToGrid/>
        <w:spacing w:line="312" w:lineRule="auto"/>
        <w:ind w:left="0" w:leftChars="0"/>
        <w:textAlignment w:val="auto"/>
        <w:outlineLvl w:val="2"/>
        <w:rPr>
          <w:rFonts w:hint="eastAsia" w:ascii="宋体" w:hAnsi="宋体" w:eastAsia="宋体" w:cs="宋体"/>
          <w:b/>
          <w:color w:val="auto"/>
          <w:highlight w:val="none"/>
          <w:lang w:val="en-US" w:eastAsia="zh-CN"/>
        </w:rPr>
      </w:pPr>
      <w:bookmarkStart w:id="455" w:name="_Toc15512"/>
      <w:bookmarkStart w:id="456" w:name="_Toc25177"/>
      <w:bookmarkStart w:id="457" w:name="_Toc32196"/>
      <w:bookmarkStart w:id="458" w:name="_Toc31032"/>
      <w:bookmarkStart w:id="459" w:name="_Toc28905"/>
      <w:bookmarkStart w:id="460" w:name="_Toc14796"/>
      <w:bookmarkStart w:id="461" w:name="_Toc25850"/>
      <w:r>
        <w:rPr>
          <w:rFonts w:hint="eastAsia" w:ascii="宋体" w:hAnsi="宋体" w:eastAsia="宋体" w:cs="宋体"/>
          <w:b/>
          <w:color w:val="auto"/>
          <w:highlight w:val="none"/>
        </w:rPr>
        <w:t>1.1</w:t>
      </w:r>
      <w:r>
        <w:rPr>
          <w:rFonts w:hint="eastAsia" w:ascii="宋体" w:hAnsi="宋体" w:eastAsia="宋体" w:cs="宋体"/>
          <w:b/>
          <w:color w:val="auto"/>
          <w:highlight w:val="none"/>
          <w:lang w:val="en-US" w:eastAsia="zh-CN"/>
        </w:rPr>
        <w:t>1</w:t>
      </w:r>
      <w:r>
        <w:rPr>
          <w:rFonts w:hint="eastAsia" w:ascii="宋体" w:hAnsi="宋体" w:eastAsia="宋体" w:cs="宋体"/>
          <w:b/>
          <w:color w:val="auto"/>
          <w:highlight w:val="none"/>
        </w:rPr>
        <w:t xml:space="preserve"> </w:t>
      </w:r>
      <w:r>
        <w:rPr>
          <w:rFonts w:hint="eastAsia" w:ascii="宋体" w:hAnsi="宋体" w:eastAsia="宋体" w:cs="宋体"/>
          <w:b/>
          <w:color w:val="auto"/>
          <w:highlight w:val="none"/>
          <w:lang w:val="en-US" w:eastAsia="zh-CN"/>
        </w:rPr>
        <w:t>分包</w:t>
      </w:r>
      <w:bookmarkEnd w:id="455"/>
      <w:bookmarkEnd w:id="456"/>
      <w:bookmarkEnd w:id="457"/>
      <w:bookmarkEnd w:id="458"/>
      <w:bookmarkEnd w:id="459"/>
      <w:bookmarkEnd w:id="460"/>
      <w:bookmarkEnd w:id="461"/>
    </w:p>
    <w:p w14:paraId="47C9FF81">
      <w:pPr>
        <w:tabs>
          <w:tab w:val="left" w:pos="2127"/>
        </w:tabs>
        <w:kinsoku/>
        <w:wordWrap/>
        <w:overflowPunct/>
        <w:topLinePunct w:val="0"/>
        <w:autoSpaceDE/>
        <w:autoSpaceDN/>
        <w:bidi w:val="0"/>
        <w:adjustRightInd/>
        <w:snapToGrid/>
        <w:spacing w:line="312" w:lineRule="auto"/>
        <w:ind w:left="0" w:leftChars="0" w:firstLine="420" w:firstLineChars="200"/>
        <w:textAlignment w:val="auto"/>
        <w:outlineLvl w:val="9"/>
        <w:rPr>
          <w:rFonts w:hint="eastAsia" w:ascii="宋体" w:hAnsi="宋体" w:eastAsia="宋体" w:cs="宋体"/>
          <w:b w:val="0"/>
          <w:bCs/>
          <w:color w:val="auto"/>
          <w:highlight w:val="none"/>
          <w:lang w:val="en-US" w:eastAsia="zh-CN"/>
        </w:rPr>
      </w:pPr>
      <w:r>
        <w:rPr>
          <w:rFonts w:hint="eastAsia" w:ascii="宋体" w:hAnsi="宋体" w:eastAsia="宋体" w:cs="宋体"/>
          <w:b w:val="0"/>
          <w:bCs/>
          <w:color w:val="auto"/>
          <w:highlight w:val="none"/>
          <w:lang w:val="en-US" w:eastAsia="zh-CN"/>
        </w:rPr>
        <w:t>投标人</w:t>
      </w:r>
      <w:r>
        <w:rPr>
          <w:rFonts w:hint="eastAsia" w:ascii="宋体" w:hAnsi="宋体" w:eastAsia="宋体" w:cs="宋体"/>
          <w:b w:val="0"/>
          <w:bCs/>
          <w:color w:val="auto"/>
          <w:highlight w:val="none"/>
          <w:lang w:eastAsia="zh-CN"/>
        </w:rPr>
        <w:t>拟在</w:t>
      </w:r>
      <w:r>
        <w:rPr>
          <w:rFonts w:hint="eastAsia" w:ascii="宋体" w:hAnsi="宋体" w:eastAsia="宋体" w:cs="宋体"/>
          <w:b w:val="0"/>
          <w:bCs/>
          <w:color w:val="auto"/>
          <w:highlight w:val="none"/>
          <w:lang w:val="en-US" w:eastAsia="zh-CN"/>
        </w:rPr>
        <w:t>中标</w:t>
      </w:r>
      <w:r>
        <w:rPr>
          <w:rFonts w:hint="eastAsia" w:ascii="宋体" w:hAnsi="宋体" w:eastAsia="宋体" w:cs="宋体"/>
          <w:b w:val="0"/>
          <w:bCs/>
          <w:color w:val="auto"/>
          <w:highlight w:val="none"/>
          <w:lang w:eastAsia="zh-CN"/>
        </w:rPr>
        <w:t>后将</w:t>
      </w:r>
      <w:r>
        <w:rPr>
          <w:rFonts w:hint="eastAsia" w:ascii="宋体" w:hAnsi="宋体" w:eastAsia="宋体" w:cs="宋体"/>
          <w:b w:val="0"/>
          <w:bCs/>
          <w:color w:val="auto"/>
          <w:highlight w:val="none"/>
          <w:lang w:val="en-US" w:eastAsia="zh-CN"/>
        </w:rPr>
        <w:t>中标</w:t>
      </w:r>
      <w:r>
        <w:rPr>
          <w:rFonts w:hint="eastAsia" w:ascii="宋体" w:hAnsi="宋体" w:eastAsia="宋体" w:cs="宋体"/>
          <w:b w:val="0"/>
          <w:bCs/>
          <w:color w:val="auto"/>
          <w:highlight w:val="none"/>
          <w:lang w:eastAsia="zh-CN"/>
        </w:rPr>
        <w:t>项目的部分工作进行分包的，应符合</w:t>
      </w:r>
      <w:r>
        <w:rPr>
          <w:rFonts w:hint="eastAsia" w:ascii="宋体" w:hAnsi="宋体" w:eastAsia="宋体" w:cs="宋体"/>
          <w:b w:val="0"/>
          <w:bCs/>
          <w:color w:val="auto"/>
          <w:highlight w:val="none"/>
          <w:lang w:val="en-US" w:eastAsia="zh-CN"/>
        </w:rPr>
        <w:t>投标人</w:t>
      </w:r>
      <w:r>
        <w:rPr>
          <w:rFonts w:hint="eastAsia" w:ascii="宋体" w:hAnsi="宋体" w:eastAsia="宋体" w:cs="宋体"/>
          <w:b w:val="0"/>
          <w:bCs/>
          <w:color w:val="auto"/>
          <w:highlight w:val="none"/>
          <w:lang w:eastAsia="zh-CN"/>
        </w:rPr>
        <w:t>须知前附表的规定</w:t>
      </w:r>
      <w:r>
        <w:rPr>
          <w:rFonts w:hint="eastAsia" w:ascii="宋体" w:hAnsi="宋体" w:eastAsia="宋体" w:cs="宋体"/>
          <w:b w:val="0"/>
          <w:bCs/>
          <w:color w:val="auto"/>
          <w:highlight w:val="none"/>
        </w:rPr>
        <w:t>。</w:t>
      </w:r>
    </w:p>
    <w:p w14:paraId="159D9A80">
      <w:pPr>
        <w:tabs>
          <w:tab w:val="left" w:pos="2127"/>
        </w:tabs>
        <w:kinsoku/>
        <w:wordWrap/>
        <w:overflowPunct/>
        <w:topLinePunct w:val="0"/>
        <w:autoSpaceDE/>
        <w:autoSpaceDN/>
        <w:bidi w:val="0"/>
        <w:adjustRightInd/>
        <w:snapToGrid/>
        <w:spacing w:line="312" w:lineRule="auto"/>
        <w:ind w:left="0" w:leftChars="0" w:firstLine="420" w:firstLineChars="200"/>
        <w:textAlignment w:val="auto"/>
        <w:outlineLvl w:val="9"/>
        <w:rPr>
          <w:rFonts w:hint="eastAsia" w:ascii="宋体" w:hAnsi="宋体" w:eastAsia="宋体" w:cs="宋体"/>
          <w:b w:val="0"/>
          <w:bCs/>
          <w:color w:val="auto"/>
          <w:highlight w:val="none"/>
        </w:rPr>
      </w:pPr>
      <w:r>
        <w:rPr>
          <w:rFonts w:hint="eastAsia" w:ascii="宋体" w:hAnsi="宋体" w:eastAsia="宋体" w:cs="宋体"/>
          <w:b w:val="0"/>
          <w:bCs/>
          <w:color w:val="auto"/>
          <w:highlight w:val="none"/>
          <w:lang w:val="en-US" w:eastAsia="zh-CN"/>
        </w:rPr>
        <w:t>中标人</w:t>
      </w:r>
      <w:r>
        <w:rPr>
          <w:rFonts w:hint="eastAsia" w:ascii="宋体" w:hAnsi="宋体" w:eastAsia="宋体" w:cs="宋体"/>
          <w:b w:val="0"/>
          <w:bCs/>
          <w:color w:val="auto"/>
          <w:highlight w:val="none"/>
          <w:lang w:eastAsia="zh-CN"/>
        </w:rPr>
        <w:t>不得向他人转让</w:t>
      </w:r>
      <w:r>
        <w:rPr>
          <w:rFonts w:hint="eastAsia" w:ascii="宋体" w:hAnsi="宋体" w:eastAsia="宋体" w:cs="宋体"/>
          <w:b w:val="0"/>
          <w:bCs/>
          <w:color w:val="auto"/>
          <w:highlight w:val="none"/>
          <w:lang w:val="en-US" w:eastAsia="zh-CN"/>
        </w:rPr>
        <w:t>中标</w:t>
      </w:r>
      <w:r>
        <w:rPr>
          <w:rFonts w:hint="eastAsia" w:ascii="宋体" w:hAnsi="宋体" w:eastAsia="宋体" w:cs="宋体"/>
          <w:b w:val="0"/>
          <w:bCs/>
          <w:color w:val="auto"/>
          <w:highlight w:val="none"/>
          <w:lang w:eastAsia="zh-CN"/>
        </w:rPr>
        <w:t>项目，接受分包的</w:t>
      </w:r>
      <w:r>
        <w:rPr>
          <w:rFonts w:hint="eastAsia" w:ascii="宋体" w:hAnsi="宋体" w:cs="宋体"/>
          <w:b w:val="0"/>
          <w:bCs/>
          <w:color w:val="auto"/>
          <w:highlight w:val="none"/>
          <w:lang w:val="en-US" w:eastAsia="zh-CN"/>
        </w:rPr>
        <w:t>投标人</w:t>
      </w:r>
      <w:r>
        <w:rPr>
          <w:rFonts w:hint="eastAsia" w:ascii="宋体" w:hAnsi="宋体" w:eastAsia="宋体" w:cs="宋体"/>
          <w:b w:val="0"/>
          <w:bCs/>
          <w:color w:val="auto"/>
          <w:highlight w:val="none"/>
          <w:lang w:eastAsia="zh-CN"/>
        </w:rPr>
        <w:t>不得将分包项目再次分包。</w:t>
      </w:r>
      <w:r>
        <w:rPr>
          <w:rFonts w:hint="eastAsia" w:ascii="宋体" w:hAnsi="宋体" w:eastAsia="宋体" w:cs="宋体"/>
          <w:b w:val="0"/>
          <w:bCs/>
          <w:color w:val="auto"/>
          <w:highlight w:val="none"/>
          <w:lang w:val="en-US" w:eastAsia="zh-CN"/>
        </w:rPr>
        <w:t>中标人</w:t>
      </w:r>
      <w:r>
        <w:rPr>
          <w:rFonts w:hint="eastAsia" w:ascii="宋体" w:hAnsi="宋体" w:eastAsia="宋体" w:cs="宋体"/>
          <w:b w:val="0"/>
          <w:bCs/>
          <w:color w:val="auto"/>
          <w:highlight w:val="none"/>
        </w:rPr>
        <w:t>应当就分包项目向</w:t>
      </w:r>
      <w:r>
        <w:rPr>
          <w:rFonts w:hint="eastAsia" w:ascii="宋体" w:hAnsi="宋体" w:eastAsia="宋体" w:cs="宋体"/>
          <w:b w:val="0"/>
          <w:bCs/>
          <w:color w:val="auto"/>
          <w:highlight w:val="none"/>
          <w:lang w:val="en-US" w:eastAsia="zh-CN"/>
        </w:rPr>
        <w:t>招标</w:t>
      </w:r>
      <w:r>
        <w:rPr>
          <w:rFonts w:hint="eastAsia" w:ascii="宋体" w:hAnsi="宋体" w:eastAsia="宋体" w:cs="宋体"/>
          <w:b w:val="0"/>
          <w:bCs/>
          <w:color w:val="auto"/>
          <w:highlight w:val="none"/>
          <w:lang w:eastAsia="zh-CN"/>
        </w:rPr>
        <w:t>人</w:t>
      </w:r>
      <w:r>
        <w:rPr>
          <w:rFonts w:hint="eastAsia" w:ascii="宋体" w:hAnsi="宋体" w:eastAsia="宋体" w:cs="宋体"/>
          <w:b w:val="0"/>
          <w:bCs/>
          <w:color w:val="auto"/>
          <w:highlight w:val="none"/>
        </w:rPr>
        <w:t>负责，接受分包的</w:t>
      </w:r>
      <w:r>
        <w:rPr>
          <w:rFonts w:hint="eastAsia" w:ascii="宋体" w:hAnsi="宋体" w:eastAsia="宋体" w:cs="宋体"/>
          <w:b w:val="0"/>
          <w:bCs/>
          <w:color w:val="auto"/>
          <w:highlight w:val="none"/>
          <w:lang w:eastAsia="zh-CN"/>
        </w:rPr>
        <w:t>供应商</w:t>
      </w:r>
      <w:r>
        <w:rPr>
          <w:rFonts w:hint="eastAsia" w:ascii="宋体" w:hAnsi="宋体" w:eastAsia="宋体" w:cs="宋体"/>
          <w:b w:val="0"/>
          <w:bCs/>
          <w:color w:val="auto"/>
          <w:highlight w:val="none"/>
        </w:rPr>
        <w:t>就分包项目承担连带责任。</w:t>
      </w:r>
    </w:p>
    <w:p w14:paraId="7FBD222D">
      <w:pPr>
        <w:rPr>
          <w:color w:val="auto"/>
          <w:highlight w:val="none"/>
        </w:rPr>
      </w:pPr>
    </w:p>
    <w:p w14:paraId="08866CC8">
      <w:pPr>
        <w:pStyle w:val="4"/>
        <w:tabs>
          <w:tab w:val="left" w:pos="2127"/>
        </w:tabs>
        <w:kinsoku/>
        <w:overflowPunct/>
        <w:bidi w:val="0"/>
        <w:spacing w:before="0" w:after="0" w:line="360" w:lineRule="auto"/>
        <w:textAlignment w:val="auto"/>
        <w:rPr>
          <w:rFonts w:ascii="宋体" w:hAnsi="宋体" w:eastAsia="宋体"/>
          <w:color w:val="auto"/>
          <w:sz w:val="24"/>
          <w:szCs w:val="24"/>
          <w:highlight w:val="none"/>
        </w:rPr>
      </w:pPr>
      <w:bookmarkStart w:id="462" w:name="_Toc28415"/>
      <w:bookmarkStart w:id="463" w:name="_Toc27173"/>
      <w:bookmarkStart w:id="464" w:name="_Toc5692"/>
      <w:bookmarkStart w:id="465" w:name="_Toc21553"/>
      <w:bookmarkStart w:id="466" w:name="_Toc17358"/>
      <w:bookmarkStart w:id="467" w:name="_Toc7733"/>
      <w:bookmarkStart w:id="468" w:name="_Toc30848"/>
      <w:bookmarkStart w:id="469" w:name="_Toc30783"/>
      <w:bookmarkStart w:id="470" w:name="_Toc23335"/>
      <w:bookmarkStart w:id="471" w:name="_Toc2854"/>
      <w:bookmarkStart w:id="472" w:name="_Toc31599"/>
      <w:bookmarkStart w:id="473" w:name="_Toc23877"/>
      <w:bookmarkStart w:id="474" w:name="_Toc14427"/>
      <w:bookmarkStart w:id="475" w:name="_Toc4438"/>
      <w:bookmarkStart w:id="476" w:name="_Toc168"/>
      <w:bookmarkStart w:id="477" w:name="_Toc16703"/>
      <w:bookmarkStart w:id="478" w:name="_Toc19223"/>
      <w:r>
        <w:rPr>
          <w:rFonts w:hint="eastAsia" w:ascii="宋体" w:hAnsi="宋体" w:eastAsia="宋体"/>
          <w:color w:val="auto"/>
          <w:sz w:val="24"/>
          <w:szCs w:val="24"/>
          <w:highlight w:val="none"/>
        </w:rPr>
        <w:t>2. 招标文件</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24E7E239">
      <w:pPr>
        <w:pStyle w:val="23"/>
        <w:tabs>
          <w:tab w:val="left" w:pos="2127"/>
        </w:tabs>
        <w:kinsoku/>
        <w:overflowPunct/>
        <w:bidi w:val="0"/>
        <w:spacing w:line="360" w:lineRule="auto"/>
        <w:textAlignment w:val="auto"/>
        <w:outlineLvl w:val="2"/>
        <w:rPr>
          <w:rFonts w:hAnsi="宋体"/>
          <w:b/>
          <w:color w:val="auto"/>
          <w:highlight w:val="none"/>
        </w:rPr>
      </w:pPr>
      <w:bookmarkStart w:id="479" w:name="_Toc1947"/>
      <w:bookmarkStart w:id="480" w:name="_Toc11630"/>
      <w:bookmarkStart w:id="481" w:name="_Toc482803081"/>
      <w:bookmarkStart w:id="482" w:name="_Toc26997"/>
      <w:bookmarkStart w:id="483" w:name="_Toc1787"/>
      <w:bookmarkStart w:id="484" w:name="_Toc14108"/>
      <w:bookmarkStart w:id="485" w:name="_Toc4174"/>
      <w:bookmarkStart w:id="486" w:name="_Toc31374"/>
      <w:bookmarkStart w:id="487" w:name="_Toc25961"/>
      <w:bookmarkStart w:id="488" w:name="_Toc11137"/>
      <w:bookmarkStart w:id="489" w:name="_Toc19287"/>
      <w:bookmarkStart w:id="490" w:name="_Toc22320"/>
      <w:bookmarkStart w:id="491" w:name="_Toc21237"/>
      <w:bookmarkStart w:id="492" w:name="_Toc29731"/>
      <w:bookmarkStart w:id="493" w:name="_Toc11258"/>
      <w:bookmarkStart w:id="494" w:name="_Toc2777"/>
      <w:bookmarkStart w:id="495" w:name="_Toc26697"/>
      <w:bookmarkStart w:id="496" w:name="_Toc22730"/>
      <w:bookmarkStart w:id="497" w:name="_Toc30041"/>
      <w:bookmarkStart w:id="498" w:name="_Toc3536"/>
      <w:bookmarkStart w:id="499" w:name="_Toc25036"/>
      <w:bookmarkStart w:id="500" w:name="_Toc13380"/>
      <w:bookmarkStart w:id="501" w:name="_Toc27789"/>
      <w:bookmarkStart w:id="502" w:name="_Toc10226"/>
      <w:bookmarkStart w:id="503" w:name="_Toc19925"/>
      <w:bookmarkStart w:id="504" w:name="_Toc14455"/>
      <w:bookmarkStart w:id="505" w:name="_Toc11561"/>
      <w:bookmarkStart w:id="506" w:name="_Toc20028"/>
      <w:bookmarkStart w:id="507" w:name="_Toc10013"/>
      <w:bookmarkStart w:id="508" w:name="_Toc27578"/>
      <w:bookmarkStart w:id="509" w:name="_Toc25069"/>
      <w:bookmarkStart w:id="510" w:name="_Toc8862"/>
      <w:bookmarkStart w:id="511" w:name="_Toc2503"/>
      <w:bookmarkStart w:id="512" w:name="_Toc26943"/>
      <w:bookmarkStart w:id="513" w:name="_Toc11182"/>
      <w:bookmarkStart w:id="514" w:name="_Toc18405"/>
      <w:bookmarkStart w:id="515" w:name="_Toc16390"/>
      <w:bookmarkStart w:id="516" w:name="_Toc8768"/>
      <w:bookmarkStart w:id="517" w:name="_Toc27703"/>
      <w:bookmarkStart w:id="518" w:name="_Toc20102"/>
      <w:bookmarkStart w:id="519" w:name="_Toc17422"/>
      <w:bookmarkStart w:id="520" w:name="_Toc463"/>
      <w:bookmarkStart w:id="521" w:name="_Toc7417"/>
      <w:bookmarkStart w:id="522" w:name="_Toc28351"/>
      <w:bookmarkStart w:id="523" w:name="_Toc1850"/>
      <w:bookmarkStart w:id="524" w:name="_Toc6805"/>
      <w:bookmarkStart w:id="525" w:name="_Toc9658"/>
      <w:bookmarkStart w:id="526" w:name="_Toc484792194"/>
      <w:r>
        <w:rPr>
          <w:rFonts w:hint="eastAsia" w:hAnsi="宋体"/>
          <w:b/>
          <w:color w:val="auto"/>
          <w:highlight w:val="none"/>
        </w:rPr>
        <w:t>2.1 招标文件的组成</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47531C3F">
      <w:pPr>
        <w:tabs>
          <w:tab w:val="left" w:pos="2127"/>
        </w:tabs>
        <w:kinsoku/>
        <w:overflowPunct/>
        <w:bidi w:val="0"/>
        <w:spacing w:line="360" w:lineRule="auto"/>
        <w:textAlignment w:val="auto"/>
        <w:rPr>
          <w:rFonts w:ascii="宋体" w:hAnsi="宋体"/>
          <w:color w:val="auto"/>
          <w:highlight w:val="none"/>
        </w:rPr>
      </w:pPr>
      <w:r>
        <w:rPr>
          <w:rFonts w:hint="eastAsia" w:ascii="宋体" w:hAnsi="宋体"/>
          <w:color w:val="auto"/>
          <w:highlight w:val="none"/>
        </w:rPr>
        <w:t xml:space="preserve">    本招标文件包括：</w:t>
      </w:r>
    </w:p>
    <w:p w14:paraId="6BA740D2">
      <w:pPr>
        <w:tabs>
          <w:tab w:val="left" w:pos="2127"/>
        </w:tabs>
        <w:kinsoku/>
        <w:overflowPunct/>
        <w:bidi w:val="0"/>
        <w:spacing w:line="360" w:lineRule="auto"/>
        <w:ind w:firstLine="420" w:firstLineChars="200"/>
        <w:textAlignment w:val="auto"/>
        <w:rPr>
          <w:rFonts w:hint="eastAsia" w:ascii="宋体" w:hAnsi="宋体" w:eastAsia="宋体"/>
          <w:color w:val="auto"/>
          <w:highlight w:val="none"/>
          <w:lang w:eastAsia="zh-CN"/>
        </w:rPr>
      </w:pPr>
      <w:r>
        <w:rPr>
          <w:rFonts w:hint="eastAsia" w:ascii="宋体" w:hAnsi="宋体"/>
          <w:color w:val="auto"/>
          <w:highlight w:val="none"/>
        </w:rPr>
        <w:t>（1）招标公告</w:t>
      </w:r>
      <w:r>
        <w:rPr>
          <w:rFonts w:hint="eastAsia" w:ascii="宋体" w:hAnsi="宋体"/>
          <w:color w:val="auto"/>
          <w:highlight w:val="none"/>
          <w:lang w:eastAsia="zh-CN"/>
        </w:rPr>
        <w:t>；</w:t>
      </w:r>
    </w:p>
    <w:p w14:paraId="6B5A9C1D">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2</w:t>
      </w:r>
      <w:r>
        <w:rPr>
          <w:rFonts w:hint="eastAsia" w:ascii="宋体" w:hAnsi="宋体"/>
          <w:color w:val="auto"/>
          <w:highlight w:val="none"/>
        </w:rPr>
        <w:t>）投标人须知；</w:t>
      </w:r>
    </w:p>
    <w:p w14:paraId="050C2DEC">
      <w:pPr>
        <w:tabs>
          <w:tab w:val="left" w:pos="2127"/>
        </w:tabs>
        <w:kinsoku/>
        <w:overflowPunct/>
        <w:bidi w:val="0"/>
        <w:spacing w:line="360" w:lineRule="auto"/>
        <w:ind w:firstLine="420" w:firstLineChars="200"/>
        <w:textAlignment w:val="auto"/>
        <w:rPr>
          <w:rFonts w:hint="eastAsia"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）评标办法</w:t>
      </w:r>
    </w:p>
    <w:p w14:paraId="7CB25040">
      <w:pPr>
        <w:tabs>
          <w:tab w:val="left" w:pos="2127"/>
        </w:tabs>
        <w:kinsoku/>
        <w:overflowPunct/>
        <w:bidi w:val="0"/>
        <w:spacing w:line="360" w:lineRule="auto"/>
        <w:ind w:firstLine="420" w:firstLineChars="200"/>
        <w:textAlignment w:val="auto"/>
        <w:rPr>
          <w:rFonts w:hint="eastAsia" w:ascii="宋体" w:hAnsi="宋体" w:eastAsia="宋体"/>
          <w:color w:val="auto"/>
          <w:highlight w:val="none"/>
          <w:lang w:eastAsia="zh-CN"/>
        </w:rPr>
      </w:pPr>
      <w:r>
        <w:rPr>
          <w:rFonts w:hint="eastAsia" w:ascii="宋体" w:hAnsi="宋体"/>
          <w:color w:val="auto"/>
          <w:highlight w:val="none"/>
        </w:rPr>
        <w:t>（</w:t>
      </w:r>
      <w:r>
        <w:rPr>
          <w:rFonts w:hint="eastAsia" w:ascii="宋体" w:hAnsi="宋体"/>
          <w:color w:val="auto"/>
          <w:highlight w:val="none"/>
          <w:lang w:val="en-US" w:eastAsia="zh-CN"/>
        </w:rPr>
        <w:t>4</w:t>
      </w:r>
      <w:r>
        <w:rPr>
          <w:rFonts w:hint="eastAsia" w:ascii="宋体" w:hAnsi="宋体"/>
          <w:color w:val="auto"/>
          <w:highlight w:val="none"/>
        </w:rPr>
        <w:t>）合同条款及格式</w:t>
      </w:r>
      <w:r>
        <w:rPr>
          <w:rFonts w:hint="eastAsia" w:ascii="宋体" w:hAnsi="宋体"/>
          <w:color w:val="auto"/>
          <w:highlight w:val="none"/>
          <w:lang w:eastAsia="zh-CN"/>
        </w:rPr>
        <w:t>；</w:t>
      </w:r>
    </w:p>
    <w:p w14:paraId="3A910504">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5</w:t>
      </w:r>
      <w:r>
        <w:rPr>
          <w:rFonts w:hint="eastAsia" w:ascii="宋体" w:hAnsi="宋体"/>
          <w:color w:val="auto"/>
          <w:highlight w:val="none"/>
        </w:rPr>
        <w:t>）技术标准、要求及图纸；</w:t>
      </w:r>
    </w:p>
    <w:p w14:paraId="4D8BF82A">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6</w:t>
      </w:r>
      <w:r>
        <w:rPr>
          <w:rFonts w:hint="eastAsia" w:ascii="宋体" w:hAnsi="宋体"/>
          <w:color w:val="auto"/>
          <w:highlight w:val="none"/>
        </w:rPr>
        <w:t>）</w:t>
      </w:r>
      <w:r>
        <w:rPr>
          <w:rFonts w:hint="eastAsia" w:ascii="宋体" w:hAnsi="宋体"/>
          <w:color w:val="auto"/>
          <w:highlight w:val="none"/>
          <w:lang w:val="en-US" w:eastAsia="zh-CN"/>
        </w:rPr>
        <w:t>投标</w:t>
      </w:r>
      <w:r>
        <w:rPr>
          <w:rFonts w:hint="eastAsia" w:ascii="宋体" w:hAnsi="宋体"/>
          <w:color w:val="auto"/>
          <w:highlight w:val="none"/>
        </w:rPr>
        <w:t>文件格式；</w:t>
      </w:r>
    </w:p>
    <w:p w14:paraId="15F62DD4">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7</w:t>
      </w:r>
      <w:r>
        <w:rPr>
          <w:rFonts w:hint="eastAsia" w:ascii="宋体" w:hAnsi="宋体"/>
          <w:color w:val="auto"/>
          <w:highlight w:val="none"/>
        </w:rPr>
        <w:t>）投标人须知前附表规定的其他材料。</w:t>
      </w:r>
    </w:p>
    <w:p w14:paraId="5AE3CF22">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根据本章</w:t>
      </w:r>
      <w:r>
        <w:rPr>
          <w:rFonts w:hint="eastAsia" w:ascii="宋体" w:hAnsi="宋体" w:eastAsia="宋体" w:cs="宋体"/>
          <w:color w:val="auto"/>
          <w:highlight w:val="none"/>
        </w:rPr>
        <w:t>第1.</w:t>
      </w:r>
      <w:r>
        <w:rPr>
          <w:rFonts w:hint="eastAsia" w:ascii="宋体" w:hAnsi="宋体" w:cs="宋体"/>
          <w:color w:val="auto"/>
          <w:highlight w:val="none"/>
          <w:lang w:val="en-US" w:eastAsia="zh-CN"/>
        </w:rPr>
        <w:t>10</w:t>
      </w:r>
      <w:r>
        <w:rPr>
          <w:rFonts w:hint="eastAsia" w:ascii="宋体" w:hAnsi="宋体" w:eastAsia="宋体" w:cs="宋体"/>
          <w:color w:val="auto"/>
          <w:highlight w:val="none"/>
        </w:rPr>
        <w:t>款、</w:t>
      </w:r>
      <w:r>
        <w:rPr>
          <w:rFonts w:hint="eastAsia" w:ascii="宋体" w:hAnsi="宋体"/>
          <w:color w:val="auto"/>
          <w:highlight w:val="none"/>
        </w:rPr>
        <w:t>第2.2款和第2.3款对招标文件所作的澄清、修改，构成招标文件的组成部分。</w:t>
      </w:r>
    </w:p>
    <w:p w14:paraId="3F03A856">
      <w:pPr>
        <w:pStyle w:val="23"/>
        <w:tabs>
          <w:tab w:val="left" w:pos="2127"/>
        </w:tabs>
        <w:kinsoku/>
        <w:overflowPunct/>
        <w:bidi w:val="0"/>
        <w:spacing w:line="360" w:lineRule="auto"/>
        <w:textAlignment w:val="auto"/>
        <w:outlineLvl w:val="2"/>
        <w:rPr>
          <w:rFonts w:hAnsi="宋体"/>
          <w:b/>
          <w:color w:val="auto"/>
          <w:highlight w:val="none"/>
        </w:rPr>
      </w:pPr>
      <w:bookmarkStart w:id="527" w:name="_Toc20698"/>
      <w:bookmarkStart w:id="528" w:name="_Toc28819"/>
      <w:bookmarkStart w:id="529" w:name="_Toc10767"/>
      <w:bookmarkStart w:id="530" w:name="_Toc25087"/>
      <w:bookmarkStart w:id="531" w:name="_Toc1525"/>
      <w:bookmarkStart w:id="532" w:name="_Toc18519"/>
      <w:bookmarkStart w:id="533" w:name="_Toc8614"/>
      <w:bookmarkStart w:id="534" w:name="_Toc23359"/>
      <w:bookmarkStart w:id="535" w:name="_Toc19186"/>
      <w:bookmarkStart w:id="536" w:name="_Toc27773"/>
      <w:bookmarkStart w:id="537" w:name="_Toc3401"/>
      <w:bookmarkStart w:id="538" w:name="_Toc3513"/>
      <w:bookmarkStart w:id="539" w:name="_Toc484792195"/>
      <w:bookmarkStart w:id="540" w:name="_Toc7437"/>
      <w:bookmarkStart w:id="541" w:name="_Toc2851"/>
      <w:bookmarkStart w:id="542" w:name="_Toc20076"/>
      <w:bookmarkStart w:id="543" w:name="_Toc23007"/>
      <w:bookmarkStart w:id="544" w:name="_Toc18280"/>
      <w:bookmarkStart w:id="545" w:name="_Toc4484"/>
      <w:bookmarkStart w:id="546" w:name="_Toc244"/>
      <w:bookmarkStart w:id="547" w:name="_Toc7306"/>
      <w:bookmarkStart w:id="548" w:name="_Toc23806"/>
      <w:bookmarkStart w:id="549" w:name="_Toc482803082"/>
      <w:bookmarkStart w:id="550" w:name="_Toc8665"/>
      <w:bookmarkStart w:id="551" w:name="_Toc7744"/>
      <w:bookmarkStart w:id="552" w:name="_Toc7142"/>
      <w:bookmarkStart w:id="553" w:name="_Toc8179"/>
      <w:bookmarkStart w:id="554" w:name="_Toc8163"/>
      <w:bookmarkStart w:id="555" w:name="_Toc30356"/>
      <w:bookmarkStart w:id="556" w:name="_Toc1974"/>
      <w:bookmarkStart w:id="557" w:name="_Toc1462"/>
      <w:bookmarkStart w:id="558" w:name="_Toc6389"/>
      <w:bookmarkStart w:id="559" w:name="_Toc20702"/>
      <w:bookmarkStart w:id="560" w:name="_Toc5394"/>
      <w:bookmarkStart w:id="561" w:name="_Toc16639"/>
      <w:bookmarkStart w:id="562" w:name="_Toc30913"/>
      <w:bookmarkStart w:id="563" w:name="_Toc31574"/>
      <w:bookmarkStart w:id="564" w:name="_Toc32111"/>
      <w:bookmarkStart w:id="565" w:name="_Toc2112"/>
      <w:bookmarkStart w:id="566" w:name="_Toc9738"/>
      <w:bookmarkStart w:id="567" w:name="_Toc16487"/>
      <w:bookmarkStart w:id="568" w:name="_Toc8279"/>
      <w:bookmarkStart w:id="569" w:name="_Toc12237"/>
      <w:bookmarkStart w:id="570" w:name="_Toc21472"/>
      <w:bookmarkStart w:id="571" w:name="_Toc9524"/>
      <w:bookmarkStart w:id="572" w:name="_Toc2617"/>
      <w:bookmarkStart w:id="573" w:name="_Toc24948"/>
      <w:bookmarkStart w:id="574" w:name="_Toc5526"/>
      <w:r>
        <w:rPr>
          <w:rFonts w:hint="eastAsia" w:hAnsi="宋体"/>
          <w:b/>
          <w:color w:val="auto"/>
          <w:highlight w:val="none"/>
        </w:rPr>
        <w:t>2.2 招标文件的澄清</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2B9B6ECA">
      <w:pPr>
        <w:pStyle w:val="23"/>
        <w:tabs>
          <w:tab w:val="left" w:pos="2127"/>
        </w:tabs>
        <w:kinsoku/>
        <w:overflowPunct/>
        <w:bidi w:val="0"/>
        <w:spacing w:line="360" w:lineRule="auto"/>
        <w:ind w:firstLine="420" w:firstLineChars="200"/>
        <w:textAlignment w:val="auto"/>
        <w:rPr>
          <w:rFonts w:hAnsi="宋体"/>
          <w:color w:val="auto"/>
          <w:highlight w:val="none"/>
        </w:rPr>
      </w:pPr>
      <w:r>
        <w:rPr>
          <w:rFonts w:hint="eastAsia" w:hAnsi="宋体"/>
          <w:color w:val="auto"/>
          <w:highlight w:val="none"/>
        </w:rPr>
        <w:t>2.2.1</w:t>
      </w:r>
      <w:r>
        <w:rPr>
          <w:rFonts w:hint="eastAsia" w:ascii="宋体" w:hAnsi="宋体" w:cs="宋体"/>
          <w:color w:val="auto"/>
          <w:kern w:val="0"/>
          <w:szCs w:val="21"/>
          <w:highlight w:val="none"/>
        </w:rPr>
        <w:t>投</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人</w:t>
      </w:r>
      <w:r>
        <w:rPr>
          <w:rFonts w:hint="eastAsia" w:ascii="宋体" w:hAnsi="宋体" w:cs="宋体"/>
          <w:color w:val="auto"/>
          <w:spacing w:val="-2"/>
          <w:kern w:val="0"/>
          <w:szCs w:val="21"/>
          <w:highlight w:val="none"/>
        </w:rPr>
        <w:t>应</w:t>
      </w:r>
      <w:r>
        <w:rPr>
          <w:rFonts w:hint="eastAsia" w:ascii="宋体" w:hAnsi="宋体" w:cs="宋体"/>
          <w:color w:val="auto"/>
          <w:kern w:val="0"/>
          <w:szCs w:val="21"/>
          <w:highlight w:val="none"/>
        </w:rPr>
        <w:t>仔</w:t>
      </w:r>
      <w:r>
        <w:rPr>
          <w:rFonts w:hint="eastAsia" w:ascii="宋体" w:hAnsi="宋体" w:cs="宋体"/>
          <w:color w:val="auto"/>
          <w:spacing w:val="-2"/>
          <w:kern w:val="0"/>
          <w:szCs w:val="21"/>
          <w:highlight w:val="none"/>
        </w:rPr>
        <w:t>细</w:t>
      </w:r>
      <w:r>
        <w:rPr>
          <w:rFonts w:hint="eastAsia" w:ascii="宋体" w:hAnsi="宋体" w:cs="宋体"/>
          <w:color w:val="auto"/>
          <w:kern w:val="0"/>
          <w:szCs w:val="21"/>
          <w:highlight w:val="none"/>
        </w:rPr>
        <w:t>阅</w:t>
      </w:r>
      <w:r>
        <w:rPr>
          <w:rFonts w:hint="eastAsia" w:ascii="宋体" w:hAnsi="宋体" w:cs="宋体"/>
          <w:color w:val="auto"/>
          <w:spacing w:val="-2"/>
          <w:kern w:val="0"/>
          <w:szCs w:val="21"/>
          <w:highlight w:val="none"/>
        </w:rPr>
        <w:t>读和</w:t>
      </w:r>
      <w:r>
        <w:rPr>
          <w:rFonts w:hint="eastAsia" w:ascii="宋体" w:hAnsi="宋体" w:cs="宋体"/>
          <w:color w:val="auto"/>
          <w:kern w:val="0"/>
          <w:szCs w:val="21"/>
          <w:highlight w:val="none"/>
        </w:rPr>
        <w:t>检查</w:t>
      </w:r>
      <w:r>
        <w:rPr>
          <w:rFonts w:hint="eastAsia" w:ascii="宋体" w:hAnsi="宋体" w:cs="宋体"/>
          <w:color w:val="auto"/>
          <w:spacing w:val="-2"/>
          <w:kern w:val="0"/>
          <w:szCs w:val="21"/>
          <w:highlight w:val="none"/>
        </w:rPr>
        <w:t>招</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文</w:t>
      </w:r>
      <w:r>
        <w:rPr>
          <w:rFonts w:hint="eastAsia" w:ascii="宋体" w:hAnsi="宋体" w:cs="宋体"/>
          <w:color w:val="auto"/>
          <w:kern w:val="0"/>
          <w:szCs w:val="21"/>
          <w:highlight w:val="none"/>
        </w:rPr>
        <w:t>件</w:t>
      </w:r>
      <w:r>
        <w:rPr>
          <w:rFonts w:hint="eastAsia" w:ascii="宋体" w:hAnsi="宋体" w:cs="宋体"/>
          <w:color w:val="auto"/>
          <w:spacing w:val="-2"/>
          <w:kern w:val="0"/>
          <w:szCs w:val="21"/>
          <w:highlight w:val="none"/>
        </w:rPr>
        <w:t>的</w:t>
      </w:r>
      <w:r>
        <w:rPr>
          <w:rFonts w:hint="eastAsia" w:ascii="宋体" w:hAnsi="宋体" w:cs="宋体"/>
          <w:color w:val="auto"/>
          <w:kern w:val="0"/>
          <w:szCs w:val="21"/>
          <w:highlight w:val="none"/>
        </w:rPr>
        <w:t>全</w:t>
      </w:r>
      <w:r>
        <w:rPr>
          <w:rFonts w:hint="eastAsia" w:ascii="宋体" w:hAnsi="宋体" w:cs="宋体"/>
          <w:color w:val="auto"/>
          <w:spacing w:val="-2"/>
          <w:kern w:val="0"/>
          <w:szCs w:val="21"/>
          <w:highlight w:val="none"/>
        </w:rPr>
        <w:t>部</w:t>
      </w:r>
      <w:r>
        <w:rPr>
          <w:rFonts w:hint="eastAsia" w:ascii="宋体" w:hAnsi="宋体" w:cs="宋体"/>
          <w:color w:val="auto"/>
          <w:kern w:val="0"/>
          <w:szCs w:val="21"/>
          <w:highlight w:val="none"/>
        </w:rPr>
        <w:t>内</w:t>
      </w:r>
      <w:r>
        <w:rPr>
          <w:rFonts w:hint="eastAsia" w:ascii="宋体" w:hAnsi="宋体" w:cs="宋体"/>
          <w:color w:val="auto"/>
          <w:spacing w:val="-2"/>
          <w:kern w:val="0"/>
          <w:szCs w:val="21"/>
          <w:highlight w:val="none"/>
        </w:rPr>
        <w:t>容</w:t>
      </w:r>
      <w:r>
        <w:rPr>
          <w:rFonts w:hint="eastAsia" w:ascii="宋体" w:hAnsi="宋体" w:cs="宋体"/>
          <w:color w:val="auto"/>
          <w:spacing w:val="-38"/>
          <w:kern w:val="0"/>
          <w:szCs w:val="21"/>
          <w:highlight w:val="none"/>
        </w:rPr>
        <w:t>。</w:t>
      </w:r>
      <w:r>
        <w:rPr>
          <w:rFonts w:hint="eastAsia" w:ascii="宋体" w:hAnsi="宋体" w:cs="宋体"/>
          <w:color w:val="auto"/>
          <w:kern w:val="0"/>
          <w:szCs w:val="21"/>
          <w:highlight w:val="none"/>
        </w:rPr>
        <w:t>如</w:t>
      </w:r>
      <w:r>
        <w:rPr>
          <w:rFonts w:hint="eastAsia" w:ascii="宋体" w:hAnsi="宋体" w:cs="宋体"/>
          <w:color w:val="auto"/>
          <w:spacing w:val="-2"/>
          <w:kern w:val="0"/>
          <w:szCs w:val="21"/>
          <w:highlight w:val="none"/>
        </w:rPr>
        <w:t>发</w:t>
      </w:r>
      <w:r>
        <w:rPr>
          <w:rFonts w:hint="eastAsia" w:ascii="宋体" w:hAnsi="宋体" w:cs="宋体"/>
          <w:color w:val="auto"/>
          <w:kern w:val="0"/>
          <w:szCs w:val="21"/>
          <w:highlight w:val="none"/>
        </w:rPr>
        <w:t>现</w:t>
      </w:r>
      <w:r>
        <w:rPr>
          <w:rFonts w:hint="eastAsia" w:ascii="宋体" w:hAnsi="宋体" w:cs="宋体"/>
          <w:color w:val="auto"/>
          <w:spacing w:val="-2"/>
          <w:kern w:val="0"/>
          <w:szCs w:val="21"/>
          <w:highlight w:val="none"/>
        </w:rPr>
        <w:t>缺</w:t>
      </w:r>
      <w:r>
        <w:rPr>
          <w:rFonts w:hint="eastAsia" w:ascii="宋体" w:hAnsi="宋体" w:cs="宋体"/>
          <w:color w:val="auto"/>
          <w:kern w:val="0"/>
          <w:szCs w:val="21"/>
          <w:highlight w:val="none"/>
        </w:rPr>
        <w:t>页</w:t>
      </w:r>
      <w:r>
        <w:rPr>
          <w:rFonts w:hint="eastAsia" w:ascii="宋体" w:hAnsi="宋体" w:cs="宋体"/>
          <w:color w:val="auto"/>
          <w:spacing w:val="-2"/>
          <w:kern w:val="0"/>
          <w:szCs w:val="21"/>
          <w:highlight w:val="none"/>
        </w:rPr>
        <w:t>或</w:t>
      </w:r>
      <w:r>
        <w:rPr>
          <w:rFonts w:hint="eastAsia" w:ascii="宋体" w:hAnsi="宋体" w:cs="宋体"/>
          <w:color w:val="auto"/>
          <w:kern w:val="0"/>
          <w:szCs w:val="21"/>
          <w:highlight w:val="none"/>
        </w:rPr>
        <w:t>附</w:t>
      </w:r>
      <w:r>
        <w:rPr>
          <w:rFonts w:hint="eastAsia" w:ascii="宋体" w:hAnsi="宋体" w:cs="宋体"/>
          <w:color w:val="auto"/>
          <w:spacing w:val="-2"/>
          <w:kern w:val="0"/>
          <w:szCs w:val="21"/>
          <w:highlight w:val="none"/>
        </w:rPr>
        <w:t>件</w:t>
      </w:r>
      <w:r>
        <w:rPr>
          <w:rFonts w:hint="eastAsia" w:ascii="宋体" w:hAnsi="宋体" w:cs="宋体"/>
          <w:color w:val="auto"/>
          <w:kern w:val="0"/>
          <w:szCs w:val="21"/>
          <w:highlight w:val="none"/>
        </w:rPr>
        <w:t>不全</w:t>
      </w:r>
      <w:r>
        <w:rPr>
          <w:rFonts w:hint="eastAsia" w:ascii="宋体" w:hAnsi="宋体" w:cs="宋体"/>
          <w:color w:val="auto"/>
          <w:spacing w:val="-41"/>
          <w:kern w:val="0"/>
          <w:szCs w:val="21"/>
          <w:highlight w:val="none"/>
        </w:rPr>
        <w:t>，</w:t>
      </w:r>
      <w:r>
        <w:rPr>
          <w:rFonts w:hint="eastAsia" w:ascii="宋体" w:hAnsi="宋体" w:cs="宋体"/>
          <w:color w:val="auto"/>
          <w:kern w:val="0"/>
          <w:szCs w:val="21"/>
          <w:highlight w:val="none"/>
        </w:rPr>
        <w:t>应及</w:t>
      </w:r>
      <w:r>
        <w:rPr>
          <w:rFonts w:hint="eastAsia" w:ascii="宋体" w:hAnsi="宋体" w:cs="宋体"/>
          <w:color w:val="auto"/>
          <w:spacing w:val="-2"/>
          <w:kern w:val="0"/>
          <w:szCs w:val="21"/>
          <w:highlight w:val="none"/>
        </w:rPr>
        <w:t>时</w:t>
      </w:r>
      <w:r>
        <w:rPr>
          <w:rFonts w:hint="eastAsia" w:ascii="宋体" w:hAnsi="宋体" w:cs="宋体"/>
          <w:color w:val="auto"/>
          <w:kern w:val="0"/>
          <w:szCs w:val="21"/>
          <w:highlight w:val="none"/>
        </w:rPr>
        <w:t>向招标人提出，以便</w:t>
      </w:r>
      <w:r>
        <w:rPr>
          <w:rFonts w:hint="eastAsia" w:ascii="宋体" w:hAnsi="宋体" w:cs="宋体"/>
          <w:color w:val="auto"/>
          <w:spacing w:val="-2"/>
          <w:kern w:val="0"/>
          <w:szCs w:val="21"/>
          <w:highlight w:val="none"/>
        </w:rPr>
        <w:t>补</w:t>
      </w:r>
      <w:r>
        <w:rPr>
          <w:rFonts w:hint="eastAsia" w:ascii="宋体" w:hAnsi="宋体" w:cs="宋体"/>
          <w:color w:val="auto"/>
          <w:kern w:val="0"/>
          <w:szCs w:val="21"/>
          <w:highlight w:val="none"/>
        </w:rPr>
        <w:t>齐。</w:t>
      </w:r>
      <w:r>
        <w:rPr>
          <w:rFonts w:hint="eastAsia" w:ascii="宋体" w:hAnsi="宋体" w:cs="宋体"/>
          <w:color w:val="auto"/>
          <w:spacing w:val="-2"/>
          <w:kern w:val="0"/>
          <w:szCs w:val="21"/>
          <w:highlight w:val="none"/>
        </w:rPr>
        <w:t>如</w:t>
      </w:r>
      <w:r>
        <w:rPr>
          <w:rFonts w:hint="eastAsia" w:ascii="宋体" w:hAnsi="宋体" w:cs="宋体"/>
          <w:color w:val="auto"/>
          <w:kern w:val="0"/>
          <w:szCs w:val="21"/>
          <w:highlight w:val="none"/>
        </w:rPr>
        <w:t>有疑问，应按投</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人须</w:t>
      </w:r>
      <w:r>
        <w:rPr>
          <w:rFonts w:hint="eastAsia" w:ascii="宋体" w:hAnsi="宋体" w:cs="宋体"/>
          <w:color w:val="auto"/>
          <w:spacing w:val="-2"/>
          <w:kern w:val="0"/>
          <w:szCs w:val="21"/>
          <w:highlight w:val="none"/>
        </w:rPr>
        <w:t>知</w:t>
      </w:r>
      <w:r>
        <w:rPr>
          <w:rFonts w:hint="eastAsia" w:ascii="宋体" w:hAnsi="宋体" w:cs="宋体"/>
          <w:color w:val="auto"/>
          <w:kern w:val="0"/>
          <w:szCs w:val="21"/>
          <w:highlight w:val="none"/>
        </w:rPr>
        <w:t>前附表规定的时</w:t>
      </w:r>
      <w:r>
        <w:rPr>
          <w:rFonts w:hint="eastAsia" w:ascii="宋体" w:hAnsi="宋体" w:cs="宋体"/>
          <w:color w:val="auto"/>
          <w:spacing w:val="-2"/>
          <w:kern w:val="0"/>
          <w:szCs w:val="21"/>
          <w:highlight w:val="none"/>
        </w:rPr>
        <w:t>间</w:t>
      </w:r>
      <w:r>
        <w:rPr>
          <w:rFonts w:hint="eastAsia" w:ascii="宋体" w:hAnsi="宋体" w:cs="宋体"/>
          <w:color w:val="auto"/>
          <w:kern w:val="0"/>
          <w:szCs w:val="21"/>
          <w:highlight w:val="none"/>
        </w:rPr>
        <w:t>和形</w:t>
      </w:r>
      <w:r>
        <w:rPr>
          <w:rFonts w:hint="eastAsia" w:ascii="宋体" w:hAnsi="宋体" w:cs="宋体"/>
          <w:color w:val="auto"/>
          <w:spacing w:val="-2"/>
          <w:kern w:val="0"/>
          <w:szCs w:val="21"/>
          <w:highlight w:val="none"/>
        </w:rPr>
        <w:t>式</w:t>
      </w:r>
      <w:r>
        <w:rPr>
          <w:rFonts w:hint="eastAsia" w:ascii="宋体" w:hAnsi="宋体" w:cs="宋体"/>
          <w:color w:val="auto"/>
          <w:kern w:val="0"/>
          <w:szCs w:val="21"/>
          <w:highlight w:val="none"/>
        </w:rPr>
        <w:t>将提出的问题</w:t>
      </w:r>
      <w:r>
        <w:rPr>
          <w:rFonts w:hint="eastAsia" w:ascii="宋体" w:hAnsi="宋体" w:cs="宋体"/>
          <w:color w:val="auto"/>
          <w:spacing w:val="-2"/>
          <w:kern w:val="0"/>
          <w:szCs w:val="21"/>
          <w:highlight w:val="none"/>
        </w:rPr>
        <w:t>送</w:t>
      </w:r>
      <w:r>
        <w:rPr>
          <w:rFonts w:hint="eastAsia" w:ascii="宋体" w:hAnsi="宋体" w:cs="宋体"/>
          <w:color w:val="auto"/>
          <w:kern w:val="0"/>
          <w:szCs w:val="21"/>
          <w:highlight w:val="none"/>
        </w:rPr>
        <w:t>达招标</w:t>
      </w:r>
      <w:r>
        <w:rPr>
          <w:rFonts w:hint="eastAsia" w:ascii="宋体" w:hAnsi="宋体" w:cs="宋体"/>
          <w:color w:val="auto"/>
          <w:spacing w:val="-2"/>
          <w:kern w:val="0"/>
          <w:szCs w:val="21"/>
          <w:highlight w:val="none"/>
        </w:rPr>
        <w:t>人</w:t>
      </w:r>
      <w:r>
        <w:rPr>
          <w:rFonts w:hint="eastAsia" w:ascii="宋体" w:hAnsi="宋体" w:cs="宋体"/>
          <w:color w:val="auto"/>
          <w:kern w:val="0"/>
          <w:szCs w:val="21"/>
          <w:highlight w:val="none"/>
        </w:rPr>
        <w:t>，</w:t>
      </w:r>
      <w:r>
        <w:rPr>
          <w:rFonts w:hint="eastAsia" w:ascii="宋体" w:hAnsi="宋体" w:cs="宋体"/>
          <w:color w:val="auto"/>
          <w:spacing w:val="-2"/>
          <w:kern w:val="0"/>
          <w:szCs w:val="21"/>
          <w:highlight w:val="none"/>
        </w:rPr>
        <w:t>要</w:t>
      </w:r>
      <w:r>
        <w:rPr>
          <w:rFonts w:hint="eastAsia" w:ascii="宋体" w:hAnsi="宋体" w:cs="宋体"/>
          <w:color w:val="auto"/>
          <w:kern w:val="0"/>
          <w:szCs w:val="21"/>
          <w:highlight w:val="none"/>
        </w:rPr>
        <w:t>求</w:t>
      </w:r>
      <w:r>
        <w:rPr>
          <w:rFonts w:hint="eastAsia" w:ascii="宋体" w:hAnsi="宋体" w:cs="宋体"/>
          <w:color w:val="auto"/>
          <w:spacing w:val="-2"/>
          <w:kern w:val="0"/>
          <w:szCs w:val="21"/>
          <w:highlight w:val="none"/>
        </w:rPr>
        <w:t>招</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人</w:t>
      </w:r>
      <w:r>
        <w:rPr>
          <w:rFonts w:hint="eastAsia" w:ascii="宋体" w:hAnsi="宋体" w:cs="宋体"/>
          <w:color w:val="auto"/>
          <w:kern w:val="0"/>
          <w:szCs w:val="21"/>
          <w:highlight w:val="none"/>
        </w:rPr>
        <w:t>对</w:t>
      </w:r>
      <w:r>
        <w:rPr>
          <w:rFonts w:hint="eastAsia" w:ascii="宋体" w:hAnsi="宋体" w:cs="宋体"/>
          <w:color w:val="auto"/>
          <w:spacing w:val="-2"/>
          <w:kern w:val="0"/>
          <w:szCs w:val="21"/>
          <w:highlight w:val="none"/>
        </w:rPr>
        <w:t>招</w:t>
      </w:r>
      <w:r>
        <w:rPr>
          <w:rFonts w:hint="eastAsia" w:ascii="宋体" w:hAnsi="宋体" w:cs="宋体"/>
          <w:color w:val="auto"/>
          <w:kern w:val="0"/>
          <w:szCs w:val="21"/>
          <w:highlight w:val="none"/>
        </w:rPr>
        <w:t>标文</w:t>
      </w:r>
      <w:r>
        <w:rPr>
          <w:rFonts w:hint="eastAsia" w:ascii="宋体" w:hAnsi="宋体" w:cs="宋体"/>
          <w:color w:val="auto"/>
          <w:spacing w:val="-2"/>
          <w:kern w:val="0"/>
          <w:szCs w:val="21"/>
          <w:highlight w:val="none"/>
        </w:rPr>
        <w:t>件</w:t>
      </w:r>
      <w:r>
        <w:rPr>
          <w:rFonts w:hint="eastAsia" w:ascii="宋体" w:hAnsi="宋体" w:cs="宋体"/>
          <w:color w:val="auto"/>
          <w:kern w:val="0"/>
          <w:szCs w:val="21"/>
          <w:highlight w:val="none"/>
        </w:rPr>
        <w:t>予</w:t>
      </w:r>
      <w:r>
        <w:rPr>
          <w:rFonts w:hint="eastAsia" w:ascii="宋体" w:hAnsi="宋体" w:cs="宋体"/>
          <w:color w:val="auto"/>
          <w:spacing w:val="-2"/>
          <w:kern w:val="0"/>
          <w:szCs w:val="21"/>
          <w:highlight w:val="none"/>
        </w:rPr>
        <w:t>以</w:t>
      </w:r>
      <w:r>
        <w:rPr>
          <w:rFonts w:hint="eastAsia" w:ascii="宋体" w:hAnsi="宋体" w:cs="宋体"/>
          <w:color w:val="auto"/>
          <w:kern w:val="0"/>
          <w:szCs w:val="21"/>
          <w:highlight w:val="none"/>
        </w:rPr>
        <w:t>澄</w:t>
      </w:r>
      <w:r>
        <w:rPr>
          <w:rFonts w:hint="eastAsia" w:ascii="宋体" w:hAnsi="宋体" w:cs="宋体"/>
          <w:color w:val="auto"/>
          <w:spacing w:val="-2"/>
          <w:kern w:val="0"/>
          <w:szCs w:val="21"/>
          <w:highlight w:val="none"/>
        </w:rPr>
        <w:t>清</w:t>
      </w:r>
      <w:r>
        <w:rPr>
          <w:rFonts w:hint="eastAsia" w:hAnsi="宋体"/>
          <w:color w:val="auto"/>
          <w:highlight w:val="none"/>
        </w:rPr>
        <w:t>。</w:t>
      </w:r>
    </w:p>
    <w:p w14:paraId="35A4DC3A">
      <w:pPr>
        <w:pStyle w:val="23"/>
        <w:tabs>
          <w:tab w:val="left" w:pos="2127"/>
        </w:tabs>
        <w:kinsoku/>
        <w:overflowPunct/>
        <w:bidi w:val="0"/>
        <w:spacing w:line="360" w:lineRule="auto"/>
        <w:ind w:firstLine="420" w:firstLineChars="200"/>
        <w:textAlignment w:val="auto"/>
        <w:rPr>
          <w:rFonts w:hAnsi="宋体"/>
          <w:color w:val="auto"/>
          <w:highlight w:val="none"/>
        </w:rPr>
      </w:pPr>
      <w:r>
        <w:rPr>
          <w:rFonts w:hint="eastAsia" w:hAnsi="宋体"/>
          <w:color w:val="auto"/>
          <w:highlight w:val="none"/>
        </w:rPr>
        <w:t xml:space="preserve">2.2.2 </w:t>
      </w:r>
      <w:r>
        <w:rPr>
          <w:rFonts w:hint="eastAsia" w:ascii="宋体" w:hAnsi="宋体" w:cs="宋体"/>
          <w:color w:val="auto"/>
          <w:kern w:val="0"/>
          <w:szCs w:val="21"/>
          <w:highlight w:val="none"/>
        </w:rPr>
        <w:t>招</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文</w:t>
      </w:r>
      <w:r>
        <w:rPr>
          <w:rFonts w:hint="eastAsia" w:ascii="宋体" w:hAnsi="宋体" w:cs="宋体"/>
          <w:color w:val="auto"/>
          <w:spacing w:val="-2"/>
          <w:kern w:val="0"/>
          <w:szCs w:val="21"/>
          <w:highlight w:val="none"/>
        </w:rPr>
        <w:t>件</w:t>
      </w:r>
      <w:r>
        <w:rPr>
          <w:rFonts w:hint="eastAsia" w:ascii="宋体" w:hAnsi="宋体" w:cs="宋体"/>
          <w:color w:val="auto"/>
          <w:kern w:val="0"/>
          <w:szCs w:val="21"/>
          <w:highlight w:val="none"/>
        </w:rPr>
        <w:t>的</w:t>
      </w:r>
      <w:r>
        <w:rPr>
          <w:rFonts w:hint="eastAsia" w:ascii="宋体" w:hAnsi="宋体" w:cs="宋体"/>
          <w:color w:val="auto"/>
          <w:spacing w:val="-2"/>
          <w:kern w:val="0"/>
          <w:szCs w:val="21"/>
          <w:highlight w:val="none"/>
        </w:rPr>
        <w:t>澄</w:t>
      </w:r>
      <w:r>
        <w:rPr>
          <w:rFonts w:hint="eastAsia" w:ascii="宋体" w:hAnsi="宋体" w:cs="宋体"/>
          <w:color w:val="auto"/>
          <w:kern w:val="0"/>
          <w:szCs w:val="21"/>
          <w:highlight w:val="none"/>
        </w:rPr>
        <w:t>清</w:t>
      </w:r>
      <w:r>
        <w:rPr>
          <w:rFonts w:hint="eastAsia" w:ascii="宋体" w:hAnsi="宋体" w:cs="宋体"/>
          <w:color w:val="auto"/>
          <w:spacing w:val="-2"/>
          <w:kern w:val="0"/>
          <w:szCs w:val="21"/>
          <w:highlight w:val="none"/>
        </w:rPr>
        <w:t>以投</w:t>
      </w:r>
      <w:r>
        <w:rPr>
          <w:rFonts w:hint="eastAsia" w:ascii="宋体" w:hAnsi="宋体" w:cs="宋体"/>
          <w:color w:val="auto"/>
          <w:kern w:val="0"/>
          <w:szCs w:val="21"/>
          <w:highlight w:val="none"/>
        </w:rPr>
        <w:t>标人</w:t>
      </w:r>
      <w:r>
        <w:rPr>
          <w:rFonts w:hint="eastAsia" w:ascii="宋体" w:hAnsi="宋体" w:cs="宋体"/>
          <w:color w:val="auto"/>
          <w:spacing w:val="-2"/>
          <w:kern w:val="0"/>
          <w:szCs w:val="21"/>
          <w:highlight w:val="none"/>
        </w:rPr>
        <w:t>须</w:t>
      </w:r>
      <w:r>
        <w:rPr>
          <w:rFonts w:hint="eastAsia" w:ascii="宋体" w:hAnsi="宋体" w:cs="宋体"/>
          <w:color w:val="auto"/>
          <w:kern w:val="0"/>
          <w:szCs w:val="21"/>
          <w:highlight w:val="none"/>
        </w:rPr>
        <w:t>知</w:t>
      </w:r>
      <w:r>
        <w:rPr>
          <w:rFonts w:hint="eastAsia" w:ascii="宋体" w:hAnsi="宋体" w:cs="宋体"/>
          <w:color w:val="auto"/>
          <w:spacing w:val="-2"/>
          <w:kern w:val="0"/>
          <w:szCs w:val="21"/>
          <w:highlight w:val="none"/>
        </w:rPr>
        <w:t>前</w:t>
      </w:r>
      <w:r>
        <w:rPr>
          <w:rFonts w:hint="eastAsia" w:ascii="宋体" w:hAnsi="宋体" w:cs="宋体"/>
          <w:color w:val="auto"/>
          <w:kern w:val="0"/>
          <w:szCs w:val="21"/>
          <w:highlight w:val="none"/>
        </w:rPr>
        <w:t>附</w:t>
      </w:r>
      <w:r>
        <w:rPr>
          <w:rFonts w:hint="eastAsia" w:ascii="宋体" w:hAnsi="宋体" w:cs="宋体"/>
          <w:color w:val="auto"/>
          <w:spacing w:val="-2"/>
          <w:kern w:val="0"/>
          <w:szCs w:val="21"/>
          <w:highlight w:val="none"/>
        </w:rPr>
        <w:t>表</w:t>
      </w:r>
      <w:r>
        <w:rPr>
          <w:rFonts w:hint="eastAsia" w:ascii="宋体" w:hAnsi="宋体" w:cs="宋体"/>
          <w:color w:val="auto"/>
          <w:kern w:val="0"/>
          <w:szCs w:val="21"/>
          <w:highlight w:val="none"/>
        </w:rPr>
        <w:t>规</w:t>
      </w:r>
      <w:r>
        <w:rPr>
          <w:rFonts w:hint="eastAsia" w:ascii="宋体" w:hAnsi="宋体" w:cs="宋体"/>
          <w:color w:val="auto"/>
          <w:spacing w:val="-2"/>
          <w:kern w:val="0"/>
          <w:szCs w:val="21"/>
          <w:highlight w:val="none"/>
        </w:rPr>
        <w:t>定</w:t>
      </w:r>
      <w:r>
        <w:rPr>
          <w:rFonts w:hint="eastAsia" w:ascii="宋体" w:hAnsi="宋体" w:cs="宋体"/>
          <w:color w:val="auto"/>
          <w:kern w:val="0"/>
          <w:szCs w:val="21"/>
          <w:highlight w:val="none"/>
        </w:rPr>
        <w:t>的</w:t>
      </w:r>
      <w:r>
        <w:rPr>
          <w:rFonts w:hint="eastAsia" w:ascii="宋体" w:hAnsi="宋体" w:cs="宋体"/>
          <w:color w:val="auto"/>
          <w:spacing w:val="-2"/>
          <w:kern w:val="0"/>
          <w:szCs w:val="21"/>
          <w:highlight w:val="none"/>
        </w:rPr>
        <w:t>形</w:t>
      </w:r>
      <w:r>
        <w:rPr>
          <w:rFonts w:hint="eastAsia" w:ascii="宋体" w:hAnsi="宋体" w:cs="宋体"/>
          <w:color w:val="auto"/>
          <w:kern w:val="0"/>
          <w:szCs w:val="21"/>
          <w:highlight w:val="none"/>
        </w:rPr>
        <w:t>式发</w:t>
      </w:r>
      <w:r>
        <w:rPr>
          <w:rFonts w:hint="eastAsia" w:ascii="宋体" w:hAnsi="宋体" w:cs="宋体"/>
          <w:color w:val="auto"/>
          <w:spacing w:val="-2"/>
          <w:kern w:val="0"/>
          <w:szCs w:val="21"/>
          <w:highlight w:val="none"/>
        </w:rPr>
        <w:t>给</w:t>
      </w:r>
      <w:r>
        <w:rPr>
          <w:rFonts w:hint="eastAsia" w:ascii="宋体" w:hAnsi="宋体" w:cs="宋体"/>
          <w:color w:val="auto"/>
          <w:kern w:val="0"/>
          <w:szCs w:val="21"/>
          <w:highlight w:val="none"/>
        </w:rPr>
        <w:t>所</w:t>
      </w:r>
      <w:r>
        <w:rPr>
          <w:rFonts w:hint="eastAsia" w:ascii="宋体" w:hAnsi="宋体" w:cs="宋体"/>
          <w:color w:val="auto"/>
          <w:spacing w:val="-2"/>
          <w:kern w:val="0"/>
          <w:szCs w:val="21"/>
          <w:highlight w:val="none"/>
        </w:rPr>
        <w:t>有</w:t>
      </w:r>
      <w:r>
        <w:rPr>
          <w:rFonts w:hint="eastAsia" w:hAnsi="宋体" w:cs="宋体"/>
          <w:color w:val="auto"/>
          <w:spacing w:val="-2"/>
          <w:kern w:val="0"/>
          <w:szCs w:val="21"/>
          <w:highlight w:val="none"/>
          <w:lang w:val="en-US" w:eastAsia="zh-CN"/>
        </w:rPr>
        <w:t>获取</w:t>
      </w:r>
      <w:r>
        <w:rPr>
          <w:rFonts w:hint="eastAsia" w:ascii="宋体" w:hAnsi="宋体" w:cs="宋体"/>
          <w:color w:val="auto"/>
          <w:kern w:val="0"/>
          <w:szCs w:val="21"/>
          <w:highlight w:val="none"/>
        </w:rPr>
        <w:t>招</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文</w:t>
      </w:r>
      <w:r>
        <w:rPr>
          <w:rFonts w:hint="eastAsia" w:ascii="宋体" w:hAnsi="宋体" w:cs="宋体"/>
          <w:color w:val="auto"/>
          <w:spacing w:val="-2"/>
          <w:kern w:val="0"/>
          <w:szCs w:val="21"/>
          <w:highlight w:val="none"/>
        </w:rPr>
        <w:t>件</w:t>
      </w:r>
      <w:r>
        <w:rPr>
          <w:rFonts w:hint="eastAsia" w:ascii="宋体" w:hAnsi="宋体" w:cs="宋体"/>
          <w:color w:val="auto"/>
          <w:kern w:val="0"/>
          <w:szCs w:val="21"/>
          <w:highlight w:val="none"/>
        </w:rPr>
        <w:t>的投</w:t>
      </w:r>
      <w:r>
        <w:rPr>
          <w:rFonts w:hint="eastAsia" w:ascii="宋体" w:hAnsi="宋体" w:cs="宋体"/>
          <w:color w:val="auto"/>
          <w:spacing w:val="-2"/>
          <w:kern w:val="0"/>
          <w:szCs w:val="21"/>
          <w:highlight w:val="none"/>
        </w:rPr>
        <w:t>标人</w:t>
      </w:r>
      <w:r>
        <w:rPr>
          <w:rFonts w:hint="eastAsia" w:ascii="宋体" w:hAnsi="宋体" w:cs="宋体"/>
          <w:color w:val="auto"/>
          <w:spacing w:val="-22"/>
          <w:kern w:val="0"/>
          <w:szCs w:val="21"/>
          <w:highlight w:val="none"/>
        </w:rPr>
        <w:t>，</w:t>
      </w:r>
      <w:r>
        <w:rPr>
          <w:rFonts w:hint="eastAsia" w:ascii="宋体" w:hAnsi="宋体" w:cs="宋体"/>
          <w:color w:val="auto"/>
          <w:kern w:val="0"/>
          <w:szCs w:val="21"/>
          <w:highlight w:val="none"/>
        </w:rPr>
        <w:t>但不指</w:t>
      </w:r>
      <w:r>
        <w:rPr>
          <w:rFonts w:hint="eastAsia" w:ascii="宋体" w:hAnsi="宋体" w:cs="宋体"/>
          <w:color w:val="auto"/>
          <w:spacing w:val="-2"/>
          <w:kern w:val="0"/>
          <w:szCs w:val="21"/>
          <w:highlight w:val="none"/>
        </w:rPr>
        <w:t>明</w:t>
      </w:r>
      <w:r>
        <w:rPr>
          <w:rFonts w:hint="eastAsia" w:ascii="宋体" w:hAnsi="宋体" w:cs="宋体"/>
          <w:color w:val="auto"/>
          <w:kern w:val="0"/>
          <w:szCs w:val="21"/>
          <w:highlight w:val="none"/>
        </w:rPr>
        <w:t>澄</w:t>
      </w:r>
      <w:r>
        <w:rPr>
          <w:rFonts w:hint="eastAsia" w:ascii="宋体" w:hAnsi="宋体" w:cs="宋体"/>
          <w:color w:val="auto"/>
          <w:spacing w:val="-2"/>
          <w:kern w:val="0"/>
          <w:szCs w:val="21"/>
          <w:highlight w:val="none"/>
        </w:rPr>
        <w:t>清</w:t>
      </w:r>
      <w:r>
        <w:rPr>
          <w:rFonts w:hint="eastAsia" w:ascii="宋体" w:hAnsi="宋体" w:cs="宋体"/>
          <w:color w:val="auto"/>
          <w:kern w:val="0"/>
          <w:szCs w:val="21"/>
          <w:highlight w:val="none"/>
        </w:rPr>
        <w:t>问</w:t>
      </w:r>
      <w:r>
        <w:rPr>
          <w:rFonts w:hint="eastAsia" w:ascii="宋体" w:hAnsi="宋体" w:cs="宋体"/>
          <w:color w:val="auto"/>
          <w:spacing w:val="-2"/>
          <w:kern w:val="0"/>
          <w:szCs w:val="21"/>
          <w:highlight w:val="none"/>
        </w:rPr>
        <w:t>题</w:t>
      </w:r>
      <w:r>
        <w:rPr>
          <w:rFonts w:hint="eastAsia" w:ascii="宋体" w:hAnsi="宋体" w:cs="宋体"/>
          <w:color w:val="auto"/>
          <w:kern w:val="0"/>
          <w:szCs w:val="21"/>
          <w:highlight w:val="none"/>
        </w:rPr>
        <w:t>的</w:t>
      </w:r>
      <w:r>
        <w:rPr>
          <w:rFonts w:hint="eastAsia" w:ascii="宋体" w:hAnsi="宋体" w:cs="宋体"/>
          <w:color w:val="auto"/>
          <w:spacing w:val="-2"/>
          <w:kern w:val="0"/>
          <w:szCs w:val="21"/>
          <w:highlight w:val="none"/>
        </w:rPr>
        <w:t>来</w:t>
      </w:r>
      <w:r>
        <w:rPr>
          <w:rFonts w:hint="eastAsia" w:ascii="宋体" w:hAnsi="宋体" w:cs="宋体"/>
          <w:color w:val="auto"/>
          <w:kern w:val="0"/>
          <w:szCs w:val="21"/>
          <w:highlight w:val="none"/>
        </w:rPr>
        <w:t>源</w:t>
      </w:r>
      <w:r>
        <w:rPr>
          <w:rFonts w:hint="eastAsia" w:ascii="宋体" w:hAnsi="宋体" w:cs="宋体"/>
          <w:color w:val="auto"/>
          <w:spacing w:val="-2"/>
          <w:kern w:val="0"/>
          <w:szCs w:val="21"/>
          <w:highlight w:val="none"/>
        </w:rPr>
        <w:t>。</w:t>
      </w:r>
      <w:r>
        <w:rPr>
          <w:rFonts w:hint="eastAsia" w:ascii="宋体" w:hAnsi="宋体" w:cs="宋体"/>
          <w:color w:val="auto"/>
          <w:kern w:val="0"/>
          <w:szCs w:val="21"/>
          <w:highlight w:val="none"/>
        </w:rPr>
        <w:t>澄清</w:t>
      </w:r>
      <w:r>
        <w:rPr>
          <w:rFonts w:hint="eastAsia" w:ascii="宋体" w:hAnsi="宋体" w:cs="宋体"/>
          <w:color w:val="auto"/>
          <w:spacing w:val="-2"/>
          <w:kern w:val="0"/>
          <w:szCs w:val="21"/>
          <w:highlight w:val="none"/>
        </w:rPr>
        <w:t>发</w:t>
      </w:r>
      <w:r>
        <w:rPr>
          <w:rFonts w:hint="eastAsia" w:ascii="宋体" w:hAnsi="宋体" w:cs="宋体"/>
          <w:color w:val="auto"/>
          <w:kern w:val="0"/>
          <w:szCs w:val="21"/>
          <w:highlight w:val="none"/>
        </w:rPr>
        <w:t>出</w:t>
      </w:r>
      <w:r>
        <w:rPr>
          <w:rFonts w:hint="eastAsia" w:ascii="宋体" w:hAnsi="宋体" w:cs="宋体"/>
          <w:color w:val="auto"/>
          <w:spacing w:val="-2"/>
          <w:kern w:val="0"/>
          <w:szCs w:val="21"/>
          <w:highlight w:val="none"/>
        </w:rPr>
        <w:t>的</w:t>
      </w:r>
      <w:r>
        <w:rPr>
          <w:rFonts w:hint="eastAsia" w:ascii="宋体" w:hAnsi="宋体" w:cs="宋体"/>
          <w:color w:val="auto"/>
          <w:kern w:val="0"/>
          <w:szCs w:val="21"/>
          <w:highlight w:val="none"/>
        </w:rPr>
        <w:t>时</w:t>
      </w:r>
      <w:r>
        <w:rPr>
          <w:rFonts w:hint="eastAsia" w:ascii="宋体" w:hAnsi="宋体" w:cs="宋体"/>
          <w:color w:val="auto"/>
          <w:spacing w:val="-2"/>
          <w:kern w:val="0"/>
          <w:szCs w:val="21"/>
          <w:highlight w:val="none"/>
        </w:rPr>
        <w:t>间</w:t>
      </w:r>
      <w:r>
        <w:rPr>
          <w:rFonts w:hint="eastAsia" w:ascii="宋体" w:hAnsi="宋体" w:cs="宋体"/>
          <w:color w:val="auto"/>
          <w:kern w:val="0"/>
          <w:szCs w:val="21"/>
          <w:highlight w:val="none"/>
        </w:rPr>
        <w:t>距</w:t>
      </w:r>
      <w:r>
        <w:rPr>
          <w:rFonts w:hint="eastAsia" w:ascii="宋体" w:hAnsi="宋体" w:cs="宋体"/>
          <w:color w:val="auto"/>
          <w:spacing w:val="-2"/>
          <w:kern w:val="0"/>
          <w:szCs w:val="21"/>
          <w:highlight w:val="none"/>
        </w:rPr>
        <w:t>本</w:t>
      </w:r>
      <w:r>
        <w:rPr>
          <w:rFonts w:hint="eastAsia" w:ascii="宋体" w:hAnsi="宋体" w:cs="宋体"/>
          <w:color w:val="auto"/>
          <w:kern w:val="0"/>
          <w:szCs w:val="21"/>
          <w:highlight w:val="none"/>
        </w:rPr>
        <w:t>章第4.2.1</w:t>
      </w:r>
      <w:r>
        <w:rPr>
          <w:rFonts w:hint="eastAsia" w:ascii="宋体" w:hAnsi="宋体" w:cs="宋体"/>
          <w:color w:val="auto"/>
          <w:spacing w:val="-2"/>
          <w:kern w:val="0"/>
          <w:szCs w:val="21"/>
          <w:highlight w:val="none"/>
        </w:rPr>
        <w:t>项</w:t>
      </w:r>
      <w:r>
        <w:rPr>
          <w:rFonts w:hint="eastAsia" w:ascii="宋体" w:hAnsi="宋体" w:cs="宋体"/>
          <w:color w:val="auto"/>
          <w:kern w:val="0"/>
          <w:szCs w:val="21"/>
          <w:highlight w:val="none"/>
        </w:rPr>
        <w:t>规</w:t>
      </w:r>
      <w:r>
        <w:rPr>
          <w:rFonts w:hint="eastAsia" w:ascii="宋体" w:hAnsi="宋体" w:cs="宋体"/>
          <w:color w:val="auto"/>
          <w:spacing w:val="-2"/>
          <w:kern w:val="0"/>
          <w:szCs w:val="21"/>
          <w:highlight w:val="none"/>
        </w:rPr>
        <w:t>定</w:t>
      </w:r>
      <w:r>
        <w:rPr>
          <w:rFonts w:hint="eastAsia" w:ascii="宋体" w:hAnsi="宋体" w:cs="宋体"/>
          <w:color w:val="auto"/>
          <w:kern w:val="0"/>
          <w:szCs w:val="21"/>
          <w:highlight w:val="none"/>
        </w:rPr>
        <w:t>的</w:t>
      </w:r>
      <w:r>
        <w:rPr>
          <w:rFonts w:hint="eastAsia" w:ascii="宋体" w:hAnsi="宋体" w:cs="宋体"/>
          <w:color w:val="auto"/>
          <w:spacing w:val="-2"/>
          <w:kern w:val="0"/>
          <w:szCs w:val="21"/>
          <w:highlight w:val="none"/>
        </w:rPr>
        <w:t>投</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截</w:t>
      </w:r>
      <w:r>
        <w:rPr>
          <w:rFonts w:hint="eastAsia" w:ascii="宋体" w:hAnsi="宋体" w:cs="宋体"/>
          <w:color w:val="auto"/>
          <w:kern w:val="0"/>
          <w:szCs w:val="21"/>
          <w:highlight w:val="none"/>
        </w:rPr>
        <w:t>止</w:t>
      </w:r>
      <w:r>
        <w:rPr>
          <w:rFonts w:hint="eastAsia" w:ascii="宋体" w:hAnsi="宋体" w:cs="宋体"/>
          <w:color w:val="auto"/>
          <w:spacing w:val="-2"/>
          <w:kern w:val="0"/>
          <w:szCs w:val="21"/>
          <w:highlight w:val="none"/>
        </w:rPr>
        <w:t>时</w:t>
      </w:r>
      <w:r>
        <w:rPr>
          <w:rFonts w:hint="eastAsia" w:ascii="宋体" w:hAnsi="宋体" w:cs="宋体"/>
          <w:color w:val="auto"/>
          <w:kern w:val="0"/>
          <w:szCs w:val="21"/>
          <w:highlight w:val="none"/>
        </w:rPr>
        <w:t>间不足15</w:t>
      </w:r>
      <w:r>
        <w:rPr>
          <w:rFonts w:hint="eastAsia" w:ascii="宋体" w:hAnsi="宋体" w:cs="宋体"/>
          <w:color w:val="auto"/>
          <w:spacing w:val="-2"/>
          <w:kern w:val="0"/>
          <w:szCs w:val="21"/>
          <w:highlight w:val="none"/>
        </w:rPr>
        <w:t>日的，</w:t>
      </w:r>
      <w:r>
        <w:rPr>
          <w:rFonts w:hint="eastAsia" w:ascii="宋体" w:hAnsi="宋体" w:cs="宋体"/>
          <w:color w:val="auto"/>
          <w:kern w:val="0"/>
          <w:position w:val="-1"/>
          <w:szCs w:val="21"/>
          <w:highlight w:val="none"/>
        </w:rPr>
        <w:t>并且</w:t>
      </w:r>
      <w:r>
        <w:rPr>
          <w:rFonts w:hint="eastAsia" w:ascii="宋体" w:hAnsi="宋体" w:cs="宋体"/>
          <w:color w:val="auto"/>
          <w:spacing w:val="-2"/>
          <w:kern w:val="0"/>
          <w:position w:val="-1"/>
          <w:szCs w:val="21"/>
          <w:highlight w:val="none"/>
        </w:rPr>
        <w:t>澄</w:t>
      </w:r>
      <w:r>
        <w:rPr>
          <w:rFonts w:hint="eastAsia" w:ascii="宋体" w:hAnsi="宋体" w:cs="宋体"/>
          <w:color w:val="auto"/>
          <w:kern w:val="0"/>
          <w:position w:val="-1"/>
          <w:szCs w:val="21"/>
          <w:highlight w:val="none"/>
        </w:rPr>
        <w:t>清</w:t>
      </w:r>
      <w:r>
        <w:rPr>
          <w:rFonts w:hint="eastAsia" w:ascii="宋体" w:hAnsi="宋体" w:cs="宋体"/>
          <w:color w:val="auto"/>
          <w:spacing w:val="-2"/>
          <w:kern w:val="0"/>
          <w:position w:val="-1"/>
          <w:szCs w:val="21"/>
          <w:highlight w:val="none"/>
        </w:rPr>
        <w:t>内</w:t>
      </w:r>
      <w:r>
        <w:rPr>
          <w:rFonts w:hint="eastAsia" w:ascii="宋体" w:hAnsi="宋体" w:cs="宋体"/>
          <w:color w:val="auto"/>
          <w:kern w:val="0"/>
          <w:position w:val="-1"/>
          <w:szCs w:val="21"/>
          <w:highlight w:val="none"/>
        </w:rPr>
        <w:t>容</w:t>
      </w:r>
      <w:r>
        <w:rPr>
          <w:rFonts w:hint="eastAsia" w:ascii="宋体" w:hAnsi="宋体" w:cs="宋体"/>
          <w:color w:val="auto"/>
          <w:spacing w:val="-2"/>
          <w:kern w:val="0"/>
          <w:position w:val="-1"/>
          <w:szCs w:val="21"/>
          <w:highlight w:val="none"/>
        </w:rPr>
        <w:t>可</w:t>
      </w:r>
      <w:r>
        <w:rPr>
          <w:rFonts w:hint="eastAsia" w:ascii="宋体" w:hAnsi="宋体" w:cs="宋体"/>
          <w:color w:val="auto"/>
          <w:kern w:val="0"/>
          <w:position w:val="-1"/>
          <w:szCs w:val="21"/>
          <w:highlight w:val="none"/>
        </w:rPr>
        <w:t>能</w:t>
      </w:r>
      <w:r>
        <w:rPr>
          <w:rFonts w:hint="eastAsia" w:ascii="宋体" w:hAnsi="宋体" w:cs="宋体"/>
          <w:color w:val="auto"/>
          <w:spacing w:val="-2"/>
          <w:kern w:val="0"/>
          <w:position w:val="-1"/>
          <w:szCs w:val="21"/>
          <w:highlight w:val="none"/>
        </w:rPr>
        <w:t>影</w:t>
      </w:r>
      <w:r>
        <w:rPr>
          <w:rFonts w:hint="eastAsia" w:ascii="宋体" w:hAnsi="宋体" w:cs="宋体"/>
          <w:color w:val="auto"/>
          <w:kern w:val="0"/>
          <w:position w:val="-1"/>
          <w:szCs w:val="21"/>
          <w:highlight w:val="none"/>
        </w:rPr>
        <w:t>响</w:t>
      </w:r>
      <w:r>
        <w:rPr>
          <w:rFonts w:hint="eastAsia" w:ascii="宋体" w:hAnsi="宋体" w:cs="宋体"/>
          <w:color w:val="auto"/>
          <w:spacing w:val="-2"/>
          <w:kern w:val="0"/>
          <w:position w:val="-1"/>
          <w:szCs w:val="21"/>
          <w:highlight w:val="none"/>
        </w:rPr>
        <w:t>投</w:t>
      </w:r>
      <w:r>
        <w:rPr>
          <w:rFonts w:hint="eastAsia" w:ascii="宋体" w:hAnsi="宋体" w:cs="宋体"/>
          <w:color w:val="auto"/>
          <w:kern w:val="0"/>
          <w:position w:val="-1"/>
          <w:szCs w:val="21"/>
          <w:highlight w:val="none"/>
        </w:rPr>
        <w:t>标文</w:t>
      </w:r>
      <w:r>
        <w:rPr>
          <w:rFonts w:hint="eastAsia" w:ascii="宋体" w:hAnsi="宋体" w:cs="宋体"/>
          <w:color w:val="auto"/>
          <w:spacing w:val="-2"/>
          <w:kern w:val="0"/>
          <w:position w:val="-1"/>
          <w:szCs w:val="21"/>
          <w:highlight w:val="none"/>
        </w:rPr>
        <w:t>件</w:t>
      </w:r>
      <w:r>
        <w:rPr>
          <w:rFonts w:hint="eastAsia" w:ascii="宋体" w:hAnsi="宋体" w:cs="宋体"/>
          <w:color w:val="auto"/>
          <w:kern w:val="0"/>
          <w:position w:val="-1"/>
          <w:szCs w:val="21"/>
          <w:highlight w:val="none"/>
        </w:rPr>
        <w:t>编</w:t>
      </w:r>
      <w:r>
        <w:rPr>
          <w:rFonts w:hint="eastAsia" w:ascii="宋体" w:hAnsi="宋体" w:cs="宋体"/>
          <w:color w:val="auto"/>
          <w:spacing w:val="-2"/>
          <w:kern w:val="0"/>
          <w:position w:val="-1"/>
          <w:szCs w:val="21"/>
          <w:highlight w:val="none"/>
        </w:rPr>
        <w:t>制</w:t>
      </w:r>
      <w:r>
        <w:rPr>
          <w:rFonts w:hint="eastAsia" w:ascii="宋体" w:hAnsi="宋体" w:cs="宋体"/>
          <w:color w:val="auto"/>
          <w:kern w:val="0"/>
          <w:position w:val="-1"/>
          <w:szCs w:val="21"/>
          <w:highlight w:val="none"/>
        </w:rPr>
        <w:t>的</w:t>
      </w:r>
      <w:r>
        <w:rPr>
          <w:rFonts w:hint="eastAsia" w:ascii="宋体" w:hAnsi="宋体" w:cs="宋体"/>
          <w:color w:val="auto"/>
          <w:spacing w:val="-2"/>
          <w:kern w:val="0"/>
          <w:position w:val="-1"/>
          <w:szCs w:val="21"/>
          <w:highlight w:val="none"/>
        </w:rPr>
        <w:t>，</w:t>
      </w:r>
      <w:r>
        <w:rPr>
          <w:rFonts w:hint="eastAsia" w:ascii="宋体" w:hAnsi="宋体" w:cs="宋体"/>
          <w:color w:val="auto"/>
          <w:kern w:val="0"/>
          <w:position w:val="-1"/>
          <w:szCs w:val="21"/>
          <w:highlight w:val="none"/>
        </w:rPr>
        <w:t>将</w:t>
      </w:r>
      <w:r>
        <w:rPr>
          <w:rFonts w:hint="eastAsia" w:ascii="宋体" w:hAnsi="宋体" w:cs="宋体"/>
          <w:color w:val="auto"/>
          <w:spacing w:val="-2"/>
          <w:kern w:val="0"/>
          <w:position w:val="-1"/>
          <w:szCs w:val="21"/>
          <w:highlight w:val="none"/>
        </w:rPr>
        <w:t>相</w:t>
      </w:r>
      <w:r>
        <w:rPr>
          <w:rFonts w:hint="eastAsia" w:ascii="宋体" w:hAnsi="宋体" w:cs="宋体"/>
          <w:color w:val="auto"/>
          <w:kern w:val="0"/>
          <w:position w:val="-1"/>
          <w:szCs w:val="21"/>
          <w:highlight w:val="none"/>
        </w:rPr>
        <w:t>应</w:t>
      </w:r>
      <w:r>
        <w:rPr>
          <w:rFonts w:hint="eastAsia" w:ascii="宋体" w:hAnsi="宋体" w:cs="宋体"/>
          <w:color w:val="auto"/>
          <w:spacing w:val="-2"/>
          <w:kern w:val="0"/>
          <w:position w:val="-1"/>
          <w:szCs w:val="21"/>
          <w:highlight w:val="none"/>
        </w:rPr>
        <w:t>延</w:t>
      </w:r>
      <w:r>
        <w:rPr>
          <w:rFonts w:hint="eastAsia" w:ascii="宋体" w:hAnsi="宋体" w:cs="宋体"/>
          <w:color w:val="auto"/>
          <w:kern w:val="0"/>
          <w:position w:val="-1"/>
          <w:szCs w:val="21"/>
          <w:highlight w:val="none"/>
        </w:rPr>
        <w:t>长投</w:t>
      </w:r>
      <w:r>
        <w:rPr>
          <w:rFonts w:hint="eastAsia" w:ascii="宋体" w:hAnsi="宋体" w:cs="宋体"/>
          <w:color w:val="auto"/>
          <w:spacing w:val="-2"/>
          <w:kern w:val="0"/>
          <w:position w:val="-1"/>
          <w:szCs w:val="21"/>
          <w:highlight w:val="none"/>
        </w:rPr>
        <w:t>标</w:t>
      </w:r>
      <w:r>
        <w:rPr>
          <w:rFonts w:hint="eastAsia" w:ascii="宋体" w:hAnsi="宋体" w:cs="宋体"/>
          <w:color w:val="auto"/>
          <w:kern w:val="0"/>
          <w:position w:val="-1"/>
          <w:szCs w:val="21"/>
          <w:highlight w:val="none"/>
        </w:rPr>
        <w:t>截</w:t>
      </w:r>
      <w:r>
        <w:rPr>
          <w:rFonts w:hint="eastAsia" w:ascii="宋体" w:hAnsi="宋体" w:cs="宋体"/>
          <w:color w:val="auto"/>
          <w:spacing w:val="-2"/>
          <w:kern w:val="0"/>
          <w:position w:val="-1"/>
          <w:szCs w:val="21"/>
          <w:highlight w:val="none"/>
        </w:rPr>
        <w:t>止</w:t>
      </w:r>
      <w:r>
        <w:rPr>
          <w:rFonts w:hint="eastAsia" w:ascii="宋体" w:hAnsi="宋体" w:cs="宋体"/>
          <w:color w:val="auto"/>
          <w:kern w:val="0"/>
          <w:position w:val="-1"/>
          <w:szCs w:val="21"/>
          <w:highlight w:val="none"/>
        </w:rPr>
        <w:t>时</w:t>
      </w:r>
      <w:r>
        <w:rPr>
          <w:rFonts w:hint="eastAsia" w:ascii="宋体" w:hAnsi="宋体" w:cs="宋体"/>
          <w:color w:val="auto"/>
          <w:spacing w:val="-2"/>
          <w:kern w:val="0"/>
          <w:position w:val="-1"/>
          <w:szCs w:val="21"/>
          <w:highlight w:val="none"/>
        </w:rPr>
        <w:t>间</w:t>
      </w:r>
      <w:r>
        <w:rPr>
          <w:rFonts w:hint="eastAsia" w:ascii="宋体" w:hAnsi="宋体" w:cs="宋体"/>
          <w:color w:val="auto"/>
          <w:kern w:val="0"/>
          <w:position w:val="-1"/>
          <w:szCs w:val="21"/>
          <w:highlight w:val="none"/>
        </w:rPr>
        <w:t>。</w:t>
      </w:r>
    </w:p>
    <w:p w14:paraId="21E52F56">
      <w:pPr>
        <w:pStyle w:val="23"/>
        <w:tabs>
          <w:tab w:val="left" w:pos="2127"/>
        </w:tabs>
        <w:kinsoku/>
        <w:overflowPunct/>
        <w:bidi w:val="0"/>
        <w:spacing w:line="360" w:lineRule="auto"/>
        <w:ind w:firstLine="420" w:firstLineChars="200"/>
        <w:textAlignment w:val="auto"/>
        <w:rPr>
          <w:rFonts w:hint="eastAsia" w:hAnsi="宋体"/>
          <w:color w:val="auto"/>
          <w:highlight w:val="none"/>
        </w:rPr>
      </w:pPr>
      <w:r>
        <w:rPr>
          <w:rFonts w:hint="eastAsia" w:hAnsi="宋体"/>
          <w:color w:val="auto"/>
          <w:highlight w:val="none"/>
        </w:rPr>
        <w:t>2.2.3 投标人在收到澄清后应按投标人须知前附表规定形式通知招标人，确认已收到该澄清。</w:t>
      </w:r>
    </w:p>
    <w:p w14:paraId="224D47E7">
      <w:pPr>
        <w:pStyle w:val="23"/>
        <w:tabs>
          <w:tab w:val="left" w:pos="2127"/>
        </w:tabs>
        <w:kinsoku/>
        <w:overflowPunct/>
        <w:bidi w:val="0"/>
        <w:spacing w:line="360" w:lineRule="auto"/>
        <w:ind w:firstLine="420" w:firstLineChars="200"/>
        <w:textAlignment w:val="auto"/>
        <w:rPr>
          <w:rFonts w:hint="eastAsia" w:hAnsi="宋体" w:eastAsia="宋体"/>
          <w:color w:val="auto"/>
          <w:highlight w:val="none"/>
          <w:lang w:eastAsia="zh-CN"/>
        </w:rPr>
      </w:pPr>
      <w:r>
        <w:rPr>
          <w:rFonts w:hint="eastAsia" w:hAnsi="宋体"/>
          <w:color w:val="auto"/>
          <w:highlight w:val="none"/>
        </w:rPr>
        <w:t>2.2.</w:t>
      </w:r>
      <w:r>
        <w:rPr>
          <w:rFonts w:hint="eastAsia" w:hAnsi="宋体"/>
          <w:color w:val="auto"/>
          <w:highlight w:val="none"/>
          <w:lang w:val="en-US" w:eastAsia="zh-CN"/>
        </w:rPr>
        <w:t>4</w:t>
      </w:r>
      <w:r>
        <w:rPr>
          <w:rFonts w:hint="eastAsia" w:ascii="宋体" w:hAnsi="宋体" w:cs="宋体"/>
          <w:color w:val="auto"/>
          <w:kern w:val="0"/>
          <w:szCs w:val="21"/>
          <w:highlight w:val="none"/>
        </w:rPr>
        <w:t>除</w:t>
      </w:r>
      <w:r>
        <w:rPr>
          <w:rFonts w:hint="eastAsia" w:ascii="宋体" w:hAnsi="宋体" w:cs="宋体"/>
          <w:color w:val="auto"/>
          <w:spacing w:val="-2"/>
          <w:kern w:val="0"/>
          <w:szCs w:val="21"/>
          <w:highlight w:val="none"/>
        </w:rPr>
        <w:t>非</w:t>
      </w:r>
      <w:r>
        <w:rPr>
          <w:rFonts w:hint="eastAsia" w:ascii="宋体" w:hAnsi="宋体" w:cs="宋体"/>
          <w:color w:val="auto"/>
          <w:kern w:val="0"/>
          <w:szCs w:val="21"/>
          <w:highlight w:val="none"/>
        </w:rPr>
        <w:t>招</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人</w:t>
      </w:r>
      <w:r>
        <w:rPr>
          <w:rFonts w:hint="eastAsia" w:ascii="宋体" w:hAnsi="宋体" w:cs="宋体"/>
          <w:color w:val="auto"/>
          <w:spacing w:val="-2"/>
          <w:kern w:val="0"/>
          <w:szCs w:val="21"/>
          <w:highlight w:val="none"/>
        </w:rPr>
        <w:t>认</w:t>
      </w:r>
      <w:r>
        <w:rPr>
          <w:rFonts w:hint="eastAsia" w:ascii="宋体" w:hAnsi="宋体" w:cs="宋体"/>
          <w:color w:val="auto"/>
          <w:kern w:val="0"/>
          <w:szCs w:val="21"/>
          <w:highlight w:val="none"/>
        </w:rPr>
        <w:t>为</w:t>
      </w:r>
      <w:r>
        <w:rPr>
          <w:rFonts w:hint="eastAsia" w:ascii="宋体" w:hAnsi="宋体" w:cs="宋体"/>
          <w:color w:val="auto"/>
          <w:spacing w:val="-2"/>
          <w:kern w:val="0"/>
          <w:szCs w:val="21"/>
          <w:highlight w:val="none"/>
        </w:rPr>
        <w:t>确有</w:t>
      </w:r>
      <w:r>
        <w:rPr>
          <w:rFonts w:hint="eastAsia" w:ascii="宋体" w:hAnsi="宋体" w:cs="宋体"/>
          <w:color w:val="auto"/>
          <w:kern w:val="0"/>
          <w:szCs w:val="21"/>
          <w:highlight w:val="none"/>
        </w:rPr>
        <w:t>必要</w:t>
      </w:r>
      <w:r>
        <w:rPr>
          <w:rFonts w:hint="eastAsia" w:ascii="宋体" w:hAnsi="宋体" w:cs="宋体"/>
          <w:color w:val="auto"/>
          <w:spacing w:val="-2"/>
          <w:kern w:val="0"/>
          <w:szCs w:val="21"/>
          <w:highlight w:val="none"/>
        </w:rPr>
        <w:t>答</w:t>
      </w:r>
      <w:r>
        <w:rPr>
          <w:rFonts w:hint="eastAsia" w:ascii="宋体" w:hAnsi="宋体" w:cs="宋体"/>
          <w:color w:val="auto"/>
          <w:kern w:val="0"/>
          <w:szCs w:val="21"/>
          <w:highlight w:val="none"/>
        </w:rPr>
        <w:t>复</w:t>
      </w:r>
      <w:r>
        <w:rPr>
          <w:rFonts w:hint="eastAsia" w:ascii="宋体" w:hAnsi="宋体" w:cs="宋体"/>
          <w:color w:val="auto"/>
          <w:spacing w:val="-2"/>
          <w:kern w:val="0"/>
          <w:szCs w:val="21"/>
          <w:highlight w:val="none"/>
        </w:rPr>
        <w:t>，</w:t>
      </w:r>
      <w:r>
        <w:rPr>
          <w:rFonts w:hint="eastAsia" w:ascii="宋体" w:hAnsi="宋体" w:cs="宋体"/>
          <w:color w:val="auto"/>
          <w:kern w:val="0"/>
          <w:szCs w:val="21"/>
          <w:highlight w:val="none"/>
        </w:rPr>
        <w:t>否</w:t>
      </w:r>
      <w:r>
        <w:rPr>
          <w:rFonts w:hint="eastAsia" w:ascii="宋体" w:hAnsi="宋体" w:cs="宋体"/>
          <w:color w:val="auto"/>
          <w:spacing w:val="-2"/>
          <w:kern w:val="0"/>
          <w:szCs w:val="21"/>
          <w:highlight w:val="none"/>
        </w:rPr>
        <w:t>则</w:t>
      </w:r>
      <w:r>
        <w:rPr>
          <w:rFonts w:hint="eastAsia" w:ascii="宋体" w:hAnsi="宋体" w:cs="宋体"/>
          <w:color w:val="auto"/>
          <w:kern w:val="0"/>
          <w:szCs w:val="21"/>
          <w:highlight w:val="none"/>
        </w:rPr>
        <w:t>，</w:t>
      </w:r>
      <w:r>
        <w:rPr>
          <w:rFonts w:hint="eastAsia" w:ascii="宋体" w:hAnsi="宋体" w:cs="宋体"/>
          <w:color w:val="auto"/>
          <w:spacing w:val="-2"/>
          <w:kern w:val="0"/>
          <w:szCs w:val="21"/>
          <w:highlight w:val="none"/>
        </w:rPr>
        <w:t>招</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人</w:t>
      </w:r>
      <w:r>
        <w:rPr>
          <w:rFonts w:hint="eastAsia" w:ascii="宋体" w:hAnsi="宋体" w:cs="宋体"/>
          <w:color w:val="auto"/>
          <w:kern w:val="0"/>
          <w:szCs w:val="21"/>
          <w:highlight w:val="none"/>
        </w:rPr>
        <w:t>有权</w:t>
      </w:r>
      <w:r>
        <w:rPr>
          <w:rFonts w:hint="eastAsia" w:ascii="宋体" w:hAnsi="宋体" w:cs="宋体"/>
          <w:color w:val="auto"/>
          <w:spacing w:val="-2"/>
          <w:kern w:val="0"/>
          <w:szCs w:val="21"/>
          <w:highlight w:val="none"/>
        </w:rPr>
        <w:t>拒</w:t>
      </w:r>
      <w:r>
        <w:rPr>
          <w:rFonts w:hint="eastAsia" w:ascii="宋体" w:hAnsi="宋体" w:cs="宋体"/>
          <w:color w:val="auto"/>
          <w:kern w:val="0"/>
          <w:szCs w:val="21"/>
          <w:highlight w:val="none"/>
        </w:rPr>
        <w:t>绝</w:t>
      </w:r>
      <w:r>
        <w:rPr>
          <w:rFonts w:hint="eastAsia" w:ascii="宋体" w:hAnsi="宋体" w:cs="宋体"/>
          <w:color w:val="auto"/>
          <w:spacing w:val="-2"/>
          <w:kern w:val="0"/>
          <w:szCs w:val="21"/>
          <w:highlight w:val="none"/>
        </w:rPr>
        <w:t>回</w:t>
      </w:r>
      <w:r>
        <w:rPr>
          <w:rFonts w:hint="eastAsia" w:ascii="宋体" w:hAnsi="宋体" w:cs="宋体"/>
          <w:color w:val="auto"/>
          <w:kern w:val="0"/>
          <w:szCs w:val="21"/>
          <w:highlight w:val="none"/>
        </w:rPr>
        <w:t>复</w:t>
      </w:r>
      <w:r>
        <w:rPr>
          <w:rFonts w:hint="eastAsia" w:ascii="宋体" w:hAnsi="宋体" w:cs="宋体"/>
          <w:color w:val="auto"/>
          <w:spacing w:val="-2"/>
          <w:kern w:val="0"/>
          <w:szCs w:val="21"/>
          <w:highlight w:val="none"/>
        </w:rPr>
        <w:t>投</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人</w:t>
      </w:r>
      <w:r>
        <w:rPr>
          <w:rFonts w:hint="eastAsia" w:ascii="宋体" w:hAnsi="宋体" w:cs="宋体"/>
          <w:color w:val="auto"/>
          <w:kern w:val="0"/>
          <w:szCs w:val="21"/>
          <w:highlight w:val="none"/>
        </w:rPr>
        <w:t>在</w:t>
      </w:r>
      <w:r>
        <w:rPr>
          <w:rFonts w:hint="eastAsia" w:ascii="宋体" w:hAnsi="宋体" w:cs="宋体"/>
          <w:color w:val="auto"/>
          <w:spacing w:val="-2"/>
          <w:kern w:val="0"/>
          <w:szCs w:val="21"/>
          <w:highlight w:val="none"/>
        </w:rPr>
        <w:t>本</w:t>
      </w:r>
      <w:r>
        <w:rPr>
          <w:rFonts w:hint="eastAsia" w:ascii="宋体" w:hAnsi="宋体" w:cs="宋体"/>
          <w:color w:val="auto"/>
          <w:kern w:val="0"/>
          <w:szCs w:val="21"/>
          <w:highlight w:val="none"/>
        </w:rPr>
        <w:t>章第2.</w:t>
      </w:r>
      <w:r>
        <w:rPr>
          <w:rFonts w:hint="eastAsia" w:ascii="宋体" w:hAnsi="宋体" w:cs="宋体"/>
          <w:color w:val="auto"/>
          <w:spacing w:val="-2"/>
          <w:kern w:val="0"/>
          <w:szCs w:val="21"/>
          <w:highlight w:val="none"/>
        </w:rPr>
        <w:t>2</w:t>
      </w:r>
      <w:r>
        <w:rPr>
          <w:rFonts w:hint="eastAsia" w:ascii="宋体" w:hAnsi="宋体" w:cs="宋体"/>
          <w:color w:val="auto"/>
          <w:kern w:val="0"/>
          <w:szCs w:val="21"/>
          <w:highlight w:val="none"/>
        </w:rPr>
        <w:t>.1项规定</w:t>
      </w:r>
      <w:r>
        <w:rPr>
          <w:rFonts w:hint="eastAsia" w:ascii="宋体" w:hAnsi="宋体" w:cs="宋体"/>
          <w:color w:val="auto"/>
          <w:spacing w:val="-2"/>
          <w:kern w:val="0"/>
          <w:szCs w:val="21"/>
          <w:highlight w:val="none"/>
        </w:rPr>
        <w:t>的</w:t>
      </w:r>
      <w:r>
        <w:rPr>
          <w:rFonts w:hint="eastAsia" w:ascii="宋体" w:hAnsi="宋体" w:cs="宋体"/>
          <w:color w:val="auto"/>
          <w:kern w:val="0"/>
          <w:szCs w:val="21"/>
          <w:highlight w:val="none"/>
        </w:rPr>
        <w:t>时</w:t>
      </w:r>
      <w:r>
        <w:rPr>
          <w:rFonts w:hint="eastAsia" w:ascii="宋体" w:hAnsi="宋体" w:cs="宋体"/>
          <w:color w:val="auto"/>
          <w:spacing w:val="-2"/>
          <w:kern w:val="0"/>
          <w:szCs w:val="21"/>
          <w:highlight w:val="none"/>
        </w:rPr>
        <w:t>间</w:t>
      </w:r>
      <w:r>
        <w:rPr>
          <w:rFonts w:hint="eastAsia" w:ascii="宋体" w:hAnsi="宋体" w:cs="宋体"/>
          <w:color w:val="auto"/>
          <w:kern w:val="0"/>
          <w:szCs w:val="21"/>
          <w:highlight w:val="none"/>
        </w:rPr>
        <w:t>后</w:t>
      </w:r>
      <w:r>
        <w:rPr>
          <w:rFonts w:hint="eastAsia" w:ascii="宋体" w:hAnsi="宋体" w:cs="宋体"/>
          <w:color w:val="auto"/>
          <w:spacing w:val="-2"/>
          <w:kern w:val="0"/>
          <w:szCs w:val="21"/>
          <w:highlight w:val="none"/>
        </w:rPr>
        <w:t>的</w:t>
      </w:r>
      <w:r>
        <w:rPr>
          <w:rFonts w:hint="eastAsia" w:ascii="宋体" w:hAnsi="宋体" w:cs="宋体"/>
          <w:color w:val="auto"/>
          <w:kern w:val="0"/>
          <w:szCs w:val="21"/>
          <w:highlight w:val="none"/>
        </w:rPr>
        <w:t>任</w:t>
      </w:r>
      <w:r>
        <w:rPr>
          <w:rFonts w:hint="eastAsia" w:ascii="宋体" w:hAnsi="宋体" w:cs="宋体"/>
          <w:color w:val="auto"/>
          <w:spacing w:val="-2"/>
          <w:kern w:val="0"/>
          <w:szCs w:val="21"/>
          <w:highlight w:val="none"/>
        </w:rPr>
        <w:t>何</w:t>
      </w:r>
      <w:r>
        <w:rPr>
          <w:rFonts w:hint="eastAsia" w:ascii="宋体" w:hAnsi="宋体" w:cs="宋体"/>
          <w:color w:val="auto"/>
          <w:kern w:val="0"/>
          <w:szCs w:val="21"/>
          <w:highlight w:val="none"/>
        </w:rPr>
        <w:t>澄</w:t>
      </w:r>
      <w:r>
        <w:rPr>
          <w:rFonts w:hint="eastAsia" w:ascii="宋体" w:hAnsi="宋体" w:cs="宋体"/>
          <w:color w:val="auto"/>
          <w:spacing w:val="-2"/>
          <w:kern w:val="0"/>
          <w:szCs w:val="21"/>
          <w:highlight w:val="none"/>
        </w:rPr>
        <w:t>清</w:t>
      </w:r>
      <w:r>
        <w:rPr>
          <w:rFonts w:hint="eastAsia" w:ascii="宋体" w:hAnsi="宋体" w:cs="宋体"/>
          <w:color w:val="auto"/>
          <w:kern w:val="0"/>
          <w:szCs w:val="21"/>
          <w:highlight w:val="none"/>
        </w:rPr>
        <w:t>要求。</w:t>
      </w:r>
    </w:p>
    <w:p w14:paraId="5358B3B1">
      <w:pPr>
        <w:pStyle w:val="23"/>
        <w:tabs>
          <w:tab w:val="left" w:pos="2127"/>
        </w:tabs>
        <w:kinsoku/>
        <w:overflowPunct/>
        <w:bidi w:val="0"/>
        <w:spacing w:line="360" w:lineRule="auto"/>
        <w:textAlignment w:val="auto"/>
        <w:outlineLvl w:val="2"/>
        <w:rPr>
          <w:rFonts w:hAnsi="宋体"/>
          <w:b/>
          <w:color w:val="auto"/>
          <w:highlight w:val="none"/>
        </w:rPr>
      </w:pPr>
      <w:bookmarkStart w:id="575" w:name="_Toc4868"/>
      <w:bookmarkStart w:id="576" w:name="_Toc21462"/>
      <w:bookmarkStart w:id="577" w:name="_Toc7521"/>
      <w:bookmarkStart w:id="578" w:name="_Toc26934"/>
      <w:bookmarkStart w:id="579" w:name="_Toc20444"/>
      <w:bookmarkStart w:id="580" w:name="_Toc17434"/>
      <w:bookmarkStart w:id="581" w:name="_Toc24487"/>
      <w:bookmarkStart w:id="582" w:name="_Toc718"/>
      <w:bookmarkStart w:id="583" w:name="_Toc12683"/>
      <w:bookmarkStart w:id="584" w:name="_Toc26160"/>
      <w:bookmarkStart w:id="585" w:name="_Toc7920"/>
      <w:bookmarkStart w:id="586" w:name="_Toc6014"/>
      <w:bookmarkStart w:id="587" w:name="_Toc29160"/>
      <w:bookmarkStart w:id="588" w:name="_Toc16694"/>
      <w:bookmarkStart w:id="589" w:name="_Toc17515"/>
      <w:bookmarkStart w:id="590" w:name="_Toc28385"/>
      <w:bookmarkStart w:id="591" w:name="_Toc25505"/>
      <w:bookmarkStart w:id="592" w:name="_Toc25785"/>
      <w:bookmarkStart w:id="593" w:name="_Toc12415"/>
      <w:bookmarkStart w:id="594" w:name="_Toc10583"/>
      <w:bookmarkStart w:id="595" w:name="_Toc5371"/>
      <w:bookmarkStart w:id="596" w:name="_Toc6221"/>
      <w:bookmarkStart w:id="597" w:name="_Toc5804"/>
      <w:bookmarkStart w:id="598" w:name="_Toc13248"/>
      <w:bookmarkStart w:id="599" w:name="_Toc4647"/>
      <w:bookmarkStart w:id="600" w:name="_Toc2515"/>
      <w:bookmarkStart w:id="601" w:name="_Toc1196"/>
      <w:bookmarkStart w:id="602" w:name="_Toc27201"/>
      <w:bookmarkStart w:id="603" w:name="_Toc26384"/>
      <w:bookmarkStart w:id="604" w:name="_Toc7079"/>
      <w:bookmarkStart w:id="605" w:name="_Toc30799"/>
      <w:bookmarkStart w:id="606" w:name="_Toc25455"/>
      <w:bookmarkStart w:id="607" w:name="_Toc901"/>
      <w:bookmarkStart w:id="608" w:name="_Toc32437"/>
      <w:bookmarkStart w:id="609" w:name="_Toc15009"/>
      <w:bookmarkStart w:id="610" w:name="_Toc482803083"/>
      <w:bookmarkStart w:id="611" w:name="_Toc25982"/>
      <w:bookmarkStart w:id="612" w:name="_Toc22677"/>
      <w:bookmarkStart w:id="613" w:name="_Toc10113"/>
      <w:bookmarkStart w:id="614" w:name="_Toc15963"/>
      <w:bookmarkStart w:id="615" w:name="_Toc484792196"/>
      <w:bookmarkStart w:id="616" w:name="_Toc4135"/>
      <w:bookmarkStart w:id="617" w:name="_Toc2115"/>
      <w:bookmarkStart w:id="618" w:name="_Toc16003"/>
      <w:bookmarkStart w:id="619" w:name="_Toc14348"/>
      <w:bookmarkStart w:id="620" w:name="_Toc8839"/>
      <w:bookmarkStart w:id="621" w:name="_Toc22890"/>
      <w:bookmarkStart w:id="622" w:name="_Toc14914"/>
      <w:r>
        <w:rPr>
          <w:rFonts w:hint="eastAsia" w:hAnsi="宋体"/>
          <w:b/>
          <w:color w:val="auto"/>
          <w:highlight w:val="none"/>
        </w:rPr>
        <w:t>2.3 招标文件的修改</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0A754041">
      <w:pPr>
        <w:pStyle w:val="23"/>
        <w:tabs>
          <w:tab w:val="left" w:pos="2127"/>
        </w:tabs>
        <w:kinsoku/>
        <w:overflowPunct/>
        <w:bidi w:val="0"/>
        <w:spacing w:line="360" w:lineRule="auto"/>
        <w:ind w:firstLine="420" w:firstLineChars="200"/>
        <w:textAlignment w:val="auto"/>
        <w:rPr>
          <w:rFonts w:hAnsi="宋体"/>
          <w:color w:val="auto"/>
          <w:highlight w:val="none"/>
        </w:rPr>
      </w:pPr>
      <w:r>
        <w:rPr>
          <w:rFonts w:hint="eastAsia" w:hAnsi="宋体"/>
          <w:color w:val="auto"/>
          <w:highlight w:val="none"/>
        </w:rPr>
        <w:t>2.3.1招标人以投标人须知前附表规定的形式修改招标文件，并通知所有已</w:t>
      </w:r>
      <w:r>
        <w:rPr>
          <w:rFonts w:hint="eastAsia" w:hAnsi="宋体"/>
          <w:color w:val="auto"/>
          <w:highlight w:val="none"/>
          <w:lang w:val="en-US" w:eastAsia="zh-CN"/>
        </w:rPr>
        <w:t>获取</w:t>
      </w:r>
      <w:r>
        <w:rPr>
          <w:rFonts w:hint="eastAsia" w:hAnsi="宋体"/>
          <w:color w:val="auto"/>
          <w:highlight w:val="none"/>
        </w:rPr>
        <w:t>投标文件的投标人</w:t>
      </w:r>
      <w:r>
        <w:rPr>
          <w:rFonts w:hint="eastAsia" w:hAnsi="宋体"/>
          <w:color w:val="auto"/>
          <w:highlight w:val="none"/>
          <w:lang w:eastAsia="zh-CN"/>
        </w:rPr>
        <w:t>。</w:t>
      </w:r>
      <w:r>
        <w:rPr>
          <w:rFonts w:hint="eastAsia" w:ascii="宋体" w:hAnsi="宋体" w:cs="宋体"/>
          <w:color w:val="auto"/>
          <w:spacing w:val="-2"/>
          <w:kern w:val="0"/>
          <w:szCs w:val="21"/>
          <w:highlight w:val="none"/>
        </w:rPr>
        <w:t>修</w:t>
      </w:r>
      <w:r>
        <w:rPr>
          <w:rFonts w:hint="eastAsia" w:ascii="宋体" w:hAnsi="宋体" w:cs="宋体"/>
          <w:color w:val="auto"/>
          <w:kern w:val="0"/>
          <w:szCs w:val="21"/>
          <w:highlight w:val="none"/>
        </w:rPr>
        <w:t>改</w:t>
      </w:r>
      <w:r>
        <w:rPr>
          <w:rFonts w:hint="eastAsia" w:ascii="宋体" w:hAnsi="宋体" w:cs="宋体"/>
          <w:color w:val="auto"/>
          <w:spacing w:val="-2"/>
          <w:kern w:val="0"/>
          <w:szCs w:val="21"/>
          <w:highlight w:val="none"/>
        </w:rPr>
        <w:t>招</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文</w:t>
      </w:r>
      <w:r>
        <w:rPr>
          <w:rFonts w:hint="eastAsia" w:ascii="宋体" w:hAnsi="宋体" w:cs="宋体"/>
          <w:color w:val="auto"/>
          <w:kern w:val="0"/>
          <w:szCs w:val="21"/>
          <w:highlight w:val="none"/>
        </w:rPr>
        <w:t>件</w:t>
      </w:r>
      <w:r>
        <w:rPr>
          <w:rFonts w:hint="eastAsia" w:ascii="宋体" w:hAnsi="宋体" w:cs="宋体"/>
          <w:color w:val="auto"/>
          <w:spacing w:val="-2"/>
          <w:kern w:val="0"/>
          <w:szCs w:val="21"/>
          <w:highlight w:val="none"/>
        </w:rPr>
        <w:t>的</w:t>
      </w:r>
      <w:r>
        <w:rPr>
          <w:rFonts w:hint="eastAsia" w:ascii="宋体" w:hAnsi="宋体" w:cs="宋体"/>
          <w:color w:val="auto"/>
          <w:kern w:val="0"/>
          <w:szCs w:val="21"/>
          <w:highlight w:val="none"/>
        </w:rPr>
        <w:t>时间</w:t>
      </w:r>
      <w:r>
        <w:rPr>
          <w:rFonts w:hint="eastAsia" w:ascii="宋体" w:hAnsi="宋体" w:cs="宋体"/>
          <w:color w:val="auto"/>
          <w:spacing w:val="-2"/>
          <w:kern w:val="0"/>
          <w:szCs w:val="21"/>
          <w:highlight w:val="none"/>
        </w:rPr>
        <w:t>距</w:t>
      </w:r>
      <w:r>
        <w:rPr>
          <w:rFonts w:hint="eastAsia" w:ascii="宋体" w:hAnsi="宋体" w:cs="宋体"/>
          <w:color w:val="auto"/>
          <w:kern w:val="0"/>
          <w:szCs w:val="21"/>
          <w:highlight w:val="none"/>
        </w:rPr>
        <w:t>本</w:t>
      </w:r>
      <w:r>
        <w:rPr>
          <w:rFonts w:hint="eastAsia" w:ascii="宋体" w:hAnsi="宋体" w:cs="宋体"/>
          <w:color w:val="auto"/>
          <w:spacing w:val="-2"/>
          <w:kern w:val="0"/>
          <w:szCs w:val="21"/>
          <w:highlight w:val="none"/>
        </w:rPr>
        <w:t>章</w:t>
      </w:r>
      <w:r>
        <w:rPr>
          <w:rFonts w:hint="eastAsia" w:ascii="宋体" w:hAnsi="宋体" w:cs="宋体"/>
          <w:color w:val="auto"/>
          <w:kern w:val="0"/>
          <w:szCs w:val="21"/>
          <w:highlight w:val="none"/>
        </w:rPr>
        <w:t>第</w:t>
      </w:r>
      <w:r>
        <w:rPr>
          <w:rFonts w:hint="eastAsia" w:ascii="宋体" w:hAnsi="宋体" w:cs="宋体"/>
          <w:color w:val="auto"/>
          <w:spacing w:val="-2"/>
          <w:kern w:val="0"/>
          <w:szCs w:val="21"/>
          <w:highlight w:val="none"/>
        </w:rPr>
        <w:t xml:space="preserve"> </w:t>
      </w:r>
      <w:r>
        <w:rPr>
          <w:rFonts w:hint="eastAsia" w:ascii="宋体" w:hAnsi="宋体" w:cs="宋体"/>
          <w:color w:val="auto"/>
          <w:kern w:val="0"/>
          <w:szCs w:val="21"/>
          <w:highlight w:val="none"/>
        </w:rPr>
        <w:t>4</w:t>
      </w:r>
      <w:r>
        <w:rPr>
          <w:rFonts w:hint="eastAsia" w:ascii="宋体" w:hAnsi="宋体" w:cs="宋体"/>
          <w:color w:val="auto"/>
          <w:spacing w:val="-2"/>
          <w:kern w:val="0"/>
          <w:szCs w:val="21"/>
          <w:highlight w:val="none"/>
        </w:rPr>
        <w:t>.</w:t>
      </w:r>
      <w:r>
        <w:rPr>
          <w:rFonts w:hint="eastAsia" w:ascii="宋体" w:hAnsi="宋体" w:cs="宋体"/>
          <w:color w:val="auto"/>
          <w:kern w:val="0"/>
          <w:szCs w:val="21"/>
          <w:highlight w:val="none"/>
        </w:rPr>
        <w:t>2.1</w:t>
      </w:r>
      <w:r>
        <w:rPr>
          <w:rFonts w:hint="eastAsia" w:ascii="宋体" w:hAnsi="宋体" w:cs="宋体"/>
          <w:color w:val="auto"/>
          <w:spacing w:val="7"/>
          <w:kern w:val="0"/>
          <w:szCs w:val="21"/>
          <w:highlight w:val="none"/>
        </w:rPr>
        <w:t xml:space="preserve"> </w:t>
      </w:r>
      <w:r>
        <w:rPr>
          <w:rFonts w:hint="eastAsia" w:ascii="宋体" w:hAnsi="宋体" w:cs="宋体"/>
          <w:color w:val="auto"/>
          <w:spacing w:val="-2"/>
          <w:kern w:val="0"/>
          <w:szCs w:val="21"/>
          <w:highlight w:val="none"/>
        </w:rPr>
        <w:t>项</w:t>
      </w:r>
      <w:r>
        <w:rPr>
          <w:rFonts w:hint="eastAsia" w:ascii="宋体" w:hAnsi="宋体" w:cs="宋体"/>
          <w:color w:val="auto"/>
          <w:kern w:val="0"/>
          <w:szCs w:val="21"/>
          <w:highlight w:val="none"/>
        </w:rPr>
        <w:t>规</w:t>
      </w:r>
      <w:r>
        <w:rPr>
          <w:rFonts w:hint="eastAsia" w:ascii="宋体" w:hAnsi="宋体" w:cs="宋体"/>
          <w:color w:val="auto"/>
          <w:spacing w:val="-2"/>
          <w:kern w:val="0"/>
          <w:szCs w:val="21"/>
          <w:highlight w:val="none"/>
        </w:rPr>
        <w:t>定</w:t>
      </w:r>
      <w:r>
        <w:rPr>
          <w:rFonts w:hint="eastAsia" w:ascii="宋体" w:hAnsi="宋体" w:cs="宋体"/>
          <w:color w:val="auto"/>
          <w:kern w:val="0"/>
          <w:szCs w:val="21"/>
          <w:highlight w:val="none"/>
        </w:rPr>
        <w:t>的投</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截</w:t>
      </w:r>
      <w:r>
        <w:rPr>
          <w:rFonts w:hint="eastAsia" w:ascii="宋体" w:hAnsi="宋体" w:cs="宋体"/>
          <w:color w:val="auto"/>
          <w:spacing w:val="-2"/>
          <w:kern w:val="0"/>
          <w:szCs w:val="21"/>
          <w:highlight w:val="none"/>
        </w:rPr>
        <w:t>止</w:t>
      </w:r>
      <w:r>
        <w:rPr>
          <w:rFonts w:hint="eastAsia" w:ascii="宋体" w:hAnsi="宋体" w:cs="宋体"/>
          <w:color w:val="auto"/>
          <w:kern w:val="0"/>
          <w:szCs w:val="21"/>
          <w:highlight w:val="none"/>
        </w:rPr>
        <w:t>时</w:t>
      </w:r>
      <w:r>
        <w:rPr>
          <w:rFonts w:hint="eastAsia" w:ascii="宋体" w:hAnsi="宋体" w:cs="宋体"/>
          <w:color w:val="auto"/>
          <w:spacing w:val="-2"/>
          <w:kern w:val="0"/>
          <w:szCs w:val="21"/>
          <w:highlight w:val="none"/>
        </w:rPr>
        <w:t>间</w:t>
      </w:r>
      <w:r>
        <w:rPr>
          <w:rFonts w:hint="eastAsia" w:ascii="宋体" w:hAnsi="宋体" w:cs="宋体"/>
          <w:color w:val="auto"/>
          <w:kern w:val="0"/>
          <w:szCs w:val="21"/>
          <w:highlight w:val="none"/>
        </w:rPr>
        <w:t>不足15</w:t>
      </w:r>
      <w:r>
        <w:rPr>
          <w:rFonts w:hint="eastAsia" w:ascii="宋体" w:hAnsi="宋体" w:cs="宋体"/>
          <w:color w:val="auto"/>
          <w:spacing w:val="-2"/>
          <w:kern w:val="0"/>
          <w:szCs w:val="21"/>
          <w:highlight w:val="none"/>
        </w:rPr>
        <w:t>日</w:t>
      </w:r>
      <w:r>
        <w:rPr>
          <w:rFonts w:hint="eastAsia" w:ascii="宋体" w:hAnsi="宋体" w:cs="宋体"/>
          <w:color w:val="auto"/>
          <w:kern w:val="0"/>
          <w:szCs w:val="21"/>
          <w:highlight w:val="none"/>
        </w:rPr>
        <w:t>的，</w:t>
      </w:r>
      <w:r>
        <w:rPr>
          <w:rFonts w:hint="eastAsia" w:ascii="宋体" w:hAnsi="宋体" w:cs="宋体"/>
          <w:color w:val="auto"/>
          <w:spacing w:val="-2"/>
          <w:kern w:val="0"/>
          <w:szCs w:val="21"/>
          <w:highlight w:val="none"/>
        </w:rPr>
        <w:t>并</w:t>
      </w:r>
      <w:r>
        <w:rPr>
          <w:rFonts w:hint="eastAsia" w:ascii="宋体" w:hAnsi="宋体" w:cs="宋体"/>
          <w:color w:val="auto"/>
          <w:kern w:val="0"/>
          <w:szCs w:val="21"/>
          <w:highlight w:val="none"/>
        </w:rPr>
        <w:t>且</w:t>
      </w:r>
      <w:r>
        <w:rPr>
          <w:rFonts w:hint="eastAsia" w:ascii="宋体" w:hAnsi="宋体" w:cs="宋体"/>
          <w:color w:val="auto"/>
          <w:spacing w:val="-2"/>
          <w:kern w:val="0"/>
          <w:szCs w:val="21"/>
          <w:highlight w:val="none"/>
        </w:rPr>
        <w:t>修改</w:t>
      </w:r>
      <w:r>
        <w:rPr>
          <w:rFonts w:hint="eastAsia" w:ascii="宋体" w:hAnsi="宋体" w:cs="宋体"/>
          <w:color w:val="auto"/>
          <w:kern w:val="0"/>
          <w:szCs w:val="21"/>
          <w:highlight w:val="none"/>
        </w:rPr>
        <w:t>内容可</w:t>
      </w:r>
      <w:r>
        <w:rPr>
          <w:rFonts w:hint="eastAsia" w:ascii="宋体" w:hAnsi="宋体" w:cs="宋体"/>
          <w:color w:val="auto"/>
          <w:spacing w:val="-2"/>
          <w:kern w:val="0"/>
          <w:szCs w:val="21"/>
          <w:highlight w:val="none"/>
        </w:rPr>
        <w:t>能</w:t>
      </w:r>
      <w:r>
        <w:rPr>
          <w:rFonts w:hint="eastAsia" w:ascii="宋体" w:hAnsi="宋体" w:cs="宋体"/>
          <w:color w:val="auto"/>
          <w:kern w:val="0"/>
          <w:szCs w:val="21"/>
          <w:highlight w:val="none"/>
        </w:rPr>
        <w:t>影</w:t>
      </w:r>
      <w:r>
        <w:rPr>
          <w:rFonts w:hint="eastAsia" w:ascii="宋体" w:hAnsi="宋体" w:cs="宋体"/>
          <w:color w:val="auto"/>
          <w:spacing w:val="-2"/>
          <w:kern w:val="0"/>
          <w:szCs w:val="21"/>
          <w:highlight w:val="none"/>
        </w:rPr>
        <w:t>响</w:t>
      </w:r>
      <w:r>
        <w:rPr>
          <w:rFonts w:hint="eastAsia" w:ascii="宋体" w:hAnsi="宋体" w:cs="宋体"/>
          <w:color w:val="auto"/>
          <w:kern w:val="0"/>
          <w:szCs w:val="21"/>
          <w:highlight w:val="none"/>
        </w:rPr>
        <w:t>投</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文</w:t>
      </w:r>
      <w:r>
        <w:rPr>
          <w:rFonts w:hint="eastAsia" w:ascii="宋体" w:hAnsi="宋体" w:cs="宋体"/>
          <w:color w:val="auto"/>
          <w:spacing w:val="-2"/>
          <w:kern w:val="0"/>
          <w:szCs w:val="21"/>
          <w:highlight w:val="none"/>
        </w:rPr>
        <w:t>件</w:t>
      </w:r>
      <w:r>
        <w:rPr>
          <w:rFonts w:hint="eastAsia" w:ascii="宋体" w:hAnsi="宋体" w:cs="宋体"/>
          <w:color w:val="auto"/>
          <w:kern w:val="0"/>
          <w:szCs w:val="21"/>
          <w:highlight w:val="none"/>
        </w:rPr>
        <w:t>编</w:t>
      </w:r>
      <w:r>
        <w:rPr>
          <w:rFonts w:hint="eastAsia" w:ascii="宋体" w:hAnsi="宋体" w:cs="宋体"/>
          <w:color w:val="auto"/>
          <w:spacing w:val="-2"/>
          <w:kern w:val="0"/>
          <w:szCs w:val="21"/>
          <w:highlight w:val="none"/>
        </w:rPr>
        <w:t>制</w:t>
      </w:r>
      <w:r>
        <w:rPr>
          <w:rFonts w:hint="eastAsia" w:ascii="宋体" w:hAnsi="宋体" w:cs="宋体"/>
          <w:color w:val="auto"/>
          <w:kern w:val="0"/>
          <w:szCs w:val="21"/>
          <w:highlight w:val="none"/>
        </w:rPr>
        <w:t>的，</w:t>
      </w:r>
      <w:r>
        <w:rPr>
          <w:rFonts w:hint="eastAsia" w:ascii="宋体" w:hAnsi="宋体" w:cs="宋体"/>
          <w:color w:val="auto"/>
          <w:spacing w:val="-2"/>
          <w:kern w:val="0"/>
          <w:szCs w:val="21"/>
          <w:highlight w:val="none"/>
        </w:rPr>
        <w:t>将</w:t>
      </w:r>
      <w:r>
        <w:rPr>
          <w:rFonts w:hint="eastAsia" w:ascii="宋体" w:hAnsi="宋体" w:cs="宋体"/>
          <w:color w:val="auto"/>
          <w:kern w:val="0"/>
          <w:szCs w:val="21"/>
          <w:highlight w:val="none"/>
        </w:rPr>
        <w:t>相</w:t>
      </w:r>
      <w:r>
        <w:rPr>
          <w:rFonts w:hint="eastAsia" w:ascii="宋体" w:hAnsi="宋体" w:cs="宋体"/>
          <w:color w:val="auto"/>
          <w:spacing w:val="-2"/>
          <w:kern w:val="0"/>
          <w:szCs w:val="21"/>
          <w:highlight w:val="none"/>
        </w:rPr>
        <w:t>应</w:t>
      </w:r>
      <w:r>
        <w:rPr>
          <w:rFonts w:hint="eastAsia" w:ascii="宋体" w:hAnsi="宋体" w:cs="宋体"/>
          <w:color w:val="auto"/>
          <w:kern w:val="0"/>
          <w:szCs w:val="21"/>
          <w:highlight w:val="none"/>
        </w:rPr>
        <w:t>延</w:t>
      </w:r>
      <w:r>
        <w:rPr>
          <w:rFonts w:hint="eastAsia" w:ascii="宋体" w:hAnsi="宋体" w:cs="宋体"/>
          <w:color w:val="auto"/>
          <w:spacing w:val="-2"/>
          <w:kern w:val="0"/>
          <w:szCs w:val="21"/>
          <w:highlight w:val="none"/>
        </w:rPr>
        <w:t>长</w:t>
      </w:r>
      <w:r>
        <w:rPr>
          <w:rFonts w:hint="eastAsia" w:ascii="宋体" w:hAnsi="宋体" w:cs="宋体"/>
          <w:color w:val="auto"/>
          <w:kern w:val="0"/>
          <w:szCs w:val="21"/>
          <w:highlight w:val="none"/>
        </w:rPr>
        <w:t>投</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截</w:t>
      </w:r>
      <w:r>
        <w:rPr>
          <w:rFonts w:hint="eastAsia" w:ascii="宋体" w:hAnsi="宋体" w:cs="宋体"/>
          <w:color w:val="auto"/>
          <w:spacing w:val="-2"/>
          <w:kern w:val="0"/>
          <w:szCs w:val="21"/>
          <w:highlight w:val="none"/>
        </w:rPr>
        <w:t>止</w:t>
      </w:r>
      <w:r>
        <w:rPr>
          <w:rFonts w:hint="eastAsia" w:ascii="宋体" w:hAnsi="宋体" w:cs="宋体"/>
          <w:color w:val="auto"/>
          <w:kern w:val="0"/>
          <w:szCs w:val="21"/>
          <w:highlight w:val="none"/>
        </w:rPr>
        <w:t>时间。</w:t>
      </w:r>
    </w:p>
    <w:p w14:paraId="6E775C07">
      <w:pPr>
        <w:pStyle w:val="23"/>
        <w:tabs>
          <w:tab w:val="left" w:pos="2127"/>
        </w:tabs>
        <w:kinsoku/>
        <w:overflowPunct/>
        <w:bidi w:val="0"/>
        <w:spacing w:line="360" w:lineRule="auto"/>
        <w:ind w:firstLine="420" w:firstLineChars="200"/>
        <w:textAlignment w:val="auto"/>
        <w:rPr>
          <w:rFonts w:hAnsi="宋体"/>
          <w:color w:val="auto"/>
          <w:highlight w:val="none"/>
        </w:rPr>
      </w:pPr>
      <w:r>
        <w:rPr>
          <w:rFonts w:hint="eastAsia" w:hAnsi="宋体"/>
          <w:color w:val="auto"/>
          <w:highlight w:val="none"/>
        </w:rPr>
        <w:t>2.3.2投标人收到修改内容后应按投标人须知前附表规定的形式通知招标人，确认已收到该修改。</w:t>
      </w:r>
    </w:p>
    <w:p w14:paraId="3FDB9FFE">
      <w:pPr>
        <w:pStyle w:val="23"/>
        <w:tabs>
          <w:tab w:val="left" w:pos="2127"/>
        </w:tabs>
        <w:kinsoku/>
        <w:overflowPunct/>
        <w:bidi w:val="0"/>
        <w:spacing w:line="360" w:lineRule="auto"/>
        <w:ind w:firstLine="420" w:firstLineChars="200"/>
        <w:textAlignment w:val="auto"/>
        <w:rPr>
          <w:rFonts w:hint="eastAsia" w:hAnsi="宋体"/>
          <w:color w:val="auto"/>
          <w:szCs w:val="21"/>
          <w:highlight w:val="none"/>
        </w:rPr>
      </w:pPr>
      <w:r>
        <w:rPr>
          <w:rFonts w:hint="eastAsia" w:hAnsi="宋体"/>
          <w:color w:val="auto"/>
          <w:highlight w:val="none"/>
        </w:rPr>
        <w:t>2.3.3</w:t>
      </w:r>
      <w:r>
        <w:rPr>
          <w:rFonts w:hint="eastAsia" w:hAnsi="宋体"/>
          <w:color w:val="auto"/>
          <w:szCs w:val="21"/>
          <w:highlight w:val="none"/>
          <w:lang w:val="en-US" w:eastAsia="zh-CN"/>
        </w:rPr>
        <w:t>招标</w:t>
      </w:r>
      <w:r>
        <w:rPr>
          <w:rFonts w:hint="eastAsia" w:hAnsi="宋体"/>
          <w:color w:val="auto"/>
          <w:szCs w:val="21"/>
          <w:highlight w:val="none"/>
        </w:rPr>
        <w:t>文件的修改作为</w:t>
      </w:r>
      <w:r>
        <w:rPr>
          <w:rFonts w:hint="eastAsia" w:hAnsi="宋体"/>
          <w:color w:val="auto"/>
          <w:szCs w:val="21"/>
          <w:highlight w:val="none"/>
          <w:lang w:val="en-US" w:eastAsia="zh-CN"/>
        </w:rPr>
        <w:t>招标</w:t>
      </w:r>
      <w:r>
        <w:rPr>
          <w:rFonts w:hint="eastAsia" w:hAnsi="宋体"/>
          <w:color w:val="auto"/>
          <w:szCs w:val="21"/>
          <w:highlight w:val="none"/>
        </w:rPr>
        <w:t>文件的组成部分，具有约束作用。</w:t>
      </w:r>
    </w:p>
    <w:p w14:paraId="192009EA">
      <w:pPr>
        <w:pStyle w:val="23"/>
        <w:kinsoku/>
        <w:overflowPunct/>
        <w:bidi w:val="0"/>
        <w:spacing w:line="360" w:lineRule="auto"/>
        <w:textAlignment w:val="auto"/>
        <w:outlineLvl w:val="2"/>
        <w:rPr>
          <w:rFonts w:hint="eastAsia" w:hAnsi="宋体"/>
          <w:b/>
          <w:color w:val="auto"/>
          <w:highlight w:val="none"/>
        </w:rPr>
      </w:pPr>
      <w:bookmarkStart w:id="623" w:name="_Toc14319"/>
      <w:r>
        <w:rPr>
          <w:rFonts w:hint="eastAsia" w:hAnsi="宋体"/>
          <w:b/>
          <w:color w:val="auto"/>
          <w:highlight w:val="none"/>
        </w:rPr>
        <w:t>2.4</w:t>
      </w:r>
      <w:r>
        <w:rPr>
          <w:rFonts w:hint="eastAsia" w:hAnsi="宋体"/>
          <w:b/>
          <w:color w:val="auto"/>
          <w:highlight w:val="none"/>
          <w:lang w:val="en-US" w:eastAsia="zh-CN"/>
        </w:rPr>
        <w:t>招标</w:t>
      </w:r>
      <w:r>
        <w:rPr>
          <w:rFonts w:hint="eastAsia" w:hAnsi="宋体"/>
          <w:b/>
          <w:color w:val="auto"/>
          <w:highlight w:val="none"/>
          <w:lang w:eastAsia="zh-CN"/>
        </w:rPr>
        <w:t>文件</w:t>
      </w:r>
      <w:r>
        <w:rPr>
          <w:rFonts w:hint="eastAsia" w:hAnsi="宋体"/>
          <w:b/>
          <w:color w:val="auto"/>
          <w:highlight w:val="none"/>
        </w:rPr>
        <w:t>的补充说明</w:t>
      </w:r>
      <w:bookmarkEnd w:id="623"/>
    </w:p>
    <w:p w14:paraId="733D1B65">
      <w:pPr>
        <w:pStyle w:val="23"/>
        <w:kinsoku/>
        <w:overflowPunct/>
        <w:bidi w:val="0"/>
        <w:spacing w:line="360" w:lineRule="auto"/>
        <w:ind w:firstLine="420" w:firstLineChars="200"/>
        <w:textAlignment w:val="auto"/>
        <w:rPr>
          <w:rFonts w:hint="eastAsia" w:hAnsi="宋体"/>
          <w:color w:val="auto"/>
          <w:highlight w:val="none"/>
          <w:u w:val="none"/>
        </w:rPr>
      </w:pPr>
      <w:r>
        <w:rPr>
          <w:rFonts w:hint="eastAsia" w:hAnsi="宋体"/>
          <w:color w:val="auto"/>
          <w:highlight w:val="none"/>
        </w:rPr>
        <w:t>当招标</w:t>
      </w:r>
      <w:r>
        <w:rPr>
          <w:rFonts w:hint="eastAsia" w:hAnsi="宋体"/>
          <w:color w:val="auto"/>
          <w:highlight w:val="none"/>
          <w:lang w:eastAsia="zh-CN"/>
        </w:rPr>
        <w:t>文件</w:t>
      </w:r>
      <w:r>
        <w:rPr>
          <w:rFonts w:hint="eastAsia" w:hAnsi="宋体"/>
          <w:color w:val="auto"/>
          <w:highlight w:val="none"/>
        </w:rPr>
        <w:t>的澄清、修改等在同一内容的表述不一致时，</w:t>
      </w:r>
      <w:r>
        <w:rPr>
          <w:rFonts w:hint="eastAsia" w:ascii="宋体" w:hAnsi="宋体" w:eastAsia="宋体" w:cs="宋体"/>
          <w:color w:val="auto"/>
          <w:highlight w:val="none"/>
          <w:u w:val="none"/>
        </w:rPr>
        <w:t>以最后</w:t>
      </w:r>
      <w:r>
        <w:rPr>
          <w:rFonts w:hint="eastAsia" w:ascii="宋体" w:hAnsi="宋体" w:eastAsia="宋体" w:cs="宋体"/>
          <w:color w:val="auto"/>
          <w:highlight w:val="none"/>
          <w:u w:val="none"/>
          <w:lang w:eastAsia="zh-CN"/>
        </w:rPr>
        <w:t>时间</w:t>
      </w:r>
      <w:r>
        <w:rPr>
          <w:rFonts w:hint="eastAsia" w:ascii="宋体" w:hAnsi="宋体" w:eastAsia="宋体" w:cs="宋体"/>
          <w:color w:val="auto"/>
          <w:highlight w:val="none"/>
          <w:u w:val="none"/>
        </w:rPr>
        <w:t>发布的内容为准</w:t>
      </w:r>
      <w:r>
        <w:rPr>
          <w:rFonts w:hint="eastAsia" w:hAnsi="宋体"/>
          <w:color w:val="auto"/>
          <w:highlight w:val="none"/>
          <w:u w:val="none"/>
        </w:rPr>
        <w:t>。</w:t>
      </w:r>
    </w:p>
    <w:p w14:paraId="6DBD1227">
      <w:pPr>
        <w:pStyle w:val="23"/>
        <w:tabs>
          <w:tab w:val="left" w:pos="2127"/>
        </w:tabs>
        <w:kinsoku/>
        <w:overflowPunct/>
        <w:bidi w:val="0"/>
        <w:spacing w:line="360" w:lineRule="auto"/>
        <w:textAlignment w:val="auto"/>
        <w:rPr>
          <w:rFonts w:hint="eastAsia" w:hAnsi="宋体"/>
          <w:b/>
          <w:color w:val="auto"/>
          <w:highlight w:val="none"/>
        </w:rPr>
      </w:pPr>
      <w:r>
        <w:rPr>
          <w:rFonts w:hint="eastAsia" w:hAnsi="宋体"/>
          <w:b/>
          <w:color w:val="auto"/>
          <w:highlight w:val="none"/>
        </w:rPr>
        <w:t>2.5招标文件的异议</w:t>
      </w:r>
    </w:p>
    <w:p w14:paraId="47C88EC4">
      <w:pPr>
        <w:pStyle w:val="23"/>
        <w:kinsoku/>
        <w:overflowPunct/>
        <w:bidi w:val="0"/>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cs="宋体"/>
          <w:color w:val="auto"/>
          <w:kern w:val="0"/>
          <w:szCs w:val="21"/>
          <w:highlight w:val="none"/>
        </w:rPr>
        <w:t>投标</w:t>
      </w:r>
      <w:r>
        <w:rPr>
          <w:rFonts w:hint="eastAsia" w:ascii="宋体" w:hAnsi="宋体" w:cs="宋体"/>
          <w:color w:val="auto"/>
          <w:spacing w:val="-2"/>
          <w:kern w:val="0"/>
          <w:szCs w:val="21"/>
          <w:highlight w:val="none"/>
        </w:rPr>
        <w:t>人</w:t>
      </w:r>
      <w:r>
        <w:rPr>
          <w:rFonts w:hint="eastAsia" w:ascii="宋体" w:hAnsi="宋体" w:cs="宋体"/>
          <w:color w:val="auto"/>
          <w:kern w:val="0"/>
          <w:szCs w:val="21"/>
          <w:highlight w:val="none"/>
        </w:rPr>
        <w:t>或</w:t>
      </w:r>
      <w:r>
        <w:rPr>
          <w:rFonts w:hint="eastAsia" w:ascii="宋体" w:hAnsi="宋体" w:cs="宋体"/>
          <w:color w:val="auto"/>
          <w:spacing w:val="-2"/>
          <w:kern w:val="0"/>
          <w:szCs w:val="21"/>
          <w:highlight w:val="none"/>
        </w:rPr>
        <w:t>者</w:t>
      </w:r>
      <w:r>
        <w:rPr>
          <w:rFonts w:hint="eastAsia" w:ascii="宋体" w:hAnsi="宋体" w:cs="宋体"/>
          <w:color w:val="auto"/>
          <w:kern w:val="0"/>
          <w:szCs w:val="21"/>
          <w:highlight w:val="none"/>
        </w:rPr>
        <w:t>其</w:t>
      </w:r>
      <w:r>
        <w:rPr>
          <w:rFonts w:hint="eastAsia" w:ascii="宋体" w:hAnsi="宋体" w:cs="宋体"/>
          <w:color w:val="auto"/>
          <w:spacing w:val="-2"/>
          <w:kern w:val="0"/>
          <w:szCs w:val="21"/>
          <w:highlight w:val="none"/>
        </w:rPr>
        <w:t>他</w:t>
      </w:r>
      <w:r>
        <w:rPr>
          <w:rFonts w:hint="eastAsia" w:ascii="宋体" w:hAnsi="宋体" w:cs="宋体"/>
          <w:color w:val="auto"/>
          <w:kern w:val="0"/>
          <w:szCs w:val="21"/>
          <w:highlight w:val="none"/>
        </w:rPr>
        <w:t>利</w:t>
      </w:r>
      <w:r>
        <w:rPr>
          <w:rFonts w:hint="eastAsia" w:ascii="宋体" w:hAnsi="宋体" w:cs="宋体"/>
          <w:color w:val="auto"/>
          <w:spacing w:val="-2"/>
          <w:kern w:val="0"/>
          <w:szCs w:val="21"/>
          <w:highlight w:val="none"/>
        </w:rPr>
        <w:t>害</w:t>
      </w:r>
      <w:r>
        <w:rPr>
          <w:rFonts w:hint="eastAsia" w:ascii="宋体" w:hAnsi="宋体" w:cs="宋体"/>
          <w:color w:val="auto"/>
          <w:kern w:val="0"/>
          <w:szCs w:val="21"/>
          <w:highlight w:val="none"/>
        </w:rPr>
        <w:t>关</w:t>
      </w:r>
      <w:r>
        <w:rPr>
          <w:rFonts w:hint="eastAsia" w:ascii="宋体" w:hAnsi="宋体" w:cs="宋体"/>
          <w:color w:val="auto"/>
          <w:spacing w:val="-2"/>
          <w:kern w:val="0"/>
          <w:szCs w:val="21"/>
          <w:highlight w:val="none"/>
        </w:rPr>
        <w:t>系</w:t>
      </w:r>
      <w:r>
        <w:rPr>
          <w:rFonts w:hint="eastAsia" w:ascii="宋体" w:hAnsi="宋体" w:cs="宋体"/>
          <w:color w:val="auto"/>
          <w:kern w:val="0"/>
          <w:szCs w:val="21"/>
          <w:highlight w:val="none"/>
        </w:rPr>
        <w:t>人对</w:t>
      </w:r>
      <w:r>
        <w:rPr>
          <w:rFonts w:hint="eastAsia" w:ascii="宋体" w:hAnsi="宋体" w:cs="宋体"/>
          <w:color w:val="auto"/>
          <w:spacing w:val="-2"/>
          <w:kern w:val="0"/>
          <w:szCs w:val="21"/>
          <w:highlight w:val="none"/>
        </w:rPr>
        <w:t>招</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文</w:t>
      </w:r>
      <w:r>
        <w:rPr>
          <w:rFonts w:hint="eastAsia" w:ascii="宋体" w:hAnsi="宋体" w:cs="宋体"/>
          <w:color w:val="auto"/>
          <w:kern w:val="0"/>
          <w:szCs w:val="21"/>
          <w:highlight w:val="none"/>
        </w:rPr>
        <w:t>件</w:t>
      </w:r>
      <w:r>
        <w:rPr>
          <w:rFonts w:hint="eastAsia" w:ascii="宋体" w:hAnsi="宋体" w:cs="宋体"/>
          <w:color w:val="auto"/>
          <w:spacing w:val="-2"/>
          <w:kern w:val="0"/>
          <w:szCs w:val="21"/>
          <w:highlight w:val="none"/>
        </w:rPr>
        <w:t>有</w:t>
      </w:r>
      <w:r>
        <w:rPr>
          <w:rFonts w:hint="eastAsia" w:ascii="宋体" w:hAnsi="宋体" w:cs="宋体"/>
          <w:color w:val="auto"/>
          <w:kern w:val="0"/>
          <w:szCs w:val="21"/>
          <w:highlight w:val="none"/>
        </w:rPr>
        <w:t>异</w:t>
      </w:r>
      <w:r>
        <w:rPr>
          <w:rFonts w:hint="eastAsia" w:ascii="宋体" w:hAnsi="宋体" w:cs="宋体"/>
          <w:color w:val="auto"/>
          <w:spacing w:val="-2"/>
          <w:kern w:val="0"/>
          <w:szCs w:val="21"/>
          <w:highlight w:val="none"/>
        </w:rPr>
        <w:t>议的</w:t>
      </w:r>
      <w:r>
        <w:rPr>
          <w:rFonts w:hint="eastAsia" w:ascii="宋体" w:hAnsi="宋体" w:cs="宋体"/>
          <w:color w:val="auto"/>
          <w:spacing w:val="-74"/>
          <w:kern w:val="0"/>
          <w:szCs w:val="21"/>
          <w:highlight w:val="none"/>
        </w:rPr>
        <w:t>，</w:t>
      </w:r>
      <w:r>
        <w:rPr>
          <w:rFonts w:hint="eastAsia" w:ascii="宋体" w:hAnsi="宋体" w:cs="宋体"/>
          <w:color w:val="auto"/>
          <w:spacing w:val="-2"/>
          <w:kern w:val="0"/>
          <w:szCs w:val="21"/>
          <w:highlight w:val="none"/>
        </w:rPr>
        <w:t>应</w:t>
      </w:r>
      <w:r>
        <w:rPr>
          <w:rFonts w:hint="eastAsia" w:ascii="宋体" w:hAnsi="宋体" w:cs="宋体"/>
          <w:color w:val="auto"/>
          <w:kern w:val="0"/>
          <w:szCs w:val="21"/>
          <w:highlight w:val="none"/>
        </w:rPr>
        <w:t>当在</w:t>
      </w:r>
      <w:r>
        <w:rPr>
          <w:rFonts w:hint="eastAsia" w:ascii="宋体" w:hAnsi="宋体" w:cs="宋体"/>
          <w:color w:val="auto"/>
          <w:spacing w:val="-2"/>
          <w:kern w:val="0"/>
          <w:szCs w:val="21"/>
          <w:highlight w:val="none"/>
        </w:rPr>
        <w:t>投</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截</w:t>
      </w:r>
      <w:r>
        <w:rPr>
          <w:rFonts w:hint="eastAsia" w:ascii="宋体" w:hAnsi="宋体" w:cs="宋体"/>
          <w:color w:val="auto"/>
          <w:kern w:val="0"/>
          <w:szCs w:val="21"/>
          <w:highlight w:val="none"/>
        </w:rPr>
        <w:t>止</w:t>
      </w:r>
      <w:r>
        <w:rPr>
          <w:rFonts w:hint="eastAsia" w:ascii="宋体" w:hAnsi="宋体" w:cs="宋体"/>
          <w:color w:val="auto"/>
          <w:spacing w:val="-2"/>
          <w:kern w:val="0"/>
          <w:szCs w:val="21"/>
          <w:highlight w:val="none"/>
        </w:rPr>
        <w:t>时</w:t>
      </w:r>
      <w:r>
        <w:rPr>
          <w:rFonts w:hint="eastAsia" w:ascii="宋体" w:hAnsi="宋体" w:cs="宋体"/>
          <w:color w:val="auto"/>
          <w:kern w:val="0"/>
          <w:szCs w:val="21"/>
          <w:highlight w:val="none"/>
        </w:rPr>
        <w:t>间</w:t>
      </w:r>
      <w:r>
        <w:rPr>
          <w:rFonts w:hint="eastAsia" w:ascii="宋体" w:hAnsi="宋体" w:cs="宋体"/>
          <w:color w:val="auto"/>
          <w:spacing w:val="-2"/>
          <w:kern w:val="0"/>
          <w:szCs w:val="21"/>
          <w:highlight w:val="none"/>
        </w:rPr>
        <w:t>1</w:t>
      </w:r>
      <w:r>
        <w:rPr>
          <w:rFonts w:hint="eastAsia" w:ascii="宋体" w:hAnsi="宋体" w:cs="宋体"/>
          <w:color w:val="auto"/>
          <w:kern w:val="0"/>
          <w:szCs w:val="21"/>
          <w:highlight w:val="none"/>
        </w:rPr>
        <w:t>0</w:t>
      </w:r>
      <w:r>
        <w:rPr>
          <w:rFonts w:hint="eastAsia" w:ascii="宋体" w:hAnsi="宋体" w:cs="宋体"/>
          <w:color w:val="auto"/>
          <w:spacing w:val="-2"/>
          <w:kern w:val="0"/>
          <w:szCs w:val="21"/>
          <w:highlight w:val="none"/>
        </w:rPr>
        <w:t>日前</w:t>
      </w:r>
      <w:r>
        <w:rPr>
          <w:rFonts w:hint="eastAsia" w:ascii="宋体" w:hAnsi="宋体" w:cs="宋体"/>
          <w:color w:val="auto"/>
          <w:kern w:val="0"/>
          <w:szCs w:val="21"/>
          <w:highlight w:val="none"/>
        </w:rPr>
        <w:t>以书</w:t>
      </w:r>
      <w:r>
        <w:rPr>
          <w:rFonts w:hint="eastAsia" w:ascii="宋体" w:hAnsi="宋体" w:cs="宋体"/>
          <w:color w:val="auto"/>
          <w:spacing w:val="-2"/>
          <w:kern w:val="0"/>
          <w:szCs w:val="21"/>
          <w:highlight w:val="none"/>
        </w:rPr>
        <w:t>面</w:t>
      </w:r>
      <w:r>
        <w:rPr>
          <w:rFonts w:hint="eastAsia" w:ascii="宋体" w:hAnsi="宋体" w:cs="宋体"/>
          <w:color w:val="auto"/>
          <w:kern w:val="0"/>
          <w:szCs w:val="21"/>
          <w:highlight w:val="none"/>
        </w:rPr>
        <w:t>形式提出</w:t>
      </w:r>
      <w:r>
        <w:rPr>
          <w:rFonts w:hint="eastAsia" w:ascii="宋体" w:hAnsi="宋体" w:cs="宋体"/>
          <w:color w:val="auto"/>
          <w:spacing w:val="-2"/>
          <w:kern w:val="0"/>
          <w:szCs w:val="21"/>
          <w:highlight w:val="none"/>
        </w:rPr>
        <w:t>。</w:t>
      </w:r>
      <w:r>
        <w:rPr>
          <w:rFonts w:hint="eastAsia" w:ascii="宋体" w:hAnsi="宋体" w:cs="宋体"/>
          <w:color w:val="auto"/>
          <w:kern w:val="0"/>
          <w:szCs w:val="21"/>
          <w:highlight w:val="none"/>
        </w:rPr>
        <w:t>招</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人</w:t>
      </w:r>
      <w:r>
        <w:rPr>
          <w:rFonts w:hint="eastAsia" w:ascii="宋体" w:hAnsi="宋体" w:cs="宋体"/>
          <w:color w:val="auto"/>
          <w:spacing w:val="-2"/>
          <w:kern w:val="0"/>
          <w:szCs w:val="21"/>
          <w:highlight w:val="none"/>
        </w:rPr>
        <w:t>将</w:t>
      </w:r>
      <w:r>
        <w:rPr>
          <w:rFonts w:hint="eastAsia" w:ascii="宋体" w:hAnsi="宋体" w:cs="宋体"/>
          <w:color w:val="auto"/>
          <w:kern w:val="0"/>
          <w:szCs w:val="21"/>
          <w:highlight w:val="none"/>
        </w:rPr>
        <w:t>在</w:t>
      </w:r>
      <w:r>
        <w:rPr>
          <w:rFonts w:hint="eastAsia" w:ascii="宋体" w:hAnsi="宋体" w:cs="宋体"/>
          <w:color w:val="auto"/>
          <w:spacing w:val="-2"/>
          <w:kern w:val="0"/>
          <w:szCs w:val="21"/>
          <w:highlight w:val="none"/>
        </w:rPr>
        <w:t>收</w:t>
      </w:r>
      <w:r>
        <w:rPr>
          <w:rFonts w:hint="eastAsia" w:ascii="宋体" w:hAnsi="宋体" w:cs="宋体"/>
          <w:color w:val="auto"/>
          <w:kern w:val="0"/>
          <w:szCs w:val="21"/>
          <w:highlight w:val="none"/>
        </w:rPr>
        <w:t>到</w:t>
      </w:r>
      <w:r>
        <w:rPr>
          <w:rFonts w:hint="eastAsia" w:ascii="宋体" w:hAnsi="宋体" w:cs="宋体"/>
          <w:color w:val="auto"/>
          <w:spacing w:val="-2"/>
          <w:kern w:val="0"/>
          <w:szCs w:val="21"/>
          <w:highlight w:val="none"/>
        </w:rPr>
        <w:t>异</w:t>
      </w:r>
      <w:r>
        <w:rPr>
          <w:rFonts w:hint="eastAsia" w:ascii="宋体" w:hAnsi="宋体" w:cs="宋体"/>
          <w:color w:val="auto"/>
          <w:kern w:val="0"/>
          <w:szCs w:val="21"/>
          <w:highlight w:val="none"/>
        </w:rPr>
        <w:t>议之</w:t>
      </w:r>
      <w:r>
        <w:rPr>
          <w:rFonts w:hint="eastAsia" w:ascii="宋体" w:hAnsi="宋体" w:cs="宋体"/>
          <w:color w:val="auto"/>
          <w:spacing w:val="-2"/>
          <w:kern w:val="0"/>
          <w:szCs w:val="21"/>
          <w:highlight w:val="none"/>
        </w:rPr>
        <w:t>日</w:t>
      </w:r>
      <w:r>
        <w:rPr>
          <w:rFonts w:hint="eastAsia" w:ascii="宋体" w:hAnsi="宋体" w:cs="宋体"/>
          <w:color w:val="auto"/>
          <w:kern w:val="0"/>
          <w:szCs w:val="21"/>
          <w:highlight w:val="none"/>
        </w:rPr>
        <w:t>起3日</w:t>
      </w:r>
      <w:r>
        <w:rPr>
          <w:rFonts w:hint="eastAsia" w:ascii="宋体" w:hAnsi="宋体" w:cs="宋体"/>
          <w:color w:val="auto"/>
          <w:spacing w:val="-2"/>
          <w:kern w:val="0"/>
          <w:szCs w:val="21"/>
          <w:highlight w:val="none"/>
        </w:rPr>
        <w:t>内</w:t>
      </w:r>
      <w:r>
        <w:rPr>
          <w:rFonts w:hint="eastAsia" w:ascii="宋体" w:hAnsi="宋体" w:cs="宋体"/>
          <w:color w:val="auto"/>
          <w:kern w:val="0"/>
          <w:szCs w:val="21"/>
          <w:highlight w:val="none"/>
        </w:rPr>
        <w:t>作</w:t>
      </w:r>
      <w:r>
        <w:rPr>
          <w:rFonts w:hint="eastAsia" w:ascii="宋体" w:hAnsi="宋体" w:cs="宋体"/>
          <w:color w:val="auto"/>
          <w:spacing w:val="-2"/>
          <w:kern w:val="0"/>
          <w:szCs w:val="21"/>
          <w:highlight w:val="none"/>
        </w:rPr>
        <w:t>出</w:t>
      </w:r>
      <w:r>
        <w:rPr>
          <w:rFonts w:hint="eastAsia" w:ascii="宋体" w:hAnsi="宋体" w:cs="宋体"/>
          <w:color w:val="auto"/>
          <w:kern w:val="0"/>
          <w:szCs w:val="21"/>
          <w:highlight w:val="none"/>
        </w:rPr>
        <w:t>答</w:t>
      </w:r>
      <w:r>
        <w:rPr>
          <w:rFonts w:hint="eastAsia" w:ascii="宋体" w:hAnsi="宋体" w:cs="宋体"/>
          <w:color w:val="auto"/>
          <w:spacing w:val="-2"/>
          <w:kern w:val="0"/>
          <w:szCs w:val="21"/>
          <w:highlight w:val="none"/>
        </w:rPr>
        <w:t>复</w:t>
      </w:r>
      <w:r>
        <w:rPr>
          <w:rFonts w:hint="eastAsia" w:ascii="宋体" w:hAnsi="宋体" w:cs="宋体"/>
          <w:color w:val="auto"/>
          <w:kern w:val="0"/>
          <w:szCs w:val="21"/>
          <w:highlight w:val="none"/>
        </w:rPr>
        <w:t>；作</w:t>
      </w:r>
      <w:r>
        <w:rPr>
          <w:rFonts w:hint="eastAsia" w:ascii="宋体" w:hAnsi="宋体" w:cs="宋体"/>
          <w:color w:val="auto"/>
          <w:spacing w:val="-2"/>
          <w:kern w:val="0"/>
          <w:szCs w:val="21"/>
          <w:highlight w:val="none"/>
        </w:rPr>
        <w:t>出</w:t>
      </w:r>
      <w:r>
        <w:rPr>
          <w:rFonts w:hint="eastAsia" w:ascii="宋体" w:hAnsi="宋体" w:cs="宋体"/>
          <w:color w:val="auto"/>
          <w:kern w:val="0"/>
          <w:szCs w:val="21"/>
          <w:highlight w:val="none"/>
        </w:rPr>
        <w:t>答</w:t>
      </w:r>
      <w:r>
        <w:rPr>
          <w:rFonts w:hint="eastAsia" w:ascii="宋体" w:hAnsi="宋体" w:cs="宋体"/>
          <w:color w:val="auto"/>
          <w:spacing w:val="-2"/>
          <w:kern w:val="0"/>
          <w:szCs w:val="21"/>
          <w:highlight w:val="none"/>
        </w:rPr>
        <w:t>复</w:t>
      </w:r>
      <w:r>
        <w:rPr>
          <w:rFonts w:hint="eastAsia" w:ascii="宋体" w:hAnsi="宋体" w:cs="宋体"/>
          <w:color w:val="auto"/>
          <w:kern w:val="0"/>
          <w:szCs w:val="21"/>
          <w:highlight w:val="none"/>
        </w:rPr>
        <w:t>前</w:t>
      </w:r>
      <w:r>
        <w:rPr>
          <w:rFonts w:hint="eastAsia" w:ascii="宋体" w:hAnsi="宋体" w:cs="宋体"/>
          <w:color w:val="auto"/>
          <w:spacing w:val="-2"/>
          <w:kern w:val="0"/>
          <w:szCs w:val="21"/>
          <w:highlight w:val="none"/>
        </w:rPr>
        <w:t>，</w:t>
      </w:r>
      <w:r>
        <w:rPr>
          <w:rFonts w:hint="eastAsia" w:ascii="宋体" w:hAnsi="宋体" w:cs="宋体"/>
          <w:color w:val="auto"/>
          <w:kern w:val="0"/>
          <w:szCs w:val="21"/>
          <w:highlight w:val="none"/>
        </w:rPr>
        <w:t>将</w:t>
      </w:r>
      <w:r>
        <w:rPr>
          <w:rFonts w:hint="eastAsia" w:ascii="宋体" w:hAnsi="宋体" w:cs="宋体"/>
          <w:color w:val="auto"/>
          <w:spacing w:val="-2"/>
          <w:kern w:val="0"/>
          <w:szCs w:val="21"/>
          <w:highlight w:val="none"/>
        </w:rPr>
        <w:t>暂</w:t>
      </w:r>
      <w:r>
        <w:rPr>
          <w:rFonts w:hint="eastAsia" w:ascii="宋体" w:hAnsi="宋体" w:cs="宋体"/>
          <w:color w:val="auto"/>
          <w:kern w:val="0"/>
          <w:szCs w:val="21"/>
          <w:highlight w:val="none"/>
        </w:rPr>
        <w:t>停</w:t>
      </w:r>
      <w:r>
        <w:rPr>
          <w:rFonts w:hint="eastAsia" w:ascii="宋体" w:hAnsi="宋体" w:cs="宋体"/>
          <w:color w:val="auto"/>
          <w:spacing w:val="-2"/>
          <w:kern w:val="0"/>
          <w:szCs w:val="21"/>
          <w:highlight w:val="none"/>
        </w:rPr>
        <w:t>招</w:t>
      </w:r>
      <w:r>
        <w:rPr>
          <w:rFonts w:hint="eastAsia" w:ascii="宋体" w:hAnsi="宋体" w:cs="宋体"/>
          <w:color w:val="auto"/>
          <w:kern w:val="0"/>
          <w:szCs w:val="21"/>
          <w:highlight w:val="none"/>
        </w:rPr>
        <w:t>标投</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活</w:t>
      </w:r>
      <w:r>
        <w:rPr>
          <w:rFonts w:hint="eastAsia" w:ascii="宋体" w:hAnsi="宋体" w:cs="宋体"/>
          <w:color w:val="auto"/>
          <w:spacing w:val="-2"/>
          <w:kern w:val="0"/>
          <w:szCs w:val="21"/>
          <w:highlight w:val="none"/>
        </w:rPr>
        <w:t>动</w:t>
      </w:r>
      <w:r>
        <w:rPr>
          <w:rFonts w:hint="eastAsia" w:ascii="宋体" w:hAnsi="宋体" w:eastAsia="宋体" w:cs="Times New Roman"/>
          <w:color w:val="auto"/>
          <w:szCs w:val="21"/>
          <w:highlight w:val="none"/>
        </w:rPr>
        <w:t>。异议函包括但不限于下列内容：</w:t>
      </w:r>
    </w:p>
    <w:p w14:paraId="4B1302B5">
      <w:pPr>
        <w:pStyle w:val="23"/>
        <w:kinsoku/>
        <w:overflowPunct/>
        <w:bidi w:val="0"/>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（1）异议人名称、地址、邮政编码、联系人及联系电话；</w:t>
      </w:r>
    </w:p>
    <w:p w14:paraId="12F09982">
      <w:pPr>
        <w:pStyle w:val="23"/>
        <w:kinsoku/>
        <w:overflowPunct/>
        <w:bidi w:val="0"/>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（2）具体、明确的异议事项、事实依据及与异议事项相关的请求。</w:t>
      </w:r>
    </w:p>
    <w:p w14:paraId="547B06BB">
      <w:pPr>
        <w:pStyle w:val="23"/>
        <w:kinsoku/>
        <w:overflowPunct/>
        <w:bidi w:val="0"/>
        <w:spacing w:line="360" w:lineRule="auto"/>
        <w:ind w:firstLine="420" w:firstLineChars="200"/>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异议函应由异议人的法定代表人或其授权的代理人签字并加盖单位章</w:t>
      </w:r>
      <w:r>
        <w:rPr>
          <w:rFonts w:hint="eastAsia" w:ascii="宋体" w:hAnsi="宋体" w:eastAsia="宋体" w:cs="Times New Roman"/>
          <w:color w:val="auto"/>
          <w:szCs w:val="21"/>
          <w:highlight w:val="none"/>
          <w:lang w:eastAsia="zh-CN"/>
        </w:rPr>
        <w:t>。</w:t>
      </w:r>
    </w:p>
    <w:p w14:paraId="7F4407FB">
      <w:pPr>
        <w:pStyle w:val="4"/>
        <w:tabs>
          <w:tab w:val="left" w:pos="2127"/>
        </w:tabs>
        <w:kinsoku/>
        <w:overflowPunct/>
        <w:bidi w:val="0"/>
        <w:spacing w:before="0" w:after="0" w:line="360" w:lineRule="auto"/>
        <w:textAlignment w:val="auto"/>
        <w:rPr>
          <w:rFonts w:ascii="宋体" w:hAnsi="宋体" w:eastAsia="宋体"/>
          <w:color w:val="auto"/>
          <w:sz w:val="24"/>
          <w:szCs w:val="24"/>
          <w:highlight w:val="none"/>
        </w:rPr>
      </w:pPr>
      <w:bookmarkStart w:id="624" w:name="_Toc30851"/>
      <w:bookmarkStart w:id="625" w:name="_Toc5516"/>
      <w:bookmarkStart w:id="626" w:name="_Toc15486"/>
      <w:bookmarkStart w:id="627" w:name="_Toc7211"/>
      <w:bookmarkStart w:id="628" w:name="_Toc12055"/>
      <w:bookmarkStart w:id="629" w:name="_Toc14853"/>
      <w:bookmarkStart w:id="630" w:name="_Toc17154"/>
      <w:bookmarkStart w:id="631" w:name="_Toc32213"/>
      <w:bookmarkStart w:id="632" w:name="_Toc1689"/>
      <w:bookmarkStart w:id="633" w:name="_Toc16530"/>
      <w:bookmarkStart w:id="634" w:name="_Toc4029"/>
      <w:bookmarkStart w:id="635" w:name="_Toc27701"/>
      <w:bookmarkStart w:id="636" w:name="_Toc9836"/>
      <w:bookmarkStart w:id="637" w:name="_Toc5227"/>
      <w:bookmarkStart w:id="638" w:name="_Toc14234"/>
      <w:bookmarkStart w:id="639" w:name="_Toc21510"/>
      <w:bookmarkStart w:id="640" w:name="_Toc32393"/>
      <w:bookmarkStart w:id="641" w:name="_Toc11366"/>
      <w:r>
        <w:rPr>
          <w:rFonts w:hint="eastAsia" w:ascii="宋体" w:hAnsi="宋体" w:eastAsia="宋体"/>
          <w:color w:val="auto"/>
          <w:sz w:val="24"/>
          <w:szCs w:val="24"/>
          <w:highlight w:val="none"/>
        </w:rPr>
        <w:t>3. 投标文件</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190FE7D9">
      <w:pPr>
        <w:pStyle w:val="23"/>
        <w:tabs>
          <w:tab w:val="left" w:pos="2127"/>
        </w:tabs>
        <w:kinsoku/>
        <w:overflowPunct/>
        <w:bidi w:val="0"/>
        <w:spacing w:line="360" w:lineRule="auto"/>
        <w:textAlignment w:val="auto"/>
        <w:outlineLvl w:val="2"/>
        <w:rPr>
          <w:rFonts w:hAnsi="宋体"/>
          <w:b/>
          <w:color w:val="auto"/>
          <w:highlight w:val="none"/>
        </w:rPr>
      </w:pPr>
      <w:bookmarkStart w:id="642" w:name="_Toc14082"/>
      <w:bookmarkStart w:id="643" w:name="_Toc484792198"/>
      <w:bookmarkStart w:id="644" w:name="_Toc26075"/>
      <w:bookmarkStart w:id="645" w:name="_Toc8531"/>
      <w:bookmarkStart w:id="646" w:name="_Toc28617"/>
      <w:bookmarkStart w:id="647" w:name="_Toc31753"/>
      <w:bookmarkStart w:id="648" w:name="_Toc3136"/>
      <w:bookmarkStart w:id="649" w:name="_Toc29527"/>
      <w:bookmarkStart w:id="650" w:name="_Toc31691"/>
      <w:bookmarkStart w:id="651" w:name="_Toc13759"/>
      <w:bookmarkStart w:id="652" w:name="_Toc1074"/>
      <w:bookmarkStart w:id="653" w:name="_Toc10165"/>
      <w:bookmarkStart w:id="654" w:name="_Toc14954"/>
      <w:bookmarkStart w:id="655" w:name="_Toc12091"/>
      <w:bookmarkStart w:id="656" w:name="_Toc13131"/>
      <w:bookmarkStart w:id="657" w:name="_Toc24653"/>
      <w:bookmarkStart w:id="658" w:name="_Toc482803085"/>
      <w:bookmarkStart w:id="659" w:name="_Toc5925"/>
      <w:bookmarkStart w:id="660" w:name="_Toc18232"/>
      <w:bookmarkStart w:id="661" w:name="_Toc7573"/>
      <w:bookmarkStart w:id="662" w:name="_Toc10081"/>
      <w:bookmarkStart w:id="663" w:name="_Toc14585"/>
      <w:bookmarkStart w:id="664" w:name="_Toc20563"/>
      <w:bookmarkStart w:id="665" w:name="_Toc13873"/>
      <w:bookmarkStart w:id="666" w:name="_Toc12398"/>
      <w:bookmarkStart w:id="667" w:name="_Toc15122"/>
      <w:bookmarkStart w:id="668" w:name="_Toc27138"/>
      <w:bookmarkStart w:id="669" w:name="_Toc391"/>
      <w:bookmarkStart w:id="670" w:name="_Toc25995"/>
      <w:bookmarkStart w:id="671" w:name="_Toc31709"/>
      <w:bookmarkStart w:id="672" w:name="_Toc20625"/>
      <w:bookmarkStart w:id="673" w:name="_Toc5969"/>
      <w:bookmarkStart w:id="674" w:name="_Toc29847"/>
      <w:bookmarkStart w:id="675" w:name="_Toc13821"/>
      <w:bookmarkStart w:id="676" w:name="_Toc2857"/>
      <w:bookmarkStart w:id="677" w:name="_Toc31034"/>
      <w:bookmarkStart w:id="678" w:name="_Toc12361"/>
      <w:bookmarkStart w:id="679" w:name="_Toc23250"/>
      <w:bookmarkStart w:id="680" w:name="_Toc7989"/>
      <w:bookmarkStart w:id="681" w:name="_Toc4866"/>
      <w:bookmarkStart w:id="682" w:name="_Toc5335"/>
      <w:bookmarkStart w:id="683" w:name="_Toc22028"/>
      <w:bookmarkStart w:id="684" w:name="_Toc30441"/>
      <w:bookmarkStart w:id="685" w:name="_Toc5367"/>
      <w:bookmarkStart w:id="686" w:name="_Toc18546"/>
      <w:bookmarkStart w:id="687" w:name="_Toc11241"/>
      <w:bookmarkStart w:id="688" w:name="_Toc9805"/>
      <w:bookmarkStart w:id="689" w:name="_Toc5656"/>
      <w:r>
        <w:rPr>
          <w:rFonts w:hint="eastAsia" w:hAnsi="宋体"/>
          <w:b/>
          <w:color w:val="auto"/>
          <w:highlight w:val="none"/>
        </w:rPr>
        <w:t>3.1 投标文件的组成</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1C33AFAB">
      <w:pPr>
        <w:pStyle w:val="23"/>
        <w:kinsoku/>
        <w:overflowPunct/>
        <w:bidi w:val="0"/>
        <w:spacing w:line="360" w:lineRule="auto"/>
        <w:ind w:firstLine="420" w:firstLineChars="200"/>
        <w:textAlignment w:val="auto"/>
        <w:rPr>
          <w:rFonts w:hint="eastAsia" w:hAnsi="宋体" w:cs="Times New Roman"/>
          <w:color w:val="auto"/>
          <w:szCs w:val="21"/>
          <w:highlight w:val="none"/>
        </w:rPr>
      </w:pPr>
      <w:r>
        <w:rPr>
          <w:rFonts w:hint="eastAsia" w:hAnsi="宋体" w:cs="Times New Roman"/>
          <w:color w:val="auto"/>
          <w:szCs w:val="21"/>
          <w:highlight w:val="none"/>
        </w:rPr>
        <w:t>3.1.1</w:t>
      </w:r>
      <w:r>
        <w:rPr>
          <w:rFonts w:hint="eastAsia" w:hAnsi="宋体" w:cs="Times New Roman"/>
          <w:color w:val="auto"/>
          <w:szCs w:val="21"/>
          <w:highlight w:val="none"/>
          <w:lang w:val="en-US" w:eastAsia="zh-CN"/>
        </w:rPr>
        <w:t xml:space="preserve"> </w:t>
      </w:r>
      <w:r>
        <w:rPr>
          <w:rFonts w:hint="eastAsia" w:hAnsi="宋体" w:cs="Times New Roman"/>
          <w:color w:val="auto"/>
          <w:szCs w:val="21"/>
          <w:highlight w:val="none"/>
        </w:rPr>
        <w:t>投标文件包括内容详见第六章的“投标文件格式”：</w:t>
      </w:r>
    </w:p>
    <w:p w14:paraId="2C36F818">
      <w:pPr>
        <w:pStyle w:val="23"/>
        <w:kinsoku/>
        <w:overflowPunct/>
        <w:bidi w:val="0"/>
        <w:spacing w:line="360" w:lineRule="auto"/>
        <w:ind w:firstLine="420" w:firstLineChars="200"/>
        <w:textAlignment w:val="auto"/>
        <w:rPr>
          <w:rFonts w:hint="eastAsia" w:hAnsi="宋体" w:cs="Times New Roman"/>
          <w:color w:val="auto"/>
          <w:szCs w:val="21"/>
          <w:highlight w:val="none"/>
        </w:rPr>
      </w:pPr>
      <w:r>
        <w:rPr>
          <w:rFonts w:hint="eastAsia" w:hAnsi="宋体" w:cs="Times New Roman"/>
          <w:color w:val="auto"/>
          <w:szCs w:val="21"/>
          <w:highlight w:val="none"/>
        </w:rPr>
        <w:t>3.1.2 投标人须知前附表规定不接受联合体投标的，或投标人没有组成联合体的，投标文件不包括联合体协议书。</w:t>
      </w:r>
    </w:p>
    <w:p w14:paraId="13991B01">
      <w:pPr>
        <w:pStyle w:val="23"/>
        <w:kinsoku/>
        <w:overflowPunct/>
        <w:bidi w:val="0"/>
        <w:spacing w:line="360" w:lineRule="auto"/>
        <w:ind w:firstLine="420" w:firstLineChars="200"/>
        <w:textAlignment w:val="auto"/>
        <w:rPr>
          <w:rFonts w:hint="eastAsia"/>
          <w:highlight w:val="none"/>
        </w:rPr>
      </w:pPr>
      <w:r>
        <w:rPr>
          <w:rFonts w:hint="eastAsia" w:hAnsi="宋体"/>
          <w:color w:val="auto"/>
          <w:szCs w:val="21"/>
          <w:highlight w:val="none"/>
        </w:rPr>
        <w:t xml:space="preserve">3.1.3 </w:t>
      </w:r>
      <w:r>
        <w:rPr>
          <w:rFonts w:hint="eastAsia" w:hAnsi="宋体" w:cs="Times New Roman"/>
          <w:color w:val="auto"/>
          <w:szCs w:val="21"/>
          <w:highlight w:val="none"/>
        </w:rPr>
        <w:t>投标人须知前附表</w:t>
      </w:r>
      <w:r>
        <w:rPr>
          <w:rFonts w:hint="eastAsia" w:hAnsi="宋体"/>
          <w:color w:val="auto"/>
          <w:szCs w:val="21"/>
          <w:highlight w:val="none"/>
        </w:rPr>
        <w:t>未要求提交</w:t>
      </w:r>
      <w:r>
        <w:rPr>
          <w:rFonts w:hint="eastAsia" w:hAnsi="宋体"/>
          <w:color w:val="auto"/>
          <w:szCs w:val="21"/>
          <w:highlight w:val="none"/>
          <w:lang w:val="en-US" w:eastAsia="zh-CN"/>
        </w:rPr>
        <w:t>投标</w:t>
      </w:r>
      <w:r>
        <w:rPr>
          <w:rFonts w:hint="eastAsia" w:hAnsi="宋体"/>
          <w:color w:val="auto"/>
          <w:szCs w:val="21"/>
          <w:highlight w:val="none"/>
        </w:rPr>
        <w:t>保证金的，</w:t>
      </w:r>
      <w:r>
        <w:rPr>
          <w:rFonts w:hint="eastAsia" w:hAnsi="宋体"/>
          <w:color w:val="auto"/>
          <w:szCs w:val="21"/>
          <w:highlight w:val="none"/>
          <w:lang w:val="en-US" w:eastAsia="zh-CN"/>
        </w:rPr>
        <w:t>投标</w:t>
      </w:r>
      <w:r>
        <w:rPr>
          <w:rFonts w:hint="eastAsia" w:hAnsi="宋体"/>
          <w:color w:val="auto"/>
          <w:szCs w:val="21"/>
          <w:highlight w:val="none"/>
        </w:rPr>
        <w:t>文件不包括</w:t>
      </w:r>
      <w:r>
        <w:rPr>
          <w:rFonts w:hint="eastAsia" w:hAnsi="宋体"/>
          <w:color w:val="auto"/>
          <w:szCs w:val="21"/>
          <w:highlight w:val="none"/>
          <w:lang w:val="en-US" w:eastAsia="zh-CN"/>
        </w:rPr>
        <w:t>投标</w:t>
      </w:r>
      <w:r>
        <w:rPr>
          <w:rFonts w:hint="eastAsia" w:hAnsi="宋体"/>
          <w:color w:val="auto"/>
          <w:szCs w:val="21"/>
          <w:highlight w:val="none"/>
        </w:rPr>
        <w:t>保证金证明材料。</w:t>
      </w:r>
    </w:p>
    <w:p w14:paraId="54E01747">
      <w:pPr>
        <w:pStyle w:val="23"/>
        <w:tabs>
          <w:tab w:val="left" w:pos="2127"/>
        </w:tabs>
        <w:kinsoku/>
        <w:overflowPunct/>
        <w:bidi w:val="0"/>
        <w:spacing w:line="360" w:lineRule="auto"/>
        <w:textAlignment w:val="auto"/>
        <w:outlineLvl w:val="2"/>
        <w:rPr>
          <w:rFonts w:hint="eastAsia" w:hAnsi="宋体" w:eastAsia="宋体"/>
          <w:b/>
          <w:color w:val="auto"/>
          <w:highlight w:val="none"/>
          <w:lang w:eastAsia="zh-CN"/>
        </w:rPr>
      </w:pPr>
      <w:bookmarkStart w:id="690" w:name="_Toc3753"/>
      <w:bookmarkStart w:id="691" w:name="_Toc9732"/>
      <w:bookmarkStart w:id="692" w:name="_Toc338"/>
      <w:bookmarkStart w:id="693" w:name="_Toc5323"/>
      <w:bookmarkStart w:id="694" w:name="_Toc5742"/>
      <w:bookmarkStart w:id="695" w:name="_Toc4644"/>
      <w:bookmarkStart w:id="696" w:name="_Toc1512"/>
      <w:bookmarkStart w:id="697" w:name="_Toc10394"/>
      <w:bookmarkStart w:id="698" w:name="_Toc18466"/>
      <w:bookmarkStart w:id="699" w:name="_Toc7748"/>
      <w:bookmarkStart w:id="700" w:name="_Toc15680"/>
      <w:bookmarkStart w:id="701" w:name="_Toc25732"/>
      <w:bookmarkStart w:id="702" w:name="_Toc482803086"/>
      <w:bookmarkStart w:id="703" w:name="_Toc15625"/>
      <w:bookmarkStart w:id="704" w:name="_Toc28418"/>
      <w:bookmarkStart w:id="705" w:name="_Toc18208"/>
      <w:bookmarkStart w:id="706" w:name="_Toc26923"/>
      <w:bookmarkStart w:id="707" w:name="_Toc29396"/>
      <w:bookmarkStart w:id="708" w:name="_Toc16462"/>
      <w:bookmarkStart w:id="709" w:name="_Toc5694"/>
      <w:bookmarkStart w:id="710" w:name="_Toc31357"/>
      <w:bookmarkStart w:id="711" w:name="_Toc484792199"/>
      <w:bookmarkStart w:id="712" w:name="_Toc23820"/>
      <w:bookmarkStart w:id="713" w:name="_Toc31431"/>
      <w:bookmarkStart w:id="714" w:name="_Toc8577"/>
      <w:bookmarkStart w:id="715" w:name="_Toc29452"/>
      <w:bookmarkStart w:id="716" w:name="_Toc25013"/>
      <w:bookmarkStart w:id="717" w:name="_Toc18084"/>
      <w:bookmarkStart w:id="718" w:name="_Toc2511"/>
      <w:bookmarkStart w:id="719" w:name="_Toc14222"/>
      <w:bookmarkStart w:id="720" w:name="_Toc30563"/>
      <w:bookmarkStart w:id="721" w:name="_Toc29103"/>
      <w:bookmarkStart w:id="722" w:name="_Toc7316"/>
      <w:bookmarkStart w:id="723" w:name="_Toc30735"/>
      <w:bookmarkStart w:id="724" w:name="_Toc14465"/>
      <w:bookmarkStart w:id="725" w:name="_Toc28835"/>
      <w:bookmarkStart w:id="726" w:name="_Toc26829"/>
      <w:bookmarkStart w:id="727" w:name="_Toc20722"/>
      <w:bookmarkStart w:id="728" w:name="_Toc29134"/>
      <w:bookmarkStart w:id="729" w:name="_Toc22698"/>
      <w:bookmarkStart w:id="730" w:name="_Toc19741"/>
      <w:bookmarkStart w:id="731" w:name="_Toc17583"/>
      <w:bookmarkStart w:id="732" w:name="_Toc2234"/>
      <w:bookmarkStart w:id="733" w:name="_Toc25065"/>
      <w:bookmarkStart w:id="734" w:name="_Toc30120"/>
      <w:bookmarkStart w:id="735" w:name="_Toc13238"/>
      <w:bookmarkStart w:id="736" w:name="_Toc15975"/>
      <w:bookmarkStart w:id="737" w:name="_Toc26146"/>
      <w:r>
        <w:rPr>
          <w:rFonts w:hint="eastAsia" w:hAnsi="宋体"/>
          <w:b/>
          <w:color w:val="auto"/>
          <w:highlight w:val="none"/>
        </w:rPr>
        <w:t>3.2 投标报价</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67E0A5E5">
      <w:pPr>
        <w:pStyle w:val="23"/>
        <w:kinsoku/>
        <w:wordWrap/>
        <w:overflowPunct/>
        <w:topLinePunct w:val="0"/>
        <w:bidi w:val="0"/>
        <w:snapToGrid/>
        <w:spacing w:beforeAutospacing="0" w:afterAutospacing="0" w:line="360" w:lineRule="auto"/>
        <w:ind w:firstLine="420" w:firstLineChars="200"/>
        <w:textAlignment w:val="auto"/>
        <w:rPr>
          <w:rFonts w:hint="eastAsia" w:hAnsi="宋体"/>
          <w:color w:val="auto"/>
          <w:szCs w:val="21"/>
          <w:highlight w:val="none"/>
        </w:rPr>
      </w:pPr>
      <w:bookmarkStart w:id="738" w:name="_Toc19378"/>
      <w:bookmarkStart w:id="739" w:name="_Toc5442"/>
      <w:bookmarkStart w:id="740" w:name="_Toc31017"/>
      <w:bookmarkStart w:id="741" w:name="_Toc1897"/>
      <w:bookmarkStart w:id="742" w:name="_Toc25913"/>
      <w:bookmarkStart w:id="743" w:name="_Toc9439"/>
      <w:bookmarkStart w:id="744" w:name="_Toc30716"/>
      <w:bookmarkStart w:id="745" w:name="_Toc12276"/>
      <w:bookmarkStart w:id="746" w:name="_Toc7551"/>
      <w:bookmarkStart w:id="747" w:name="_Toc7545"/>
      <w:bookmarkStart w:id="748" w:name="_Toc15869"/>
      <w:bookmarkStart w:id="749" w:name="_Toc17074"/>
      <w:bookmarkStart w:id="750" w:name="_Toc19544"/>
      <w:bookmarkStart w:id="751" w:name="_Toc27231"/>
      <w:bookmarkStart w:id="752" w:name="_Toc6370"/>
      <w:bookmarkStart w:id="753" w:name="_Toc22840"/>
      <w:bookmarkStart w:id="754" w:name="_Toc23283"/>
      <w:bookmarkStart w:id="755" w:name="_Toc30138"/>
      <w:bookmarkStart w:id="756" w:name="_Toc9168"/>
      <w:bookmarkStart w:id="757" w:name="_Toc15806"/>
      <w:bookmarkStart w:id="758" w:name="_Toc7949"/>
      <w:bookmarkStart w:id="759" w:name="_Toc2476"/>
      <w:bookmarkStart w:id="760" w:name="_Toc23100"/>
      <w:bookmarkStart w:id="761" w:name="_Toc21236"/>
      <w:bookmarkStart w:id="762" w:name="_Toc18672"/>
      <w:bookmarkStart w:id="763" w:name="_Toc524"/>
      <w:bookmarkStart w:id="764" w:name="_Toc8797"/>
      <w:bookmarkStart w:id="765" w:name="_Toc13357"/>
      <w:bookmarkStart w:id="766" w:name="_Toc484792200"/>
      <w:bookmarkStart w:id="767" w:name="_Toc9882"/>
      <w:bookmarkStart w:id="768" w:name="_Toc30989"/>
      <w:bookmarkStart w:id="769" w:name="_Toc27326"/>
      <w:bookmarkStart w:id="770" w:name="_Toc11156"/>
      <w:bookmarkStart w:id="771" w:name="_Toc16776"/>
      <w:bookmarkStart w:id="772" w:name="_Toc11060"/>
      <w:bookmarkStart w:id="773" w:name="_Toc9847"/>
      <w:bookmarkStart w:id="774" w:name="_Toc3662"/>
      <w:bookmarkStart w:id="775" w:name="_Toc22229"/>
      <w:bookmarkStart w:id="776" w:name="_Toc20919"/>
      <w:bookmarkStart w:id="777" w:name="_Toc5654"/>
      <w:bookmarkStart w:id="778" w:name="_Toc4476"/>
      <w:bookmarkStart w:id="779" w:name="_Toc19258"/>
      <w:bookmarkStart w:id="780" w:name="_Toc19913"/>
      <w:bookmarkStart w:id="781" w:name="_Toc14285"/>
      <w:bookmarkStart w:id="782" w:name="_Toc23681"/>
      <w:bookmarkStart w:id="783" w:name="_Toc10932"/>
      <w:bookmarkStart w:id="784" w:name="_Toc482803087"/>
      <w:r>
        <w:rPr>
          <w:rFonts w:hint="eastAsia" w:hAnsi="宋体"/>
          <w:color w:val="auto"/>
          <w:szCs w:val="21"/>
          <w:highlight w:val="none"/>
        </w:rPr>
        <w:t>3.2.1</w:t>
      </w:r>
      <w:r>
        <w:rPr>
          <w:rFonts w:hint="eastAsia" w:hAnsi="宋体"/>
          <w:color w:val="auto"/>
          <w:szCs w:val="21"/>
          <w:highlight w:val="none"/>
          <w:lang w:val="en-US" w:eastAsia="zh-CN"/>
        </w:rPr>
        <w:t xml:space="preserve"> 投标人</w:t>
      </w:r>
      <w:r>
        <w:rPr>
          <w:rFonts w:hint="eastAsia" w:hAnsi="宋体"/>
          <w:color w:val="auto"/>
          <w:szCs w:val="21"/>
          <w:highlight w:val="none"/>
        </w:rPr>
        <w:t>应按第六章“</w:t>
      </w:r>
      <w:r>
        <w:rPr>
          <w:rFonts w:hint="eastAsia" w:hAnsi="宋体" w:cs="宋体"/>
          <w:color w:val="auto"/>
          <w:szCs w:val="21"/>
          <w:highlight w:val="none"/>
          <w:lang w:val="en-US" w:eastAsia="zh-CN"/>
        </w:rPr>
        <w:t>投标文件</w:t>
      </w:r>
      <w:r>
        <w:rPr>
          <w:rFonts w:hint="eastAsia" w:ascii="宋体" w:hAnsi="宋体" w:eastAsia="宋体" w:cs="宋体"/>
          <w:color w:val="auto"/>
          <w:szCs w:val="21"/>
          <w:highlight w:val="none"/>
          <w:lang w:val="en-US" w:eastAsia="zh-CN"/>
        </w:rPr>
        <w:t>格式</w:t>
      </w:r>
      <w:r>
        <w:rPr>
          <w:rFonts w:hint="eastAsia" w:hAnsi="宋体"/>
          <w:color w:val="auto"/>
          <w:szCs w:val="21"/>
          <w:highlight w:val="none"/>
        </w:rPr>
        <w:t>”的要求在</w:t>
      </w:r>
      <w:r>
        <w:rPr>
          <w:rFonts w:hint="eastAsia" w:hAnsi="宋体"/>
          <w:color w:val="auto"/>
          <w:szCs w:val="21"/>
          <w:highlight w:val="none"/>
          <w:lang w:val="en-US" w:eastAsia="zh-CN"/>
        </w:rPr>
        <w:t>投标</w:t>
      </w:r>
      <w:r>
        <w:rPr>
          <w:rFonts w:hint="eastAsia" w:hAnsi="宋体"/>
          <w:color w:val="auto"/>
          <w:szCs w:val="21"/>
          <w:highlight w:val="none"/>
        </w:rPr>
        <w:t>函和报价书（如有）中进行报价。</w:t>
      </w:r>
    </w:p>
    <w:p w14:paraId="586FD00F">
      <w:pPr>
        <w:pStyle w:val="23"/>
        <w:kinsoku/>
        <w:wordWrap/>
        <w:overflowPunct/>
        <w:topLinePunct w:val="0"/>
        <w:bidi w:val="0"/>
        <w:snapToGrid/>
        <w:spacing w:beforeAutospacing="0" w:afterAutospacing="0" w:line="360" w:lineRule="auto"/>
        <w:ind w:firstLine="420" w:firstLineChars="200"/>
        <w:textAlignment w:val="auto"/>
        <w:rPr>
          <w:rFonts w:hint="eastAsia" w:hAnsi="宋体"/>
          <w:color w:val="auto"/>
          <w:szCs w:val="21"/>
          <w:highlight w:val="none"/>
        </w:rPr>
      </w:pPr>
      <w:r>
        <w:rPr>
          <w:rFonts w:hint="eastAsia" w:hAnsi="宋体"/>
          <w:color w:val="auto"/>
          <w:szCs w:val="21"/>
          <w:highlight w:val="none"/>
        </w:rPr>
        <w:t xml:space="preserve">3.2.2 </w:t>
      </w:r>
      <w:r>
        <w:rPr>
          <w:rFonts w:hint="eastAsia" w:hAnsi="宋体"/>
          <w:color w:val="auto"/>
          <w:szCs w:val="21"/>
          <w:highlight w:val="none"/>
          <w:lang w:val="en-US" w:eastAsia="zh-CN"/>
        </w:rPr>
        <w:t>投标人</w:t>
      </w:r>
      <w:r>
        <w:rPr>
          <w:rFonts w:hint="eastAsia" w:hAnsi="宋体"/>
          <w:color w:val="auto"/>
          <w:szCs w:val="21"/>
          <w:highlight w:val="none"/>
        </w:rPr>
        <w:t>应充分了解该项目的总体情况以及影响报价的其他要素。对于设置有成交权重分配偏差与采购需求预测下限的，</w:t>
      </w:r>
      <w:r>
        <w:rPr>
          <w:rFonts w:hint="eastAsia" w:hAnsi="宋体"/>
          <w:color w:val="auto"/>
          <w:szCs w:val="21"/>
          <w:highlight w:val="none"/>
          <w:lang w:val="en-US" w:eastAsia="zh-CN"/>
        </w:rPr>
        <w:t>招标</w:t>
      </w:r>
      <w:r>
        <w:rPr>
          <w:rFonts w:hint="eastAsia" w:hAnsi="宋体"/>
          <w:color w:val="auto"/>
          <w:szCs w:val="21"/>
          <w:highlight w:val="none"/>
        </w:rPr>
        <w:t>人在签署采购合同时及合同履行过程中，有权在</w:t>
      </w:r>
      <w:r>
        <w:rPr>
          <w:rFonts w:hint="eastAsia" w:hAnsi="宋体"/>
          <w:color w:val="auto"/>
          <w:szCs w:val="21"/>
          <w:highlight w:val="none"/>
          <w:lang w:val="en-US" w:eastAsia="zh-CN"/>
        </w:rPr>
        <w:t>投标人</w:t>
      </w:r>
      <w:r>
        <w:rPr>
          <w:rFonts w:hint="eastAsia" w:hAnsi="宋体"/>
          <w:color w:val="auto"/>
          <w:szCs w:val="21"/>
          <w:highlight w:val="none"/>
        </w:rPr>
        <w:t>须知前附表规定范围内进行调整。</w:t>
      </w:r>
    </w:p>
    <w:p w14:paraId="41D75261">
      <w:pPr>
        <w:pStyle w:val="23"/>
        <w:kinsoku/>
        <w:wordWrap/>
        <w:overflowPunct/>
        <w:topLinePunct w:val="0"/>
        <w:bidi w:val="0"/>
        <w:snapToGrid/>
        <w:spacing w:beforeAutospacing="0" w:afterAutospacing="0" w:line="360" w:lineRule="auto"/>
        <w:ind w:firstLine="420" w:firstLineChars="200"/>
        <w:textAlignment w:val="auto"/>
        <w:rPr>
          <w:rFonts w:hint="eastAsia" w:hAnsi="宋体"/>
          <w:color w:val="auto"/>
          <w:szCs w:val="21"/>
          <w:highlight w:val="none"/>
        </w:rPr>
      </w:pPr>
      <w:r>
        <w:rPr>
          <w:rFonts w:hint="eastAsia" w:hAnsi="宋体"/>
          <w:color w:val="auto"/>
          <w:szCs w:val="21"/>
          <w:highlight w:val="none"/>
        </w:rPr>
        <w:t>3.2.3 本项目报价方式见</w:t>
      </w:r>
      <w:r>
        <w:rPr>
          <w:rFonts w:hint="eastAsia" w:hAnsi="宋体"/>
          <w:color w:val="auto"/>
          <w:szCs w:val="21"/>
          <w:highlight w:val="none"/>
          <w:lang w:val="en-US" w:eastAsia="zh-CN"/>
        </w:rPr>
        <w:t>投标人</w:t>
      </w:r>
      <w:r>
        <w:rPr>
          <w:rFonts w:hint="eastAsia" w:hAnsi="宋体"/>
          <w:color w:val="auto"/>
          <w:szCs w:val="21"/>
          <w:highlight w:val="none"/>
        </w:rPr>
        <w:t>须知前附表。</w:t>
      </w:r>
      <w:r>
        <w:rPr>
          <w:rFonts w:hint="eastAsia" w:hAnsi="宋体"/>
          <w:color w:val="auto"/>
          <w:szCs w:val="21"/>
          <w:highlight w:val="none"/>
          <w:lang w:val="en-US" w:eastAsia="zh-CN"/>
        </w:rPr>
        <w:t>投标人</w:t>
      </w:r>
      <w:r>
        <w:rPr>
          <w:rFonts w:hint="eastAsia" w:hAnsi="宋体"/>
          <w:color w:val="auto"/>
          <w:szCs w:val="21"/>
          <w:highlight w:val="none"/>
        </w:rPr>
        <w:t>的报价为充分了解本章第3.2.2项后，为完成</w:t>
      </w:r>
      <w:r>
        <w:rPr>
          <w:rFonts w:hint="eastAsia" w:hAnsi="宋体"/>
          <w:color w:val="auto"/>
          <w:szCs w:val="21"/>
          <w:highlight w:val="none"/>
          <w:lang w:val="en-US" w:eastAsia="zh-CN"/>
        </w:rPr>
        <w:t>招标</w:t>
      </w:r>
      <w:r>
        <w:rPr>
          <w:rFonts w:hint="eastAsia" w:hAnsi="宋体"/>
          <w:color w:val="auto"/>
          <w:szCs w:val="21"/>
          <w:highlight w:val="none"/>
        </w:rPr>
        <w:t>文件规定的工作内容的各项费用。合同履约过程中，</w:t>
      </w:r>
      <w:r>
        <w:rPr>
          <w:rFonts w:hint="eastAsia" w:hAnsi="宋体"/>
          <w:color w:val="auto"/>
          <w:szCs w:val="21"/>
          <w:highlight w:val="none"/>
          <w:lang w:val="en-US" w:eastAsia="zh-CN"/>
        </w:rPr>
        <w:t>中标单位</w:t>
      </w:r>
      <w:r>
        <w:rPr>
          <w:rFonts w:hint="eastAsia" w:hAnsi="宋体"/>
          <w:color w:val="auto"/>
          <w:szCs w:val="21"/>
          <w:highlight w:val="none"/>
        </w:rPr>
        <w:t>对外的交涉与纠纷，以及所造成的损失，除</w:t>
      </w:r>
      <w:r>
        <w:rPr>
          <w:rFonts w:hint="eastAsia" w:hAnsi="宋体"/>
          <w:color w:val="auto"/>
          <w:szCs w:val="21"/>
          <w:highlight w:val="none"/>
          <w:lang w:val="en-US" w:eastAsia="zh-CN"/>
        </w:rPr>
        <w:t>招标</w:t>
      </w:r>
      <w:r>
        <w:rPr>
          <w:rFonts w:hint="eastAsia" w:hAnsi="宋体"/>
          <w:color w:val="auto"/>
          <w:szCs w:val="21"/>
          <w:highlight w:val="none"/>
        </w:rPr>
        <w:t>文件中有明确规定者外，均由</w:t>
      </w:r>
      <w:r>
        <w:rPr>
          <w:rFonts w:hint="eastAsia" w:hAnsi="宋体"/>
          <w:color w:val="auto"/>
          <w:szCs w:val="21"/>
          <w:highlight w:val="none"/>
          <w:lang w:val="en-US" w:eastAsia="zh-CN"/>
        </w:rPr>
        <w:t>中标单位</w:t>
      </w:r>
      <w:r>
        <w:rPr>
          <w:rFonts w:hint="eastAsia" w:hAnsi="宋体"/>
          <w:color w:val="auto"/>
          <w:szCs w:val="21"/>
          <w:highlight w:val="none"/>
        </w:rPr>
        <w:t>自行解决。如确需</w:t>
      </w:r>
      <w:r>
        <w:rPr>
          <w:rFonts w:hint="eastAsia" w:hAnsi="宋体"/>
          <w:color w:val="auto"/>
          <w:szCs w:val="21"/>
          <w:highlight w:val="none"/>
          <w:lang w:val="en-US" w:eastAsia="zh-CN"/>
        </w:rPr>
        <w:t>招标</w:t>
      </w:r>
      <w:r>
        <w:rPr>
          <w:rFonts w:hint="eastAsia" w:hAnsi="宋体"/>
          <w:color w:val="auto"/>
          <w:szCs w:val="21"/>
          <w:highlight w:val="none"/>
        </w:rPr>
        <w:t>人进行协调时，协调解决问题所发生的一切费用仍由</w:t>
      </w:r>
      <w:r>
        <w:rPr>
          <w:rFonts w:hint="eastAsia" w:hAnsi="宋体"/>
          <w:color w:val="auto"/>
          <w:szCs w:val="21"/>
          <w:highlight w:val="none"/>
          <w:lang w:val="en-US" w:eastAsia="zh-CN"/>
        </w:rPr>
        <w:t>中标单位</w:t>
      </w:r>
      <w:r>
        <w:rPr>
          <w:rFonts w:hint="eastAsia" w:hAnsi="宋体"/>
          <w:color w:val="auto"/>
          <w:szCs w:val="21"/>
          <w:highlight w:val="none"/>
        </w:rPr>
        <w:t>承担。</w:t>
      </w:r>
    </w:p>
    <w:p w14:paraId="610FBD49">
      <w:pPr>
        <w:pStyle w:val="23"/>
        <w:kinsoku/>
        <w:wordWrap/>
        <w:overflowPunct/>
        <w:topLinePunct w:val="0"/>
        <w:bidi w:val="0"/>
        <w:snapToGrid/>
        <w:spacing w:beforeAutospacing="0" w:afterAutospacing="0" w:line="360" w:lineRule="auto"/>
        <w:ind w:firstLine="420" w:firstLineChars="200"/>
        <w:textAlignment w:val="auto"/>
        <w:rPr>
          <w:rFonts w:hint="eastAsia" w:hAnsi="宋体"/>
          <w:color w:val="auto"/>
          <w:szCs w:val="21"/>
          <w:highlight w:val="none"/>
        </w:rPr>
      </w:pPr>
      <w:r>
        <w:rPr>
          <w:rFonts w:hint="eastAsia" w:hAnsi="宋体"/>
          <w:color w:val="auto"/>
          <w:szCs w:val="21"/>
          <w:highlight w:val="none"/>
        </w:rPr>
        <w:t xml:space="preserve">3.2.4 </w:t>
      </w:r>
      <w:r>
        <w:rPr>
          <w:rFonts w:hint="eastAsia" w:hAnsi="宋体"/>
          <w:color w:val="auto"/>
          <w:szCs w:val="21"/>
          <w:highlight w:val="none"/>
          <w:lang w:val="en-US" w:eastAsia="zh-CN"/>
        </w:rPr>
        <w:t>招标</w:t>
      </w:r>
      <w:r>
        <w:rPr>
          <w:rFonts w:hint="eastAsia" w:hAnsi="宋体"/>
          <w:color w:val="auto"/>
          <w:szCs w:val="21"/>
          <w:highlight w:val="none"/>
        </w:rPr>
        <w:t>人设有最高限价的，</w:t>
      </w:r>
      <w:r>
        <w:rPr>
          <w:rFonts w:hint="eastAsia" w:hAnsi="宋体"/>
          <w:color w:val="auto"/>
          <w:szCs w:val="21"/>
          <w:highlight w:val="none"/>
          <w:lang w:val="en-US" w:eastAsia="zh-CN"/>
        </w:rPr>
        <w:t>投标人</w:t>
      </w:r>
      <w:r>
        <w:rPr>
          <w:rFonts w:hint="eastAsia" w:hAnsi="宋体"/>
          <w:color w:val="auto"/>
          <w:szCs w:val="21"/>
          <w:highlight w:val="none"/>
        </w:rPr>
        <w:t>的报价不得超过最高限价；</w:t>
      </w:r>
      <w:r>
        <w:rPr>
          <w:rFonts w:hint="eastAsia" w:hAnsi="宋体"/>
          <w:color w:val="auto"/>
          <w:szCs w:val="21"/>
          <w:highlight w:val="none"/>
          <w:lang w:val="en-US" w:eastAsia="zh-CN"/>
        </w:rPr>
        <w:t>招标</w:t>
      </w:r>
      <w:r>
        <w:rPr>
          <w:rFonts w:hint="eastAsia" w:hAnsi="宋体"/>
          <w:color w:val="auto"/>
          <w:szCs w:val="21"/>
          <w:highlight w:val="none"/>
        </w:rPr>
        <w:t>人只设有</w:t>
      </w:r>
      <w:r>
        <w:rPr>
          <w:rFonts w:hint="eastAsia" w:hAnsi="宋体"/>
          <w:color w:val="auto"/>
          <w:szCs w:val="21"/>
          <w:highlight w:val="none"/>
          <w:lang w:eastAsia="zh-CN"/>
        </w:rPr>
        <w:t>合同估算金额</w:t>
      </w:r>
      <w:r>
        <w:rPr>
          <w:rFonts w:hint="eastAsia" w:hAnsi="宋体"/>
          <w:color w:val="auto"/>
          <w:szCs w:val="21"/>
          <w:highlight w:val="none"/>
        </w:rPr>
        <w:t>的，</w:t>
      </w:r>
      <w:r>
        <w:rPr>
          <w:rFonts w:hint="eastAsia" w:hAnsi="宋体"/>
          <w:color w:val="auto"/>
          <w:szCs w:val="21"/>
          <w:highlight w:val="none"/>
          <w:lang w:val="en-US" w:eastAsia="zh-CN"/>
        </w:rPr>
        <w:t>投标人</w:t>
      </w:r>
      <w:r>
        <w:rPr>
          <w:rFonts w:hint="eastAsia" w:hAnsi="宋体"/>
          <w:color w:val="auto"/>
          <w:szCs w:val="21"/>
          <w:highlight w:val="none"/>
        </w:rPr>
        <w:t>的报价不得超过</w:t>
      </w:r>
      <w:r>
        <w:rPr>
          <w:rFonts w:hint="eastAsia" w:hAnsi="宋体"/>
          <w:color w:val="auto"/>
          <w:szCs w:val="21"/>
          <w:highlight w:val="none"/>
          <w:lang w:eastAsia="zh-CN"/>
        </w:rPr>
        <w:t>合同估算金额</w:t>
      </w:r>
      <w:r>
        <w:rPr>
          <w:rFonts w:hint="eastAsia" w:hAnsi="宋体"/>
          <w:color w:val="auto"/>
          <w:szCs w:val="21"/>
          <w:highlight w:val="none"/>
        </w:rPr>
        <w:t>。最高限价与</w:t>
      </w:r>
      <w:r>
        <w:rPr>
          <w:rFonts w:hint="eastAsia" w:hAnsi="宋体"/>
          <w:color w:val="auto"/>
          <w:szCs w:val="21"/>
          <w:highlight w:val="none"/>
          <w:lang w:eastAsia="zh-CN"/>
        </w:rPr>
        <w:t>合同估算金额</w:t>
      </w:r>
      <w:r>
        <w:rPr>
          <w:rFonts w:hint="eastAsia" w:hAnsi="宋体"/>
          <w:color w:val="auto"/>
          <w:szCs w:val="21"/>
          <w:highlight w:val="none"/>
        </w:rPr>
        <w:t>在</w:t>
      </w:r>
      <w:r>
        <w:rPr>
          <w:rFonts w:hint="eastAsia" w:hAnsi="宋体"/>
          <w:color w:val="auto"/>
          <w:szCs w:val="21"/>
          <w:highlight w:val="none"/>
          <w:lang w:val="en-US" w:eastAsia="zh-CN"/>
        </w:rPr>
        <w:t>投标人</w:t>
      </w:r>
      <w:r>
        <w:rPr>
          <w:rFonts w:hint="eastAsia" w:hAnsi="宋体"/>
          <w:color w:val="auto"/>
          <w:szCs w:val="21"/>
          <w:highlight w:val="none"/>
        </w:rPr>
        <w:t>须知前附表中载明。</w:t>
      </w:r>
    </w:p>
    <w:p w14:paraId="0DDCF1B0">
      <w:pPr>
        <w:pStyle w:val="23"/>
        <w:kinsoku/>
        <w:wordWrap/>
        <w:overflowPunct/>
        <w:topLinePunct w:val="0"/>
        <w:bidi w:val="0"/>
        <w:snapToGrid/>
        <w:spacing w:beforeAutospacing="0" w:afterAutospacing="0"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hAnsi="宋体"/>
          <w:color w:val="auto"/>
          <w:szCs w:val="21"/>
          <w:highlight w:val="none"/>
        </w:rPr>
        <w:t xml:space="preserve">3.2.5 </w:t>
      </w:r>
      <w:r>
        <w:rPr>
          <w:rFonts w:hint="eastAsia" w:hAnsi="宋体"/>
          <w:color w:val="auto"/>
          <w:szCs w:val="21"/>
          <w:highlight w:val="none"/>
          <w:lang w:val="en-US" w:eastAsia="zh-CN"/>
        </w:rPr>
        <w:t>投标人</w:t>
      </w:r>
      <w:r>
        <w:rPr>
          <w:rFonts w:hint="eastAsia" w:hAnsi="宋体"/>
          <w:color w:val="auto"/>
          <w:szCs w:val="21"/>
          <w:highlight w:val="none"/>
        </w:rPr>
        <w:t>报价的其他要求见</w:t>
      </w:r>
      <w:r>
        <w:rPr>
          <w:rFonts w:hint="eastAsia" w:hAnsi="宋体"/>
          <w:color w:val="auto"/>
          <w:szCs w:val="21"/>
          <w:highlight w:val="none"/>
          <w:lang w:val="en-US" w:eastAsia="zh-CN"/>
        </w:rPr>
        <w:t>投标人</w:t>
      </w:r>
      <w:r>
        <w:rPr>
          <w:rFonts w:hint="eastAsia" w:hAnsi="宋体"/>
          <w:color w:val="auto"/>
          <w:szCs w:val="21"/>
          <w:highlight w:val="none"/>
        </w:rPr>
        <w:t>须知前附表</w:t>
      </w:r>
      <w:r>
        <w:rPr>
          <w:rFonts w:hint="eastAsia" w:ascii="宋体" w:hAnsi="宋体" w:eastAsia="宋体" w:cs="宋体"/>
          <w:color w:val="auto"/>
          <w:szCs w:val="21"/>
          <w:highlight w:val="none"/>
          <w:lang w:val="en-US" w:eastAsia="zh-CN"/>
        </w:rPr>
        <w:t>。</w:t>
      </w:r>
    </w:p>
    <w:p w14:paraId="5471BA5B">
      <w:pPr>
        <w:pStyle w:val="23"/>
        <w:tabs>
          <w:tab w:val="left" w:pos="2127"/>
        </w:tabs>
        <w:kinsoku/>
        <w:overflowPunct/>
        <w:bidi w:val="0"/>
        <w:spacing w:line="360" w:lineRule="auto"/>
        <w:textAlignment w:val="auto"/>
        <w:outlineLvl w:val="2"/>
        <w:rPr>
          <w:rFonts w:hAnsi="宋体"/>
          <w:b/>
          <w:color w:val="auto"/>
          <w:highlight w:val="none"/>
        </w:rPr>
      </w:pPr>
      <w:bookmarkStart w:id="785" w:name="_Toc17964"/>
      <w:r>
        <w:rPr>
          <w:rFonts w:hint="eastAsia" w:hAnsi="宋体"/>
          <w:b/>
          <w:color w:val="auto"/>
          <w:highlight w:val="none"/>
        </w:rPr>
        <w:t>3.3 投标有效期</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07111597">
      <w:pPr>
        <w:tabs>
          <w:tab w:val="left" w:pos="2127"/>
        </w:tabs>
        <w:kinsoku/>
        <w:overflowPunct/>
        <w:bidi w:val="0"/>
        <w:spacing w:line="360" w:lineRule="auto"/>
        <w:ind w:firstLine="420" w:firstLineChars="200"/>
        <w:textAlignment w:val="auto"/>
        <w:rPr>
          <w:rFonts w:hint="default" w:ascii="宋体" w:hAnsi="宋体" w:eastAsia="宋体"/>
          <w:color w:val="auto"/>
          <w:highlight w:val="none"/>
          <w:lang w:val="en-US" w:eastAsia="zh-CN"/>
        </w:rPr>
      </w:pPr>
      <w:r>
        <w:rPr>
          <w:rFonts w:hint="eastAsia" w:ascii="宋体" w:hAnsi="宋体"/>
          <w:color w:val="auto"/>
          <w:highlight w:val="none"/>
        </w:rPr>
        <w:t xml:space="preserve">3.3.1 </w:t>
      </w:r>
      <w:r>
        <w:rPr>
          <w:rFonts w:hint="eastAsia" w:ascii="宋体" w:hAnsi="宋体"/>
          <w:color w:val="auto"/>
          <w:highlight w:val="none"/>
          <w:lang w:val="en-US" w:eastAsia="zh-CN"/>
        </w:rPr>
        <w:t>投标有效期：</w:t>
      </w:r>
      <w:r>
        <w:rPr>
          <w:rFonts w:hint="eastAsia" w:hAnsi="宋体"/>
          <w:color w:val="auto"/>
          <w:szCs w:val="21"/>
          <w:highlight w:val="none"/>
        </w:rPr>
        <w:t>见投标人须知前附表。</w:t>
      </w:r>
    </w:p>
    <w:p w14:paraId="74B2FFD5">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lang w:val="en-US" w:eastAsia="zh-CN"/>
        </w:rPr>
        <w:t>3.3.2在投标有效期内，投标人撤销投标文件的，应承担招标文件和法律规定的责任。</w:t>
      </w:r>
    </w:p>
    <w:p w14:paraId="2183DC6A">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3.3.</w:t>
      </w:r>
      <w:r>
        <w:rPr>
          <w:rFonts w:hint="eastAsia" w:ascii="宋体" w:hAnsi="宋体"/>
          <w:color w:val="auto"/>
          <w:highlight w:val="none"/>
          <w:lang w:val="en-US" w:eastAsia="zh-CN"/>
        </w:rPr>
        <w:t>3</w:t>
      </w:r>
      <w:r>
        <w:rPr>
          <w:rFonts w:hint="eastAsia" w:ascii="宋体" w:hAnsi="宋体"/>
          <w:color w:val="auto"/>
          <w:highlight w:val="none"/>
        </w:rPr>
        <w:t>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480623BE">
      <w:pPr>
        <w:pStyle w:val="23"/>
        <w:tabs>
          <w:tab w:val="left" w:pos="2127"/>
        </w:tabs>
        <w:kinsoku/>
        <w:overflowPunct/>
        <w:bidi w:val="0"/>
        <w:spacing w:line="360" w:lineRule="auto"/>
        <w:textAlignment w:val="auto"/>
        <w:outlineLvl w:val="2"/>
        <w:rPr>
          <w:rFonts w:hint="eastAsia" w:hAnsi="宋体" w:eastAsia="宋体"/>
          <w:b/>
          <w:color w:val="auto"/>
          <w:highlight w:val="none"/>
          <w:lang w:val="en-US" w:eastAsia="zh-CN"/>
        </w:rPr>
      </w:pPr>
      <w:bookmarkStart w:id="786" w:name="_Toc2373"/>
      <w:bookmarkStart w:id="787" w:name="_Toc8752"/>
      <w:bookmarkStart w:id="788" w:name="_Toc32291"/>
      <w:bookmarkStart w:id="789" w:name="_Toc24560"/>
      <w:bookmarkStart w:id="790" w:name="_Toc22621"/>
      <w:bookmarkStart w:id="791" w:name="_Toc32306"/>
      <w:bookmarkStart w:id="792" w:name="_Toc484792201"/>
      <w:bookmarkStart w:id="793" w:name="_Toc15853"/>
      <w:bookmarkStart w:id="794" w:name="_Toc4299"/>
      <w:bookmarkStart w:id="795" w:name="_Toc4995"/>
      <w:bookmarkStart w:id="796" w:name="_Toc19370"/>
      <w:bookmarkStart w:id="797" w:name="_Toc26872"/>
      <w:bookmarkStart w:id="798" w:name="_Toc20909"/>
      <w:bookmarkStart w:id="799" w:name="_Toc6076"/>
      <w:bookmarkStart w:id="800" w:name="_Toc17083"/>
      <w:bookmarkStart w:id="801" w:name="_Toc14530"/>
      <w:bookmarkStart w:id="802" w:name="_Toc18843"/>
      <w:bookmarkStart w:id="803" w:name="_Toc8500"/>
      <w:bookmarkStart w:id="804" w:name="_Toc12041"/>
      <w:bookmarkStart w:id="805" w:name="_Toc4920"/>
      <w:bookmarkStart w:id="806" w:name="_Toc12704"/>
      <w:bookmarkStart w:id="807" w:name="_Toc22574"/>
      <w:bookmarkStart w:id="808" w:name="_Toc21572"/>
      <w:bookmarkStart w:id="809" w:name="_Toc31454"/>
      <w:bookmarkStart w:id="810" w:name="_Toc16642"/>
      <w:bookmarkStart w:id="811" w:name="_Toc21590"/>
      <w:bookmarkStart w:id="812" w:name="_Toc26613"/>
      <w:bookmarkStart w:id="813" w:name="_Toc7083"/>
      <w:bookmarkStart w:id="814" w:name="_Toc30436"/>
      <w:bookmarkStart w:id="815" w:name="_Toc482803088"/>
      <w:bookmarkStart w:id="816" w:name="_Toc17148"/>
      <w:bookmarkStart w:id="817" w:name="_Toc20878"/>
      <w:bookmarkStart w:id="818" w:name="_Toc17377"/>
      <w:bookmarkStart w:id="819" w:name="_Toc27694"/>
      <w:bookmarkStart w:id="820" w:name="_Toc1303"/>
      <w:bookmarkStart w:id="821" w:name="_Toc22596"/>
      <w:bookmarkStart w:id="822" w:name="_Toc11816"/>
      <w:bookmarkStart w:id="823" w:name="_Toc21106"/>
      <w:bookmarkStart w:id="824" w:name="_Toc29258"/>
      <w:bookmarkStart w:id="825" w:name="_Toc16217"/>
      <w:bookmarkStart w:id="826" w:name="_Toc28699"/>
      <w:bookmarkStart w:id="827" w:name="_Toc17042"/>
      <w:bookmarkStart w:id="828" w:name="_Toc13112"/>
      <w:bookmarkStart w:id="829" w:name="_Toc20555"/>
      <w:bookmarkStart w:id="830" w:name="_Toc3589"/>
      <w:bookmarkStart w:id="831" w:name="_Toc17751"/>
      <w:bookmarkStart w:id="832" w:name="_Toc8924"/>
      <w:bookmarkStart w:id="833" w:name="_Toc14341"/>
      <w:r>
        <w:rPr>
          <w:rFonts w:hint="eastAsia" w:hAnsi="宋体"/>
          <w:b/>
          <w:color w:val="auto"/>
          <w:highlight w:val="none"/>
        </w:rPr>
        <w:t>3.4 投标保证金</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5DC22D4B">
      <w:pPr>
        <w:tabs>
          <w:tab w:val="left" w:pos="2127"/>
        </w:tabs>
        <w:kinsoku/>
        <w:overflowPunct/>
        <w:bidi w:val="0"/>
        <w:spacing w:line="360" w:lineRule="auto"/>
        <w:ind w:firstLine="420" w:firstLineChars="200"/>
        <w:textAlignment w:val="auto"/>
        <w:rPr>
          <w:rFonts w:ascii="宋体" w:hAnsi="宋体"/>
          <w:color w:val="auto"/>
          <w:highlight w:val="none"/>
        </w:rPr>
      </w:pPr>
      <w:r>
        <w:rPr>
          <w:rFonts w:ascii="宋体" w:hAnsi="宋体"/>
          <w:color w:val="auto"/>
          <w:highlight w:val="none"/>
        </w:rPr>
        <w:t xml:space="preserve">3.4.1 </w:t>
      </w:r>
      <w:r>
        <w:rPr>
          <w:rFonts w:hint="eastAsia" w:ascii="宋体" w:hAnsi="宋体"/>
          <w:color w:val="auto"/>
          <w:highlight w:val="none"/>
        </w:rPr>
        <w:t>投标人在递交投标文件的同时，应按投标人须知前附表规定的金额、形式和第</w:t>
      </w:r>
      <w:r>
        <w:rPr>
          <w:rFonts w:hint="eastAsia" w:ascii="宋体" w:hAnsi="宋体"/>
          <w:color w:val="auto"/>
          <w:highlight w:val="none"/>
          <w:lang w:val="en-US" w:eastAsia="zh-CN"/>
        </w:rPr>
        <w:t>六</w:t>
      </w:r>
      <w:r>
        <w:rPr>
          <w:rFonts w:hint="eastAsia" w:ascii="宋体" w:hAnsi="宋体"/>
          <w:color w:val="auto"/>
          <w:highlight w:val="none"/>
        </w:rPr>
        <w:t>章“投标文件格式”规定的投标保证金格式递交投标保证金（证明），并作为其投标文件的组成部分。联合体投标的，其投标保证金由牵头人递交，并应符合投标人须知前附表的规定。</w:t>
      </w:r>
    </w:p>
    <w:p w14:paraId="620D4C74">
      <w:pPr>
        <w:tabs>
          <w:tab w:val="left" w:pos="2127"/>
        </w:tabs>
        <w:kinsoku/>
        <w:overflowPunct/>
        <w:bidi w:val="0"/>
        <w:spacing w:line="360" w:lineRule="auto"/>
        <w:ind w:firstLine="420" w:firstLineChars="200"/>
        <w:textAlignment w:val="auto"/>
        <w:rPr>
          <w:rFonts w:ascii="宋体" w:hAnsi="宋体"/>
          <w:color w:val="auto"/>
          <w:highlight w:val="none"/>
        </w:rPr>
      </w:pPr>
      <w:r>
        <w:rPr>
          <w:rFonts w:ascii="宋体" w:hAnsi="宋体"/>
          <w:color w:val="auto"/>
          <w:highlight w:val="none"/>
        </w:rPr>
        <w:t xml:space="preserve">3.4.2 </w:t>
      </w:r>
      <w:r>
        <w:rPr>
          <w:rFonts w:hint="eastAsia" w:ascii="宋体" w:hAnsi="宋体"/>
          <w:color w:val="auto"/>
          <w:highlight w:val="none"/>
        </w:rPr>
        <w:t>投标人不按本章第</w:t>
      </w:r>
      <w:r>
        <w:rPr>
          <w:rFonts w:ascii="宋体" w:hAnsi="宋体"/>
          <w:color w:val="auto"/>
          <w:highlight w:val="none"/>
        </w:rPr>
        <w:t xml:space="preserve">3.4.1 </w:t>
      </w:r>
      <w:r>
        <w:rPr>
          <w:rFonts w:hint="eastAsia" w:ascii="宋体" w:hAnsi="宋体"/>
          <w:color w:val="auto"/>
          <w:highlight w:val="none"/>
        </w:rPr>
        <w:t>项要求提交投标保证金的，其投标文件作否决投标处理。</w:t>
      </w:r>
    </w:p>
    <w:p w14:paraId="756955BE">
      <w:pPr>
        <w:tabs>
          <w:tab w:val="left" w:pos="2127"/>
        </w:tabs>
        <w:kinsoku/>
        <w:overflowPunct/>
        <w:bidi w:val="0"/>
        <w:spacing w:line="360" w:lineRule="auto"/>
        <w:ind w:firstLine="420" w:firstLineChars="200"/>
        <w:textAlignment w:val="auto"/>
        <w:rPr>
          <w:rFonts w:ascii="宋体" w:hAnsi="宋体"/>
          <w:color w:val="auto"/>
          <w:highlight w:val="none"/>
        </w:rPr>
      </w:pPr>
      <w:r>
        <w:rPr>
          <w:rFonts w:ascii="宋体" w:hAnsi="宋体"/>
          <w:color w:val="auto"/>
          <w:highlight w:val="none"/>
        </w:rPr>
        <w:t>3.4.3</w:t>
      </w:r>
      <w:r>
        <w:rPr>
          <w:rFonts w:hint="eastAsia" w:ascii="宋体" w:hAnsi="宋体" w:cs="宋体"/>
          <w:color w:val="auto"/>
          <w:kern w:val="0"/>
          <w:szCs w:val="21"/>
          <w:highlight w:val="none"/>
        </w:rPr>
        <w:t>招</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人</w:t>
      </w:r>
      <w:r>
        <w:rPr>
          <w:rFonts w:hint="eastAsia" w:ascii="宋体" w:hAnsi="宋体" w:cs="宋体"/>
          <w:color w:val="auto"/>
          <w:spacing w:val="-2"/>
          <w:kern w:val="0"/>
          <w:szCs w:val="21"/>
          <w:highlight w:val="none"/>
        </w:rPr>
        <w:t>最</w:t>
      </w:r>
      <w:r>
        <w:rPr>
          <w:rFonts w:hint="eastAsia" w:ascii="宋体" w:hAnsi="宋体" w:cs="宋体"/>
          <w:color w:val="auto"/>
          <w:kern w:val="0"/>
          <w:szCs w:val="21"/>
          <w:highlight w:val="none"/>
        </w:rPr>
        <w:t>迟</w:t>
      </w:r>
      <w:r>
        <w:rPr>
          <w:rFonts w:hint="eastAsia" w:ascii="宋体" w:hAnsi="宋体" w:cs="宋体"/>
          <w:color w:val="auto"/>
          <w:spacing w:val="-2"/>
          <w:kern w:val="0"/>
          <w:szCs w:val="21"/>
          <w:highlight w:val="none"/>
        </w:rPr>
        <w:t>将</w:t>
      </w:r>
      <w:r>
        <w:rPr>
          <w:rFonts w:hint="eastAsia" w:ascii="宋体" w:hAnsi="宋体" w:cs="宋体"/>
          <w:color w:val="auto"/>
          <w:kern w:val="0"/>
          <w:szCs w:val="21"/>
          <w:highlight w:val="none"/>
        </w:rPr>
        <w:t>在</w:t>
      </w:r>
      <w:r>
        <w:rPr>
          <w:rFonts w:hint="eastAsia" w:ascii="宋体" w:hAnsi="宋体" w:cs="宋体"/>
          <w:color w:val="auto"/>
          <w:spacing w:val="-2"/>
          <w:kern w:val="0"/>
          <w:szCs w:val="21"/>
          <w:highlight w:val="none"/>
        </w:rPr>
        <w:t>与中</w:t>
      </w:r>
      <w:r>
        <w:rPr>
          <w:rFonts w:hint="eastAsia" w:ascii="宋体" w:hAnsi="宋体" w:cs="宋体"/>
          <w:color w:val="auto"/>
          <w:kern w:val="0"/>
          <w:szCs w:val="21"/>
          <w:highlight w:val="none"/>
        </w:rPr>
        <w:t>标人</w:t>
      </w:r>
      <w:r>
        <w:rPr>
          <w:rFonts w:hint="eastAsia" w:ascii="宋体" w:hAnsi="宋体" w:cs="宋体"/>
          <w:color w:val="auto"/>
          <w:spacing w:val="-2"/>
          <w:kern w:val="0"/>
          <w:szCs w:val="21"/>
          <w:highlight w:val="none"/>
        </w:rPr>
        <w:t>签</w:t>
      </w:r>
      <w:r>
        <w:rPr>
          <w:rFonts w:hint="eastAsia" w:ascii="宋体" w:hAnsi="宋体" w:cs="宋体"/>
          <w:color w:val="auto"/>
          <w:kern w:val="0"/>
          <w:szCs w:val="21"/>
          <w:highlight w:val="none"/>
        </w:rPr>
        <w:t>订</w:t>
      </w:r>
      <w:r>
        <w:rPr>
          <w:rFonts w:hint="eastAsia" w:ascii="宋体" w:hAnsi="宋体" w:cs="宋体"/>
          <w:color w:val="auto"/>
          <w:spacing w:val="-2"/>
          <w:kern w:val="0"/>
          <w:szCs w:val="21"/>
          <w:highlight w:val="none"/>
        </w:rPr>
        <w:t>合同</w:t>
      </w:r>
      <w:r>
        <w:rPr>
          <w:rFonts w:hint="eastAsia" w:ascii="宋体" w:hAnsi="宋体" w:cs="宋体"/>
          <w:color w:val="auto"/>
          <w:kern w:val="0"/>
          <w:szCs w:val="21"/>
          <w:highlight w:val="none"/>
        </w:rPr>
        <w:t>后5</w:t>
      </w:r>
      <w:r>
        <w:rPr>
          <w:rFonts w:hint="eastAsia" w:ascii="宋体" w:hAnsi="宋体" w:cs="宋体"/>
          <w:color w:val="auto"/>
          <w:spacing w:val="-2"/>
          <w:kern w:val="0"/>
          <w:szCs w:val="21"/>
          <w:highlight w:val="none"/>
        </w:rPr>
        <w:t>日内向</w:t>
      </w:r>
      <w:r>
        <w:rPr>
          <w:rFonts w:hint="eastAsia" w:ascii="宋体" w:hAnsi="宋体" w:cs="宋体"/>
          <w:color w:val="auto"/>
          <w:kern w:val="0"/>
          <w:szCs w:val="21"/>
          <w:highlight w:val="none"/>
        </w:rPr>
        <w:t>未中</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的</w:t>
      </w:r>
      <w:r>
        <w:rPr>
          <w:rFonts w:hint="eastAsia" w:ascii="宋体" w:hAnsi="宋体" w:cs="宋体"/>
          <w:color w:val="auto"/>
          <w:spacing w:val="-2"/>
          <w:kern w:val="0"/>
          <w:szCs w:val="21"/>
          <w:highlight w:val="none"/>
        </w:rPr>
        <w:t>投</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人</w:t>
      </w:r>
      <w:r>
        <w:rPr>
          <w:rFonts w:hint="eastAsia" w:ascii="宋体" w:hAnsi="宋体" w:cs="宋体"/>
          <w:color w:val="auto"/>
          <w:kern w:val="0"/>
          <w:szCs w:val="21"/>
          <w:highlight w:val="none"/>
        </w:rPr>
        <w:t>和</w:t>
      </w:r>
      <w:r>
        <w:rPr>
          <w:rFonts w:hint="eastAsia" w:ascii="宋体" w:hAnsi="宋体" w:cs="宋体"/>
          <w:color w:val="auto"/>
          <w:spacing w:val="-2"/>
          <w:kern w:val="0"/>
          <w:szCs w:val="21"/>
          <w:highlight w:val="none"/>
        </w:rPr>
        <w:t>中</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人</w:t>
      </w:r>
      <w:r>
        <w:rPr>
          <w:rFonts w:hint="eastAsia" w:ascii="宋体" w:hAnsi="宋体" w:cs="宋体"/>
          <w:color w:val="auto"/>
          <w:kern w:val="0"/>
          <w:szCs w:val="21"/>
          <w:highlight w:val="none"/>
        </w:rPr>
        <w:t>退还</w:t>
      </w:r>
      <w:r>
        <w:rPr>
          <w:rFonts w:hint="eastAsia" w:ascii="宋体" w:hAnsi="宋体" w:cs="宋体"/>
          <w:color w:val="auto"/>
          <w:spacing w:val="-2"/>
          <w:kern w:val="0"/>
          <w:szCs w:val="21"/>
          <w:highlight w:val="none"/>
        </w:rPr>
        <w:t>投</w:t>
      </w:r>
      <w:r>
        <w:rPr>
          <w:rFonts w:hint="eastAsia" w:ascii="宋体" w:hAnsi="宋体" w:cs="宋体"/>
          <w:color w:val="auto"/>
          <w:kern w:val="0"/>
          <w:szCs w:val="21"/>
          <w:highlight w:val="none"/>
        </w:rPr>
        <w:t>标保证金</w:t>
      </w:r>
      <w:r>
        <w:rPr>
          <w:rFonts w:hint="eastAsia" w:ascii="宋体" w:hAnsi="宋体" w:cs="宋体"/>
          <w:color w:val="auto"/>
          <w:spacing w:val="-2"/>
          <w:kern w:val="0"/>
          <w:szCs w:val="21"/>
          <w:highlight w:val="none"/>
        </w:rPr>
        <w:t>。</w:t>
      </w:r>
      <w:r>
        <w:rPr>
          <w:rFonts w:hint="eastAsia" w:ascii="宋体" w:hAnsi="宋体" w:cs="宋体"/>
          <w:color w:val="auto"/>
          <w:kern w:val="0"/>
          <w:szCs w:val="21"/>
          <w:highlight w:val="none"/>
        </w:rPr>
        <w:t>投</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保</w:t>
      </w:r>
      <w:r>
        <w:rPr>
          <w:rFonts w:hint="eastAsia" w:ascii="宋体" w:hAnsi="宋体" w:cs="宋体"/>
          <w:color w:val="auto"/>
          <w:spacing w:val="-2"/>
          <w:kern w:val="0"/>
          <w:szCs w:val="21"/>
          <w:highlight w:val="none"/>
        </w:rPr>
        <w:t>证</w:t>
      </w:r>
      <w:r>
        <w:rPr>
          <w:rFonts w:hint="eastAsia" w:ascii="宋体" w:hAnsi="宋体" w:cs="宋体"/>
          <w:color w:val="auto"/>
          <w:kern w:val="0"/>
          <w:szCs w:val="21"/>
          <w:highlight w:val="none"/>
        </w:rPr>
        <w:t>金</w:t>
      </w:r>
      <w:r>
        <w:rPr>
          <w:rFonts w:hint="eastAsia" w:ascii="宋体" w:hAnsi="宋体" w:cs="宋体"/>
          <w:color w:val="auto"/>
          <w:spacing w:val="-2"/>
          <w:kern w:val="0"/>
          <w:szCs w:val="21"/>
          <w:highlight w:val="none"/>
        </w:rPr>
        <w:t>以</w:t>
      </w:r>
      <w:r>
        <w:rPr>
          <w:rFonts w:hint="eastAsia" w:ascii="宋体" w:hAnsi="宋体" w:cs="宋体"/>
          <w:color w:val="auto"/>
          <w:kern w:val="0"/>
          <w:szCs w:val="21"/>
          <w:highlight w:val="none"/>
        </w:rPr>
        <w:t>现</w:t>
      </w:r>
      <w:r>
        <w:rPr>
          <w:rFonts w:hint="eastAsia" w:ascii="宋体" w:hAnsi="宋体" w:cs="宋体"/>
          <w:color w:val="auto"/>
          <w:spacing w:val="-2"/>
          <w:kern w:val="0"/>
          <w:szCs w:val="21"/>
          <w:highlight w:val="none"/>
        </w:rPr>
        <w:t>金</w:t>
      </w:r>
      <w:r>
        <w:rPr>
          <w:rFonts w:hint="eastAsia" w:ascii="宋体" w:hAnsi="宋体" w:cs="宋体"/>
          <w:color w:val="auto"/>
          <w:kern w:val="0"/>
          <w:szCs w:val="21"/>
          <w:highlight w:val="none"/>
        </w:rPr>
        <w:t>或者</w:t>
      </w:r>
      <w:r>
        <w:rPr>
          <w:rFonts w:hint="eastAsia" w:ascii="宋体" w:hAnsi="宋体" w:cs="宋体"/>
          <w:color w:val="auto"/>
          <w:spacing w:val="-2"/>
          <w:kern w:val="0"/>
          <w:szCs w:val="21"/>
          <w:highlight w:val="none"/>
        </w:rPr>
        <w:t>支</w:t>
      </w:r>
      <w:r>
        <w:rPr>
          <w:rFonts w:hint="eastAsia" w:ascii="宋体" w:hAnsi="宋体" w:cs="宋体"/>
          <w:color w:val="auto"/>
          <w:kern w:val="0"/>
          <w:szCs w:val="21"/>
          <w:highlight w:val="none"/>
        </w:rPr>
        <w:t>票</w:t>
      </w:r>
      <w:r>
        <w:rPr>
          <w:rFonts w:hint="eastAsia" w:ascii="宋体" w:hAnsi="宋体" w:cs="宋体"/>
          <w:color w:val="auto"/>
          <w:spacing w:val="-2"/>
          <w:kern w:val="0"/>
          <w:szCs w:val="21"/>
          <w:highlight w:val="none"/>
        </w:rPr>
        <w:t>形</w:t>
      </w:r>
      <w:r>
        <w:rPr>
          <w:rFonts w:hint="eastAsia" w:ascii="宋体" w:hAnsi="宋体" w:cs="宋体"/>
          <w:color w:val="auto"/>
          <w:kern w:val="0"/>
          <w:szCs w:val="21"/>
          <w:highlight w:val="none"/>
        </w:rPr>
        <w:t>式</w:t>
      </w:r>
      <w:r>
        <w:rPr>
          <w:rFonts w:hint="eastAsia" w:ascii="宋体" w:hAnsi="宋体" w:cs="宋体"/>
          <w:color w:val="auto"/>
          <w:spacing w:val="-2"/>
          <w:kern w:val="0"/>
          <w:szCs w:val="21"/>
          <w:highlight w:val="none"/>
        </w:rPr>
        <w:t>递</w:t>
      </w:r>
      <w:r>
        <w:rPr>
          <w:rFonts w:hint="eastAsia" w:ascii="宋体" w:hAnsi="宋体" w:cs="宋体"/>
          <w:color w:val="auto"/>
          <w:kern w:val="0"/>
          <w:szCs w:val="21"/>
          <w:highlight w:val="none"/>
        </w:rPr>
        <w:t>交</w:t>
      </w:r>
      <w:r>
        <w:rPr>
          <w:rFonts w:hint="eastAsia" w:ascii="宋体" w:hAnsi="宋体" w:cs="宋体"/>
          <w:color w:val="auto"/>
          <w:spacing w:val="-2"/>
          <w:kern w:val="0"/>
          <w:szCs w:val="21"/>
          <w:highlight w:val="none"/>
        </w:rPr>
        <w:t>的</w:t>
      </w:r>
      <w:r>
        <w:rPr>
          <w:rFonts w:hint="eastAsia" w:ascii="宋体" w:hAnsi="宋体" w:cs="宋体"/>
          <w:color w:val="auto"/>
          <w:kern w:val="0"/>
          <w:szCs w:val="21"/>
          <w:highlight w:val="none"/>
        </w:rPr>
        <w:t>，</w:t>
      </w:r>
      <w:r>
        <w:rPr>
          <w:rFonts w:hint="eastAsia" w:ascii="宋体" w:hAnsi="宋体" w:cs="宋体"/>
          <w:color w:val="auto"/>
          <w:spacing w:val="-2"/>
          <w:kern w:val="0"/>
          <w:szCs w:val="21"/>
          <w:highlight w:val="none"/>
        </w:rPr>
        <w:t>还</w:t>
      </w:r>
      <w:r>
        <w:rPr>
          <w:rFonts w:hint="eastAsia" w:ascii="宋体" w:hAnsi="宋体" w:cs="宋体"/>
          <w:color w:val="auto"/>
          <w:kern w:val="0"/>
          <w:szCs w:val="21"/>
          <w:highlight w:val="none"/>
        </w:rPr>
        <w:t>应退</w:t>
      </w:r>
      <w:r>
        <w:rPr>
          <w:rFonts w:hint="eastAsia" w:ascii="宋体" w:hAnsi="宋体" w:cs="宋体"/>
          <w:color w:val="auto"/>
          <w:spacing w:val="-2"/>
          <w:kern w:val="0"/>
          <w:szCs w:val="21"/>
          <w:highlight w:val="none"/>
        </w:rPr>
        <w:t>还</w:t>
      </w:r>
      <w:r>
        <w:rPr>
          <w:rFonts w:hint="eastAsia" w:ascii="宋体" w:hAnsi="宋体" w:cs="宋体"/>
          <w:color w:val="auto"/>
          <w:kern w:val="0"/>
          <w:szCs w:val="21"/>
          <w:highlight w:val="none"/>
        </w:rPr>
        <w:t>银</w:t>
      </w:r>
      <w:r>
        <w:rPr>
          <w:rFonts w:hint="eastAsia" w:ascii="宋体" w:hAnsi="宋体" w:cs="宋体"/>
          <w:color w:val="auto"/>
          <w:spacing w:val="-2"/>
          <w:kern w:val="0"/>
          <w:szCs w:val="21"/>
          <w:highlight w:val="none"/>
        </w:rPr>
        <w:t>行</w:t>
      </w:r>
      <w:r>
        <w:rPr>
          <w:rFonts w:hint="eastAsia" w:ascii="宋体" w:hAnsi="宋体" w:cs="宋体"/>
          <w:color w:val="auto"/>
          <w:kern w:val="0"/>
          <w:szCs w:val="21"/>
          <w:highlight w:val="none"/>
        </w:rPr>
        <w:t>同</w:t>
      </w:r>
      <w:r>
        <w:rPr>
          <w:rFonts w:hint="eastAsia" w:ascii="宋体" w:hAnsi="宋体" w:cs="宋体"/>
          <w:color w:val="auto"/>
          <w:spacing w:val="-2"/>
          <w:kern w:val="0"/>
          <w:szCs w:val="21"/>
          <w:highlight w:val="none"/>
        </w:rPr>
        <w:t>期</w:t>
      </w:r>
      <w:r>
        <w:rPr>
          <w:rFonts w:hint="eastAsia" w:ascii="宋体" w:hAnsi="宋体" w:cs="宋体"/>
          <w:color w:val="auto"/>
          <w:kern w:val="0"/>
          <w:szCs w:val="21"/>
          <w:highlight w:val="none"/>
        </w:rPr>
        <w:t>存</w:t>
      </w:r>
      <w:r>
        <w:rPr>
          <w:rFonts w:hint="eastAsia" w:ascii="宋体" w:hAnsi="宋体" w:cs="宋体"/>
          <w:color w:val="auto"/>
          <w:spacing w:val="-2"/>
          <w:kern w:val="0"/>
          <w:szCs w:val="21"/>
          <w:highlight w:val="none"/>
        </w:rPr>
        <w:t>款</w:t>
      </w:r>
      <w:r>
        <w:rPr>
          <w:rFonts w:hint="eastAsia" w:ascii="宋体" w:hAnsi="宋体" w:cs="宋体"/>
          <w:color w:val="auto"/>
          <w:kern w:val="0"/>
          <w:szCs w:val="21"/>
          <w:highlight w:val="none"/>
        </w:rPr>
        <w:t>利</w:t>
      </w:r>
      <w:r>
        <w:rPr>
          <w:rFonts w:hint="eastAsia" w:ascii="宋体" w:hAnsi="宋体" w:cs="宋体"/>
          <w:color w:val="auto"/>
          <w:spacing w:val="-2"/>
          <w:kern w:val="0"/>
          <w:szCs w:val="21"/>
          <w:highlight w:val="none"/>
        </w:rPr>
        <w:t>息</w:t>
      </w:r>
      <w:r>
        <w:rPr>
          <w:rFonts w:hint="eastAsia" w:ascii="宋体" w:hAnsi="宋体" w:cs="宋体"/>
          <w:color w:val="auto"/>
          <w:kern w:val="0"/>
          <w:szCs w:val="21"/>
          <w:highlight w:val="none"/>
        </w:rPr>
        <w:t>。</w:t>
      </w:r>
    </w:p>
    <w:p w14:paraId="27CD9CF9">
      <w:pPr>
        <w:tabs>
          <w:tab w:val="left" w:pos="2127"/>
        </w:tabs>
        <w:kinsoku/>
        <w:overflowPunct/>
        <w:bidi w:val="0"/>
        <w:spacing w:line="360" w:lineRule="auto"/>
        <w:ind w:firstLine="420" w:firstLineChars="200"/>
        <w:textAlignment w:val="auto"/>
        <w:rPr>
          <w:rFonts w:ascii="宋体" w:hAnsi="宋体"/>
          <w:color w:val="auto"/>
          <w:highlight w:val="none"/>
        </w:rPr>
      </w:pPr>
      <w:r>
        <w:rPr>
          <w:rFonts w:ascii="宋体" w:hAnsi="宋体"/>
          <w:color w:val="auto"/>
          <w:highlight w:val="none"/>
        </w:rPr>
        <w:t xml:space="preserve">3.4.4 </w:t>
      </w:r>
      <w:r>
        <w:rPr>
          <w:rFonts w:hint="eastAsia" w:ascii="宋体" w:hAnsi="宋体"/>
          <w:color w:val="auto"/>
          <w:highlight w:val="none"/>
        </w:rPr>
        <w:t>有下列情形之一的，投标保证金将不予退还：</w:t>
      </w:r>
    </w:p>
    <w:p w14:paraId="034A4202">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1</w:t>
      </w:r>
      <w:r>
        <w:rPr>
          <w:rFonts w:hint="eastAsia" w:ascii="宋体" w:hAnsi="宋体"/>
          <w:color w:val="auto"/>
          <w:highlight w:val="none"/>
        </w:rPr>
        <w:t>）投标人在规定的投标有效期内撤销或修改其投标文件；</w:t>
      </w:r>
    </w:p>
    <w:p w14:paraId="3BE49E11">
      <w:pPr>
        <w:autoSpaceDE w:val="0"/>
        <w:autoSpaceDN w:val="0"/>
        <w:adjustRightInd w:val="0"/>
        <w:spacing w:before="40" w:line="360" w:lineRule="auto"/>
        <w:ind w:right="40" w:firstLine="420" w:firstLineChars="200"/>
        <w:rPr>
          <w:rFonts w:hint="eastAsia" w:ascii="宋体" w:hAnsi="宋体" w:cs="宋体"/>
          <w:color w:val="auto"/>
          <w:kern w:val="0"/>
          <w:szCs w:val="21"/>
          <w:highlight w:val="none"/>
        </w:rPr>
      </w:pPr>
      <w:bookmarkStart w:id="834" w:name="_Toc28914"/>
      <w:bookmarkStart w:id="835" w:name="_Toc17356"/>
      <w:bookmarkStart w:id="836" w:name="_Toc27171"/>
      <w:bookmarkStart w:id="837" w:name="_Toc6447"/>
      <w:bookmarkStart w:id="838" w:name="_Toc30129"/>
      <w:bookmarkStart w:id="839" w:name="_Toc482803089"/>
      <w:bookmarkStart w:id="840" w:name="_Toc15852"/>
      <w:bookmarkStart w:id="841" w:name="_Toc13319"/>
      <w:bookmarkStart w:id="842" w:name="_Toc31214"/>
      <w:bookmarkStart w:id="843" w:name="_Toc11024"/>
      <w:bookmarkStart w:id="844" w:name="_Toc21879"/>
      <w:bookmarkStart w:id="845" w:name="_Toc29877"/>
      <w:bookmarkStart w:id="846" w:name="_Toc23091"/>
      <w:bookmarkStart w:id="847" w:name="_Toc15026"/>
      <w:bookmarkStart w:id="848" w:name="_Toc26999"/>
      <w:bookmarkStart w:id="849" w:name="_Toc1178"/>
      <w:bookmarkStart w:id="850" w:name="_Toc6685"/>
      <w:bookmarkStart w:id="851" w:name="_Toc20952"/>
      <w:bookmarkStart w:id="852" w:name="_Toc23884"/>
      <w:bookmarkStart w:id="853" w:name="_Toc24140"/>
      <w:bookmarkStart w:id="854" w:name="_Toc29375"/>
      <w:bookmarkStart w:id="855" w:name="_Toc635"/>
      <w:bookmarkStart w:id="856" w:name="_Toc11534"/>
      <w:bookmarkStart w:id="857" w:name="_Toc10857"/>
      <w:bookmarkStart w:id="858" w:name="_Toc26516"/>
      <w:bookmarkStart w:id="859" w:name="_Toc7887"/>
      <w:bookmarkStart w:id="860" w:name="_Toc19954"/>
      <w:bookmarkStart w:id="861" w:name="_Toc22508"/>
      <w:bookmarkStart w:id="862" w:name="_Toc14425"/>
      <w:bookmarkStart w:id="863" w:name="_Toc29187"/>
      <w:bookmarkStart w:id="864" w:name="_Toc6072"/>
      <w:bookmarkStart w:id="865" w:name="_Toc22004"/>
      <w:bookmarkStart w:id="866" w:name="_Toc13351"/>
      <w:bookmarkStart w:id="867" w:name="_Toc3362"/>
      <w:bookmarkStart w:id="868" w:name="_Toc7660"/>
      <w:bookmarkStart w:id="869" w:name="_Toc15308"/>
      <w:bookmarkStart w:id="870" w:name="_Toc11537"/>
      <w:bookmarkStart w:id="871" w:name="_Toc2531"/>
      <w:bookmarkStart w:id="872" w:name="_Toc6137"/>
      <w:bookmarkStart w:id="873" w:name="_Toc3330"/>
      <w:bookmarkStart w:id="874" w:name="_Toc4526"/>
      <w:bookmarkStart w:id="875" w:name="_Toc27832"/>
      <w:bookmarkStart w:id="876" w:name="_Toc484792202"/>
      <w:bookmarkStart w:id="877" w:name="_Toc17756"/>
      <w:bookmarkStart w:id="878" w:name="_Toc21738"/>
      <w:bookmarkStart w:id="879" w:name="_Toc26826"/>
      <w:bookmarkStart w:id="880" w:name="_Toc20459"/>
      <w:r>
        <w:rPr>
          <w:rFonts w:hint="eastAsia" w:ascii="宋体" w:hAnsi="宋体" w:cs="宋体"/>
          <w:color w:val="auto"/>
          <w:kern w:val="0"/>
          <w:szCs w:val="21"/>
          <w:highlight w:val="none"/>
        </w:rPr>
        <w:t>（2）中标人在收到中标通知书后，无正当理由不与招标人订立合同，在签订合同时向招标人提出附加条件，或者不按照招标文件要求提交履约保证金。</w:t>
      </w:r>
    </w:p>
    <w:p w14:paraId="77A59073">
      <w:pPr>
        <w:autoSpaceDE w:val="0"/>
        <w:autoSpaceDN w:val="0"/>
        <w:adjustRightInd w:val="0"/>
        <w:spacing w:before="40" w:line="360" w:lineRule="auto"/>
        <w:ind w:right="40"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（3）国家法律、法规和规章规定的其他可以不予退还投标保证金的情形。</w:t>
      </w:r>
    </w:p>
    <w:p w14:paraId="3F1C616A">
      <w:pPr>
        <w:pStyle w:val="23"/>
        <w:tabs>
          <w:tab w:val="left" w:pos="2127"/>
        </w:tabs>
        <w:kinsoku/>
        <w:overflowPunct/>
        <w:bidi w:val="0"/>
        <w:spacing w:line="360" w:lineRule="auto"/>
        <w:textAlignment w:val="auto"/>
        <w:outlineLvl w:val="2"/>
        <w:rPr>
          <w:rFonts w:hAnsi="宋体"/>
          <w:b/>
          <w:color w:val="auto"/>
          <w:highlight w:val="none"/>
        </w:rPr>
      </w:pPr>
      <w:bookmarkStart w:id="881" w:name="_Toc29566"/>
      <w:r>
        <w:rPr>
          <w:rFonts w:hint="eastAsia" w:hAnsi="宋体"/>
          <w:b/>
          <w:color w:val="auto"/>
          <w:highlight w:val="none"/>
        </w:rPr>
        <w:t>3.5 投标人</w:t>
      </w:r>
      <w:r>
        <w:rPr>
          <w:rFonts w:hAnsi="宋体"/>
          <w:b/>
          <w:color w:val="auto"/>
          <w:highlight w:val="none"/>
        </w:rPr>
        <w:t>基本信息资料</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51F9456E">
      <w:pPr>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3.5.1 “</w:t>
      </w:r>
      <w:r>
        <w:rPr>
          <w:rFonts w:hint="eastAsia" w:ascii="宋体" w:hAnsi="宋体" w:cs="仿宋_GB2312"/>
          <w:color w:val="auto"/>
          <w:kern w:val="0"/>
          <w:szCs w:val="21"/>
          <w:highlight w:val="none"/>
        </w:rPr>
        <w:t>投标人基本情况表</w:t>
      </w:r>
      <w:r>
        <w:rPr>
          <w:rFonts w:hint="eastAsia" w:ascii="宋体" w:hAnsi="宋体"/>
          <w:color w:val="auto"/>
          <w:highlight w:val="none"/>
        </w:rPr>
        <w:t>”：格式详见第</w:t>
      </w:r>
      <w:r>
        <w:rPr>
          <w:rFonts w:hint="eastAsia" w:ascii="宋体" w:hAnsi="宋体"/>
          <w:color w:val="auto"/>
          <w:highlight w:val="none"/>
          <w:lang w:val="en-US" w:eastAsia="zh-CN"/>
        </w:rPr>
        <w:t>六</w:t>
      </w:r>
      <w:r>
        <w:rPr>
          <w:rFonts w:hint="eastAsia" w:ascii="宋体" w:hAnsi="宋体"/>
          <w:color w:val="auto"/>
          <w:highlight w:val="none"/>
        </w:rPr>
        <w:t>章投标格式要求。</w:t>
      </w:r>
    </w:p>
    <w:p w14:paraId="6A4017CC">
      <w:pPr>
        <w:pStyle w:val="23"/>
        <w:tabs>
          <w:tab w:val="left" w:pos="2127"/>
        </w:tabs>
        <w:kinsoku/>
        <w:overflowPunct/>
        <w:bidi w:val="0"/>
        <w:spacing w:line="360" w:lineRule="auto"/>
        <w:textAlignment w:val="auto"/>
        <w:outlineLvl w:val="2"/>
        <w:rPr>
          <w:rFonts w:hAnsi="宋体"/>
          <w:b/>
          <w:color w:val="auto"/>
          <w:highlight w:val="none"/>
        </w:rPr>
      </w:pPr>
      <w:bookmarkStart w:id="882" w:name="_Toc8052"/>
      <w:bookmarkStart w:id="883" w:name="_Toc14370"/>
      <w:bookmarkStart w:id="884" w:name="_Toc29559"/>
      <w:bookmarkStart w:id="885" w:name="_Toc25501"/>
      <w:bookmarkStart w:id="886" w:name="_Toc21096"/>
      <w:bookmarkStart w:id="887" w:name="_Toc31682"/>
      <w:bookmarkStart w:id="888" w:name="_Toc2315"/>
      <w:bookmarkStart w:id="889" w:name="_Toc22054"/>
      <w:bookmarkStart w:id="890" w:name="_Toc21825"/>
      <w:bookmarkStart w:id="891" w:name="_Toc2590"/>
      <w:bookmarkStart w:id="892" w:name="_Toc26885"/>
      <w:bookmarkStart w:id="893" w:name="_Toc10012"/>
      <w:bookmarkStart w:id="894" w:name="_Toc10586"/>
      <w:bookmarkStart w:id="895" w:name="_Toc22558"/>
      <w:bookmarkStart w:id="896" w:name="_Toc13020"/>
      <w:bookmarkStart w:id="897" w:name="_Toc5660"/>
      <w:bookmarkStart w:id="898" w:name="_Toc28862"/>
      <w:bookmarkStart w:id="899" w:name="_Toc15554"/>
      <w:bookmarkStart w:id="900" w:name="_Toc32335"/>
      <w:bookmarkStart w:id="901" w:name="_Toc482803090"/>
      <w:bookmarkStart w:id="902" w:name="_Toc14272"/>
      <w:bookmarkStart w:id="903" w:name="_Toc900"/>
      <w:bookmarkStart w:id="904" w:name="_Toc19450"/>
      <w:bookmarkStart w:id="905" w:name="_Toc2517"/>
      <w:bookmarkStart w:id="906" w:name="_Toc28326"/>
      <w:bookmarkStart w:id="907" w:name="_Toc29051"/>
      <w:bookmarkStart w:id="908" w:name="_Toc12520"/>
      <w:bookmarkStart w:id="909" w:name="_Toc7293"/>
      <w:bookmarkStart w:id="910" w:name="_Toc4603"/>
      <w:bookmarkStart w:id="911" w:name="_Toc8131"/>
      <w:bookmarkStart w:id="912" w:name="_Toc30561"/>
      <w:bookmarkStart w:id="913" w:name="_Toc12850"/>
      <w:bookmarkStart w:id="914" w:name="_Toc28305"/>
      <w:bookmarkStart w:id="915" w:name="_Toc27679"/>
      <w:bookmarkStart w:id="916" w:name="_Toc28628"/>
      <w:bookmarkStart w:id="917" w:name="_Toc13650"/>
      <w:bookmarkStart w:id="918" w:name="_Toc1282"/>
      <w:bookmarkStart w:id="919" w:name="_Toc14547"/>
      <w:bookmarkStart w:id="920" w:name="_Toc8218"/>
      <w:bookmarkStart w:id="921" w:name="_Toc31950"/>
      <w:bookmarkStart w:id="922" w:name="_Toc6139"/>
      <w:bookmarkStart w:id="923" w:name="_Toc4203"/>
      <w:bookmarkStart w:id="924" w:name="_Toc25731"/>
      <w:bookmarkStart w:id="925" w:name="_Toc484792203"/>
      <w:bookmarkStart w:id="926" w:name="_Toc25999"/>
      <w:bookmarkStart w:id="927" w:name="_Toc15100"/>
      <w:bookmarkStart w:id="928" w:name="_Toc4657"/>
      <w:bookmarkStart w:id="929" w:name="_Toc23243"/>
      <w:r>
        <w:rPr>
          <w:rFonts w:hAnsi="宋体"/>
          <w:b/>
          <w:color w:val="auto"/>
          <w:highlight w:val="none"/>
        </w:rPr>
        <w:t xml:space="preserve">3.6 </w:t>
      </w:r>
      <w:r>
        <w:rPr>
          <w:rFonts w:hint="eastAsia" w:hAnsi="宋体"/>
          <w:b/>
          <w:color w:val="auto"/>
          <w:highlight w:val="none"/>
        </w:rPr>
        <w:t>备选投标方案</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6D8E5EA8">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14:paraId="40C8134B">
      <w:pPr>
        <w:pStyle w:val="23"/>
        <w:tabs>
          <w:tab w:val="left" w:pos="2127"/>
        </w:tabs>
        <w:kinsoku/>
        <w:overflowPunct/>
        <w:bidi w:val="0"/>
        <w:spacing w:line="360" w:lineRule="auto"/>
        <w:textAlignment w:val="auto"/>
        <w:outlineLvl w:val="2"/>
        <w:rPr>
          <w:rFonts w:hAnsi="宋体"/>
          <w:b/>
          <w:color w:val="auto"/>
          <w:highlight w:val="none"/>
        </w:rPr>
      </w:pPr>
      <w:bookmarkStart w:id="930" w:name="_Toc5553"/>
      <w:bookmarkStart w:id="931" w:name="_Toc14318"/>
      <w:bookmarkStart w:id="932" w:name="_Toc8200"/>
      <w:bookmarkStart w:id="933" w:name="_Toc2129"/>
      <w:bookmarkStart w:id="934" w:name="_Toc192"/>
      <w:bookmarkStart w:id="935" w:name="_Toc16535"/>
      <w:bookmarkStart w:id="936" w:name="_Toc484792204"/>
      <w:bookmarkStart w:id="937" w:name="_Toc13364"/>
      <w:bookmarkStart w:id="938" w:name="_Toc32098"/>
      <w:bookmarkStart w:id="939" w:name="_Toc29620"/>
      <w:bookmarkStart w:id="940" w:name="_Toc8056"/>
      <w:bookmarkStart w:id="941" w:name="_Toc15971"/>
      <w:bookmarkStart w:id="942" w:name="_Toc24042"/>
      <w:bookmarkStart w:id="943" w:name="_Toc25264"/>
      <w:bookmarkStart w:id="944" w:name="_Toc25873"/>
      <w:bookmarkStart w:id="945" w:name="_Toc4530"/>
      <w:bookmarkStart w:id="946" w:name="_Toc28850"/>
      <w:bookmarkStart w:id="947" w:name="_Toc482803091"/>
      <w:bookmarkStart w:id="948" w:name="_Toc23645"/>
      <w:bookmarkStart w:id="949" w:name="_Toc11746"/>
      <w:bookmarkStart w:id="950" w:name="_Toc13799"/>
      <w:bookmarkStart w:id="951" w:name="_Toc30512"/>
      <w:bookmarkStart w:id="952" w:name="_Toc2059"/>
      <w:bookmarkStart w:id="953" w:name="_Toc522"/>
      <w:bookmarkStart w:id="954" w:name="_Toc30828"/>
      <w:bookmarkStart w:id="955" w:name="_Toc5793"/>
      <w:bookmarkStart w:id="956" w:name="_Toc15085"/>
      <w:bookmarkStart w:id="957" w:name="_Toc11365"/>
      <w:bookmarkStart w:id="958" w:name="_Toc15022"/>
      <w:bookmarkStart w:id="959" w:name="_Toc5613"/>
      <w:bookmarkStart w:id="960" w:name="_Toc5186"/>
      <w:bookmarkStart w:id="961" w:name="_Toc25619"/>
      <w:bookmarkStart w:id="962" w:name="_Toc89"/>
      <w:bookmarkStart w:id="963" w:name="_Toc29841"/>
      <w:bookmarkStart w:id="964" w:name="_Toc14394"/>
      <w:bookmarkStart w:id="965" w:name="_Toc32250"/>
      <w:bookmarkStart w:id="966" w:name="_Toc32149"/>
      <w:bookmarkStart w:id="967" w:name="_Toc23155"/>
      <w:bookmarkStart w:id="968" w:name="_Toc1257"/>
      <w:bookmarkStart w:id="969" w:name="_Toc414"/>
      <w:bookmarkStart w:id="970" w:name="_Toc1818"/>
      <w:bookmarkStart w:id="971" w:name="_Toc9606"/>
      <w:bookmarkStart w:id="972" w:name="_Toc11518"/>
      <w:bookmarkStart w:id="973" w:name="_Toc3298"/>
      <w:bookmarkStart w:id="974" w:name="_Toc29034"/>
      <w:bookmarkStart w:id="975" w:name="_Toc12594"/>
      <w:bookmarkStart w:id="976" w:name="_Toc17423"/>
      <w:bookmarkStart w:id="977" w:name="_Toc21783"/>
      <w:r>
        <w:rPr>
          <w:rFonts w:hint="eastAsia" w:hAnsi="宋体"/>
          <w:b/>
          <w:color w:val="auto"/>
          <w:highlight w:val="none"/>
        </w:rPr>
        <w:t>3.7 投标文件的编制</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7B9160E5">
      <w:pPr>
        <w:tabs>
          <w:tab w:val="left" w:pos="2127"/>
        </w:tabs>
        <w:kinsoku/>
        <w:overflowPunct/>
        <w:bidi w:val="0"/>
        <w:spacing w:line="360" w:lineRule="auto"/>
        <w:ind w:firstLine="420" w:firstLineChars="200"/>
        <w:textAlignment w:val="auto"/>
        <w:rPr>
          <w:rFonts w:hint="eastAsia" w:ascii="宋体" w:hAnsi="宋体"/>
          <w:color w:val="auto"/>
          <w:highlight w:val="none"/>
        </w:rPr>
      </w:pPr>
      <w:r>
        <w:rPr>
          <w:rFonts w:hint="eastAsia" w:ascii="宋体" w:hAnsi="宋体"/>
          <w:color w:val="auto"/>
          <w:highlight w:val="none"/>
        </w:rPr>
        <w:t>3.7.1投标文件应按第</w:t>
      </w:r>
      <w:r>
        <w:rPr>
          <w:rFonts w:hint="eastAsia" w:ascii="宋体" w:hAnsi="宋体"/>
          <w:color w:val="auto"/>
          <w:highlight w:val="none"/>
          <w:lang w:val="en-US" w:eastAsia="zh-CN"/>
        </w:rPr>
        <w:t>六</w:t>
      </w:r>
      <w:r>
        <w:rPr>
          <w:rFonts w:hint="eastAsia" w:ascii="宋体" w:hAnsi="宋体"/>
          <w:color w:val="auto"/>
          <w:highlight w:val="none"/>
        </w:rPr>
        <w:t>章“投标文件格式”进行编写，如有必要，可以增加附页，作为投标文件的组成部分。</w:t>
      </w:r>
    </w:p>
    <w:p w14:paraId="7C945C62">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3.7.2投标文件应当对招标文件有关</w:t>
      </w:r>
      <w:r>
        <w:rPr>
          <w:rFonts w:hint="eastAsia" w:ascii="宋体" w:hAnsi="宋体" w:cs="宋体"/>
          <w:color w:val="auto"/>
          <w:sz w:val="21"/>
          <w:szCs w:val="21"/>
          <w:highlight w:val="none"/>
          <w:lang w:val="en-US" w:eastAsia="zh-CN"/>
        </w:rPr>
        <w:t>计划工期（或交货期、服务期）</w:t>
      </w:r>
      <w:r>
        <w:rPr>
          <w:rFonts w:hint="eastAsia" w:ascii="宋体" w:hAnsi="宋体"/>
          <w:color w:val="auto"/>
          <w:highlight w:val="none"/>
          <w:lang w:eastAsia="zh-CN"/>
        </w:rPr>
        <w:t>、</w:t>
      </w:r>
      <w:r>
        <w:rPr>
          <w:rFonts w:hint="eastAsia" w:ascii="宋体" w:hAnsi="宋体"/>
          <w:color w:val="auto"/>
          <w:highlight w:val="none"/>
        </w:rPr>
        <w:t>投标有效期、质量要求、技术标准和要求、招标范围等实质性内容作出响应。</w:t>
      </w:r>
    </w:p>
    <w:p w14:paraId="4B5B116E">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3.7.3</w:t>
      </w:r>
      <w:r>
        <w:rPr>
          <w:rFonts w:hint="eastAsia" w:ascii="宋体" w:hAnsi="宋体" w:eastAsia="宋体" w:cs="宋体"/>
          <w:color w:val="auto"/>
          <w:spacing w:val="-2"/>
          <w:kern w:val="0"/>
          <w:szCs w:val="21"/>
          <w:highlight w:val="none"/>
        </w:rPr>
        <w:t>投标文件全部采用电子文档，除投标人须知前附表另有规定外，投标文件所附证书证件均为原件扫描件。</w:t>
      </w:r>
      <w:r>
        <w:rPr>
          <w:rFonts w:hint="eastAsia" w:hAnsi="宋体"/>
          <w:color w:val="auto"/>
          <w:szCs w:val="21"/>
          <w:highlight w:val="none"/>
        </w:rPr>
        <w:t>签字或盖章的具体要求见</w:t>
      </w:r>
      <w:r>
        <w:rPr>
          <w:rFonts w:hint="eastAsia" w:hAnsi="宋体"/>
          <w:color w:val="auto"/>
          <w:szCs w:val="21"/>
          <w:highlight w:val="none"/>
          <w:lang w:val="en-US" w:eastAsia="zh-CN"/>
        </w:rPr>
        <w:t>投标人</w:t>
      </w:r>
      <w:r>
        <w:rPr>
          <w:rFonts w:hint="eastAsia" w:hAnsi="宋体"/>
          <w:color w:val="auto"/>
          <w:szCs w:val="21"/>
          <w:highlight w:val="none"/>
        </w:rPr>
        <w:t>须知前附表。</w:t>
      </w:r>
    </w:p>
    <w:p w14:paraId="0921487D">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3.7.4投标文件编制的其他要求：见投标人须知前附表。</w:t>
      </w:r>
    </w:p>
    <w:p w14:paraId="6B9981EB">
      <w:pPr>
        <w:pStyle w:val="23"/>
        <w:tabs>
          <w:tab w:val="left" w:pos="2127"/>
        </w:tabs>
        <w:kinsoku/>
        <w:overflowPunct/>
        <w:bidi w:val="0"/>
        <w:spacing w:line="360" w:lineRule="auto"/>
        <w:ind w:firstLine="420" w:firstLineChars="200"/>
        <w:textAlignment w:val="auto"/>
        <w:rPr>
          <w:rFonts w:hAnsi="宋体"/>
          <w:color w:val="auto"/>
          <w:highlight w:val="none"/>
        </w:rPr>
      </w:pPr>
    </w:p>
    <w:p w14:paraId="0BC9CE82">
      <w:pPr>
        <w:pStyle w:val="4"/>
        <w:tabs>
          <w:tab w:val="left" w:pos="2127"/>
        </w:tabs>
        <w:kinsoku/>
        <w:overflowPunct/>
        <w:bidi w:val="0"/>
        <w:spacing w:before="0" w:after="0" w:line="360" w:lineRule="auto"/>
        <w:textAlignment w:val="auto"/>
        <w:rPr>
          <w:rFonts w:ascii="宋体" w:hAnsi="宋体" w:eastAsia="宋体"/>
          <w:color w:val="auto"/>
          <w:sz w:val="24"/>
          <w:szCs w:val="24"/>
          <w:highlight w:val="none"/>
        </w:rPr>
      </w:pPr>
      <w:bookmarkStart w:id="978" w:name="_Toc163"/>
      <w:bookmarkStart w:id="979" w:name="_Toc3446"/>
      <w:bookmarkStart w:id="980" w:name="_Toc25067"/>
      <w:bookmarkStart w:id="981" w:name="_Toc30211"/>
      <w:bookmarkStart w:id="982" w:name="_Toc8437"/>
      <w:bookmarkStart w:id="983" w:name="_Toc25213"/>
      <w:bookmarkStart w:id="984" w:name="_Toc28919"/>
      <w:bookmarkStart w:id="985" w:name="_Toc30613"/>
      <w:bookmarkStart w:id="986" w:name="_Toc7385"/>
      <w:bookmarkStart w:id="987" w:name="_Toc26082"/>
      <w:bookmarkStart w:id="988" w:name="_Toc27487"/>
      <w:bookmarkStart w:id="989" w:name="_Toc31307"/>
      <w:bookmarkStart w:id="990" w:name="_Toc28989"/>
      <w:bookmarkStart w:id="991" w:name="_Toc23988"/>
      <w:bookmarkStart w:id="992" w:name="_Toc3230"/>
      <w:bookmarkStart w:id="993" w:name="_Toc31888"/>
      <w:bookmarkStart w:id="994" w:name="_Toc32373"/>
      <w:bookmarkStart w:id="995" w:name="_Toc572"/>
      <w:r>
        <w:rPr>
          <w:rFonts w:hint="eastAsia" w:ascii="宋体" w:hAnsi="宋体" w:eastAsia="宋体"/>
          <w:color w:val="auto"/>
          <w:sz w:val="24"/>
          <w:szCs w:val="24"/>
          <w:highlight w:val="none"/>
        </w:rPr>
        <w:t>4. 投标</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177E0AF1">
      <w:pPr>
        <w:pStyle w:val="23"/>
        <w:tabs>
          <w:tab w:val="left" w:pos="2127"/>
        </w:tabs>
        <w:kinsoku/>
        <w:overflowPunct/>
        <w:bidi w:val="0"/>
        <w:spacing w:line="360" w:lineRule="auto"/>
        <w:textAlignment w:val="auto"/>
        <w:outlineLvl w:val="2"/>
        <w:rPr>
          <w:rFonts w:hint="eastAsia" w:hAnsi="宋体"/>
          <w:b/>
          <w:color w:val="auto"/>
          <w:highlight w:val="none"/>
          <w:lang w:val="en-US" w:eastAsia="zh-CN"/>
        </w:rPr>
      </w:pPr>
      <w:bookmarkStart w:id="996" w:name="_Toc5876"/>
      <w:bookmarkStart w:id="997" w:name="_Toc5619"/>
      <w:bookmarkStart w:id="998" w:name="_Toc24851"/>
      <w:bookmarkStart w:id="999" w:name="_Toc26980"/>
      <w:bookmarkStart w:id="1000" w:name="_Toc4883"/>
      <w:bookmarkStart w:id="1001" w:name="_Toc11091"/>
      <w:bookmarkStart w:id="1002" w:name="_Toc25377"/>
      <w:bookmarkStart w:id="1003" w:name="_Toc8700"/>
      <w:bookmarkStart w:id="1004" w:name="_Toc9709"/>
      <w:bookmarkStart w:id="1005" w:name="_Toc946"/>
      <w:bookmarkStart w:id="1006" w:name="_Toc16565"/>
      <w:bookmarkStart w:id="1007" w:name="_Toc16839"/>
      <w:bookmarkStart w:id="1008" w:name="_Toc815"/>
      <w:bookmarkStart w:id="1009" w:name="_Toc3792"/>
      <w:bookmarkStart w:id="1010" w:name="_Toc21088"/>
      <w:bookmarkStart w:id="1011" w:name="_Toc25682"/>
      <w:bookmarkStart w:id="1012" w:name="_Toc25601"/>
      <w:bookmarkStart w:id="1013" w:name="_Toc20266"/>
      <w:bookmarkStart w:id="1014" w:name="_Toc13252"/>
      <w:bookmarkStart w:id="1015" w:name="_Toc8422"/>
      <w:bookmarkStart w:id="1016" w:name="_Toc29457"/>
      <w:bookmarkStart w:id="1017" w:name="_Toc26432"/>
      <w:bookmarkStart w:id="1018" w:name="_Toc23452"/>
      <w:bookmarkStart w:id="1019" w:name="_Toc1453"/>
      <w:bookmarkStart w:id="1020" w:name="_Toc20538"/>
      <w:bookmarkStart w:id="1021" w:name="_Toc7069"/>
      <w:bookmarkStart w:id="1022" w:name="_Toc8876"/>
      <w:bookmarkStart w:id="1023" w:name="_Toc24967"/>
      <w:bookmarkStart w:id="1024" w:name="_Toc24406"/>
      <w:bookmarkStart w:id="1025" w:name="_Toc4237"/>
      <w:bookmarkStart w:id="1026" w:name="_Toc484792206"/>
      <w:bookmarkStart w:id="1027" w:name="_Toc482803093"/>
      <w:bookmarkStart w:id="1028" w:name="_Toc10977"/>
      <w:bookmarkStart w:id="1029" w:name="_Toc4189"/>
      <w:bookmarkStart w:id="1030" w:name="_Toc3680"/>
      <w:bookmarkStart w:id="1031" w:name="_Toc22951"/>
      <w:bookmarkStart w:id="1032" w:name="_Toc15455"/>
      <w:bookmarkStart w:id="1033" w:name="_Toc10662"/>
      <w:bookmarkStart w:id="1034" w:name="_Toc18782"/>
      <w:bookmarkStart w:id="1035" w:name="_Toc29636"/>
      <w:bookmarkStart w:id="1036" w:name="_Toc25292"/>
      <w:bookmarkStart w:id="1037" w:name="_Toc1740"/>
      <w:bookmarkStart w:id="1038" w:name="_Toc12806"/>
      <w:bookmarkStart w:id="1039" w:name="_Toc16563"/>
      <w:bookmarkStart w:id="1040" w:name="_Toc14308"/>
      <w:bookmarkStart w:id="1041" w:name="_Toc3135"/>
      <w:bookmarkStart w:id="1042" w:name="_Toc29793"/>
      <w:bookmarkStart w:id="1043" w:name="_Toc12474"/>
      <w:r>
        <w:rPr>
          <w:rFonts w:hint="eastAsia" w:hAnsi="宋体"/>
          <w:b/>
          <w:color w:val="auto"/>
          <w:highlight w:val="none"/>
          <w:lang w:val="en-US" w:eastAsia="zh-CN"/>
        </w:rPr>
        <w:t>4.1投标文件的密封和标记</w:t>
      </w:r>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14:paraId="2CF37765">
      <w:pPr>
        <w:pStyle w:val="23"/>
        <w:keepNext w:val="0"/>
        <w:keepLines w:val="0"/>
        <w:pageBreakBefore w:val="0"/>
        <w:widowControl w:val="0"/>
        <w:tabs>
          <w:tab w:val="left" w:pos="2127"/>
        </w:tabs>
        <w:kinsoku/>
        <w:wordWrap/>
        <w:overflowPunct/>
        <w:topLinePunct w:val="0"/>
        <w:autoSpaceDE/>
        <w:autoSpaceDN/>
        <w:bidi w:val="0"/>
        <w:adjustRightInd/>
        <w:snapToGrid/>
        <w:spacing w:line="360" w:lineRule="auto"/>
        <w:ind w:firstLine="420" w:firstLineChars="200"/>
        <w:textAlignment w:val="auto"/>
        <w:outlineLvl w:val="9"/>
        <w:rPr>
          <w:rFonts w:hint="default" w:hAnsi="宋体"/>
          <w:b w:val="0"/>
          <w:bCs w:val="0"/>
          <w:color w:val="auto"/>
          <w:highlight w:val="none"/>
          <w:lang w:val="en-US" w:eastAsia="zh-CN"/>
        </w:rPr>
      </w:pPr>
      <w:bookmarkStart w:id="1044" w:name="_Toc5257"/>
      <w:bookmarkStart w:id="1045" w:name="_Toc13690"/>
      <w:bookmarkStart w:id="1046" w:name="_Toc5675"/>
      <w:bookmarkStart w:id="1047" w:name="_Toc24166"/>
      <w:bookmarkStart w:id="1048" w:name="_Toc8627"/>
      <w:bookmarkStart w:id="1049" w:name="_Toc26034"/>
      <w:bookmarkStart w:id="1050" w:name="_Toc5387"/>
      <w:bookmarkStart w:id="1051" w:name="_Toc24146"/>
      <w:bookmarkStart w:id="1052" w:name="_Toc22872"/>
      <w:bookmarkStart w:id="1053" w:name="_Toc22502"/>
      <w:bookmarkStart w:id="1054" w:name="_Toc6402"/>
      <w:bookmarkStart w:id="1055" w:name="_Toc13438"/>
      <w:bookmarkStart w:id="1056" w:name="_Toc11299"/>
      <w:bookmarkStart w:id="1057" w:name="_Toc9527"/>
      <w:bookmarkStart w:id="1058" w:name="_Toc24883"/>
      <w:bookmarkStart w:id="1059" w:name="_Toc11300"/>
      <w:bookmarkStart w:id="1060" w:name="_Toc11484"/>
      <w:bookmarkStart w:id="1061" w:name="_Toc17458"/>
      <w:bookmarkStart w:id="1062" w:name="_Toc25728"/>
      <w:bookmarkStart w:id="1063" w:name="_Toc28486"/>
      <w:bookmarkStart w:id="1064" w:name="_Toc7815"/>
      <w:r>
        <w:rPr>
          <w:rFonts w:hint="eastAsia" w:hAnsi="宋体"/>
          <w:b w:val="0"/>
          <w:bCs w:val="0"/>
          <w:color w:val="auto"/>
          <w:highlight w:val="none"/>
          <w:lang w:val="en-US" w:eastAsia="zh-CN"/>
        </w:rPr>
        <w:t>4.1.1 投标人应当按照招标文件和</w:t>
      </w:r>
      <w:r>
        <w:rPr>
          <w:rFonts w:hint="eastAsia" w:ascii="宋体" w:hAnsi="宋体" w:cs="宋体"/>
          <w:b w:val="0"/>
          <w:bCs w:val="0"/>
          <w:color w:val="auto"/>
          <w:szCs w:val="21"/>
          <w:highlight w:val="none"/>
          <w:shd w:val="clear" w:color="auto" w:fill="auto"/>
          <w:lang w:val="en-US" w:eastAsia="zh-CN"/>
        </w:rPr>
        <w:t>广州交易集团有限公司（广州公共资源交易中心）网站交易平台</w:t>
      </w:r>
      <w:r>
        <w:rPr>
          <w:rFonts w:hint="eastAsia" w:hAnsi="宋体"/>
          <w:b w:val="0"/>
          <w:bCs w:val="0"/>
          <w:color w:val="auto"/>
          <w:highlight w:val="none"/>
          <w:lang w:val="en-US" w:eastAsia="zh-CN"/>
        </w:rPr>
        <w:t>的要求加密投标</w:t>
      </w:r>
      <w:r>
        <w:rPr>
          <w:rFonts w:hint="default" w:hAnsi="宋体"/>
          <w:b w:val="0"/>
          <w:bCs w:val="0"/>
          <w:color w:val="auto"/>
          <w:highlight w:val="none"/>
          <w:lang w:val="en-US" w:eastAsia="zh-CN"/>
        </w:rPr>
        <w:t>文件。</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14:paraId="2046D6DF">
      <w:pPr>
        <w:pStyle w:val="23"/>
        <w:tabs>
          <w:tab w:val="left" w:pos="2127"/>
        </w:tabs>
        <w:kinsoku/>
        <w:overflowPunct/>
        <w:bidi w:val="0"/>
        <w:spacing w:line="360" w:lineRule="auto"/>
        <w:textAlignment w:val="auto"/>
        <w:outlineLvl w:val="2"/>
        <w:rPr>
          <w:rFonts w:hint="eastAsia" w:hAnsi="宋体" w:eastAsia="宋体"/>
          <w:b/>
          <w:color w:val="auto"/>
          <w:highlight w:val="none"/>
          <w:lang w:val="en-US" w:eastAsia="zh-CN"/>
        </w:rPr>
      </w:pPr>
      <w:bookmarkStart w:id="1065" w:name="_Toc18490"/>
      <w:bookmarkStart w:id="1066" w:name="_Toc28543"/>
      <w:bookmarkStart w:id="1067" w:name="_Toc30692"/>
      <w:bookmarkStart w:id="1068" w:name="_Toc23995"/>
      <w:bookmarkStart w:id="1069" w:name="_Toc22993"/>
      <w:bookmarkStart w:id="1070" w:name="_Toc5578"/>
      <w:bookmarkStart w:id="1071" w:name="_Toc32249"/>
      <w:bookmarkStart w:id="1072" w:name="_Toc24925"/>
      <w:bookmarkStart w:id="1073" w:name="_Toc26153"/>
      <w:bookmarkStart w:id="1074" w:name="_Toc7931"/>
      <w:bookmarkStart w:id="1075" w:name="_Toc194"/>
      <w:bookmarkStart w:id="1076" w:name="_Toc15552"/>
      <w:bookmarkStart w:id="1077" w:name="_Toc24302"/>
      <w:bookmarkStart w:id="1078" w:name="_Toc31130"/>
      <w:bookmarkStart w:id="1079" w:name="_Toc8395"/>
      <w:bookmarkStart w:id="1080" w:name="_Toc158"/>
      <w:bookmarkStart w:id="1081" w:name="_Toc8552"/>
      <w:bookmarkStart w:id="1082" w:name="_Toc5302"/>
      <w:bookmarkStart w:id="1083" w:name="_Toc16201"/>
      <w:bookmarkStart w:id="1084" w:name="_Toc23535"/>
      <w:bookmarkStart w:id="1085" w:name="_Toc16605"/>
      <w:r>
        <w:rPr>
          <w:rFonts w:hint="eastAsia" w:hAnsi="宋体"/>
          <w:b/>
          <w:color w:val="auto"/>
          <w:highlight w:val="none"/>
        </w:rPr>
        <w:t>4.</w:t>
      </w:r>
      <w:r>
        <w:rPr>
          <w:rFonts w:hint="eastAsia" w:hAnsi="宋体"/>
          <w:b/>
          <w:color w:val="auto"/>
          <w:highlight w:val="none"/>
          <w:lang w:val="en-US" w:eastAsia="zh-CN"/>
        </w:rPr>
        <w:t>2</w:t>
      </w:r>
      <w:r>
        <w:rPr>
          <w:rFonts w:hint="eastAsia" w:hAnsi="宋体"/>
          <w:b/>
          <w:color w:val="auto"/>
          <w:highlight w:val="none"/>
        </w:rPr>
        <w:t xml:space="preserve"> 投标文件的</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r>
        <w:rPr>
          <w:rFonts w:hint="eastAsia" w:hAnsi="宋体"/>
          <w:b/>
          <w:color w:val="auto"/>
          <w:highlight w:val="none"/>
          <w:lang w:val="en-US" w:eastAsia="zh-CN"/>
        </w:rPr>
        <w:t>递交</w:t>
      </w:r>
      <w:bookmarkEnd w:id="1065"/>
    </w:p>
    <w:p w14:paraId="7F5E1EA2">
      <w:pPr>
        <w:autoSpaceDE w:val="0"/>
        <w:autoSpaceDN w:val="0"/>
        <w:adjustRightInd w:val="0"/>
        <w:spacing w:before="42" w:line="360" w:lineRule="auto"/>
        <w:ind w:right="-20"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4.2.1 投标人应在</w:t>
      </w:r>
      <w:r>
        <w:rPr>
          <w:rFonts w:hint="eastAsia" w:ascii="宋体" w:hAnsi="宋体"/>
          <w:color w:val="auto"/>
          <w:szCs w:val="21"/>
          <w:highlight w:val="none"/>
          <w:lang w:val="en-US" w:eastAsia="zh-CN"/>
        </w:rPr>
        <w:t>投标人</w:t>
      </w:r>
      <w:r>
        <w:rPr>
          <w:rFonts w:hint="eastAsia" w:ascii="宋体" w:hAnsi="宋体"/>
          <w:color w:val="auto"/>
          <w:szCs w:val="21"/>
          <w:highlight w:val="none"/>
        </w:rPr>
        <w:t>须知前附表</w:t>
      </w:r>
      <w:r>
        <w:rPr>
          <w:rFonts w:hint="eastAsia" w:ascii="宋体" w:hAnsi="宋体" w:cs="宋体"/>
          <w:color w:val="auto"/>
          <w:kern w:val="0"/>
          <w:szCs w:val="21"/>
          <w:highlight w:val="none"/>
        </w:rPr>
        <w:t>规定的投标截止时间前递交投标文件。</w:t>
      </w:r>
    </w:p>
    <w:p w14:paraId="70267BD5">
      <w:pPr>
        <w:autoSpaceDE w:val="0"/>
        <w:autoSpaceDN w:val="0"/>
        <w:adjustRightInd w:val="0"/>
        <w:spacing w:before="42" w:line="360" w:lineRule="auto"/>
        <w:ind w:right="-20"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4.2.2 投标人通过</w:t>
      </w:r>
      <w:r>
        <w:rPr>
          <w:rFonts w:hint="eastAsia" w:ascii="宋体" w:hAnsi="宋体" w:cs="宋体"/>
          <w:b w:val="0"/>
          <w:bCs w:val="0"/>
          <w:color w:val="auto"/>
          <w:szCs w:val="21"/>
          <w:highlight w:val="none"/>
          <w:shd w:val="clear" w:color="auto" w:fill="auto"/>
          <w:lang w:val="en-US" w:eastAsia="zh-CN"/>
        </w:rPr>
        <w:t>广州交易集团有限公司（广州公共资源交易中心）网站交易平台</w:t>
      </w:r>
      <w:r>
        <w:rPr>
          <w:rFonts w:hint="eastAsia" w:ascii="宋体" w:hAnsi="宋体" w:cs="宋体"/>
          <w:color w:val="auto"/>
          <w:kern w:val="0"/>
          <w:szCs w:val="21"/>
          <w:highlight w:val="none"/>
        </w:rPr>
        <w:t>递交电子投标文件。</w:t>
      </w:r>
    </w:p>
    <w:p w14:paraId="39A927E1">
      <w:pPr>
        <w:autoSpaceDE w:val="0"/>
        <w:autoSpaceDN w:val="0"/>
        <w:adjustRightInd w:val="0"/>
        <w:spacing w:before="42" w:line="360" w:lineRule="auto"/>
        <w:ind w:right="-20"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4.2.3 除投标人须知前附表另有规定外</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投标人所递交的投标文件不予退还。</w:t>
      </w:r>
    </w:p>
    <w:p w14:paraId="03405DF0">
      <w:pPr>
        <w:autoSpaceDE w:val="0"/>
        <w:autoSpaceDN w:val="0"/>
        <w:adjustRightInd w:val="0"/>
        <w:spacing w:before="42" w:line="360" w:lineRule="auto"/>
        <w:ind w:right="-20"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4.2.</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 xml:space="preserve"> 逾期上传的投标文件</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招标人及电子招标投标交易平台将予以拒收。</w:t>
      </w:r>
    </w:p>
    <w:p w14:paraId="62ECA285">
      <w:pPr>
        <w:autoSpaceDE w:val="0"/>
        <w:autoSpaceDN w:val="0"/>
        <w:adjustRightInd w:val="0"/>
        <w:spacing w:before="42" w:line="360" w:lineRule="auto"/>
        <w:ind w:right="-20" w:firstLine="420" w:firstLineChars="200"/>
        <w:jc w:val="left"/>
        <w:rPr>
          <w:rFonts w:hint="eastAsia" w:hAnsi="宋体"/>
          <w:b/>
          <w:color w:val="auto"/>
          <w:highlight w:val="none"/>
        </w:rPr>
      </w:pPr>
      <w:r>
        <w:rPr>
          <w:rFonts w:hint="eastAsia" w:ascii="宋体" w:hAnsi="宋体" w:cs="宋体"/>
          <w:color w:val="auto"/>
          <w:kern w:val="0"/>
          <w:szCs w:val="21"/>
          <w:highlight w:val="none"/>
        </w:rPr>
        <w:t xml:space="preserve">4.2.6 投标其他要求：见投标人须知前附表。 </w:t>
      </w:r>
    </w:p>
    <w:bookmarkEnd w:id="1043"/>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14:paraId="43BCA2D8">
      <w:pPr>
        <w:pStyle w:val="23"/>
        <w:tabs>
          <w:tab w:val="left" w:pos="2127"/>
        </w:tabs>
        <w:kinsoku/>
        <w:overflowPunct/>
        <w:bidi w:val="0"/>
        <w:spacing w:line="360" w:lineRule="auto"/>
        <w:textAlignment w:val="auto"/>
        <w:outlineLvl w:val="2"/>
        <w:rPr>
          <w:rFonts w:hAnsi="宋体"/>
          <w:b/>
          <w:color w:val="auto"/>
          <w:highlight w:val="none"/>
        </w:rPr>
      </w:pPr>
      <w:bookmarkStart w:id="1086" w:name="_Toc9007"/>
      <w:bookmarkStart w:id="1087" w:name="_Toc3032"/>
      <w:bookmarkStart w:id="1088" w:name="_Toc4592"/>
      <w:bookmarkStart w:id="1089" w:name="_Toc27125"/>
      <w:bookmarkStart w:id="1090" w:name="_Toc21187"/>
      <w:bookmarkStart w:id="1091" w:name="_Toc29753"/>
      <w:bookmarkStart w:id="1092" w:name="_Toc482803095"/>
      <w:bookmarkStart w:id="1093" w:name="_Toc10390"/>
      <w:bookmarkStart w:id="1094" w:name="_Toc19265"/>
      <w:bookmarkStart w:id="1095" w:name="_Toc5939"/>
      <w:bookmarkStart w:id="1096" w:name="_Toc484792208"/>
      <w:bookmarkStart w:id="1097" w:name="_Toc12162"/>
      <w:bookmarkStart w:id="1098" w:name="_Toc17702"/>
      <w:bookmarkStart w:id="1099" w:name="_Toc20715"/>
      <w:bookmarkStart w:id="1100" w:name="_Toc21795"/>
      <w:bookmarkStart w:id="1101" w:name="_Toc9715"/>
      <w:bookmarkStart w:id="1102" w:name="_Toc7456"/>
      <w:bookmarkStart w:id="1103" w:name="_Toc11270"/>
      <w:bookmarkStart w:id="1104" w:name="_Toc26886"/>
      <w:bookmarkStart w:id="1105" w:name="_Toc17516"/>
      <w:bookmarkStart w:id="1106" w:name="_Toc24349"/>
      <w:bookmarkStart w:id="1107" w:name="_Toc23195"/>
      <w:bookmarkStart w:id="1108" w:name="_Toc12355"/>
      <w:bookmarkStart w:id="1109" w:name="_Toc1914"/>
      <w:bookmarkStart w:id="1110" w:name="_Toc16555"/>
      <w:bookmarkStart w:id="1111" w:name="_Toc9651"/>
      <w:bookmarkStart w:id="1112" w:name="_Toc7086"/>
      <w:bookmarkStart w:id="1113" w:name="_Toc20554"/>
      <w:bookmarkStart w:id="1114" w:name="_Toc12069"/>
      <w:bookmarkStart w:id="1115" w:name="_Toc19852"/>
      <w:bookmarkStart w:id="1116" w:name="_Toc16717"/>
      <w:bookmarkStart w:id="1117" w:name="_Toc25259"/>
      <w:bookmarkStart w:id="1118" w:name="_Toc6201"/>
      <w:bookmarkStart w:id="1119" w:name="_Toc12930"/>
      <w:bookmarkStart w:id="1120" w:name="_Toc2253"/>
      <w:bookmarkStart w:id="1121" w:name="_Toc28179"/>
      <w:bookmarkStart w:id="1122" w:name="_Toc9285"/>
      <w:bookmarkStart w:id="1123" w:name="_Toc21452"/>
      <w:bookmarkStart w:id="1124" w:name="_Toc12190"/>
      <w:bookmarkStart w:id="1125" w:name="_Toc25404"/>
      <w:bookmarkStart w:id="1126" w:name="_Toc27586"/>
      <w:bookmarkStart w:id="1127" w:name="_Toc9291"/>
      <w:bookmarkStart w:id="1128" w:name="_Toc26139"/>
      <w:bookmarkStart w:id="1129" w:name="_Toc4965"/>
      <w:bookmarkStart w:id="1130" w:name="_Toc26463"/>
      <w:bookmarkStart w:id="1131" w:name="_Toc9370"/>
      <w:bookmarkStart w:id="1132" w:name="_Toc22625"/>
      <w:bookmarkStart w:id="1133" w:name="_Toc20643"/>
      <w:r>
        <w:rPr>
          <w:rFonts w:hint="eastAsia" w:hAnsi="宋体"/>
          <w:b/>
          <w:color w:val="auto"/>
          <w:highlight w:val="none"/>
        </w:rPr>
        <w:t>4.</w:t>
      </w:r>
      <w:r>
        <w:rPr>
          <w:rFonts w:hint="eastAsia" w:hAnsi="宋体"/>
          <w:b/>
          <w:color w:val="auto"/>
          <w:highlight w:val="none"/>
          <w:lang w:val="en-US" w:eastAsia="zh-CN"/>
        </w:rPr>
        <w:t>3</w:t>
      </w:r>
      <w:r>
        <w:rPr>
          <w:rFonts w:hint="eastAsia" w:hAnsi="宋体"/>
          <w:b/>
          <w:color w:val="auto"/>
          <w:highlight w:val="none"/>
        </w:rPr>
        <w:t>投标文件的修改与撤回</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5ED67C8D">
      <w:pPr>
        <w:autoSpaceDE w:val="0"/>
        <w:autoSpaceDN w:val="0"/>
        <w:adjustRightInd w:val="0"/>
        <w:spacing w:before="42" w:line="360" w:lineRule="auto"/>
        <w:ind w:right="-20"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4.3.1 在本章第4.2.1项规定的投标截止时间前投标人可以修改或撤回已递交的投标文件。</w:t>
      </w:r>
    </w:p>
    <w:p w14:paraId="5BA8632F">
      <w:pPr>
        <w:autoSpaceDE w:val="0"/>
        <w:autoSpaceDN w:val="0"/>
        <w:adjustRightInd w:val="0"/>
        <w:spacing w:before="42" w:line="360" w:lineRule="auto"/>
        <w:ind w:right="-20"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4.3.2 投标人撤回投标文件的，招标人自收到投标人书面撤回通知之日起5日内退还已收取的投标保证金。</w:t>
      </w:r>
    </w:p>
    <w:p w14:paraId="126B679A">
      <w:pPr>
        <w:autoSpaceDE w:val="0"/>
        <w:autoSpaceDN w:val="0"/>
        <w:adjustRightInd w:val="0"/>
        <w:spacing w:before="42" w:line="360" w:lineRule="auto"/>
        <w:ind w:right="-20"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4.3.3 修改的内容为投标文件的组成部分。修改的投标文件应按照本章第3条、第4条的规定进行编制、重新加密上传。</w:t>
      </w:r>
    </w:p>
    <w:p w14:paraId="11E59F0C">
      <w:pPr>
        <w:pStyle w:val="17"/>
        <w:rPr>
          <w:highlight w:val="none"/>
        </w:rPr>
      </w:pPr>
    </w:p>
    <w:p w14:paraId="3BC629D2">
      <w:pPr>
        <w:pStyle w:val="4"/>
        <w:tabs>
          <w:tab w:val="left" w:pos="2127"/>
        </w:tabs>
        <w:kinsoku/>
        <w:overflowPunct/>
        <w:bidi w:val="0"/>
        <w:spacing w:before="0" w:after="0" w:line="360" w:lineRule="auto"/>
        <w:textAlignment w:val="auto"/>
        <w:rPr>
          <w:rFonts w:ascii="宋体" w:hAnsi="宋体" w:eastAsia="宋体"/>
          <w:color w:val="auto"/>
          <w:sz w:val="24"/>
          <w:szCs w:val="24"/>
          <w:highlight w:val="none"/>
        </w:rPr>
      </w:pPr>
      <w:bookmarkStart w:id="1134" w:name="_Toc20588"/>
      <w:bookmarkStart w:id="1135" w:name="_Toc17043"/>
      <w:bookmarkStart w:id="1136" w:name="_Toc26672"/>
      <w:bookmarkStart w:id="1137" w:name="_Toc20956"/>
      <w:bookmarkStart w:id="1138" w:name="_Toc12566"/>
      <w:bookmarkStart w:id="1139" w:name="_Toc8012"/>
      <w:bookmarkStart w:id="1140" w:name="_Toc8713"/>
      <w:bookmarkStart w:id="1141" w:name="_Toc32209"/>
      <w:bookmarkStart w:id="1142" w:name="_Toc9854"/>
      <w:bookmarkStart w:id="1143" w:name="_Toc13145"/>
      <w:bookmarkStart w:id="1144" w:name="_Toc20504"/>
      <w:bookmarkStart w:id="1145" w:name="_Toc25973"/>
      <w:bookmarkStart w:id="1146" w:name="_Toc4929"/>
      <w:bookmarkStart w:id="1147" w:name="_Toc3506"/>
      <w:bookmarkStart w:id="1148" w:name="_Toc27366"/>
      <w:bookmarkStart w:id="1149" w:name="_Toc4634"/>
      <w:bookmarkStart w:id="1150" w:name="_Toc15687"/>
      <w:bookmarkStart w:id="1151" w:name="_Toc2889"/>
      <w:r>
        <w:rPr>
          <w:rFonts w:hint="eastAsia" w:ascii="宋体" w:hAnsi="宋体" w:eastAsia="宋体"/>
          <w:color w:val="auto"/>
          <w:sz w:val="24"/>
          <w:szCs w:val="24"/>
          <w:highlight w:val="none"/>
        </w:rPr>
        <w:t>5. 开标</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14:paraId="0D5BDAE0">
      <w:pPr>
        <w:pStyle w:val="23"/>
        <w:tabs>
          <w:tab w:val="left" w:pos="2127"/>
        </w:tabs>
        <w:kinsoku/>
        <w:overflowPunct/>
        <w:bidi w:val="0"/>
        <w:spacing w:line="360" w:lineRule="auto"/>
        <w:textAlignment w:val="auto"/>
        <w:outlineLvl w:val="2"/>
        <w:rPr>
          <w:rFonts w:hAnsi="宋体"/>
          <w:b/>
          <w:color w:val="auto"/>
          <w:highlight w:val="none"/>
        </w:rPr>
      </w:pPr>
      <w:bookmarkStart w:id="1152" w:name="_Toc22276"/>
      <w:bookmarkStart w:id="1153" w:name="_Toc3752"/>
      <w:bookmarkStart w:id="1154" w:name="_Toc15200"/>
      <w:bookmarkStart w:id="1155" w:name="_Toc13705"/>
      <w:bookmarkStart w:id="1156" w:name="_Toc8405"/>
      <w:bookmarkStart w:id="1157" w:name="_Toc29689"/>
      <w:bookmarkStart w:id="1158" w:name="_Toc20198"/>
      <w:bookmarkStart w:id="1159" w:name="_Toc10281"/>
      <w:bookmarkStart w:id="1160" w:name="_Toc28534"/>
      <w:bookmarkStart w:id="1161" w:name="_Toc21861"/>
      <w:bookmarkStart w:id="1162" w:name="_Toc25258"/>
      <w:bookmarkStart w:id="1163" w:name="_Toc30821"/>
      <w:bookmarkStart w:id="1164" w:name="_Toc143"/>
      <w:bookmarkStart w:id="1165" w:name="_Toc11125"/>
      <w:bookmarkStart w:id="1166" w:name="_Toc484792210"/>
      <w:bookmarkStart w:id="1167" w:name="_Toc30377"/>
      <w:bookmarkStart w:id="1168" w:name="_Toc26140"/>
      <w:bookmarkStart w:id="1169" w:name="_Toc15298"/>
      <w:bookmarkStart w:id="1170" w:name="_Toc8655"/>
      <w:bookmarkStart w:id="1171" w:name="_Toc23192"/>
      <w:bookmarkStart w:id="1172" w:name="_Toc10068"/>
      <w:bookmarkStart w:id="1173" w:name="_Toc7500"/>
      <w:bookmarkStart w:id="1174" w:name="_Toc7680"/>
      <w:bookmarkStart w:id="1175" w:name="_Toc6350"/>
      <w:bookmarkStart w:id="1176" w:name="_Toc22714"/>
      <w:bookmarkStart w:id="1177" w:name="_Toc9471"/>
      <w:bookmarkStart w:id="1178" w:name="_Toc21762"/>
      <w:bookmarkStart w:id="1179" w:name="_Toc4109"/>
      <w:bookmarkStart w:id="1180" w:name="_Toc14336"/>
      <w:bookmarkStart w:id="1181" w:name="_Toc29295"/>
      <w:bookmarkStart w:id="1182" w:name="_Toc12419"/>
      <w:bookmarkStart w:id="1183" w:name="_Toc18367"/>
      <w:bookmarkStart w:id="1184" w:name="_Toc9803"/>
      <w:bookmarkStart w:id="1185" w:name="_Toc1838"/>
      <w:bookmarkStart w:id="1186" w:name="_Toc482803097"/>
      <w:bookmarkStart w:id="1187" w:name="_Toc31727"/>
      <w:bookmarkStart w:id="1188" w:name="_Toc7998"/>
      <w:bookmarkStart w:id="1189" w:name="_Toc11797"/>
      <w:bookmarkStart w:id="1190" w:name="_Toc17276"/>
      <w:bookmarkStart w:id="1191" w:name="_Toc8542"/>
      <w:bookmarkStart w:id="1192" w:name="_Toc23327"/>
      <w:bookmarkStart w:id="1193" w:name="_Toc8303"/>
      <w:bookmarkStart w:id="1194" w:name="_Toc1853"/>
      <w:bookmarkStart w:id="1195" w:name="_Toc12518"/>
      <w:bookmarkStart w:id="1196" w:name="_Toc5832"/>
      <w:bookmarkStart w:id="1197" w:name="_Toc26252"/>
      <w:bookmarkStart w:id="1198" w:name="_Toc28934"/>
      <w:bookmarkStart w:id="1199" w:name="_Toc27941"/>
      <w:r>
        <w:rPr>
          <w:rFonts w:hint="eastAsia" w:hAnsi="宋体"/>
          <w:b/>
          <w:color w:val="auto"/>
          <w:highlight w:val="none"/>
        </w:rPr>
        <w:t>5.1 开标时间和地点</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14:paraId="5A6EE9B5">
      <w:pPr>
        <w:tabs>
          <w:tab w:val="left" w:pos="2127"/>
        </w:tabs>
        <w:kinsoku/>
        <w:overflowPunct/>
        <w:bidi w:val="0"/>
        <w:spacing w:line="360" w:lineRule="auto"/>
        <w:ind w:firstLine="420" w:firstLineChars="200"/>
        <w:textAlignment w:val="auto"/>
        <w:rPr>
          <w:rFonts w:hint="eastAsia" w:ascii="宋体" w:hAnsi="宋体" w:eastAsia="宋体" w:cs="宋体"/>
          <w:color w:val="auto"/>
          <w:sz w:val="21"/>
          <w:szCs w:val="21"/>
          <w:highlight w:val="none"/>
        </w:rPr>
      </w:pPr>
      <w:bookmarkStart w:id="1200" w:name="_Toc25678"/>
      <w:bookmarkStart w:id="1201" w:name="_Toc482803098"/>
      <w:bookmarkStart w:id="1202" w:name="_Toc14132"/>
      <w:bookmarkStart w:id="1203" w:name="_Toc24767"/>
      <w:bookmarkStart w:id="1204" w:name="_Toc28145"/>
      <w:bookmarkStart w:id="1205" w:name="_Toc29480"/>
      <w:bookmarkStart w:id="1206" w:name="_Toc20750"/>
      <w:bookmarkStart w:id="1207" w:name="_Toc28139"/>
      <w:bookmarkStart w:id="1208" w:name="_Toc14139"/>
      <w:bookmarkStart w:id="1209" w:name="_Toc21839"/>
      <w:bookmarkStart w:id="1210" w:name="_Toc20372"/>
      <w:bookmarkStart w:id="1211" w:name="_Toc19175"/>
      <w:bookmarkStart w:id="1212" w:name="_Toc16225"/>
      <w:bookmarkStart w:id="1213" w:name="_Toc21750"/>
      <w:bookmarkStart w:id="1214" w:name="_Toc7515"/>
      <w:bookmarkStart w:id="1215" w:name="_Toc27322"/>
      <w:bookmarkStart w:id="1216" w:name="_Toc484792211"/>
      <w:bookmarkStart w:id="1217" w:name="_Toc12494"/>
      <w:bookmarkStart w:id="1218" w:name="_Toc12924"/>
      <w:bookmarkStart w:id="1219" w:name="_Toc31377"/>
      <w:bookmarkStart w:id="1220" w:name="_Toc27460"/>
      <w:bookmarkStart w:id="1221" w:name="_Toc6781"/>
      <w:bookmarkStart w:id="1222" w:name="_Toc8408"/>
      <w:bookmarkStart w:id="1223" w:name="_Toc25564"/>
      <w:bookmarkStart w:id="1224" w:name="_Toc12877"/>
      <w:bookmarkStart w:id="1225" w:name="_Toc8748"/>
      <w:bookmarkStart w:id="1226" w:name="_Toc8554"/>
      <w:bookmarkStart w:id="1227" w:name="_Toc6926"/>
      <w:bookmarkStart w:id="1228" w:name="_Toc19097"/>
      <w:bookmarkStart w:id="1229" w:name="_Toc3424"/>
      <w:bookmarkStart w:id="1230" w:name="_Toc13500"/>
      <w:bookmarkStart w:id="1231" w:name="_Toc28373"/>
      <w:bookmarkStart w:id="1232" w:name="_Toc10173"/>
      <w:bookmarkStart w:id="1233" w:name="_Toc28302"/>
      <w:bookmarkStart w:id="1234" w:name="_Toc15841"/>
      <w:bookmarkStart w:id="1235" w:name="_Toc2462"/>
      <w:bookmarkStart w:id="1236" w:name="_Toc792"/>
      <w:bookmarkStart w:id="1237" w:name="_Toc5348"/>
      <w:bookmarkStart w:id="1238" w:name="_Toc21505"/>
      <w:bookmarkStart w:id="1239" w:name="_Toc4755"/>
      <w:bookmarkStart w:id="1240" w:name="_Toc7441"/>
      <w:bookmarkStart w:id="1241" w:name="_Toc30457"/>
      <w:bookmarkStart w:id="1242" w:name="_Toc8890"/>
      <w:bookmarkStart w:id="1243" w:name="_Toc330"/>
      <w:bookmarkStart w:id="1244" w:name="_Toc18621"/>
      <w:bookmarkStart w:id="1245" w:name="_Toc21401"/>
      <w:bookmarkStart w:id="1246" w:name="_Toc24457"/>
      <w:r>
        <w:rPr>
          <w:rFonts w:hint="eastAsia" w:ascii="宋体" w:hAnsi="宋体" w:eastAsia="宋体" w:cs="宋体"/>
          <w:color w:val="auto"/>
          <w:sz w:val="21"/>
          <w:szCs w:val="21"/>
          <w:highlight w:val="none"/>
        </w:rPr>
        <w:t>5.1.1 开标时间为本章第4.2.1项规定的递交</w:t>
      </w:r>
      <w:r>
        <w:rPr>
          <w:rFonts w:hint="eastAsia" w:ascii="宋体" w:hAnsi="宋体" w:cs="宋体"/>
          <w:color w:val="auto"/>
          <w:sz w:val="21"/>
          <w:szCs w:val="21"/>
          <w:highlight w:val="none"/>
          <w:lang w:val="en-US" w:eastAsia="zh-CN"/>
        </w:rPr>
        <w:t>投标</w:t>
      </w:r>
      <w:r>
        <w:rPr>
          <w:rFonts w:hint="eastAsia" w:ascii="宋体" w:hAnsi="宋体" w:eastAsia="宋体" w:cs="宋体"/>
          <w:color w:val="auto"/>
          <w:sz w:val="21"/>
          <w:szCs w:val="21"/>
          <w:highlight w:val="none"/>
        </w:rPr>
        <w:t>文件截止时间的同一时间。</w:t>
      </w:r>
    </w:p>
    <w:p w14:paraId="539339AF">
      <w:pPr>
        <w:tabs>
          <w:tab w:val="left" w:pos="2127"/>
        </w:tabs>
        <w:kinsoku/>
        <w:overflowPunct/>
        <w:bidi w:val="0"/>
        <w:spacing w:line="360" w:lineRule="auto"/>
        <w:ind w:firstLine="420" w:firstLineChars="200"/>
        <w:textAlignment w:val="auto"/>
        <w:rPr>
          <w:rFonts w:hint="eastAsia" w:ascii="宋体" w:hAnsi="宋体"/>
          <w:color w:val="auto"/>
          <w:highlight w:val="none"/>
        </w:rPr>
      </w:pPr>
      <w:r>
        <w:rPr>
          <w:rFonts w:hint="eastAsia" w:ascii="宋体" w:hAnsi="宋体" w:eastAsia="宋体" w:cs="宋体"/>
          <w:color w:val="auto"/>
          <w:sz w:val="21"/>
          <w:szCs w:val="21"/>
          <w:highlight w:val="none"/>
        </w:rPr>
        <w:t>5.1.2 开标地点通过</w:t>
      </w:r>
      <w:r>
        <w:rPr>
          <w:rFonts w:hint="eastAsia" w:ascii="宋体" w:hAnsi="宋体" w:cs="宋体"/>
          <w:b w:val="0"/>
          <w:bCs w:val="0"/>
          <w:color w:val="auto"/>
          <w:szCs w:val="21"/>
          <w:highlight w:val="none"/>
          <w:shd w:val="clear" w:color="auto" w:fill="auto"/>
          <w:lang w:val="en-US" w:eastAsia="zh-CN"/>
        </w:rPr>
        <w:t>广州交易集团有限公司（广州公共资源交易中心）网站交易平台</w:t>
      </w:r>
      <w:r>
        <w:rPr>
          <w:rFonts w:hint="eastAsia" w:ascii="宋体" w:hAnsi="宋体" w:eastAsia="宋体" w:cs="宋体"/>
          <w:color w:val="auto"/>
          <w:sz w:val="21"/>
          <w:szCs w:val="21"/>
          <w:highlight w:val="none"/>
        </w:rPr>
        <w:t>开标。</w:t>
      </w:r>
    </w:p>
    <w:p w14:paraId="64DAAFFB">
      <w:pPr>
        <w:pStyle w:val="23"/>
        <w:tabs>
          <w:tab w:val="left" w:pos="2127"/>
        </w:tabs>
        <w:kinsoku/>
        <w:overflowPunct/>
        <w:bidi w:val="0"/>
        <w:spacing w:line="360" w:lineRule="auto"/>
        <w:textAlignment w:val="auto"/>
        <w:outlineLvl w:val="2"/>
        <w:rPr>
          <w:rFonts w:hAnsi="宋体"/>
          <w:b/>
          <w:color w:val="auto"/>
          <w:highlight w:val="none"/>
        </w:rPr>
      </w:pPr>
      <w:bookmarkStart w:id="1247" w:name="_Toc15206"/>
      <w:r>
        <w:rPr>
          <w:rFonts w:hint="eastAsia" w:hAnsi="宋体"/>
          <w:b/>
          <w:color w:val="auto"/>
          <w:highlight w:val="none"/>
        </w:rPr>
        <w:t>5.2 开标程序</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38A83661">
      <w:pPr>
        <w:keepNext w:val="0"/>
        <w:keepLines w:val="0"/>
        <w:pageBreakBefore w:val="0"/>
        <w:widowControl w:val="0"/>
        <w:kinsoku/>
        <w:wordWrap/>
        <w:overflowPunct/>
        <w:topLinePunct w:val="0"/>
        <w:autoSpaceDE/>
        <w:autoSpaceDN/>
        <w:bidi w:val="0"/>
        <w:adjustRightInd/>
        <w:snapToGrid/>
        <w:spacing w:line="360" w:lineRule="auto"/>
        <w:ind w:firstLine="412" w:firstLineChars="200"/>
        <w:textAlignment w:val="auto"/>
        <w:rPr>
          <w:rFonts w:hint="eastAsia" w:ascii="宋体" w:hAnsi="宋体"/>
          <w:color w:val="auto"/>
          <w:highlight w:val="none"/>
          <w:u w:val="none"/>
        </w:rPr>
      </w:pPr>
      <w:r>
        <w:rPr>
          <w:rFonts w:hint="eastAsia" w:ascii="宋体" w:hAnsi="宋体" w:cs="宋体"/>
          <w:color w:val="auto"/>
          <w:spacing w:val="-2"/>
          <w:kern w:val="0"/>
          <w:szCs w:val="21"/>
          <w:highlight w:val="none"/>
        </w:rPr>
        <w:t>招标人在本章第4.2.1项规定的投标截止时间</w:t>
      </w:r>
      <w:r>
        <w:rPr>
          <w:rFonts w:hint="eastAsia" w:ascii="宋体" w:hAnsi="宋体" w:cs="宋体"/>
          <w:color w:val="auto"/>
          <w:spacing w:val="-2"/>
          <w:kern w:val="0"/>
          <w:szCs w:val="21"/>
          <w:highlight w:val="none"/>
          <w:lang w:eastAsia="zh-CN"/>
        </w:rPr>
        <w:t>，</w:t>
      </w:r>
      <w:r>
        <w:rPr>
          <w:rFonts w:hint="eastAsia" w:ascii="宋体" w:hAnsi="宋体" w:cs="宋体"/>
          <w:color w:val="auto"/>
          <w:spacing w:val="-2"/>
          <w:kern w:val="0"/>
          <w:szCs w:val="21"/>
          <w:highlight w:val="none"/>
        </w:rPr>
        <w:t>通过</w:t>
      </w:r>
      <w:r>
        <w:rPr>
          <w:rFonts w:hint="eastAsia" w:ascii="宋体" w:hAnsi="宋体" w:cs="宋体"/>
          <w:b w:val="0"/>
          <w:bCs w:val="0"/>
          <w:color w:val="auto"/>
          <w:szCs w:val="21"/>
          <w:highlight w:val="none"/>
          <w:shd w:val="clear" w:color="auto" w:fill="auto"/>
          <w:lang w:val="en-US" w:eastAsia="zh-CN"/>
        </w:rPr>
        <w:t>广州交易集团有限公司（广州公共资源交易中心）网站交易平台</w:t>
      </w:r>
      <w:r>
        <w:rPr>
          <w:rFonts w:hint="eastAsia" w:ascii="宋体" w:hAnsi="宋体" w:cs="宋体"/>
          <w:color w:val="auto"/>
          <w:spacing w:val="-2"/>
          <w:kern w:val="0"/>
          <w:szCs w:val="21"/>
          <w:highlight w:val="none"/>
        </w:rPr>
        <w:t>在线开标</w:t>
      </w:r>
      <w:r>
        <w:rPr>
          <w:rFonts w:hint="eastAsia" w:ascii="宋体" w:hAnsi="宋体"/>
          <w:color w:val="auto"/>
          <w:highlight w:val="none"/>
          <w:u w:val="none"/>
        </w:rPr>
        <w:t>。</w:t>
      </w:r>
    </w:p>
    <w:p w14:paraId="73CB57C3">
      <w:pPr>
        <w:pStyle w:val="4"/>
        <w:tabs>
          <w:tab w:val="left" w:pos="2127"/>
        </w:tabs>
        <w:kinsoku/>
        <w:overflowPunct/>
        <w:bidi w:val="0"/>
        <w:spacing w:before="0" w:after="0" w:line="360" w:lineRule="auto"/>
        <w:textAlignment w:val="auto"/>
        <w:rPr>
          <w:rFonts w:ascii="宋体" w:hAnsi="宋体" w:eastAsia="宋体"/>
          <w:color w:val="auto"/>
          <w:sz w:val="24"/>
          <w:szCs w:val="24"/>
          <w:highlight w:val="none"/>
        </w:rPr>
      </w:pPr>
      <w:bookmarkStart w:id="1248" w:name="_Toc3996"/>
      <w:bookmarkStart w:id="1249" w:name="_Toc8399"/>
      <w:bookmarkStart w:id="1250" w:name="_Toc11053"/>
      <w:bookmarkStart w:id="1251" w:name="_Toc25639"/>
      <w:bookmarkStart w:id="1252" w:name="_Toc12338"/>
      <w:bookmarkStart w:id="1253" w:name="_Toc7941"/>
      <w:bookmarkStart w:id="1254" w:name="_Toc19770"/>
      <w:bookmarkStart w:id="1255" w:name="_Toc21904"/>
      <w:bookmarkStart w:id="1256" w:name="_Toc5272"/>
      <w:bookmarkStart w:id="1257" w:name="_Toc2811"/>
      <w:bookmarkStart w:id="1258" w:name="_Toc10989"/>
      <w:bookmarkStart w:id="1259" w:name="_Toc24266"/>
      <w:bookmarkStart w:id="1260" w:name="_Toc6679"/>
      <w:bookmarkStart w:id="1261" w:name="_Toc12005"/>
      <w:bookmarkStart w:id="1262" w:name="_Toc17812"/>
      <w:bookmarkStart w:id="1263" w:name="_Toc27055"/>
      <w:bookmarkStart w:id="1264" w:name="_Toc20946"/>
      <w:bookmarkStart w:id="1265" w:name="_Toc17726"/>
      <w:r>
        <w:rPr>
          <w:rFonts w:hint="eastAsia" w:ascii="宋体" w:hAnsi="宋体" w:eastAsia="宋体"/>
          <w:color w:val="auto"/>
          <w:sz w:val="24"/>
          <w:szCs w:val="24"/>
          <w:highlight w:val="none"/>
        </w:rPr>
        <w:t>6. 评标</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p>
    <w:p w14:paraId="3A36B6D7">
      <w:pPr>
        <w:pStyle w:val="23"/>
        <w:tabs>
          <w:tab w:val="left" w:pos="2127"/>
        </w:tabs>
        <w:kinsoku/>
        <w:overflowPunct/>
        <w:bidi w:val="0"/>
        <w:spacing w:line="360" w:lineRule="auto"/>
        <w:textAlignment w:val="auto"/>
        <w:outlineLvl w:val="2"/>
        <w:rPr>
          <w:rFonts w:hAnsi="宋体"/>
          <w:b/>
          <w:color w:val="auto"/>
          <w:highlight w:val="none"/>
        </w:rPr>
      </w:pPr>
      <w:bookmarkStart w:id="1266" w:name="_Toc12702"/>
      <w:bookmarkStart w:id="1267" w:name="_Toc3818"/>
      <w:bookmarkStart w:id="1268" w:name="_Toc22321"/>
      <w:bookmarkStart w:id="1269" w:name="_Toc9558"/>
      <w:bookmarkStart w:id="1270" w:name="_Toc6179"/>
      <w:bookmarkStart w:id="1271" w:name="_Toc11729"/>
      <w:bookmarkStart w:id="1272" w:name="_Toc30662"/>
      <w:bookmarkStart w:id="1273" w:name="_Toc31471"/>
      <w:bookmarkStart w:id="1274" w:name="_Toc29205"/>
      <w:bookmarkStart w:id="1275" w:name="_Toc484792213"/>
      <w:bookmarkStart w:id="1276" w:name="_Toc16175"/>
      <w:bookmarkStart w:id="1277" w:name="_Toc20784"/>
      <w:bookmarkStart w:id="1278" w:name="_Toc14001"/>
      <w:bookmarkStart w:id="1279" w:name="_Toc31848"/>
      <w:bookmarkStart w:id="1280" w:name="_Toc22274"/>
      <w:bookmarkStart w:id="1281" w:name="_Toc9185"/>
      <w:bookmarkStart w:id="1282" w:name="_Toc16379"/>
      <w:bookmarkStart w:id="1283" w:name="_Toc28374"/>
      <w:bookmarkStart w:id="1284" w:name="_Toc9640"/>
      <w:bookmarkStart w:id="1285" w:name="_Toc1336"/>
      <w:bookmarkStart w:id="1286" w:name="_Toc14700"/>
      <w:bookmarkStart w:id="1287" w:name="_Toc13780"/>
      <w:bookmarkStart w:id="1288" w:name="_Toc27910"/>
      <w:bookmarkStart w:id="1289" w:name="_Toc24130"/>
      <w:bookmarkStart w:id="1290" w:name="_Toc13503"/>
      <w:bookmarkStart w:id="1291" w:name="_Toc4156"/>
      <w:bookmarkStart w:id="1292" w:name="_Toc18718"/>
      <w:bookmarkStart w:id="1293" w:name="_Toc15327"/>
      <w:bookmarkStart w:id="1294" w:name="_Toc205"/>
      <w:bookmarkStart w:id="1295" w:name="_Toc6797"/>
      <w:bookmarkStart w:id="1296" w:name="_Toc30390"/>
      <w:bookmarkStart w:id="1297" w:name="_Toc18112"/>
      <w:bookmarkStart w:id="1298" w:name="_Toc260"/>
      <w:bookmarkStart w:id="1299" w:name="_Toc482803100"/>
      <w:bookmarkStart w:id="1300" w:name="_Toc24960"/>
      <w:bookmarkStart w:id="1301" w:name="_Toc20511"/>
      <w:bookmarkStart w:id="1302" w:name="_Toc10088"/>
      <w:bookmarkStart w:id="1303" w:name="_Toc13073"/>
      <w:bookmarkStart w:id="1304" w:name="_Toc24785"/>
      <w:bookmarkStart w:id="1305" w:name="_Toc14615"/>
      <w:bookmarkStart w:id="1306" w:name="_Toc30545"/>
      <w:bookmarkStart w:id="1307" w:name="_Toc20415"/>
      <w:bookmarkStart w:id="1308" w:name="_Toc15254"/>
      <w:bookmarkStart w:id="1309" w:name="_Toc16493"/>
      <w:bookmarkStart w:id="1310" w:name="_Toc14968"/>
      <w:bookmarkStart w:id="1311" w:name="_Toc4086"/>
      <w:bookmarkStart w:id="1312" w:name="_Toc26134"/>
      <w:bookmarkStart w:id="1313" w:name="_Toc29741"/>
      <w:r>
        <w:rPr>
          <w:rFonts w:hint="eastAsia" w:hAnsi="宋体"/>
          <w:b/>
          <w:color w:val="auto"/>
          <w:highlight w:val="none"/>
        </w:rPr>
        <w:t>6.1 评标委员会</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14:paraId="45B739BA">
      <w:pPr>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6.1.1</w:t>
      </w:r>
      <w:r>
        <w:rPr>
          <w:rFonts w:hint="eastAsia" w:ascii="宋体" w:hAnsi="宋体" w:eastAsia="宋体" w:cs="宋体"/>
          <w:color w:val="auto"/>
          <w:highlight w:val="none"/>
          <w:lang w:val="en-US" w:eastAsia="zh-CN"/>
        </w:rPr>
        <w:t xml:space="preserve"> 评标</w:t>
      </w:r>
      <w:r>
        <w:rPr>
          <w:rFonts w:hint="eastAsia" w:ascii="宋体" w:hAnsi="宋体" w:eastAsia="宋体" w:cs="宋体"/>
          <w:color w:val="auto"/>
          <w:highlight w:val="none"/>
        </w:rPr>
        <w:t>由</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lang w:eastAsia="zh-CN"/>
        </w:rPr>
        <w:t>人</w:t>
      </w:r>
      <w:r>
        <w:rPr>
          <w:rFonts w:hint="eastAsia" w:ascii="宋体" w:hAnsi="宋体" w:eastAsia="宋体" w:cs="宋体"/>
          <w:color w:val="auto"/>
          <w:highlight w:val="none"/>
        </w:rPr>
        <w:t>组建的</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负责。</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由</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lang w:eastAsia="zh-CN"/>
        </w:rPr>
        <w:t>人</w:t>
      </w:r>
      <w:r>
        <w:rPr>
          <w:rFonts w:hint="eastAsia" w:ascii="宋体" w:hAnsi="宋体" w:eastAsia="宋体" w:cs="宋体"/>
          <w:color w:val="auto"/>
          <w:highlight w:val="none"/>
        </w:rPr>
        <w:t>或其委托的</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rPr>
        <w:t>服务机构熟悉相关业务的代表，以及有关技术、经济等方面的专家组成。</w:t>
      </w:r>
    </w:p>
    <w:p w14:paraId="4B4BC41E">
      <w:pPr>
        <w:tabs>
          <w:tab w:val="left" w:pos="2127"/>
        </w:tabs>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6.1.2 </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成员有下列情形之一的，</w:t>
      </w:r>
      <w:r>
        <w:rPr>
          <w:rFonts w:hint="eastAsia" w:ascii="宋体" w:hAnsi="宋体" w:eastAsia="宋体" w:cs="宋体"/>
          <w:color w:val="auto"/>
          <w:highlight w:val="none"/>
          <w:lang w:val="en-US" w:eastAsia="zh-CN"/>
        </w:rPr>
        <w:t>应当回避</w:t>
      </w:r>
      <w:r>
        <w:rPr>
          <w:rFonts w:hint="eastAsia" w:ascii="宋体" w:hAnsi="宋体" w:eastAsia="宋体" w:cs="宋体"/>
          <w:color w:val="auto"/>
          <w:highlight w:val="none"/>
        </w:rPr>
        <w:t>：</w:t>
      </w:r>
    </w:p>
    <w:p w14:paraId="2BD784B7">
      <w:pPr>
        <w:keepNext w:val="0"/>
        <w:keepLines w:val="0"/>
        <w:pageBreakBefore w:val="0"/>
        <w:widowControl w:val="0"/>
        <w:tabs>
          <w:tab w:val="left" w:pos="2127"/>
        </w:tabs>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cs="宋体"/>
          <w:color w:val="auto"/>
          <w:highlight w:val="none"/>
          <w:lang w:eastAsia="zh-CN"/>
        </w:rPr>
      </w:pPr>
      <w:r>
        <w:rPr>
          <w:rFonts w:hint="eastAsia" w:ascii="宋体" w:hAnsi="宋体" w:eastAsia="宋体" w:cs="宋体"/>
          <w:color w:val="auto"/>
          <w:highlight w:val="none"/>
        </w:rPr>
        <w:t>（1）在投标人任职、兼职或者持有股份</w:t>
      </w:r>
      <w:r>
        <w:rPr>
          <w:rFonts w:hint="eastAsia" w:ascii="宋体" w:hAnsi="宋体" w:cs="宋体"/>
          <w:color w:val="auto"/>
          <w:highlight w:val="none"/>
          <w:lang w:eastAsia="zh-CN"/>
        </w:rPr>
        <w:t>；</w:t>
      </w:r>
    </w:p>
    <w:p w14:paraId="508D10CA">
      <w:pPr>
        <w:keepNext w:val="0"/>
        <w:keepLines w:val="0"/>
        <w:pageBreakBefore w:val="0"/>
        <w:widowControl w:val="0"/>
        <w:tabs>
          <w:tab w:val="left" w:pos="2127"/>
        </w:tabs>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cs="宋体"/>
          <w:color w:val="auto"/>
          <w:highlight w:val="none"/>
          <w:lang w:eastAsia="zh-CN"/>
        </w:rPr>
      </w:pPr>
      <w:r>
        <w:rPr>
          <w:rFonts w:hint="eastAsia" w:ascii="宋体" w:hAnsi="宋体" w:eastAsia="宋体" w:cs="宋体"/>
          <w:color w:val="auto"/>
          <w:highlight w:val="none"/>
        </w:rPr>
        <w:t>（2）近亲属在投标人担任领导职务</w:t>
      </w:r>
      <w:r>
        <w:rPr>
          <w:rFonts w:hint="eastAsia" w:ascii="宋体" w:hAnsi="宋体" w:cs="宋体"/>
          <w:color w:val="auto"/>
          <w:highlight w:val="none"/>
          <w:lang w:eastAsia="zh-CN"/>
        </w:rPr>
        <w:t>；</w:t>
      </w:r>
    </w:p>
    <w:p w14:paraId="5DED7915">
      <w:pPr>
        <w:keepNext w:val="0"/>
        <w:keepLines w:val="0"/>
        <w:pageBreakBefore w:val="0"/>
        <w:widowControl w:val="0"/>
        <w:tabs>
          <w:tab w:val="left" w:pos="2127"/>
        </w:tabs>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cs="宋体"/>
          <w:color w:val="auto"/>
          <w:highlight w:val="none"/>
          <w:lang w:eastAsia="zh-CN"/>
        </w:rPr>
      </w:pPr>
      <w:r>
        <w:rPr>
          <w:rFonts w:hint="eastAsia" w:ascii="宋体" w:hAnsi="宋体" w:eastAsia="宋体" w:cs="宋体"/>
          <w:color w:val="auto"/>
          <w:highlight w:val="none"/>
        </w:rPr>
        <w:t>（3）为采购承办部门或者监督专家任职单位的人员（招标人代表除外）</w:t>
      </w:r>
      <w:r>
        <w:rPr>
          <w:rFonts w:hint="eastAsia" w:ascii="宋体" w:hAnsi="宋体" w:cs="宋体"/>
          <w:color w:val="auto"/>
          <w:highlight w:val="none"/>
          <w:lang w:eastAsia="zh-CN"/>
        </w:rPr>
        <w:t>；</w:t>
      </w:r>
    </w:p>
    <w:p w14:paraId="770BC6A1">
      <w:pPr>
        <w:keepNext w:val="0"/>
        <w:keepLines w:val="0"/>
        <w:pageBreakBefore w:val="0"/>
        <w:widowControl w:val="0"/>
        <w:tabs>
          <w:tab w:val="left" w:pos="2127"/>
        </w:tabs>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cs="宋体"/>
          <w:color w:val="auto"/>
          <w:highlight w:val="none"/>
          <w:lang w:eastAsia="zh-CN"/>
        </w:rPr>
      </w:pPr>
      <w:r>
        <w:rPr>
          <w:rFonts w:hint="eastAsia" w:ascii="宋体" w:hAnsi="宋体" w:eastAsia="宋体" w:cs="宋体"/>
          <w:color w:val="auto"/>
          <w:highlight w:val="none"/>
        </w:rPr>
        <w:t>（4）与投标人有经济利益关系，可能影响公正评审的</w:t>
      </w:r>
      <w:r>
        <w:rPr>
          <w:rFonts w:hint="eastAsia" w:ascii="宋体" w:hAnsi="宋体" w:cs="宋体"/>
          <w:color w:val="auto"/>
          <w:highlight w:val="none"/>
          <w:lang w:eastAsia="zh-CN"/>
        </w:rPr>
        <w:t>；</w:t>
      </w:r>
    </w:p>
    <w:p w14:paraId="205CF641">
      <w:pPr>
        <w:keepNext w:val="0"/>
        <w:keepLines w:val="0"/>
        <w:pageBreakBefore w:val="0"/>
        <w:widowControl w:val="0"/>
        <w:tabs>
          <w:tab w:val="left" w:pos="2127"/>
        </w:tabs>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（5）曾因在招标、评标以及其他与招标投标有关活动中从事违法行为而受过行政处罚或刑事处罚的。</w:t>
      </w:r>
    </w:p>
    <w:p w14:paraId="2CA54C23">
      <w:pPr>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6.1.3</w:t>
      </w:r>
      <w:r>
        <w:rPr>
          <w:rFonts w:hint="eastAsia" w:ascii="宋体" w:hAnsi="宋体" w:eastAsia="宋体" w:cs="宋体"/>
          <w:color w:val="auto"/>
          <w:highlight w:val="none"/>
          <w:lang w:val="en-US" w:eastAsia="zh-CN"/>
        </w:rPr>
        <w:t xml:space="preserve"> 在评审前，评标委员会</w:t>
      </w:r>
      <w:r>
        <w:rPr>
          <w:rFonts w:hint="eastAsia" w:ascii="宋体" w:hAnsi="宋体" w:eastAsia="宋体" w:cs="宋体"/>
          <w:color w:val="auto"/>
          <w:highlight w:val="none"/>
        </w:rPr>
        <w:t>成员有</w:t>
      </w:r>
      <w:r>
        <w:rPr>
          <w:rFonts w:hint="eastAsia" w:ascii="宋体" w:hAnsi="宋体" w:eastAsia="宋体" w:cs="宋体"/>
          <w:color w:val="auto"/>
          <w:highlight w:val="none"/>
          <w:lang w:eastAsia="zh-CN"/>
        </w:rPr>
        <w:t>回避事由、</w:t>
      </w:r>
      <w:r>
        <w:rPr>
          <w:rFonts w:hint="eastAsia" w:ascii="宋体" w:hAnsi="宋体" w:eastAsia="宋体" w:cs="宋体"/>
          <w:color w:val="auto"/>
          <w:highlight w:val="none"/>
          <w:lang w:val="en-US" w:eastAsia="zh-CN"/>
        </w:rPr>
        <w:t>提出请假或实际抽取不足等原因造成专家缺额的，在满足评委人员最低要求的前提下，可在专家缺额的情况下继续评审；不满足评委人员最低要求的，则重新调整评审时间。</w:t>
      </w:r>
    </w:p>
    <w:p w14:paraId="3C578BD9">
      <w:pPr>
        <w:tabs>
          <w:tab w:val="left" w:pos="2127"/>
        </w:tabs>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 xml:space="preserve">6.1.4 </w:t>
      </w:r>
      <w:r>
        <w:rPr>
          <w:rFonts w:hint="eastAsia" w:ascii="宋体" w:hAnsi="宋体" w:eastAsia="宋体" w:cs="宋体"/>
          <w:color w:val="auto"/>
          <w:highlight w:val="none"/>
          <w:lang w:eastAsia="zh-CN"/>
        </w:rPr>
        <w:t>评审</w:t>
      </w:r>
      <w:r>
        <w:rPr>
          <w:rFonts w:hint="eastAsia" w:ascii="宋体" w:hAnsi="宋体" w:eastAsia="宋体" w:cs="宋体"/>
          <w:color w:val="auto"/>
          <w:highlight w:val="none"/>
        </w:rPr>
        <w:t>过程中，</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成员有回避事由、擅离职守或者因健康等原因不能继续</w:t>
      </w:r>
      <w:r>
        <w:rPr>
          <w:rFonts w:hint="eastAsia" w:ascii="宋体" w:hAnsi="宋体" w:eastAsia="宋体" w:cs="宋体"/>
          <w:color w:val="auto"/>
          <w:highlight w:val="none"/>
          <w:lang w:val="en-US" w:eastAsia="zh-CN"/>
        </w:rPr>
        <w:t>评审</w:t>
      </w:r>
      <w:r>
        <w:rPr>
          <w:rFonts w:hint="eastAsia" w:ascii="宋体" w:hAnsi="宋体" w:eastAsia="宋体" w:cs="宋体"/>
          <w:color w:val="auto"/>
          <w:highlight w:val="none"/>
        </w:rPr>
        <w:t>的，</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rPr>
        <w:t>人有权更换</w:t>
      </w:r>
      <w:r>
        <w:rPr>
          <w:rFonts w:hint="eastAsia" w:ascii="宋体" w:hAnsi="宋体" w:eastAsia="宋体" w:cs="宋体"/>
          <w:color w:val="auto"/>
          <w:highlight w:val="none"/>
          <w:lang w:eastAsia="zh-CN"/>
        </w:rPr>
        <w:t>或在</w:t>
      </w:r>
      <w:r>
        <w:rPr>
          <w:rFonts w:hint="eastAsia" w:ascii="宋体" w:hAnsi="宋体" w:eastAsia="宋体" w:cs="宋体"/>
          <w:color w:val="auto"/>
          <w:highlight w:val="none"/>
          <w:lang w:val="en-US" w:eastAsia="zh-CN"/>
        </w:rPr>
        <w:t>满足评委人员最低要求的前提下作缺额处理继续评审</w:t>
      </w:r>
      <w:r>
        <w:rPr>
          <w:rFonts w:hint="eastAsia" w:ascii="宋体" w:hAnsi="宋体" w:eastAsia="宋体" w:cs="宋体"/>
          <w:color w:val="auto"/>
          <w:highlight w:val="none"/>
        </w:rPr>
        <w:t>。被更换的</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成员作出的评审结论无效，由更换后的</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成员重新进行评审</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被</w:t>
      </w:r>
      <w:r>
        <w:rPr>
          <w:rFonts w:hint="eastAsia" w:ascii="宋体" w:hAnsi="宋体" w:eastAsia="宋体" w:cs="宋体"/>
          <w:color w:val="auto"/>
          <w:highlight w:val="none"/>
          <w:lang w:eastAsia="zh-CN"/>
        </w:rPr>
        <w:t>缺额处理</w:t>
      </w:r>
      <w:r>
        <w:rPr>
          <w:rFonts w:hint="eastAsia" w:ascii="宋体" w:hAnsi="宋体" w:eastAsia="宋体" w:cs="宋体"/>
          <w:color w:val="auto"/>
          <w:highlight w:val="none"/>
        </w:rPr>
        <w:t>的</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成员作出的评审结论无效</w:t>
      </w:r>
      <w:r>
        <w:rPr>
          <w:rFonts w:hint="eastAsia" w:ascii="宋体" w:hAnsi="宋体" w:eastAsia="宋体" w:cs="宋体"/>
          <w:color w:val="auto"/>
          <w:highlight w:val="none"/>
          <w:lang w:eastAsia="zh-CN"/>
        </w:rPr>
        <w:t>。</w:t>
      </w:r>
    </w:p>
    <w:p w14:paraId="735810E4">
      <w:pPr>
        <w:tabs>
          <w:tab w:val="left" w:pos="2127"/>
        </w:tabs>
        <w:kinsoku/>
        <w:overflowPunct/>
        <w:bidi w:val="0"/>
        <w:spacing w:line="360" w:lineRule="auto"/>
        <w:ind w:firstLine="420" w:firstLineChars="200"/>
        <w:textAlignment w:val="auto"/>
        <w:rPr>
          <w:color w:val="auto"/>
          <w:highlight w:val="none"/>
        </w:rPr>
      </w:pPr>
      <w:r>
        <w:rPr>
          <w:rFonts w:hint="eastAsia" w:ascii="宋体" w:hAnsi="宋体" w:eastAsia="宋体" w:cs="宋体"/>
          <w:color w:val="auto"/>
          <w:highlight w:val="none"/>
          <w:lang w:val="en-US" w:eastAsia="zh-CN"/>
        </w:rPr>
        <w:t>6.1.5 评委人员最低要求：评标委员会成员至少为</w:t>
      </w:r>
      <w:r>
        <w:rPr>
          <w:rFonts w:hint="eastAsia" w:ascii="宋体" w:hAnsi="宋体" w:eastAsia="宋体" w:cs="宋体"/>
          <w:color w:val="auto"/>
          <w:highlight w:val="none"/>
          <w:u w:val="none"/>
          <w:lang w:val="en-US" w:eastAsia="zh-CN"/>
        </w:rPr>
        <w:t>5人</w:t>
      </w:r>
      <w:r>
        <w:rPr>
          <w:rFonts w:hint="eastAsia" w:ascii="宋体" w:hAnsi="宋体" w:cs="宋体"/>
          <w:color w:val="auto"/>
          <w:highlight w:val="none"/>
          <w:u w:val="none"/>
          <w:lang w:val="en-US" w:eastAsia="zh-CN"/>
        </w:rPr>
        <w:t>（含5人）</w:t>
      </w:r>
      <w:r>
        <w:rPr>
          <w:rFonts w:hint="eastAsia" w:ascii="宋体" w:hAnsi="宋体" w:eastAsia="宋体" w:cs="宋体"/>
          <w:color w:val="auto"/>
          <w:highlight w:val="none"/>
          <w:lang w:val="en-US" w:eastAsia="zh-CN"/>
        </w:rPr>
        <w:t>以上单数。评标委员会的组成以实际到会人数为准。</w:t>
      </w:r>
    </w:p>
    <w:p w14:paraId="399521BD">
      <w:pPr>
        <w:pStyle w:val="23"/>
        <w:tabs>
          <w:tab w:val="left" w:pos="2127"/>
        </w:tabs>
        <w:kinsoku/>
        <w:overflowPunct/>
        <w:bidi w:val="0"/>
        <w:spacing w:line="360" w:lineRule="auto"/>
        <w:textAlignment w:val="auto"/>
        <w:outlineLvl w:val="2"/>
        <w:rPr>
          <w:rFonts w:hAnsi="宋体"/>
          <w:b/>
          <w:color w:val="auto"/>
          <w:highlight w:val="none"/>
        </w:rPr>
      </w:pPr>
      <w:bookmarkStart w:id="1314" w:name="_Toc29090"/>
      <w:bookmarkStart w:id="1315" w:name="_Toc8986"/>
      <w:bookmarkStart w:id="1316" w:name="_Toc1237"/>
      <w:bookmarkStart w:id="1317" w:name="_Toc16496"/>
      <w:bookmarkStart w:id="1318" w:name="_Toc482803101"/>
      <w:bookmarkStart w:id="1319" w:name="_Toc9354"/>
      <w:bookmarkStart w:id="1320" w:name="_Toc24421"/>
      <w:bookmarkStart w:id="1321" w:name="_Toc20472"/>
      <w:bookmarkStart w:id="1322" w:name="_Toc7968"/>
      <w:bookmarkStart w:id="1323" w:name="_Toc30214"/>
      <w:bookmarkStart w:id="1324" w:name="_Toc22838"/>
      <w:bookmarkStart w:id="1325" w:name="_Toc6229"/>
      <w:bookmarkStart w:id="1326" w:name="_Toc21161"/>
      <w:bookmarkStart w:id="1327" w:name="_Toc23813"/>
      <w:bookmarkStart w:id="1328" w:name="_Toc3031"/>
      <w:bookmarkStart w:id="1329" w:name="_Toc2498"/>
      <w:bookmarkStart w:id="1330" w:name="_Toc7929"/>
      <w:bookmarkStart w:id="1331" w:name="_Toc26237"/>
      <w:bookmarkStart w:id="1332" w:name="_Toc24879"/>
      <w:bookmarkStart w:id="1333" w:name="_Toc16811"/>
      <w:bookmarkStart w:id="1334" w:name="_Toc14518"/>
      <w:bookmarkStart w:id="1335" w:name="_Toc18811"/>
      <w:bookmarkStart w:id="1336" w:name="_Toc10537"/>
      <w:bookmarkStart w:id="1337" w:name="_Toc19825"/>
      <w:bookmarkStart w:id="1338" w:name="_Toc1912"/>
      <w:bookmarkStart w:id="1339" w:name="_Toc13329"/>
      <w:bookmarkStart w:id="1340" w:name="_Toc5142"/>
      <w:bookmarkStart w:id="1341" w:name="_Toc28950"/>
      <w:bookmarkStart w:id="1342" w:name="_Toc10711"/>
      <w:bookmarkStart w:id="1343" w:name="_Toc1"/>
      <w:bookmarkStart w:id="1344" w:name="_Toc17580"/>
      <w:bookmarkStart w:id="1345" w:name="_Toc21649"/>
      <w:bookmarkStart w:id="1346" w:name="_Toc6097"/>
      <w:bookmarkStart w:id="1347" w:name="_Toc3392"/>
      <w:bookmarkStart w:id="1348" w:name="_Toc484792214"/>
      <w:bookmarkStart w:id="1349" w:name="_Toc18399"/>
      <w:bookmarkStart w:id="1350" w:name="_Toc11541"/>
      <w:bookmarkStart w:id="1351" w:name="_Toc8431"/>
      <w:bookmarkStart w:id="1352" w:name="_Toc30219"/>
      <w:bookmarkStart w:id="1353" w:name="_Toc16714"/>
      <w:bookmarkStart w:id="1354" w:name="_Toc18953"/>
      <w:bookmarkStart w:id="1355" w:name="_Toc6066"/>
      <w:bookmarkStart w:id="1356" w:name="_Toc27647"/>
      <w:bookmarkStart w:id="1357" w:name="_Toc29057"/>
      <w:bookmarkStart w:id="1358" w:name="_Toc15718"/>
      <w:bookmarkStart w:id="1359" w:name="_Toc3705"/>
      <w:bookmarkStart w:id="1360" w:name="_Toc24010"/>
      <w:bookmarkStart w:id="1361" w:name="_Toc23835"/>
      <w:r>
        <w:rPr>
          <w:rFonts w:hint="eastAsia" w:hAnsi="宋体"/>
          <w:b/>
          <w:color w:val="auto"/>
          <w:highlight w:val="none"/>
        </w:rPr>
        <w:t>6.2 评标原则</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2E369B04">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评标活动遵循公平、公正、科学和择优的原则。</w:t>
      </w:r>
    </w:p>
    <w:p w14:paraId="4B785289">
      <w:pPr>
        <w:pStyle w:val="23"/>
        <w:tabs>
          <w:tab w:val="left" w:pos="2127"/>
        </w:tabs>
        <w:kinsoku/>
        <w:overflowPunct/>
        <w:bidi w:val="0"/>
        <w:spacing w:line="360" w:lineRule="auto"/>
        <w:textAlignment w:val="auto"/>
        <w:outlineLvl w:val="2"/>
        <w:rPr>
          <w:rFonts w:hAnsi="宋体"/>
          <w:b/>
          <w:color w:val="auto"/>
          <w:highlight w:val="none"/>
        </w:rPr>
      </w:pPr>
      <w:bookmarkStart w:id="1362" w:name="_Toc10023"/>
      <w:bookmarkStart w:id="1363" w:name="_Toc10998"/>
      <w:bookmarkStart w:id="1364" w:name="_Toc24876"/>
      <w:bookmarkStart w:id="1365" w:name="_Toc18154"/>
      <w:bookmarkStart w:id="1366" w:name="_Toc3147"/>
      <w:bookmarkStart w:id="1367" w:name="_Toc7113"/>
      <w:bookmarkStart w:id="1368" w:name="_Toc9306"/>
      <w:bookmarkStart w:id="1369" w:name="_Toc31849"/>
      <w:bookmarkStart w:id="1370" w:name="_Toc11089"/>
      <w:bookmarkStart w:id="1371" w:name="_Toc342"/>
      <w:bookmarkStart w:id="1372" w:name="_Toc27086"/>
      <w:bookmarkStart w:id="1373" w:name="_Toc16035"/>
      <w:bookmarkStart w:id="1374" w:name="_Toc7856"/>
      <w:bookmarkStart w:id="1375" w:name="_Toc22882"/>
      <w:bookmarkStart w:id="1376" w:name="_Toc22177"/>
      <w:bookmarkStart w:id="1377" w:name="_Toc17314"/>
      <w:bookmarkStart w:id="1378" w:name="_Toc4510"/>
      <w:bookmarkStart w:id="1379" w:name="_Toc25865"/>
      <w:bookmarkStart w:id="1380" w:name="_Toc26260"/>
      <w:bookmarkStart w:id="1381" w:name="_Toc21098"/>
      <w:bookmarkStart w:id="1382" w:name="_Toc4475"/>
      <w:bookmarkStart w:id="1383" w:name="_Toc20205"/>
      <w:bookmarkStart w:id="1384" w:name="_Toc9199"/>
      <w:bookmarkStart w:id="1385" w:name="_Toc27617"/>
      <w:bookmarkStart w:id="1386" w:name="_Toc17157"/>
      <w:bookmarkStart w:id="1387" w:name="_Toc21438"/>
      <w:bookmarkStart w:id="1388" w:name="_Toc15367"/>
      <w:bookmarkStart w:id="1389" w:name="_Toc18114"/>
      <w:bookmarkStart w:id="1390" w:name="_Toc28416"/>
      <w:bookmarkStart w:id="1391" w:name="_Toc15310"/>
      <w:bookmarkStart w:id="1392" w:name="_Toc24030"/>
      <w:bookmarkStart w:id="1393" w:name="_Toc482803102"/>
      <w:bookmarkStart w:id="1394" w:name="_Toc15326"/>
      <w:bookmarkStart w:id="1395" w:name="_Toc30805"/>
      <w:bookmarkStart w:id="1396" w:name="_Toc16417"/>
      <w:bookmarkStart w:id="1397" w:name="_Toc2124"/>
      <w:bookmarkStart w:id="1398" w:name="_Toc26466"/>
      <w:bookmarkStart w:id="1399" w:name="_Toc9068"/>
      <w:bookmarkStart w:id="1400" w:name="_Toc2337"/>
      <w:bookmarkStart w:id="1401" w:name="_Toc10503"/>
      <w:bookmarkStart w:id="1402" w:name="_Toc8920"/>
      <w:bookmarkStart w:id="1403" w:name="_Toc6449"/>
      <w:bookmarkStart w:id="1404" w:name="_Toc484792215"/>
      <w:bookmarkStart w:id="1405" w:name="_Toc17604"/>
      <w:bookmarkStart w:id="1406" w:name="_Toc29472"/>
      <w:bookmarkStart w:id="1407" w:name="_Toc8953"/>
      <w:bookmarkStart w:id="1408" w:name="_Toc18699"/>
      <w:bookmarkStart w:id="1409" w:name="_Toc416"/>
      <w:r>
        <w:rPr>
          <w:rFonts w:hint="eastAsia" w:hAnsi="宋体"/>
          <w:b/>
          <w:color w:val="auto"/>
          <w:highlight w:val="none"/>
        </w:rPr>
        <w:t>6.3 评标</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14:paraId="0B410F9A">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eastAsia="宋体" w:cs="宋体"/>
          <w:color w:val="auto"/>
          <w:highlight w:val="none"/>
          <w:lang w:val="en-US" w:eastAsia="zh-CN"/>
        </w:rPr>
        <w:t xml:space="preserve">6.3.1 </w:t>
      </w:r>
      <w:r>
        <w:rPr>
          <w:rFonts w:hint="eastAsia" w:ascii="宋体" w:hAnsi="宋体"/>
          <w:color w:val="auto"/>
          <w:highlight w:val="none"/>
        </w:rPr>
        <w:t>评标委员会按照第</w:t>
      </w:r>
      <w:r>
        <w:rPr>
          <w:rFonts w:hint="eastAsia" w:ascii="宋体" w:hAnsi="宋体"/>
          <w:color w:val="auto"/>
          <w:highlight w:val="none"/>
          <w:lang w:val="en-US" w:eastAsia="zh-CN"/>
        </w:rPr>
        <w:t>三</w:t>
      </w:r>
      <w:r>
        <w:rPr>
          <w:rFonts w:hint="eastAsia" w:ascii="宋体" w:hAnsi="宋体"/>
          <w:color w:val="auto"/>
          <w:highlight w:val="none"/>
        </w:rPr>
        <w:t>章“评标办法”规定的方法、评审因素、标准和程序对投标文件进行评审。第</w:t>
      </w:r>
      <w:r>
        <w:rPr>
          <w:rFonts w:hint="eastAsia" w:ascii="宋体" w:hAnsi="宋体"/>
          <w:color w:val="auto"/>
          <w:highlight w:val="none"/>
          <w:lang w:val="en-US" w:eastAsia="zh-CN"/>
        </w:rPr>
        <w:t>三</w:t>
      </w:r>
      <w:r>
        <w:rPr>
          <w:rFonts w:hint="eastAsia" w:ascii="宋体" w:hAnsi="宋体"/>
          <w:color w:val="auto"/>
          <w:highlight w:val="none"/>
        </w:rPr>
        <w:t>章“评标办法”没有规定的方法、评审因素和标准，不作为评标依据。在评标过程中，各评委均以专家身份进行评标工作，不代表其所在单位。</w:t>
      </w:r>
    </w:p>
    <w:p w14:paraId="377B80F8">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eastAsia="宋体" w:cs="宋体"/>
          <w:color w:val="auto"/>
          <w:highlight w:val="none"/>
          <w:lang w:val="en-US" w:eastAsia="zh-CN"/>
        </w:rPr>
        <w:t xml:space="preserve">6.3.2 </w:t>
      </w:r>
      <w:r>
        <w:rPr>
          <w:rFonts w:hint="eastAsia" w:ascii="宋体" w:hAnsi="宋体"/>
          <w:color w:val="auto"/>
          <w:highlight w:val="none"/>
        </w:rPr>
        <w:t>评标</w:t>
      </w:r>
      <w:r>
        <w:rPr>
          <w:rFonts w:hint="eastAsia" w:ascii="宋体" w:hAnsi="宋体" w:eastAsia="宋体" w:cs="宋体"/>
          <w:color w:val="auto"/>
          <w:highlight w:val="none"/>
          <w:lang w:val="en-US" w:eastAsia="zh-CN"/>
        </w:rPr>
        <w:t>完成后，</w:t>
      </w:r>
      <w:r>
        <w:rPr>
          <w:rFonts w:hint="eastAsia" w:ascii="宋体" w:hAnsi="宋体"/>
          <w:color w:val="auto"/>
          <w:highlight w:val="none"/>
        </w:rPr>
        <w:t>评标委员会</w:t>
      </w:r>
      <w:r>
        <w:rPr>
          <w:rFonts w:hint="eastAsia" w:ascii="宋体" w:hAnsi="宋体" w:eastAsia="宋体" w:cs="宋体"/>
          <w:color w:val="auto"/>
          <w:highlight w:val="none"/>
          <w:lang w:val="en-US" w:eastAsia="zh-CN"/>
        </w:rPr>
        <w:t>应当向招标人提交书面评审报告和中标候选人名单。</w:t>
      </w:r>
    </w:p>
    <w:p w14:paraId="02657351">
      <w:pPr>
        <w:pStyle w:val="4"/>
        <w:tabs>
          <w:tab w:val="left" w:pos="2127"/>
        </w:tabs>
        <w:kinsoku/>
        <w:overflowPunct/>
        <w:bidi w:val="0"/>
        <w:spacing w:before="0" w:after="0" w:line="360" w:lineRule="auto"/>
        <w:textAlignment w:val="auto"/>
        <w:rPr>
          <w:rFonts w:ascii="宋体" w:hAnsi="宋体" w:eastAsia="宋体"/>
          <w:color w:val="auto"/>
          <w:sz w:val="24"/>
          <w:szCs w:val="24"/>
          <w:highlight w:val="none"/>
        </w:rPr>
      </w:pPr>
      <w:bookmarkStart w:id="1410" w:name="_Toc21347"/>
      <w:bookmarkStart w:id="1411" w:name="_Toc8857"/>
      <w:bookmarkStart w:id="1412" w:name="_Toc27211"/>
      <w:bookmarkStart w:id="1413" w:name="_Toc5597"/>
      <w:bookmarkStart w:id="1414" w:name="_Toc17318"/>
      <w:bookmarkStart w:id="1415" w:name="_Toc7465"/>
      <w:bookmarkStart w:id="1416" w:name="_Toc14301"/>
      <w:bookmarkStart w:id="1417" w:name="_Toc9762"/>
      <w:bookmarkStart w:id="1418" w:name="_Toc5926"/>
      <w:bookmarkStart w:id="1419" w:name="_Toc16638"/>
      <w:bookmarkStart w:id="1420" w:name="_Toc24283"/>
      <w:bookmarkStart w:id="1421" w:name="_Toc9478"/>
      <w:bookmarkStart w:id="1422" w:name="_Toc26954"/>
      <w:bookmarkStart w:id="1423" w:name="_Toc1891"/>
      <w:bookmarkStart w:id="1424" w:name="_Toc3141"/>
      <w:bookmarkStart w:id="1425" w:name="_Toc16802"/>
      <w:bookmarkStart w:id="1426" w:name="_Toc26286"/>
      <w:r>
        <w:rPr>
          <w:rFonts w:hint="eastAsia" w:ascii="宋体" w:hAnsi="宋体" w:eastAsia="宋体"/>
          <w:color w:val="auto"/>
          <w:sz w:val="24"/>
          <w:szCs w:val="24"/>
          <w:highlight w:val="none"/>
        </w:rPr>
        <w:t>7. 合同授予</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14:paraId="60A43F5E">
      <w:pPr>
        <w:pStyle w:val="23"/>
        <w:tabs>
          <w:tab w:val="left" w:pos="2127"/>
        </w:tabs>
        <w:kinsoku/>
        <w:overflowPunct/>
        <w:bidi w:val="0"/>
        <w:spacing w:line="360" w:lineRule="auto"/>
        <w:textAlignment w:val="auto"/>
        <w:outlineLvl w:val="2"/>
        <w:rPr>
          <w:rFonts w:hint="eastAsia" w:hAnsi="宋体"/>
          <w:b/>
          <w:color w:val="auto"/>
          <w:highlight w:val="none"/>
        </w:rPr>
      </w:pPr>
      <w:bookmarkStart w:id="1427" w:name="_Toc7263"/>
      <w:bookmarkStart w:id="1428" w:name="_Toc22920"/>
      <w:bookmarkStart w:id="1429" w:name="_Toc16055"/>
      <w:bookmarkStart w:id="1430" w:name="_Toc8949"/>
      <w:bookmarkStart w:id="1431" w:name="_Toc22398"/>
      <w:bookmarkStart w:id="1432" w:name="_Toc19867"/>
      <w:bookmarkStart w:id="1433" w:name="_Toc30720"/>
      <w:bookmarkStart w:id="1434" w:name="_Toc482803104"/>
      <w:bookmarkStart w:id="1435" w:name="_Toc1363"/>
      <w:bookmarkStart w:id="1436" w:name="_Toc11524"/>
      <w:bookmarkStart w:id="1437" w:name="_Toc30600"/>
      <w:bookmarkStart w:id="1438" w:name="_Toc29615"/>
      <w:bookmarkStart w:id="1439" w:name="_Toc13473"/>
      <w:bookmarkStart w:id="1440" w:name="_Toc14243"/>
      <w:bookmarkStart w:id="1441" w:name="_Toc8896"/>
      <w:bookmarkStart w:id="1442" w:name="_Toc22871"/>
      <w:bookmarkStart w:id="1443" w:name="_Toc17704"/>
      <w:bookmarkStart w:id="1444" w:name="_Toc14334"/>
      <w:bookmarkStart w:id="1445" w:name="_Toc14307"/>
      <w:bookmarkStart w:id="1446" w:name="_Toc24139"/>
      <w:bookmarkStart w:id="1447" w:name="_Toc28222"/>
      <w:bookmarkStart w:id="1448" w:name="_Toc21534"/>
      <w:bookmarkStart w:id="1449" w:name="_Toc15539"/>
      <w:bookmarkStart w:id="1450" w:name="_Toc2611"/>
      <w:bookmarkStart w:id="1451" w:name="_Toc3807"/>
      <w:bookmarkStart w:id="1452" w:name="_Toc9540"/>
      <w:bookmarkStart w:id="1453" w:name="_Toc12845"/>
      <w:bookmarkStart w:id="1454" w:name="_Toc2629"/>
      <w:bookmarkStart w:id="1455" w:name="_Toc18602"/>
      <w:bookmarkStart w:id="1456" w:name="_Toc15238"/>
      <w:bookmarkStart w:id="1457" w:name="_Toc15851"/>
      <w:bookmarkStart w:id="1458" w:name="_Toc18642"/>
      <w:bookmarkStart w:id="1459" w:name="_Toc12855"/>
      <w:bookmarkStart w:id="1460" w:name="_Toc6205"/>
      <w:bookmarkStart w:id="1461" w:name="_Toc23527"/>
      <w:bookmarkStart w:id="1462" w:name="_Toc16174"/>
      <w:bookmarkStart w:id="1463" w:name="_Toc15057"/>
      <w:bookmarkStart w:id="1464" w:name="_Toc23426"/>
      <w:bookmarkStart w:id="1465" w:name="_Toc3226"/>
      <w:bookmarkStart w:id="1466" w:name="_Toc26546"/>
      <w:bookmarkStart w:id="1467" w:name="_Toc484792217"/>
      <w:bookmarkStart w:id="1468" w:name="_Toc20294"/>
      <w:bookmarkStart w:id="1469" w:name="_Toc3228"/>
      <w:bookmarkStart w:id="1470" w:name="_Toc13217"/>
      <w:bookmarkStart w:id="1471" w:name="_Toc68"/>
      <w:bookmarkStart w:id="1472" w:name="_Toc5242"/>
      <w:bookmarkStart w:id="1473" w:name="_Toc23071"/>
      <w:bookmarkStart w:id="1474" w:name="_Toc32729"/>
      <w:r>
        <w:rPr>
          <w:rFonts w:hint="eastAsia" w:hAnsi="宋体"/>
          <w:b/>
          <w:color w:val="auto"/>
          <w:highlight w:val="none"/>
        </w:rPr>
        <w:t>7.1 中标候选人公示</w:t>
      </w:r>
      <w:bookmarkEnd w:id="1427"/>
    </w:p>
    <w:p w14:paraId="62C1A545">
      <w:pPr>
        <w:autoSpaceDE w:val="0"/>
        <w:autoSpaceDN w:val="0"/>
        <w:adjustRightInd w:val="0"/>
        <w:spacing w:line="360" w:lineRule="auto"/>
        <w:ind w:right="40" w:firstLine="420" w:firstLineChars="200"/>
        <w:rPr>
          <w:rFonts w:hint="eastAsia" w:hAnsi="宋体"/>
          <w:b/>
          <w:color w:val="auto"/>
          <w:highlight w:val="none"/>
        </w:rPr>
      </w:pPr>
      <w:r>
        <w:rPr>
          <w:rFonts w:hint="eastAsia" w:ascii="宋体" w:hAnsi="宋体" w:cs="宋体"/>
          <w:color w:val="auto"/>
          <w:kern w:val="0"/>
          <w:szCs w:val="21"/>
          <w:highlight w:val="none"/>
        </w:rPr>
        <w:t>招标</w:t>
      </w:r>
      <w:r>
        <w:rPr>
          <w:rFonts w:hint="eastAsia" w:ascii="宋体" w:hAnsi="宋体" w:cs="宋体"/>
          <w:color w:val="auto"/>
          <w:spacing w:val="-2"/>
          <w:kern w:val="0"/>
          <w:szCs w:val="21"/>
          <w:highlight w:val="none"/>
        </w:rPr>
        <w:t>人</w:t>
      </w:r>
      <w:r>
        <w:rPr>
          <w:rFonts w:hint="eastAsia" w:ascii="宋体" w:hAnsi="宋体" w:cs="宋体"/>
          <w:color w:val="auto"/>
          <w:kern w:val="0"/>
          <w:szCs w:val="21"/>
          <w:highlight w:val="none"/>
        </w:rPr>
        <w:t>按</w:t>
      </w:r>
      <w:r>
        <w:rPr>
          <w:rFonts w:hint="eastAsia" w:ascii="宋体" w:hAnsi="宋体" w:cs="宋体"/>
          <w:color w:val="auto"/>
          <w:spacing w:val="-2"/>
          <w:kern w:val="0"/>
          <w:szCs w:val="21"/>
          <w:highlight w:val="none"/>
        </w:rPr>
        <w:t>照</w:t>
      </w:r>
      <w:r>
        <w:rPr>
          <w:rFonts w:hint="eastAsia" w:ascii="宋体" w:hAnsi="宋体" w:cs="宋体"/>
          <w:color w:val="auto"/>
          <w:kern w:val="0"/>
          <w:szCs w:val="21"/>
          <w:highlight w:val="none"/>
        </w:rPr>
        <w:t>投</w:t>
      </w:r>
      <w:r>
        <w:rPr>
          <w:rFonts w:hint="eastAsia" w:ascii="宋体" w:hAnsi="宋体" w:cs="宋体"/>
          <w:color w:val="auto"/>
          <w:spacing w:val="-2"/>
          <w:kern w:val="0"/>
          <w:szCs w:val="21"/>
          <w:highlight w:val="none"/>
        </w:rPr>
        <w:t>标人</w:t>
      </w:r>
      <w:r>
        <w:rPr>
          <w:rFonts w:hint="eastAsia" w:ascii="宋体" w:hAnsi="宋体" w:cs="宋体"/>
          <w:color w:val="auto"/>
          <w:kern w:val="0"/>
          <w:szCs w:val="21"/>
          <w:highlight w:val="none"/>
        </w:rPr>
        <w:t>须知</w:t>
      </w:r>
      <w:r>
        <w:rPr>
          <w:rFonts w:hint="eastAsia" w:ascii="宋体" w:hAnsi="宋体" w:cs="宋体"/>
          <w:color w:val="auto"/>
          <w:spacing w:val="-2"/>
          <w:kern w:val="0"/>
          <w:szCs w:val="21"/>
          <w:highlight w:val="none"/>
        </w:rPr>
        <w:t>前</w:t>
      </w:r>
      <w:r>
        <w:rPr>
          <w:rFonts w:hint="eastAsia" w:ascii="宋体" w:hAnsi="宋体" w:cs="宋体"/>
          <w:color w:val="auto"/>
          <w:kern w:val="0"/>
          <w:szCs w:val="21"/>
          <w:highlight w:val="none"/>
        </w:rPr>
        <w:t>附</w:t>
      </w:r>
      <w:r>
        <w:rPr>
          <w:rFonts w:hint="eastAsia" w:ascii="宋体" w:hAnsi="宋体" w:cs="宋体"/>
          <w:color w:val="auto"/>
          <w:spacing w:val="-2"/>
          <w:kern w:val="0"/>
          <w:szCs w:val="21"/>
          <w:highlight w:val="none"/>
        </w:rPr>
        <w:t>表</w:t>
      </w:r>
      <w:r>
        <w:rPr>
          <w:rFonts w:hint="eastAsia" w:ascii="宋体" w:hAnsi="宋体" w:cs="宋体"/>
          <w:color w:val="auto"/>
          <w:kern w:val="0"/>
          <w:szCs w:val="21"/>
          <w:highlight w:val="none"/>
        </w:rPr>
        <w:t>规</w:t>
      </w:r>
      <w:r>
        <w:rPr>
          <w:rFonts w:hint="eastAsia" w:ascii="宋体" w:hAnsi="宋体" w:cs="宋体"/>
          <w:color w:val="auto"/>
          <w:spacing w:val="-2"/>
          <w:kern w:val="0"/>
          <w:szCs w:val="21"/>
          <w:highlight w:val="none"/>
        </w:rPr>
        <w:t>定</w:t>
      </w:r>
      <w:r>
        <w:rPr>
          <w:rFonts w:hint="eastAsia" w:ascii="宋体" w:hAnsi="宋体" w:cs="宋体"/>
          <w:color w:val="auto"/>
          <w:kern w:val="0"/>
          <w:szCs w:val="21"/>
          <w:highlight w:val="none"/>
        </w:rPr>
        <w:t>的</w:t>
      </w:r>
      <w:r>
        <w:rPr>
          <w:rFonts w:hint="eastAsia" w:ascii="宋体" w:hAnsi="宋体" w:cs="宋体"/>
          <w:color w:val="auto"/>
          <w:spacing w:val="-2"/>
          <w:kern w:val="0"/>
          <w:szCs w:val="21"/>
          <w:highlight w:val="none"/>
        </w:rPr>
        <w:t>公</w:t>
      </w:r>
      <w:r>
        <w:rPr>
          <w:rFonts w:hint="eastAsia" w:ascii="宋体" w:hAnsi="宋体" w:cs="宋体"/>
          <w:color w:val="auto"/>
          <w:kern w:val="0"/>
          <w:szCs w:val="21"/>
          <w:highlight w:val="none"/>
        </w:rPr>
        <w:t>示</w:t>
      </w:r>
      <w:r>
        <w:rPr>
          <w:rFonts w:hint="eastAsia" w:ascii="宋体" w:hAnsi="宋体" w:cs="宋体"/>
          <w:color w:val="auto"/>
          <w:spacing w:val="-2"/>
          <w:kern w:val="0"/>
          <w:szCs w:val="21"/>
          <w:highlight w:val="none"/>
        </w:rPr>
        <w:t>媒</w:t>
      </w:r>
      <w:r>
        <w:rPr>
          <w:rFonts w:hint="eastAsia" w:ascii="宋体" w:hAnsi="宋体" w:cs="宋体"/>
          <w:color w:val="auto"/>
          <w:kern w:val="0"/>
          <w:szCs w:val="21"/>
          <w:highlight w:val="none"/>
        </w:rPr>
        <w:t>介和</w:t>
      </w:r>
      <w:r>
        <w:rPr>
          <w:rFonts w:hint="eastAsia" w:ascii="宋体" w:hAnsi="宋体" w:cs="宋体"/>
          <w:color w:val="auto"/>
          <w:spacing w:val="-2"/>
          <w:kern w:val="0"/>
          <w:szCs w:val="21"/>
          <w:highlight w:val="none"/>
        </w:rPr>
        <w:t>期</w:t>
      </w:r>
      <w:r>
        <w:rPr>
          <w:rFonts w:hint="eastAsia" w:ascii="宋体" w:hAnsi="宋体" w:cs="宋体"/>
          <w:color w:val="auto"/>
          <w:kern w:val="0"/>
          <w:szCs w:val="21"/>
          <w:highlight w:val="none"/>
        </w:rPr>
        <w:t>限</w:t>
      </w:r>
      <w:r>
        <w:rPr>
          <w:rFonts w:hint="eastAsia" w:ascii="宋体" w:hAnsi="宋体" w:cs="宋体"/>
          <w:color w:val="auto"/>
          <w:spacing w:val="-2"/>
          <w:kern w:val="0"/>
          <w:szCs w:val="21"/>
          <w:highlight w:val="none"/>
        </w:rPr>
        <w:t>公</w:t>
      </w:r>
      <w:r>
        <w:rPr>
          <w:rFonts w:hint="eastAsia" w:ascii="宋体" w:hAnsi="宋体" w:cs="宋体"/>
          <w:color w:val="auto"/>
          <w:kern w:val="0"/>
          <w:szCs w:val="21"/>
          <w:highlight w:val="none"/>
        </w:rPr>
        <w:t>示中标</w:t>
      </w:r>
      <w:r>
        <w:rPr>
          <w:rFonts w:hint="eastAsia" w:ascii="宋体" w:hAnsi="宋体" w:cs="宋体"/>
          <w:color w:val="auto"/>
          <w:spacing w:val="-2"/>
          <w:kern w:val="0"/>
          <w:szCs w:val="21"/>
          <w:highlight w:val="none"/>
        </w:rPr>
        <w:t>候</w:t>
      </w:r>
      <w:r>
        <w:rPr>
          <w:rFonts w:hint="eastAsia" w:ascii="宋体" w:hAnsi="宋体" w:cs="宋体"/>
          <w:color w:val="auto"/>
          <w:kern w:val="0"/>
          <w:szCs w:val="21"/>
          <w:highlight w:val="none"/>
        </w:rPr>
        <w:t>选</w:t>
      </w:r>
      <w:r>
        <w:rPr>
          <w:rFonts w:hint="eastAsia" w:ascii="宋体" w:hAnsi="宋体" w:cs="宋体"/>
          <w:color w:val="auto"/>
          <w:spacing w:val="-2"/>
          <w:kern w:val="0"/>
          <w:szCs w:val="21"/>
          <w:highlight w:val="none"/>
        </w:rPr>
        <w:t>人</w:t>
      </w:r>
      <w:r>
        <w:rPr>
          <w:rFonts w:hint="eastAsia" w:ascii="宋体" w:hAnsi="宋体" w:cs="宋体"/>
          <w:color w:val="auto"/>
          <w:kern w:val="0"/>
          <w:szCs w:val="21"/>
          <w:highlight w:val="none"/>
          <w:lang w:eastAsia="zh-CN"/>
        </w:rPr>
        <w:t>，</w:t>
      </w:r>
      <w:r>
        <w:rPr>
          <w:rFonts w:hint="eastAsia" w:ascii="宋体" w:hAnsi="宋体" w:cs="宋体"/>
          <w:color w:val="auto"/>
          <w:spacing w:val="-2"/>
          <w:kern w:val="0"/>
          <w:szCs w:val="21"/>
          <w:highlight w:val="none"/>
        </w:rPr>
        <w:t>公</w:t>
      </w:r>
      <w:r>
        <w:rPr>
          <w:rFonts w:hint="eastAsia" w:ascii="宋体" w:hAnsi="宋体" w:cs="宋体"/>
          <w:color w:val="auto"/>
          <w:kern w:val="0"/>
          <w:szCs w:val="21"/>
          <w:highlight w:val="none"/>
        </w:rPr>
        <w:t>示</w:t>
      </w:r>
      <w:r>
        <w:rPr>
          <w:rFonts w:hint="eastAsia" w:ascii="宋体" w:hAnsi="宋体" w:cs="宋体"/>
          <w:color w:val="auto"/>
          <w:spacing w:val="-2"/>
          <w:kern w:val="0"/>
          <w:szCs w:val="21"/>
          <w:highlight w:val="none"/>
        </w:rPr>
        <w:t>期</w:t>
      </w:r>
      <w:r>
        <w:rPr>
          <w:rFonts w:hint="eastAsia" w:ascii="宋体" w:hAnsi="宋体" w:cs="宋体"/>
          <w:color w:val="auto"/>
          <w:kern w:val="0"/>
          <w:szCs w:val="21"/>
          <w:highlight w:val="none"/>
        </w:rPr>
        <w:t>不</w:t>
      </w:r>
      <w:r>
        <w:rPr>
          <w:rFonts w:hint="eastAsia" w:ascii="宋体" w:hAnsi="宋体" w:cs="宋体"/>
          <w:color w:val="auto"/>
          <w:spacing w:val="-2"/>
          <w:kern w:val="0"/>
          <w:szCs w:val="21"/>
          <w:highlight w:val="none"/>
        </w:rPr>
        <w:t>得</w:t>
      </w:r>
      <w:r>
        <w:rPr>
          <w:rFonts w:hint="eastAsia" w:ascii="宋体" w:hAnsi="宋体" w:cs="宋体"/>
          <w:color w:val="auto"/>
          <w:kern w:val="0"/>
          <w:szCs w:val="21"/>
          <w:highlight w:val="none"/>
        </w:rPr>
        <w:t>少于</w:t>
      </w:r>
      <w:r>
        <w:rPr>
          <w:rFonts w:hint="eastAsia" w:ascii="宋体" w:hAnsi="宋体" w:cs="宋体"/>
          <w:color w:val="auto"/>
          <w:spacing w:val="-9"/>
          <w:kern w:val="0"/>
          <w:szCs w:val="21"/>
          <w:highlight w:val="none"/>
        </w:rPr>
        <w:t xml:space="preserve"> </w:t>
      </w:r>
      <w:r>
        <w:rPr>
          <w:rFonts w:hint="eastAsia" w:ascii="宋体" w:hAnsi="宋体" w:cs="宋体"/>
          <w:color w:val="auto"/>
          <w:kern w:val="0"/>
          <w:szCs w:val="21"/>
          <w:highlight w:val="none"/>
        </w:rPr>
        <w:t>3</w:t>
      </w:r>
      <w:r>
        <w:rPr>
          <w:rFonts w:hint="eastAsia" w:ascii="宋体" w:hAnsi="宋体" w:cs="宋体"/>
          <w:color w:val="auto"/>
          <w:spacing w:val="-2"/>
          <w:kern w:val="0"/>
          <w:szCs w:val="21"/>
          <w:highlight w:val="none"/>
        </w:rPr>
        <w:t xml:space="preserve"> </w:t>
      </w:r>
      <w:r>
        <w:rPr>
          <w:rFonts w:hint="eastAsia" w:ascii="宋体" w:hAnsi="宋体" w:cs="宋体"/>
          <w:color w:val="auto"/>
          <w:kern w:val="0"/>
          <w:szCs w:val="21"/>
          <w:highlight w:val="none"/>
        </w:rPr>
        <w:t>天。</w:t>
      </w:r>
    </w:p>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p w14:paraId="52CD6848">
      <w:pPr>
        <w:tabs>
          <w:tab w:val="left" w:pos="2127"/>
        </w:tabs>
        <w:kinsoku/>
        <w:wordWrap/>
        <w:overflowPunct/>
        <w:topLinePunct w:val="0"/>
        <w:autoSpaceDE/>
        <w:autoSpaceDN/>
        <w:bidi w:val="0"/>
        <w:adjustRightInd/>
        <w:snapToGrid/>
        <w:spacing w:line="312" w:lineRule="auto"/>
        <w:ind w:left="0" w:leftChars="0"/>
        <w:textAlignment w:val="auto"/>
        <w:outlineLvl w:val="2"/>
        <w:rPr>
          <w:rFonts w:hint="eastAsia" w:ascii="宋体" w:hAnsi="宋体" w:eastAsia="宋体" w:cs="宋体"/>
          <w:b/>
          <w:color w:val="auto"/>
          <w:highlight w:val="none"/>
          <w:lang w:val="en-US" w:eastAsia="zh-CN"/>
        </w:rPr>
      </w:pPr>
      <w:bookmarkStart w:id="1475" w:name="_Toc3076"/>
      <w:r>
        <w:rPr>
          <w:rFonts w:hint="eastAsia" w:ascii="宋体" w:hAnsi="宋体" w:eastAsia="宋体" w:cs="宋体"/>
          <w:b/>
          <w:color w:val="auto"/>
          <w:highlight w:val="none"/>
          <w:lang w:val="en-US" w:eastAsia="zh-CN"/>
        </w:rPr>
        <w:t>7.2评标结果异议</w:t>
      </w:r>
      <w:bookmarkEnd w:id="1475"/>
    </w:p>
    <w:p w14:paraId="04F4D691">
      <w:pPr>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kern w:val="0"/>
          <w:szCs w:val="21"/>
          <w:highlight w:val="none"/>
        </w:rPr>
        <w:t>投标人或者其他利</w:t>
      </w:r>
      <w:r>
        <w:rPr>
          <w:rFonts w:hint="eastAsia" w:ascii="宋体" w:hAnsi="宋体" w:cs="宋体"/>
          <w:color w:val="auto"/>
          <w:spacing w:val="-2"/>
          <w:kern w:val="0"/>
          <w:szCs w:val="21"/>
          <w:highlight w:val="none"/>
        </w:rPr>
        <w:t>害</w:t>
      </w:r>
      <w:r>
        <w:rPr>
          <w:rFonts w:hint="eastAsia" w:ascii="宋体" w:hAnsi="宋体" w:cs="宋体"/>
          <w:color w:val="auto"/>
          <w:kern w:val="0"/>
          <w:szCs w:val="21"/>
          <w:highlight w:val="none"/>
        </w:rPr>
        <w:t>关</w:t>
      </w:r>
      <w:r>
        <w:rPr>
          <w:rFonts w:hint="eastAsia" w:ascii="宋体" w:hAnsi="宋体" w:cs="宋体"/>
          <w:color w:val="auto"/>
          <w:spacing w:val="-2"/>
          <w:kern w:val="0"/>
          <w:szCs w:val="21"/>
          <w:highlight w:val="none"/>
        </w:rPr>
        <w:t>系</w:t>
      </w:r>
      <w:r>
        <w:rPr>
          <w:rFonts w:hint="eastAsia" w:ascii="宋体" w:hAnsi="宋体" w:cs="宋体"/>
          <w:color w:val="auto"/>
          <w:kern w:val="0"/>
          <w:szCs w:val="21"/>
          <w:highlight w:val="none"/>
        </w:rPr>
        <w:t>人对评标结果有异</w:t>
      </w:r>
      <w:r>
        <w:rPr>
          <w:rFonts w:hint="eastAsia" w:ascii="宋体" w:hAnsi="宋体" w:cs="宋体"/>
          <w:color w:val="auto"/>
          <w:spacing w:val="-2"/>
          <w:kern w:val="0"/>
          <w:szCs w:val="21"/>
          <w:highlight w:val="none"/>
        </w:rPr>
        <w:t>议</w:t>
      </w:r>
      <w:r>
        <w:rPr>
          <w:rFonts w:hint="eastAsia" w:ascii="宋体" w:hAnsi="宋体" w:cs="宋体"/>
          <w:color w:val="auto"/>
          <w:kern w:val="0"/>
          <w:szCs w:val="21"/>
          <w:highlight w:val="none"/>
        </w:rPr>
        <w:t>的</w:t>
      </w:r>
      <w:r>
        <w:rPr>
          <w:rFonts w:hint="eastAsia" w:ascii="宋体" w:hAnsi="宋体" w:cs="宋体"/>
          <w:color w:val="auto"/>
          <w:spacing w:val="-2"/>
          <w:kern w:val="0"/>
          <w:szCs w:val="21"/>
          <w:highlight w:val="none"/>
          <w:lang w:eastAsia="zh-CN"/>
        </w:rPr>
        <w:t>，</w:t>
      </w:r>
      <w:r>
        <w:rPr>
          <w:rFonts w:hint="eastAsia" w:ascii="宋体" w:hAnsi="宋体" w:cs="宋体"/>
          <w:color w:val="auto"/>
          <w:kern w:val="0"/>
          <w:szCs w:val="21"/>
          <w:highlight w:val="none"/>
        </w:rPr>
        <w:t>应当在中标候选人</w:t>
      </w:r>
      <w:r>
        <w:rPr>
          <w:rFonts w:hint="eastAsia" w:ascii="宋体" w:hAnsi="宋体" w:cs="宋体"/>
          <w:color w:val="auto"/>
          <w:spacing w:val="-2"/>
          <w:kern w:val="0"/>
          <w:szCs w:val="21"/>
          <w:highlight w:val="none"/>
        </w:rPr>
        <w:t>公</w:t>
      </w:r>
      <w:r>
        <w:rPr>
          <w:rFonts w:hint="eastAsia" w:ascii="宋体" w:hAnsi="宋体" w:cs="宋体"/>
          <w:color w:val="auto"/>
          <w:kern w:val="0"/>
          <w:szCs w:val="21"/>
          <w:highlight w:val="none"/>
        </w:rPr>
        <w:t>示</w:t>
      </w:r>
      <w:r>
        <w:rPr>
          <w:rFonts w:hint="eastAsia" w:ascii="宋体" w:hAnsi="宋体" w:cs="宋体"/>
          <w:color w:val="auto"/>
          <w:spacing w:val="-2"/>
          <w:kern w:val="0"/>
          <w:szCs w:val="21"/>
          <w:highlight w:val="none"/>
        </w:rPr>
        <w:t>期</w:t>
      </w:r>
      <w:r>
        <w:rPr>
          <w:rFonts w:hint="eastAsia" w:ascii="宋体" w:hAnsi="宋体" w:cs="宋体"/>
          <w:color w:val="auto"/>
          <w:kern w:val="0"/>
          <w:szCs w:val="21"/>
          <w:highlight w:val="none"/>
        </w:rPr>
        <w:t>间提出。招标人将</w:t>
      </w:r>
      <w:r>
        <w:rPr>
          <w:rFonts w:hint="eastAsia" w:ascii="宋体" w:hAnsi="宋体" w:cs="宋体"/>
          <w:color w:val="auto"/>
          <w:spacing w:val="-2"/>
          <w:kern w:val="0"/>
          <w:szCs w:val="21"/>
          <w:highlight w:val="none"/>
        </w:rPr>
        <w:t>在</w:t>
      </w:r>
      <w:r>
        <w:rPr>
          <w:rFonts w:hint="eastAsia" w:ascii="宋体" w:hAnsi="宋体" w:cs="宋体"/>
          <w:color w:val="auto"/>
          <w:kern w:val="0"/>
          <w:szCs w:val="21"/>
          <w:highlight w:val="none"/>
        </w:rPr>
        <w:t>收</w:t>
      </w:r>
      <w:r>
        <w:rPr>
          <w:rFonts w:hint="eastAsia" w:ascii="宋体" w:hAnsi="宋体" w:cs="宋体"/>
          <w:color w:val="auto"/>
          <w:spacing w:val="-2"/>
          <w:kern w:val="0"/>
          <w:szCs w:val="21"/>
          <w:highlight w:val="none"/>
        </w:rPr>
        <w:t>到</w:t>
      </w:r>
      <w:r>
        <w:rPr>
          <w:rFonts w:hint="eastAsia" w:ascii="宋体" w:hAnsi="宋体" w:cs="宋体"/>
          <w:color w:val="auto"/>
          <w:kern w:val="0"/>
          <w:szCs w:val="21"/>
          <w:highlight w:val="none"/>
        </w:rPr>
        <w:t>异</w:t>
      </w:r>
      <w:r>
        <w:rPr>
          <w:rFonts w:hint="eastAsia" w:ascii="宋体" w:hAnsi="宋体" w:cs="宋体"/>
          <w:color w:val="auto"/>
          <w:spacing w:val="-2"/>
          <w:kern w:val="0"/>
          <w:szCs w:val="21"/>
          <w:highlight w:val="none"/>
        </w:rPr>
        <w:t>议</w:t>
      </w:r>
      <w:r>
        <w:rPr>
          <w:rFonts w:hint="eastAsia" w:ascii="宋体" w:hAnsi="宋体" w:cs="宋体"/>
          <w:color w:val="auto"/>
          <w:kern w:val="0"/>
          <w:szCs w:val="21"/>
          <w:highlight w:val="none"/>
        </w:rPr>
        <w:t>之</w:t>
      </w:r>
      <w:r>
        <w:rPr>
          <w:rFonts w:hint="eastAsia" w:ascii="宋体" w:hAnsi="宋体" w:cs="宋体"/>
          <w:color w:val="auto"/>
          <w:spacing w:val="-2"/>
          <w:kern w:val="0"/>
          <w:szCs w:val="21"/>
          <w:highlight w:val="none"/>
        </w:rPr>
        <w:t>日</w:t>
      </w:r>
      <w:r>
        <w:rPr>
          <w:rFonts w:hint="eastAsia" w:ascii="宋体" w:hAnsi="宋体" w:cs="宋体"/>
          <w:color w:val="auto"/>
          <w:kern w:val="0"/>
          <w:szCs w:val="21"/>
          <w:highlight w:val="none"/>
        </w:rPr>
        <w:t>起3日内</w:t>
      </w:r>
      <w:r>
        <w:rPr>
          <w:rFonts w:hint="eastAsia" w:ascii="宋体" w:hAnsi="宋体" w:cs="宋体"/>
          <w:color w:val="auto"/>
          <w:spacing w:val="-2"/>
          <w:kern w:val="0"/>
          <w:szCs w:val="21"/>
          <w:highlight w:val="none"/>
        </w:rPr>
        <w:t>作</w:t>
      </w:r>
      <w:r>
        <w:rPr>
          <w:rFonts w:hint="eastAsia" w:ascii="宋体" w:hAnsi="宋体" w:cs="宋体"/>
          <w:color w:val="auto"/>
          <w:kern w:val="0"/>
          <w:szCs w:val="21"/>
          <w:highlight w:val="none"/>
        </w:rPr>
        <w:t>出</w:t>
      </w:r>
      <w:r>
        <w:rPr>
          <w:rFonts w:hint="eastAsia" w:ascii="宋体" w:hAnsi="宋体" w:cs="宋体"/>
          <w:color w:val="auto"/>
          <w:spacing w:val="-2"/>
          <w:kern w:val="0"/>
          <w:szCs w:val="21"/>
          <w:highlight w:val="none"/>
        </w:rPr>
        <w:t>答</w:t>
      </w:r>
      <w:r>
        <w:rPr>
          <w:rFonts w:hint="eastAsia" w:ascii="宋体" w:hAnsi="宋体" w:cs="宋体"/>
          <w:color w:val="auto"/>
          <w:kern w:val="0"/>
          <w:szCs w:val="21"/>
          <w:highlight w:val="none"/>
        </w:rPr>
        <w:t>复</w:t>
      </w:r>
      <w:r>
        <w:rPr>
          <w:rFonts w:hint="eastAsia" w:ascii="宋体" w:hAnsi="宋体" w:cs="宋体"/>
          <w:color w:val="auto"/>
          <w:spacing w:val="-2"/>
          <w:kern w:val="0"/>
          <w:szCs w:val="21"/>
          <w:highlight w:val="none"/>
        </w:rPr>
        <w:t>；</w:t>
      </w:r>
      <w:r>
        <w:rPr>
          <w:rFonts w:hint="eastAsia" w:ascii="宋体" w:hAnsi="宋体" w:cs="宋体"/>
          <w:color w:val="auto"/>
          <w:kern w:val="0"/>
          <w:szCs w:val="21"/>
          <w:highlight w:val="none"/>
        </w:rPr>
        <w:t>作</w:t>
      </w:r>
      <w:r>
        <w:rPr>
          <w:rFonts w:hint="eastAsia" w:ascii="宋体" w:hAnsi="宋体" w:cs="宋体"/>
          <w:color w:val="auto"/>
          <w:spacing w:val="-2"/>
          <w:kern w:val="0"/>
          <w:szCs w:val="21"/>
          <w:highlight w:val="none"/>
        </w:rPr>
        <w:t>出</w:t>
      </w:r>
      <w:r>
        <w:rPr>
          <w:rFonts w:hint="eastAsia" w:ascii="宋体" w:hAnsi="宋体" w:cs="宋体"/>
          <w:color w:val="auto"/>
          <w:kern w:val="0"/>
          <w:szCs w:val="21"/>
          <w:highlight w:val="none"/>
        </w:rPr>
        <w:t>答</w:t>
      </w:r>
      <w:r>
        <w:rPr>
          <w:rFonts w:hint="eastAsia" w:ascii="宋体" w:hAnsi="宋体" w:cs="宋体"/>
          <w:color w:val="auto"/>
          <w:spacing w:val="-2"/>
          <w:kern w:val="0"/>
          <w:szCs w:val="21"/>
          <w:highlight w:val="none"/>
        </w:rPr>
        <w:t>复</w:t>
      </w:r>
      <w:r>
        <w:rPr>
          <w:rFonts w:hint="eastAsia" w:ascii="宋体" w:hAnsi="宋体" w:cs="宋体"/>
          <w:color w:val="auto"/>
          <w:kern w:val="0"/>
          <w:szCs w:val="21"/>
          <w:highlight w:val="none"/>
        </w:rPr>
        <w:t>前</w:t>
      </w:r>
      <w:r>
        <w:rPr>
          <w:rFonts w:hint="eastAsia" w:ascii="宋体" w:hAnsi="宋体" w:cs="宋体"/>
          <w:color w:val="auto"/>
          <w:kern w:val="0"/>
          <w:szCs w:val="21"/>
          <w:highlight w:val="none"/>
          <w:lang w:eastAsia="zh-CN"/>
        </w:rPr>
        <w:t>，</w:t>
      </w:r>
      <w:r>
        <w:rPr>
          <w:rFonts w:hint="eastAsia" w:ascii="宋体" w:hAnsi="宋体" w:cs="宋体"/>
          <w:color w:val="auto"/>
          <w:spacing w:val="-2"/>
          <w:kern w:val="0"/>
          <w:szCs w:val="21"/>
          <w:highlight w:val="none"/>
        </w:rPr>
        <w:t>将</w:t>
      </w:r>
      <w:r>
        <w:rPr>
          <w:rFonts w:hint="eastAsia" w:ascii="宋体" w:hAnsi="宋体" w:cs="宋体"/>
          <w:color w:val="auto"/>
          <w:kern w:val="0"/>
          <w:szCs w:val="21"/>
          <w:highlight w:val="none"/>
        </w:rPr>
        <w:t>暂</w:t>
      </w:r>
      <w:r>
        <w:rPr>
          <w:rFonts w:hint="eastAsia" w:ascii="宋体" w:hAnsi="宋体" w:cs="宋体"/>
          <w:color w:val="auto"/>
          <w:spacing w:val="-2"/>
          <w:kern w:val="0"/>
          <w:szCs w:val="21"/>
          <w:highlight w:val="none"/>
        </w:rPr>
        <w:t>停</w:t>
      </w:r>
      <w:r>
        <w:rPr>
          <w:rFonts w:hint="eastAsia" w:ascii="宋体" w:hAnsi="宋体" w:cs="宋体"/>
          <w:color w:val="auto"/>
          <w:kern w:val="0"/>
          <w:szCs w:val="21"/>
          <w:highlight w:val="none"/>
        </w:rPr>
        <w:t>招</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投</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活</w:t>
      </w:r>
      <w:r>
        <w:rPr>
          <w:rFonts w:hint="eastAsia" w:ascii="宋体" w:hAnsi="宋体" w:cs="宋体"/>
          <w:color w:val="auto"/>
          <w:spacing w:val="-2"/>
          <w:kern w:val="0"/>
          <w:szCs w:val="21"/>
          <w:highlight w:val="none"/>
        </w:rPr>
        <w:t>动</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异议函包括但不限于下列内容：</w:t>
      </w:r>
    </w:p>
    <w:p w14:paraId="7358E18F">
      <w:pPr>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（1）异议人名称、地址、邮政编码、联系人及联系电话；</w:t>
      </w:r>
    </w:p>
    <w:p w14:paraId="4184136E">
      <w:pPr>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（2）具体、明确的异议事项、事实依据及与异议事项相关的请求。</w:t>
      </w:r>
    </w:p>
    <w:p w14:paraId="604A565B">
      <w:pPr>
        <w:kinsoku/>
        <w:wordWrap/>
        <w:overflowPunct/>
        <w:topLinePunct w:val="0"/>
        <w:autoSpaceDE/>
        <w:autoSpaceDN/>
        <w:bidi w:val="0"/>
        <w:adjustRightInd/>
        <w:snapToGrid/>
        <w:spacing w:line="312" w:lineRule="auto"/>
        <w:ind w:left="0" w:leftChars="0" w:firstLine="420" w:firstLineChars="200"/>
        <w:textAlignment w:val="auto"/>
        <w:rPr>
          <w:rFonts w:ascii="宋体" w:hAnsi="宋体"/>
          <w:color w:val="auto"/>
          <w:highlight w:val="none"/>
        </w:rPr>
      </w:pPr>
      <w:r>
        <w:rPr>
          <w:rFonts w:hint="eastAsia" w:ascii="宋体" w:hAnsi="宋体" w:eastAsia="宋体" w:cs="宋体"/>
          <w:color w:val="auto"/>
          <w:szCs w:val="21"/>
          <w:highlight w:val="none"/>
          <w:lang w:val="en-US" w:eastAsia="zh-CN"/>
        </w:rPr>
        <w:t>异议函应由异议人的法定代表人或其授权的代理人签字并加盖单位章。</w:t>
      </w:r>
    </w:p>
    <w:p w14:paraId="0565ED80">
      <w:pPr>
        <w:pStyle w:val="23"/>
        <w:tabs>
          <w:tab w:val="left" w:pos="2127"/>
        </w:tabs>
        <w:kinsoku/>
        <w:overflowPunct/>
        <w:bidi w:val="0"/>
        <w:spacing w:line="360" w:lineRule="auto"/>
        <w:textAlignment w:val="auto"/>
        <w:outlineLvl w:val="2"/>
        <w:rPr>
          <w:rFonts w:hint="eastAsia" w:hAnsi="宋体"/>
          <w:b/>
          <w:color w:val="auto"/>
          <w:highlight w:val="none"/>
        </w:rPr>
      </w:pPr>
      <w:bookmarkStart w:id="1476" w:name="_Toc21561"/>
      <w:bookmarkStart w:id="1477" w:name="_Toc484792218"/>
      <w:bookmarkStart w:id="1478" w:name="_Toc6503"/>
      <w:bookmarkStart w:id="1479" w:name="_Toc26704"/>
      <w:bookmarkStart w:id="1480" w:name="_Toc18257"/>
      <w:bookmarkStart w:id="1481" w:name="_Toc26152"/>
      <w:bookmarkStart w:id="1482" w:name="_Toc12150"/>
      <w:bookmarkStart w:id="1483" w:name="_Toc5078"/>
      <w:bookmarkStart w:id="1484" w:name="_Toc14591"/>
      <w:bookmarkStart w:id="1485" w:name="_Toc11581"/>
      <w:bookmarkStart w:id="1486" w:name="_Toc20464"/>
      <w:bookmarkStart w:id="1487" w:name="_Toc24105"/>
      <w:bookmarkStart w:id="1488" w:name="_Toc29298"/>
      <w:bookmarkStart w:id="1489" w:name="_Toc31164"/>
      <w:bookmarkStart w:id="1490" w:name="_Toc27383"/>
      <w:bookmarkStart w:id="1491" w:name="_Toc23160"/>
      <w:bookmarkStart w:id="1492" w:name="_Toc630"/>
      <w:bookmarkStart w:id="1493" w:name="_Toc30033"/>
      <w:bookmarkStart w:id="1494" w:name="_Toc1510"/>
      <w:bookmarkStart w:id="1495" w:name="_Toc9304"/>
      <w:bookmarkStart w:id="1496" w:name="_Toc2997"/>
      <w:bookmarkStart w:id="1497" w:name="_Toc465"/>
      <w:bookmarkStart w:id="1498" w:name="_Toc7020"/>
      <w:bookmarkStart w:id="1499" w:name="_Toc28430"/>
      <w:bookmarkStart w:id="1500" w:name="_Toc23431"/>
      <w:bookmarkStart w:id="1501" w:name="_Toc11036"/>
      <w:bookmarkStart w:id="1502" w:name="_Toc12439"/>
      <w:bookmarkStart w:id="1503" w:name="_Toc8467"/>
      <w:bookmarkStart w:id="1504" w:name="_Toc16764"/>
      <w:bookmarkStart w:id="1505" w:name="_Toc21955"/>
      <w:bookmarkStart w:id="1506" w:name="_Toc22204"/>
      <w:bookmarkStart w:id="1507" w:name="_Toc25360"/>
      <w:bookmarkStart w:id="1508" w:name="_Toc4439"/>
      <w:bookmarkStart w:id="1509" w:name="_Toc30143"/>
      <w:bookmarkStart w:id="1510" w:name="_Toc17745"/>
      <w:bookmarkStart w:id="1511" w:name="_Toc482803105"/>
      <w:bookmarkStart w:id="1512" w:name="_Toc14725"/>
      <w:bookmarkStart w:id="1513" w:name="_Toc14789"/>
      <w:bookmarkStart w:id="1514" w:name="_Toc22341"/>
      <w:bookmarkStart w:id="1515" w:name="_Toc27196"/>
      <w:bookmarkStart w:id="1516" w:name="_Toc1334"/>
      <w:bookmarkStart w:id="1517" w:name="_Toc11478"/>
      <w:bookmarkStart w:id="1518" w:name="_Toc14766"/>
      <w:bookmarkStart w:id="1519" w:name="_Toc9835"/>
      <w:bookmarkStart w:id="1520" w:name="_Toc1527"/>
      <w:bookmarkStart w:id="1521" w:name="_Toc22664"/>
      <w:bookmarkStart w:id="1522" w:name="_Toc7072"/>
      <w:bookmarkStart w:id="1523" w:name="_Toc14431"/>
      <w:r>
        <w:rPr>
          <w:rFonts w:hint="eastAsia" w:hAnsi="宋体"/>
          <w:b/>
          <w:color w:val="auto"/>
          <w:highlight w:val="none"/>
        </w:rPr>
        <w:t>7.3 中标候选人履约能力审查</w:t>
      </w:r>
      <w:bookmarkEnd w:id="1476"/>
      <w:r>
        <w:rPr>
          <w:rFonts w:hint="eastAsia" w:hAnsi="宋体"/>
          <w:b/>
          <w:color w:val="auto"/>
          <w:highlight w:val="none"/>
        </w:rPr>
        <w:t xml:space="preserve"> </w:t>
      </w:r>
    </w:p>
    <w:p w14:paraId="5B64E59B">
      <w:pPr>
        <w:pStyle w:val="23"/>
        <w:tabs>
          <w:tab w:val="left" w:pos="2127"/>
        </w:tabs>
        <w:kinsoku/>
        <w:overflowPunct/>
        <w:bidi w:val="0"/>
        <w:spacing w:line="360" w:lineRule="auto"/>
        <w:textAlignment w:val="auto"/>
        <w:outlineLvl w:val="2"/>
        <w:rPr>
          <w:rFonts w:hint="eastAsia" w:hAnsi="宋体"/>
          <w:b w:val="0"/>
          <w:bCs/>
          <w:color w:val="auto"/>
          <w:highlight w:val="none"/>
        </w:rPr>
      </w:pPr>
      <w:bookmarkStart w:id="1524" w:name="_Toc17408"/>
      <w:r>
        <w:rPr>
          <w:rFonts w:hint="eastAsia" w:hAnsi="宋体"/>
          <w:b w:val="0"/>
          <w:bCs/>
          <w:color w:val="auto"/>
          <w:highlight w:val="none"/>
        </w:rPr>
        <w:t>中标候选人的经营、财务状况发生较大变化或存在违法行为，招标人认为可能影响其履约能力的，将在发出中标通知书前提请原评标委员会按照招标文件规定的标准和方法进行审查确认。</w:t>
      </w:r>
      <w:bookmarkEnd w:id="1524"/>
    </w:p>
    <w:p w14:paraId="0B14858C">
      <w:pPr>
        <w:pStyle w:val="23"/>
        <w:tabs>
          <w:tab w:val="left" w:pos="2127"/>
        </w:tabs>
        <w:kinsoku/>
        <w:overflowPunct/>
        <w:bidi w:val="0"/>
        <w:spacing w:line="360" w:lineRule="auto"/>
        <w:textAlignment w:val="auto"/>
        <w:outlineLvl w:val="2"/>
        <w:rPr>
          <w:rFonts w:hint="default" w:hAnsi="宋体" w:eastAsia="宋体"/>
          <w:b/>
          <w:color w:val="auto"/>
          <w:highlight w:val="none"/>
          <w:lang w:val="en-US" w:eastAsia="zh-CN"/>
        </w:rPr>
      </w:pPr>
      <w:bookmarkStart w:id="1525" w:name="_Toc7146"/>
      <w:r>
        <w:rPr>
          <w:rFonts w:hint="eastAsia" w:hAnsi="宋体"/>
          <w:b/>
          <w:color w:val="auto"/>
          <w:highlight w:val="none"/>
        </w:rPr>
        <w:t>7.</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r>
        <w:rPr>
          <w:rFonts w:hint="eastAsia" w:hAnsi="宋体"/>
          <w:b/>
          <w:color w:val="auto"/>
          <w:highlight w:val="none"/>
          <w:lang w:val="en-US" w:eastAsia="zh-CN"/>
        </w:rPr>
        <w:t>4 定标</w:t>
      </w:r>
      <w:bookmarkEnd w:id="1525"/>
    </w:p>
    <w:p w14:paraId="58C10072">
      <w:pPr>
        <w:tabs>
          <w:tab w:val="left" w:pos="2127"/>
        </w:tabs>
        <w:kinsoku/>
        <w:wordWrap/>
        <w:overflowPunct/>
        <w:topLinePunct w:val="0"/>
        <w:autoSpaceDE/>
        <w:autoSpaceDN/>
        <w:bidi w:val="0"/>
        <w:adjustRightInd/>
        <w:snapToGrid/>
        <w:spacing w:line="312" w:lineRule="auto"/>
        <w:ind w:left="0" w:leftChars="0" w:firstLine="420" w:firstLineChars="200"/>
        <w:textAlignment w:val="auto"/>
        <w:outlineLvl w:val="9"/>
        <w:rPr>
          <w:rFonts w:hint="eastAsia" w:ascii="宋体" w:hAnsi="宋体" w:eastAsia="宋体" w:cs="宋体"/>
          <w:b w:val="0"/>
          <w:bCs/>
          <w:color w:val="auto"/>
          <w:highlight w:val="none"/>
        </w:rPr>
      </w:pPr>
      <w:bookmarkStart w:id="1526" w:name="_Toc31558"/>
      <w:bookmarkStart w:id="1527" w:name="_Toc21998"/>
      <w:bookmarkStart w:id="1528" w:name="_Toc15839"/>
      <w:bookmarkStart w:id="1529" w:name="_Toc17969"/>
      <w:bookmarkStart w:id="1530" w:name="_Toc484792219"/>
      <w:bookmarkStart w:id="1531" w:name="_Toc26475"/>
      <w:bookmarkStart w:id="1532" w:name="_Toc2230"/>
      <w:bookmarkStart w:id="1533" w:name="_Toc8619"/>
      <w:bookmarkStart w:id="1534" w:name="_Toc15052"/>
      <w:bookmarkStart w:id="1535" w:name="_Toc4469"/>
      <w:bookmarkStart w:id="1536" w:name="_Toc17279"/>
      <w:bookmarkStart w:id="1537" w:name="_Toc18971"/>
      <w:bookmarkStart w:id="1538" w:name="_Toc6717"/>
      <w:bookmarkStart w:id="1539" w:name="_Toc4542"/>
      <w:bookmarkStart w:id="1540" w:name="_Toc30265"/>
      <w:bookmarkStart w:id="1541" w:name="_Toc19843"/>
      <w:bookmarkStart w:id="1542" w:name="_Toc3714"/>
      <w:bookmarkStart w:id="1543" w:name="_Toc1875"/>
      <w:bookmarkStart w:id="1544" w:name="_Toc18470"/>
      <w:bookmarkStart w:id="1545" w:name="_Toc865"/>
      <w:bookmarkStart w:id="1546" w:name="_Toc19603"/>
      <w:bookmarkStart w:id="1547" w:name="_Toc1046"/>
      <w:bookmarkStart w:id="1548" w:name="_Toc30801"/>
      <w:bookmarkStart w:id="1549" w:name="_Toc23999"/>
      <w:bookmarkStart w:id="1550" w:name="_Toc4534"/>
      <w:bookmarkStart w:id="1551" w:name="_Toc3788"/>
      <w:bookmarkStart w:id="1552" w:name="_Toc5960"/>
      <w:bookmarkStart w:id="1553" w:name="_Toc25566"/>
      <w:bookmarkStart w:id="1554" w:name="_Toc20244"/>
      <w:bookmarkStart w:id="1555" w:name="_Toc2530"/>
      <w:bookmarkStart w:id="1556" w:name="_Toc482803106"/>
      <w:bookmarkStart w:id="1557" w:name="_Toc18567"/>
      <w:bookmarkStart w:id="1558" w:name="_Toc118"/>
      <w:bookmarkStart w:id="1559" w:name="_Toc14965"/>
      <w:bookmarkStart w:id="1560" w:name="_Toc10945"/>
      <w:bookmarkStart w:id="1561" w:name="_Toc12988"/>
      <w:bookmarkStart w:id="1562" w:name="_Toc20353"/>
      <w:bookmarkStart w:id="1563" w:name="_Toc24939"/>
      <w:bookmarkStart w:id="1564" w:name="_Toc18570"/>
      <w:bookmarkStart w:id="1565" w:name="_Toc4190"/>
      <w:bookmarkStart w:id="1566" w:name="_Toc9257"/>
      <w:bookmarkStart w:id="1567" w:name="_Toc29058"/>
      <w:bookmarkStart w:id="1568" w:name="_Toc14589"/>
      <w:bookmarkStart w:id="1569" w:name="_Toc25964"/>
      <w:bookmarkStart w:id="1570" w:name="_Toc11526"/>
      <w:bookmarkStart w:id="1571" w:name="_Toc21282"/>
      <w:bookmarkStart w:id="1572" w:name="_Toc27504"/>
      <w:r>
        <w:rPr>
          <w:rFonts w:hint="eastAsia" w:ascii="宋体" w:hAnsi="宋体" w:eastAsia="宋体" w:cs="宋体"/>
          <w:b w:val="0"/>
          <w:bCs/>
          <w:color w:val="auto"/>
          <w:highlight w:val="none"/>
        </w:rPr>
        <w:t>由</w:t>
      </w:r>
      <w:r>
        <w:rPr>
          <w:rFonts w:hint="eastAsia" w:ascii="宋体" w:hAnsi="宋体" w:cs="宋体"/>
          <w:b w:val="0"/>
          <w:bCs/>
          <w:color w:val="auto"/>
          <w:highlight w:val="none"/>
          <w:lang w:val="en-US" w:eastAsia="zh-CN"/>
        </w:rPr>
        <w:t>招标</w:t>
      </w:r>
      <w:r>
        <w:rPr>
          <w:rFonts w:hint="eastAsia" w:ascii="宋体" w:hAnsi="宋体" w:eastAsia="宋体" w:cs="宋体"/>
          <w:b w:val="0"/>
          <w:bCs/>
          <w:color w:val="auto"/>
          <w:highlight w:val="none"/>
        </w:rPr>
        <w:t>人按照采购管理的相关规定履行定标程序，确定</w:t>
      </w:r>
      <w:r>
        <w:rPr>
          <w:rFonts w:hint="eastAsia" w:ascii="宋体" w:hAnsi="宋体" w:cs="宋体"/>
          <w:b w:val="0"/>
          <w:bCs/>
          <w:color w:val="auto"/>
          <w:highlight w:val="none"/>
          <w:lang w:val="en-US" w:eastAsia="zh-CN"/>
        </w:rPr>
        <w:t>中标人</w:t>
      </w:r>
      <w:r>
        <w:rPr>
          <w:rFonts w:hint="eastAsia" w:ascii="宋体" w:hAnsi="宋体" w:eastAsia="宋体" w:cs="宋体"/>
          <w:b w:val="0"/>
          <w:bCs/>
          <w:color w:val="auto"/>
          <w:highlight w:val="none"/>
        </w:rPr>
        <w:t>。</w:t>
      </w:r>
    </w:p>
    <w:p w14:paraId="38091214">
      <w:pPr>
        <w:pStyle w:val="23"/>
        <w:tabs>
          <w:tab w:val="left" w:pos="2127"/>
        </w:tabs>
        <w:kinsoku/>
        <w:overflowPunct/>
        <w:bidi w:val="0"/>
        <w:spacing w:line="360" w:lineRule="auto"/>
        <w:textAlignment w:val="auto"/>
        <w:outlineLvl w:val="2"/>
        <w:rPr>
          <w:rFonts w:hAnsi="宋体"/>
          <w:b/>
          <w:color w:val="auto"/>
          <w:highlight w:val="none"/>
        </w:rPr>
      </w:pPr>
      <w:bookmarkStart w:id="1573" w:name="_Toc17065"/>
      <w:r>
        <w:rPr>
          <w:rFonts w:hint="eastAsia" w:hAnsi="宋体"/>
          <w:b/>
          <w:color w:val="auto"/>
          <w:highlight w:val="none"/>
        </w:rPr>
        <w:t>7.</w:t>
      </w:r>
      <w:r>
        <w:rPr>
          <w:rFonts w:hint="eastAsia" w:hAnsi="宋体"/>
          <w:b/>
          <w:color w:val="auto"/>
          <w:highlight w:val="none"/>
          <w:lang w:val="en-US" w:eastAsia="zh-CN"/>
        </w:rPr>
        <w:t>5</w:t>
      </w:r>
      <w:r>
        <w:rPr>
          <w:rFonts w:hint="eastAsia" w:hAnsi="宋体"/>
          <w:b/>
          <w:color w:val="auto"/>
          <w:highlight w:val="none"/>
        </w:rPr>
        <w:t xml:space="preserve"> 中标通知</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14:paraId="0E73C149">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在本章规定的投标有效期内，招标人以书面形式向中标人发出中标通知书，</w:t>
      </w:r>
      <w:r>
        <w:rPr>
          <w:rFonts w:hint="eastAsia" w:ascii="宋体" w:hAnsi="宋体" w:eastAsia="宋体" w:cs="宋体"/>
          <w:color w:val="auto"/>
          <w:highlight w:val="none"/>
          <w:lang w:val="en-US" w:eastAsia="zh-CN"/>
        </w:rPr>
        <w:t>并</w:t>
      </w:r>
      <w:r>
        <w:rPr>
          <w:rFonts w:hint="eastAsia" w:ascii="宋体" w:hAnsi="宋体" w:eastAsia="宋体" w:cs="宋体"/>
          <w:color w:val="auto"/>
          <w:highlight w:val="none"/>
          <w:lang w:eastAsia="zh-CN"/>
        </w:rPr>
        <w:t>按照</w:t>
      </w:r>
      <w:r>
        <w:rPr>
          <w:rFonts w:hint="eastAsia" w:ascii="宋体" w:hAnsi="宋体" w:cs="宋体"/>
          <w:color w:val="auto"/>
          <w:highlight w:val="none"/>
          <w:lang w:val="en-US" w:eastAsia="zh-CN"/>
        </w:rPr>
        <w:t>投标人</w:t>
      </w:r>
      <w:r>
        <w:rPr>
          <w:rFonts w:hint="eastAsia" w:ascii="宋体" w:hAnsi="宋体" w:eastAsia="宋体" w:cs="宋体"/>
          <w:color w:val="auto"/>
          <w:highlight w:val="none"/>
          <w:lang w:eastAsia="zh-CN"/>
        </w:rPr>
        <w:t>须知前附表规定的媒介</w:t>
      </w:r>
      <w:r>
        <w:rPr>
          <w:rFonts w:hint="eastAsia" w:ascii="宋体" w:hAnsi="宋体" w:eastAsia="宋体" w:cs="宋体"/>
          <w:color w:val="auto"/>
          <w:highlight w:val="none"/>
          <w:lang w:val="en-US" w:eastAsia="zh-CN"/>
        </w:rPr>
        <w:t>发布</w:t>
      </w:r>
      <w:r>
        <w:rPr>
          <w:rFonts w:hint="eastAsia" w:ascii="宋体" w:hAnsi="宋体" w:cs="宋体"/>
          <w:color w:val="auto"/>
          <w:highlight w:val="none"/>
          <w:lang w:val="en-US" w:eastAsia="zh-CN"/>
        </w:rPr>
        <w:t>中标</w:t>
      </w:r>
      <w:r>
        <w:rPr>
          <w:rFonts w:hint="eastAsia" w:ascii="宋体" w:hAnsi="宋体" w:eastAsia="宋体" w:cs="宋体"/>
          <w:color w:val="auto"/>
          <w:highlight w:val="none"/>
          <w:lang w:val="en-US" w:eastAsia="zh-CN"/>
        </w:rPr>
        <w:t>结果</w:t>
      </w:r>
      <w:r>
        <w:rPr>
          <w:rFonts w:hint="eastAsia" w:ascii="宋体" w:hAnsi="宋体"/>
          <w:color w:val="auto"/>
          <w:highlight w:val="none"/>
        </w:rPr>
        <w:t>。</w:t>
      </w:r>
    </w:p>
    <w:p w14:paraId="284FC095">
      <w:pPr>
        <w:pStyle w:val="23"/>
        <w:tabs>
          <w:tab w:val="left" w:pos="2127"/>
        </w:tabs>
        <w:kinsoku/>
        <w:overflowPunct/>
        <w:bidi w:val="0"/>
        <w:spacing w:line="360" w:lineRule="auto"/>
        <w:textAlignment w:val="auto"/>
        <w:outlineLvl w:val="2"/>
        <w:rPr>
          <w:rFonts w:hAnsi="宋体"/>
          <w:b/>
          <w:color w:val="auto"/>
          <w:highlight w:val="none"/>
        </w:rPr>
      </w:pPr>
      <w:bookmarkStart w:id="1574" w:name="_Toc4580"/>
      <w:bookmarkStart w:id="1575" w:name="_Toc19155"/>
      <w:bookmarkStart w:id="1576" w:name="_Toc31151"/>
      <w:bookmarkStart w:id="1577" w:name="_Toc14505"/>
      <w:bookmarkStart w:id="1578" w:name="_Toc18794"/>
      <w:bookmarkStart w:id="1579" w:name="_Toc16728"/>
      <w:bookmarkStart w:id="1580" w:name="_Toc4572"/>
      <w:bookmarkStart w:id="1581" w:name="_Toc484792220"/>
      <w:bookmarkStart w:id="1582" w:name="_Toc10432"/>
      <w:bookmarkStart w:id="1583" w:name="_Toc13673"/>
      <w:bookmarkStart w:id="1584" w:name="_Toc28778"/>
      <w:bookmarkStart w:id="1585" w:name="_Toc9349"/>
      <w:bookmarkStart w:id="1586" w:name="_Toc26624"/>
      <w:bookmarkStart w:id="1587" w:name="_Toc31941"/>
      <w:bookmarkStart w:id="1588" w:name="_Toc3840"/>
      <w:bookmarkStart w:id="1589" w:name="_Toc2413"/>
      <w:bookmarkStart w:id="1590" w:name="_Toc25415"/>
      <w:bookmarkStart w:id="1591" w:name="_Toc4894"/>
      <w:bookmarkStart w:id="1592" w:name="_Toc24972"/>
      <w:bookmarkStart w:id="1593" w:name="_Toc31323"/>
      <w:bookmarkStart w:id="1594" w:name="_Toc17856"/>
      <w:bookmarkStart w:id="1595" w:name="_Toc6233"/>
      <w:bookmarkStart w:id="1596" w:name="_Toc30306"/>
      <w:bookmarkStart w:id="1597" w:name="_Toc17587"/>
      <w:bookmarkStart w:id="1598" w:name="_Toc30673"/>
      <w:bookmarkStart w:id="1599" w:name="_Toc15179"/>
      <w:bookmarkStart w:id="1600" w:name="_Toc28"/>
      <w:bookmarkStart w:id="1601" w:name="_Toc26100"/>
      <w:bookmarkStart w:id="1602" w:name="_Toc4074"/>
      <w:bookmarkStart w:id="1603" w:name="_Toc3939"/>
      <w:bookmarkStart w:id="1604" w:name="_Toc12032"/>
      <w:bookmarkStart w:id="1605" w:name="_Toc31694"/>
      <w:bookmarkStart w:id="1606" w:name="_Toc28162"/>
      <w:bookmarkStart w:id="1607" w:name="_Toc19739"/>
      <w:bookmarkStart w:id="1608" w:name="_Toc12223"/>
      <w:bookmarkStart w:id="1609" w:name="_Toc12847"/>
      <w:bookmarkStart w:id="1610" w:name="_Toc482803107"/>
      <w:bookmarkStart w:id="1611" w:name="_Toc30748"/>
      <w:bookmarkStart w:id="1612" w:name="_Toc22850"/>
      <w:bookmarkStart w:id="1613" w:name="_Toc8249"/>
      <w:bookmarkStart w:id="1614" w:name="_Toc11758"/>
      <w:bookmarkStart w:id="1615" w:name="_Toc31068"/>
      <w:bookmarkStart w:id="1616" w:name="_Toc3830"/>
      <w:bookmarkStart w:id="1617" w:name="_Toc17382"/>
      <w:bookmarkStart w:id="1618" w:name="_Toc6015"/>
      <w:bookmarkStart w:id="1619" w:name="_Toc21617"/>
      <w:bookmarkStart w:id="1620" w:name="_Toc20552"/>
      <w:bookmarkStart w:id="1621" w:name="_Toc19152"/>
      <w:r>
        <w:rPr>
          <w:rFonts w:hint="eastAsia" w:hAnsi="宋体"/>
          <w:b/>
          <w:color w:val="auto"/>
          <w:highlight w:val="none"/>
        </w:rPr>
        <w:t>7.</w:t>
      </w:r>
      <w:r>
        <w:rPr>
          <w:rFonts w:hint="eastAsia" w:hAnsi="宋体"/>
          <w:b/>
          <w:color w:val="auto"/>
          <w:highlight w:val="none"/>
          <w:lang w:val="en-US" w:eastAsia="zh-CN"/>
        </w:rPr>
        <w:t>6</w:t>
      </w:r>
      <w:r>
        <w:rPr>
          <w:rFonts w:hint="eastAsia" w:hAnsi="宋体"/>
          <w:b/>
          <w:color w:val="auto"/>
          <w:highlight w:val="none"/>
        </w:rPr>
        <w:t xml:space="preserve"> </w:t>
      </w:r>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r>
        <w:rPr>
          <w:rFonts w:hint="eastAsia" w:hAnsi="宋体"/>
          <w:b/>
          <w:color w:val="auto"/>
          <w:highlight w:val="none"/>
        </w:rPr>
        <w:t>履约保证金</w:t>
      </w:r>
      <w:bookmarkEnd w:id="1621"/>
    </w:p>
    <w:p w14:paraId="0C10368B">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7.</w:t>
      </w:r>
      <w:r>
        <w:rPr>
          <w:rFonts w:hint="eastAsia" w:ascii="宋体" w:hAnsi="宋体"/>
          <w:color w:val="auto"/>
          <w:highlight w:val="none"/>
          <w:lang w:val="en-US" w:eastAsia="zh-CN"/>
        </w:rPr>
        <w:t>6</w:t>
      </w:r>
      <w:r>
        <w:rPr>
          <w:rFonts w:hint="eastAsia" w:ascii="宋体" w:hAnsi="宋体"/>
          <w:color w:val="auto"/>
          <w:highlight w:val="none"/>
        </w:rPr>
        <w:t>.1在签订合同前，中标人应按投标人须知前附表规定的形式、金额和招标文件第四章“合同条款及格式”规定的或者事先经过招标人书面认可的履约保证金格式向招标人提交履约保证金。联合体中标的，其履约保证金以联合体各方或者联合体中牵头人的名义提交。</w:t>
      </w:r>
    </w:p>
    <w:p w14:paraId="2F1E41BC">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7.</w:t>
      </w:r>
      <w:r>
        <w:rPr>
          <w:rFonts w:hint="eastAsia" w:ascii="宋体" w:hAnsi="宋体"/>
          <w:color w:val="auto"/>
          <w:highlight w:val="none"/>
          <w:lang w:val="en-US" w:eastAsia="zh-CN"/>
        </w:rPr>
        <w:t>6</w:t>
      </w:r>
      <w:r>
        <w:rPr>
          <w:rFonts w:hint="eastAsia" w:ascii="宋体" w:hAnsi="宋体"/>
          <w:color w:val="auto"/>
          <w:highlight w:val="none"/>
        </w:rPr>
        <w:t xml:space="preserve">.2 </w:t>
      </w:r>
      <w:r>
        <w:rPr>
          <w:rFonts w:hint="eastAsia" w:ascii="宋体" w:hAnsi="宋体" w:cs="宋体"/>
          <w:color w:val="auto"/>
          <w:kern w:val="0"/>
          <w:szCs w:val="21"/>
          <w:highlight w:val="none"/>
        </w:rPr>
        <w:t>中</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人</w:t>
      </w:r>
      <w:r>
        <w:rPr>
          <w:rFonts w:hint="eastAsia" w:ascii="宋体" w:hAnsi="宋体" w:cs="宋体"/>
          <w:color w:val="auto"/>
          <w:spacing w:val="-2"/>
          <w:kern w:val="0"/>
          <w:szCs w:val="21"/>
          <w:highlight w:val="none"/>
        </w:rPr>
        <w:t>不</w:t>
      </w:r>
      <w:r>
        <w:rPr>
          <w:rFonts w:hint="eastAsia" w:ascii="宋体" w:hAnsi="宋体" w:cs="宋体"/>
          <w:color w:val="auto"/>
          <w:kern w:val="0"/>
          <w:szCs w:val="21"/>
          <w:highlight w:val="none"/>
        </w:rPr>
        <w:t>能</w:t>
      </w:r>
      <w:r>
        <w:rPr>
          <w:rFonts w:hint="eastAsia" w:ascii="宋体" w:hAnsi="宋体" w:cs="宋体"/>
          <w:color w:val="auto"/>
          <w:spacing w:val="-2"/>
          <w:kern w:val="0"/>
          <w:szCs w:val="21"/>
          <w:highlight w:val="none"/>
        </w:rPr>
        <w:t>按</w:t>
      </w:r>
      <w:r>
        <w:rPr>
          <w:rFonts w:hint="eastAsia" w:ascii="宋体" w:hAnsi="宋体" w:cs="宋体"/>
          <w:color w:val="auto"/>
          <w:kern w:val="0"/>
          <w:szCs w:val="21"/>
          <w:highlight w:val="none"/>
        </w:rPr>
        <w:t>本</w:t>
      </w:r>
      <w:r>
        <w:rPr>
          <w:rFonts w:hint="eastAsia" w:ascii="宋体" w:hAnsi="宋体" w:cs="宋体"/>
          <w:color w:val="auto"/>
          <w:spacing w:val="-2"/>
          <w:kern w:val="0"/>
          <w:szCs w:val="21"/>
          <w:highlight w:val="none"/>
        </w:rPr>
        <w:t>章</w:t>
      </w:r>
      <w:r>
        <w:rPr>
          <w:rFonts w:hint="eastAsia" w:ascii="宋体" w:hAnsi="宋体" w:cs="宋体"/>
          <w:color w:val="auto"/>
          <w:kern w:val="0"/>
          <w:szCs w:val="21"/>
          <w:highlight w:val="none"/>
        </w:rPr>
        <w:t>第7.6.1项</w:t>
      </w:r>
      <w:r>
        <w:rPr>
          <w:rFonts w:hint="eastAsia" w:ascii="宋体" w:hAnsi="宋体" w:cs="宋体"/>
          <w:color w:val="auto"/>
          <w:spacing w:val="-2"/>
          <w:kern w:val="0"/>
          <w:szCs w:val="21"/>
          <w:highlight w:val="none"/>
        </w:rPr>
        <w:t>要</w:t>
      </w:r>
      <w:r>
        <w:rPr>
          <w:rFonts w:hint="eastAsia" w:ascii="宋体" w:hAnsi="宋体" w:cs="宋体"/>
          <w:color w:val="auto"/>
          <w:kern w:val="0"/>
          <w:szCs w:val="21"/>
          <w:highlight w:val="none"/>
        </w:rPr>
        <w:t>求</w:t>
      </w:r>
      <w:r>
        <w:rPr>
          <w:rFonts w:hint="eastAsia" w:ascii="宋体" w:hAnsi="宋体" w:cs="宋体"/>
          <w:color w:val="auto"/>
          <w:spacing w:val="-2"/>
          <w:kern w:val="0"/>
          <w:szCs w:val="21"/>
          <w:highlight w:val="none"/>
        </w:rPr>
        <w:t>提</w:t>
      </w:r>
      <w:r>
        <w:rPr>
          <w:rFonts w:hint="eastAsia" w:ascii="宋体" w:hAnsi="宋体" w:cs="宋体"/>
          <w:color w:val="auto"/>
          <w:kern w:val="0"/>
          <w:szCs w:val="21"/>
          <w:highlight w:val="none"/>
        </w:rPr>
        <w:t>交</w:t>
      </w:r>
      <w:r>
        <w:rPr>
          <w:rFonts w:hint="eastAsia" w:ascii="宋体" w:hAnsi="宋体" w:cs="宋体"/>
          <w:color w:val="auto"/>
          <w:spacing w:val="-2"/>
          <w:kern w:val="0"/>
          <w:szCs w:val="21"/>
          <w:highlight w:val="none"/>
        </w:rPr>
        <w:t>履</w:t>
      </w:r>
      <w:r>
        <w:rPr>
          <w:rFonts w:hint="eastAsia" w:ascii="宋体" w:hAnsi="宋体" w:cs="宋体"/>
          <w:color w:val="auto"/>
          <w:kern w:val="0"/>
          <w:szCs w:val="21"/>
          <w:highlight w:val="none"/>
        </w:rPr>
        <w:t>约</w:t>
      </w:r>
      <w:r>
        <w:rPr>
          <w:rFonts w:hint="eastAsia" w:ascii="宋体" w:hAnsi="宋体" w:cs="宋体"/>
          <w:color w:val="auto"/>
          <w:spacing w:val="-2"/>
          <w:kern w:val="0"/>
          <w:szCs w:val="21"/>
          <w:highlight w:val="none"/>
        </w:rPr>
        <w:t>保</w:t>
      </w:r>
      <w:r>
        <w:rPr>
          <w:rFonts w:hint="eastAsia" w:ascii="宋体" w:hAnsi="宋体" w:cs="宋体"/>
          <w:color w:val="auto"/>
          <w:kern w:val="0"/>
          <w:szCs w:val="21"/>
          <w:highlight w:val="none"/>
        </w:rPr>
        <w:t>证金</w:t>
      </w:r>
      <w:r>
        <w:rPr>
          <w:rFonts w:hint="eastAsia" w:ascii="宋体" w:hAnsi="宋体" w:cs="宋体"/>
          <w:color w:val="auto"/>
          <w:spacing w:val="-2"/>
          <w:kern w:val="0"/>
          <w:szCs w:val="21"/>
          <w:highlight w:val="none"/>
        </w:rPr>
        <w:t>的</w:t>
      </w:r>
      <w:r>
        <w:rPr>
          <w:rFonts w:hint="eastAsia" w:ascii="宋体" w:hAnsi="宋体" w:cs="宋体"/>
          <w:color w:val="auto"/>
          <w:kern w:val="0"/>
          <w:szCs w:val="21"/>
          <w:highlight w:val="none"/>
          <w:lang w:eastAsia="zh-CN"/>
        </w:rPr>
        <w:t>，</w:t>
      </w:r>
      <w:r>
        <w:rPr>
          <w:rFonts w:hint="eastAsia" w:ascii="宋体" w:hAnsi="宋体" w:cs="宋体"/>
          <w:color w:val="auto"/>
          <w:spacing w:val="-2"/>
          <w:kern w:val="0"/>
          <w:szCs w:val="21"/>
          <w:highlight w:val="none"/>
        </w:rPr>
        <w:t>视</w:t>
      </w:r>
      <w:r>
        <w:rPr>
          <w:rFonts w:hint="eastAsia" w:ascii="宋体" w:hAnsi="宋体" w:cs="宋体"/>
          <w:color w:val="auto"/>
          <w:kern w:val="0"/>
          <w:szCs w:val="21"/>
          <w:highlight w:val="none"/>
        </w:rPr>
        <w:t>为</w:t>
      </w:r>
      <w:r>
        <w:rPr>
          <w:rFonts w:hint="eastAsia" w:ascii="宋体" w:hAnsi="宋体" w:cs="宋体"/>
          <w:color w:val="auto"/>
          <w:spacing w:val="-2"/>
          <w:kern w:val="0"/>
          <w:szCs w:val="21"/>
          <w:highlight w:val="none"/>
        </w:rPr>
        <w:t>放</w:t>
      </w:r>
      <w:r>
        <w:rPr>
          <w:rFonts w:hint="eastAsia" w:ascii="宋体" w:hAnsi="宋体" w:cs="宋体"/>
          <w:color w:val="auto"/>
          <w:kern w:val="0"/>
          <w:szCs w:val="21"/>
          <w:highlight w:val="none"/>
        </w:rPr>
        <w:t>弃</w:t>
      </w:r>
      <w:r>
        <w:rPr>
          <w:rFonts w:hint="eastAsia" w:ascii="宋体" w:hAnsi="宋体" w:cs="宋体"/>
          <w:color w:val="auto"/>
          <w:spacing w:val="-2"/>
          <w:kern w:val="0"/>
          <w:szCs w:val="21"/>
          <w:highlight w:val="none"/>
        </w:rPr>
        <w:t>中</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lang w:eastAsia="zh-CN"/>
        </w:rPr>
        <w:t>，</w:t>
      </w:r>
      <w:r>
        <w:rPr>
          <w:rFonts w:hint="eastAsia" w:ascii="宋体" w:hAnsi="宋体" w:cs="宋体"/>
          <w:color w:val="auto"/>
          <w:kern w:val="0"/>
          <w:szCs w:val="21"/>
          <w:highlight w:val="none"/>
        </w:rPr>
        <w:t>其投</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保</w:t>
      </w:r>
      <w:r>
        <w:rPr>
          <w:rFonts w:hint="eastAsia" w:ascii="宋体" w:hAnsi="宋体" w:cs="宋体"/>
          <w:color w:val="auto"/>
          <w:spacing w:val="-2"/>
          <w:kern w:val="0"/>
          <w:szCs w:val="21"/>
          <w:highlight w:val="none"/>
        </w:rPr>
        <w:t>证</w:t>
      </w:r>
      <w:r>
        <w:rPr>
          <w:rFonts w:hint="eastAsia" w:ascii="宋体" w:hAnsi="宋体" w:cs="宋体"/>
          <w:color w:val="auto"/>
          <w:kern w:val="0"/>
          <w:szCs w:val="21"/>
          <w:highlight w:val="none"/>
        </w:rPr>
        <w:t>金不予</w:t>
      </w:r>
      <w:r>
        <w:rPr>
          <w:rFonts w:hint="eastAsia" w:ascii="宋体" w:hAnsi="宋体" w:cs="宋体"/>
          <w:color w:val="auto"/>
          <w:spacing w:val="-2"/>
          <w:kern w:val="0"/>
          <w:szCs w:val="21"/>
          <w:highlight w:val="none"/>
        </w:rPr>
        <w:t>退</w:t>
      </w:r>
      <w:r>
        <w:rPr>
          <w:rFonts w:hint="eastAsia" w:ascii="宋体" w:hAnsi="宋体" w:cs="宋体"/>
          <w:color w:val="auto"/>
          <w:kern w:val="0"/>
          <w:szCs w:val="21"/>
          <w:highlight w:val="none"/>
        </w:rPr>
        <w:t>还</w:t>
      </w:r>
      <w:r>
        <w:rPr>
          <w:rFonts w:hint="eastAsia" w:ascii="宋体" w:hAnsi="宋体" w:cs="宋体"/>
          <w:color w:val="auto"/>
          <w:spacing w:val="-2"/>
          <w:kern w:val="0"/>
          <w:szCs w:val="21"/>
          <w:highlight w:val="none"/>
          <w:lang w:eastAsia="zh-CN"/>
        </w:rPr>
        <w:t>，</w:t>
      </w:r>
      <w:r>
        <w:rPr>
          <w:rFonts w:hint="eastAsia" w:ascii="宋体" w:hAnsi="宋体" w:cs="宋体"/>
          <w:color w:val="auto"/>
          <w:kern w:val="0"/>
          <w:szCs w:val="21"/>
          <w:highlight w:val="none"/>
        </w:rPr>
        <w:t>给</w:t>
      </w:r>
      <w:r>
        <w:rPr>
          <w:rFonts w:hint="eastAsia" w:ascii="宋体" w:hAnsi="宋体" w:cs="宋体"/>
          <w:color w:val="auto"/>
          <w:spacing w:val="-2"/>
          <w:kern w:val="0"/>
          <w:szCs w:val="21"/>
          <w:highlight w:val="none"/>
        </w:rPr>
        <w:t>招</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人</w:t>
      </w:r>
      <w:r>
        <w:rPr>
          <w:rFonts w:hint="eastAsia" w:ascii="宋体" w:hAnsi="宋体" w:cs="宋体"/>
          <w:color w:val="auto"/>
          <w:kern w:val="0"/>
          <w:szCs w:val="21"/>
          <w:highlight w:val="none"/>
        </w:rPr>
        <w:t>造</w:t>
      </w:r>
      <w:r>
        <w:rPr>
          <w:rFonts w:hint="eastAsia" w:ascii="宋体" w:hAnsi="宋体" w:cs="宋体"/>
          <w:color w:val="auto"/>
          <w:spacing w:val="-2"/>
          <w:kern w:val="0"/>
          <w:szCs w:val="21"/>
          <w:highlight w:val="none"/>
        </w:rPr>
        <w:t>成</w:t>
      </w:r>
      <w:r>
        <w:rPr>
          <w:rFonts w:hint="eastAsia" w:ascii="宋体" w:hAnsi="宋体" w:cs="宋体"/>
          <w:color w:val="auto"/>
          <w:kern w:val="0"/>
          <w:szCs w:val="21"/>
          <w:highlight w:val="none"/>
        </w:rPr>
        <w:t>的损</w:t>
      </w:r>
      <w:r>
        <w:rPr>
          <w:rFonts w:hint="eastAsia" w:ascii="宋体" w:hAnsi="宋体" w:cs="宋体"/>
          <w:color w:val="auto"/>
          <w:spacing w:val="-2"/>
          <w:kern w:val="0"/>
          <w:szCs w:val="21"/>
          <w:highlight w:val="none"/>
        </w:rPr>
        <w:t>失</w:t>
      </w:r>
      <w:r>
        <w:rPr>
          <w:rFonts w:hint="eastAsia" w:ascii="宋体" w:hAnsi="宋体" w:cs="宋体"/>
          <w:color w:val="auto"/>
          <w:kern w:val="0"/>
          <w:szCs w:val="21"/>
          <w:highlight w:val="none"/>
        </w:rPr>
        <w:t>超</w:t>
      </w:r>
      <w:r>
        <w:rPr>
          <w:rFonts w:hint="eastAsia" w:ascii="宋体" w:hAnsi="宋体" w:cs="宋体"/>
          <w:color w:val="auto"/>
          <w:spacing w:val="-2"/>
          <w:kern w:val="0"/>
          <w:szCs w:val="21"/>
          <w:highlight w:val="none"/>
        </w:rPr>
        <w:t>过</w:t>
      </w:r>
      <w:r>
        <w:rPr>
          <w:rFonts w:hint="eastAsia" w:ascii="宋体" w:hAnsi="宋体" w:cs="宋体"/>
          <w:color w:val="auto"/>
          <w:kern w:val="0"/>
          <w:szCs w:val="21"/>
          <w:highlight w:val="none"/>
        </w:rPr>
        <w:t>投</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保</w:t>
      </w:r>
      <w:r>
        <w:rPr>
          <w:rFonts w:hint="eastAsia" w:ascii="宋体" w:hAnsi="宋体" w:cs="宋体"/>
          <w:color w:val="auto"/>
          <w:spacing w:val="-2"/>
          <w:kern w:val="0"/>
          <w:szCs w:val="21"/>
          <w:highlight w:val="none"/>
        </w:rPr>
        <w:t>证</w:t>
      </w:r>
      <w:r>
        <w:rPr>
          <w:rFonts w:hint="eastAsia" w:ascii="宋体" w:hAnsi="宋体" w:cs="宋体"/>
          <w:color w:val="auto"/>
          <w:kern w:val="0"/>
          <w:szCs w:val="21"/>
          <w:highlight w:val="none"/>
        </w:rPr>
        <w:t>金</w:t>
      </w:r>
      <w:r>
        <w:rPr>
          <w:rFonts w:hint="eastAsia" w:ascii="宋体" w:hAnsi="宋体" w:cs="宋体"/>
          <w:color w:val="auto"/>
          <w:spacing w:val="-2"/>
          <w:kern w:val="0"/>
          <w:szCs w:val="21"/>
          <w:highlight w:val="none"/>
        </w:rPr>
        <w:t>数</w:t>
      </w:r>
      <w:r>
        <w:rPr>
          <w:rFonts w:hint="eastAsia" w:ascii="宋体" w:hAnsi="宋体" w:cs="宋体"/>
          <w:color w:val="auto"/>
          <w:kern w:val="0"/>
          <w:szCs w:val="21"/>
          <w:highlight w:val="none"/>
        </w:rPr>
        <w:t>额的</w:t>
      </w:r>
      <w:r>
        <w:rPr>
          <w:rFonts w:hint="eastAsia" w:ascii="宋体" w:hAnsi="宋体" w:cs="宋体"/>
          <w:color w:val="auto"/>
          <w:spacing w:val="-2"/>
          <w:kern w:val="0"/>
          <w:szCs w:val="21"/>
          <w:highlight w:val="none"/>
          <w:lang w:eastAsia="zh-CN"/>
        </w:rPr>
        <w:t>，</w:t>
      </w:r>
      <w:r>
        <w:rPr>
          <w:rFonts w:hint="eastAsia" w:ascii="宋体" w:hAnsi="宋体" w:cs="宋体"/>
          <w:color w:val="auto"/>
          <w:kern w:val="0"/>
          <w:szCs w:val="21"/>
          <w:highlight w:val="none"/>
        </w:rPr>
        <w:t>中</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人</w:t>
      </w:r>
      <w:r>
        <w:rPr>
          <w:rFonts w:hint="eastAsia" w:ascii="宋体" w:hAnsi="宋体" w:cs="宋体"/>
          <w:color w:val="auto"/>
          <w:spacing w:val="-2"/>
          <w:kern w:val="0"/>
          <w:szCs w:val="21"/>
          <w:highlight w:val="none"/>
        </w:rPr>
        <w:t>还</w:t>
      </w:r>
      <w:r>
        <w:rPr>
          <w:rFonts w:hint="eastAsia" w:ascii="宋体" w:hAnsi="宋体" w:cs="宋体"/>
          <w:color w:val="auto"/>
          <w:kern w:val="0"/>
          <w:szCs w:val="21"/>
          <w:highlight w:val="none"/>
        </w:rPr>
        <w:t>应</w:t>
      </w:r>
      <w:r>
        <w:rPr>
          <w:rFonts w:hint="eastAsia" w:ascii="宋体" w:hAnsi="宋体" w:cs="宋体"/>
          <w:color w:val="auto"/>
          <w:spacing w:val="-2"/>
          <w:kern w:val="0"/>
          <w:szCs w:val="21"/>
          <w:highlight w:val="none"/>
        </w:rPr>
        <w:t>当</w:t>
      </w:r>
      <w:r>
        <w:rPr>
          <w:rFonts w:hint="eastAsia" w:ascii="宋体" w:hAnsi="宋体" w:cs="宋体"/>
          <w:color w:val="auto"/>
          <w:kern w:val="0"/>
          <w:szCs w:val="21"/>
          <w:highlight w:val="none"/>
        </w:rPr>
        <w:t>对</w:t>
      </w:r>
      <w:r>
        <w:rPr>
          <w:rFonts w:hint="eastAsia" w:ascii="宋体" w:hAnsi="宋体" w:cs="宋体"/>
          <w:color w:val="auto"/>
          <w:spacing w:val="-2"/>
          <w:kern w:val="0"/>
          <w:szCs w:val="21"/>
          <w:highlight w:val="none"/>
        </w:rPr>
        <w:t>超</w:t>
      </w:r>
      <w:r>
        <w:rPr>
          <w:rFonts w:hint="eastAsia" w:ascii="宋体" w:hAnsi="宋体" w:cs="宋体"/>
          <w:color w:val="auto"/>
          <w:kern w:val="0"/>
          <w:szCs w:val="21"/>
          <w:highlight w:val="none"/>
        </w:rPr>
        <w:t>过部</w:t>
      </w:r>
      <w:r>
        <w:rPr>
          <w:rFonts w:hint="eastAsia" w:ascii="宋体" w:hAnsi="宋体" w:cs="宋体"/>
          <w:color w:val="auto"/>
          <w:spacing w:val="-2"/>
          <w:kern w:val="0"/>
          <w:szCs w:val="21"/>
          <w:highlight w:val="none"/>
        </w:rPr>
        <w:t>分</w:t>
      </w:r>
      <w:r>
        <w:rPr>
          <w:rFonts w:hint="eastAsia" w:ascii="宋体" w:hAnsi="宋体" w:cs="宋体"/>
          <w:color w:val="auto"/>
          <w:kern w:val="0"/>
          <w:szCs w:val="21"/>
          <w:highlight w:val="none"/>
        </w:rPr>
        <w:t>予</w:t>
      </w:r>
      <w:r>
        <w:rPr>
          <w:rFonts w:hint="eastAsia" w:ascii="宋体" w:hAnsi="宋体" w:cs="宋体"/>
          <w:color w:val="auto"/>
          <w:spacing w:val="-2"/>
          <w:kern w:val="0"/>
          <w:szCs w:val="21"/>
          <w:highlight w:val="none"/>
        </w:rPr>
        <w:t>以</w:t>
      </w:r>
      <w:r>
        <w:rPr>
          <w:rFonts w:hint="eastAsia" w:ascii="宋体" w:hAnsi="宋体" w:cs="宋体"/>
          <w:color w:val="auto"/>
          <w:kern w:val="0"/>
          <w:szCs w:val="21"/>
          <w:highlight w:val="none"/>
        </w:rPr>
        <w:t>赔</w:t>
      </w:r>
      <w:r>
        <w:rPr>
          <w:rFonts w:hint="eastAsia" w:ascii="宋体" w:hAnsi="宋体" w:cs="宋体"/>
          <w:color w:val="auto"/>
          <w:spacing w:val="-2"/>
          <w:kern w:val="0"/>
          <w:szCs w:val="21"/>
          <w:highlight w:val="none"/>
        </w:rPr>
        <w:t>偿</w:t>
      </w:r>
      <w:r>
        <w:rPr>
          <w:rFonts w:hint="eastAsia" w:ascii="宋体" w:hAnsi="宋体" w:cs="宋体"/>
          <w:color w:val="auto"/>
          <w:kern w:val="0"/>
          <w:szCs w:val="21"/>
          <w:highlight w:val="none"/>
        </w:rPr>
        <w:t>。</w:t>
      </w:r>
    </w:p>
    <w:p w14:paraId="77E9B013">
      <w:pPr>
        <w:pStyle w:val="23"/>
        <w:tabs>
          <w:tab w:val="left" w:pos="2127"/>
        </w:tabs>
        <w:kinsoku/>
        <w:overflowPunct/>
        <w:bidi w:val="0"/>
        <w:spacing w:line="360" w:lineRule="auto"/>
        <w:textAlignment w:val="auto"/>
        <w:outlineLvl w:val="2"/>
        <w:rPr>
          <w:rFonts w:hAnsi="宋体"/>
          <w:b/>
          <w:color w:val="auto"/>
          <w:highlight w:val="none"/>
        </w:rPr>
      </w:pPr>
      <w:bookmarkStart w:id="1622" w:name="_Toc6373"/>
      <w:bookmarkStart w:id="1623" w:name="_Toc11093"/>
      <w:bookmarkStart w:id="1624" w:name="_Toc19048"/>
      <w:bookmarkStart w:id="1625" w:name="_Toc20429"/>
      <w:bookmarkStart w:id="1626" w:name="_Toc32083"/>
      <w:bookmarkStart w:id="1627" w:name="_Toc2144"/>
      <w:bookmarkStart w:id="1628" w:name="_Toc7495"/>
      <w:bookmarkStart w:id="1629" w:name="_Toc14769"/>
      <w:bookmarkStart w:id="1630" w:name="_Toc16204"/>
      <w:bookmarkStart w:id="1631" w:name="_Toc16689"/>
      <w:bookmarkStart w:id="1632" w:name="_Toc484792221"/>
      <w:bookmarkStart w:id="1633" w:name="_Toc7540"/>
      <w:bookmarkStart w:id="1634" w:name="_Toc31801"/>
      <w:bookmarkStart w:id="1635" w:name="_Toc18303"/>
      <w:bookmarkStart w:id="1636" w:name="_Toc21446"/>
      <w:bookmarkStart w:id="1637" w:name="_Toc3349"/>
      <w:bookmarkStart w:id="1638" w:name="_Toc6558"/>
      <w:bookmarkStart w:id="1639" w:name="_Toc8350"/>
      <w:bookmarkStart w:id="1640" w:name="_Toc8368"/>
      <w:bookmarkStart w:id="1641" w:name="_Toc24840"/>
      <w:bookmarkStart w:id="1642" w:name="_Toc16950"/>
      <w:bookmarkStart w:id="1643" w:name="_Toc13757"/>
      <w:bookmarkStart w:id="1644" w:name="_Toc8464"/>
      <w:bookmarkStart w:id="1645" w:name="_Toc26096"/>
      <w:bookmarkStart w:id="1646" w:name="_Toc23975"/>
      <w:bookmarkStart w:id="1647" w:name="_Toc658"/>
      <w:bookmarkStart w:id="1648" w:name="_Toc880"/>
      <w:bookmarkStart w:id="1649" w:name="_Toc17591"/>
      <w:bookmarkStart w:id="1650" w:name="_Toc482803108"/>
      <w:bookmarkStart w:id="1651" w:name="_Toc4506"/>
      <w:bookmarkStart w:id="1652" w:name="_Toc29722"/>
      <w:bookmarkStart w:id="1653" w:name="_Toc6238"/>
      <w:bookmarkStart w:id="1654" w:name="_Toc6155"/>
      <w:bookmarkStart w:id="1655" w:name="_Toc16753"/>
      <w:bookmarkStart w:id="1656" w:name="_Toc2689"/>
      <w:bookmarkStart w:id="1657" w:name="_Toc20237"/>
      <w:bookmarkStart w:id="1658" w:name="_Toc32141"/>
      <w:bookmarkStart w:id="1659" w:name="_Toc15020"/>
      <w:bookmarkStart w:id="1660" w:name="_Toc14030"/>
      <w:bookmarkStart w:id="1661" w:name="_Toc31684"/>
      <w:bookmarkStart w:id="1662" w:name="_Toc18340"/>
      <w:bookmarkStart w:id="1663" w:name="_Toc9476"/>
      <w:bookmarkStart w:id="1664" w:name="_Toc5175"/>
      <w:bookmarkStart w:id="1665" w:name="_Toc16771"/>
      <w:bookmarkStart w:id="1666" w:name="_Toc7679"/>
      <w:bookmarkStart w:id="1667" w:name="_Toc3897"/>
      <w:bookmarkStart w:id="1668" w:name="_Toc31540"/>
      <w:bookmarkStart w:id="1669" w:name="_Toc13798"/>
      <w:r>
        <w:rPr>
          <w:rFonts w:hint="eastAsia" w:hAnsi="宋体"/>
          <w:b/>
          <w:color w:val="auto"/>
          <w:highlight w:val="none"/>
        </w:rPr>
        <w:t>7.</w:t>
      </w:r>
      <w:r>
        <w:rPr>
          <w:rFonts w:hint="eastAsia" w:hAnsi="宋体"/>
          <w:b/>
          <w:color w:val="auto"/>
          <w:highlight w:val="none"/>
          <w:lang w:val="en-US" w:eastAsia="zh-CN"/>
        </w:rPr>
        <w:t>7</w:t>
      </w:r>
      <w:r>
        <w:rPr>
          <w:rFonts w:hint="eastAsia" w:hAnsi="宋体"/>
          <w:b/>
          <w:color w:val="auto"/>
          <w:highlight w:val="none"/>
        </w:rPr>
        <w:t xml:space="preserve"> 签订合同</w:t>
      </w:r>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14:paraId="0C6D0C9A">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7.5.1招标人和中标人应当在中标通知书发出之日起30日内，根据招标文件和中标人的投标文件订立书面合同。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在此情况下，招标人可将合同授予排名次之的中标候选人，或重新招标。</w:t>
      </w:r>
    </w:p>
    <w:p w14:paraId="26A72A5A">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7.5.2 发出中标通知书后，招标人无正当理由拒签合同，或者在签订合同时向中标人提出附加条件的，招标人向中标人退还投标保证金；给中标人造成损失的，还应当赔偿损失。</w:t>
      </w:r>
    </w:p>
    <w:p w14:paraId="252709E7">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7.5.3招标人和中标人不得背离本招标文件中合同条款实质性内容签订</w:t>
      </w:r>
      <w:r>
        <w:rPr>
          <w:rFonts w:hint="eastAsia" w:ascii="宋体" w:hAnsi="宋体"/>
          <w:color w:val="auto"/>
          <w:highlight w:val="none"/>
          <w:lang w:eastAsia="zh-CN"/>
        </w:rPr>
        <w:t>采购</w:t>
      </w:r>
      <w:r>
        <w:rPr>
          <w:rFonts w:hint="eastAsia" w:ascii="宋体" w:hAnsi="宋体"/>
          <w:color w:val="auto"/>
          <w:highlight w:val="none"/>
        </w:rPr>
        <w:t>合同。</w:t>
      </w:r>
    </w:p>
    <w:p w14:paraId="160C3893">
      <w:pPr>
        <w:autoSpaceDE w:val="0"/>
        <w:autoSpaceDN w:val="0"/>
        <w:adjustRightInd w:val="0"/>
        <w:spacing w:before="7" w:line="360" w:lineRule="auto"/>
        <w:ind w:right="140" w:firstLine="420" w:firstLineChars="200"/>
        <w:rPr>
          <w:rFonts w:hint="eastAsia" w:ascii="黑体" w:hAnsi="黑体" w:eastAsia="黑体" w:cs="黑体"/>
          <w:b/>
          <w:bCs/>
          <w:color w:val="auto"/>
          <w:sz w:val="32"/>
          <w:szCs w:val="32"/>
          <w:highlight w:val="none"/>
        </w:rPr>
      </w:pPr>
      <w:r>
        <w:rPr>
          <w:rFonts w:hint="eastAsia" w:ascii="宋体" w:hAnsi="宋体" w:cs="宋体"/>
          <w:color w:val="auto"/>
          <w:kern w:val="0"/>
          <w:szCs w:val="21"/>
          <w:highlight w:val="none"/>
        </w:rPr>
        <w:t>7.7.</w:t>
      </w:r>
      <w:r>
        <w:rPr>
          <w:rFonts w:hint="eastAsia" w:ascii="宋体" w:hAnsi="宋体" w:cs="宋体"/>
          <w:color w:val="auto"/>
          <w:kern w:val="0"/>
          <w:szCs w:val="21"/>
          <w:highlight w:val="none"/>
          <w:lang w:val="en-US" w:eastAsia="zh-CN"/>
        </w:rPr>
        <w:t>4</w:t>
      </w:r>
      <w:r>
        <w:rPr>
          <w:rFonts w:hint="eastAsia" w:ascii="宋体" w:hAnsi="宋体" w:cs="宋体"/>
          <w:color w:val="auto"/>
          <w:spacing w:val="-2"/>
          <w:kern w:val="0"/>
          <w:szCs w:val="21"/>
          <w:highlight w:val="none"/>
        </w:rPr>
        <w:t xml:space="preserve"> </w:t>
      </w:r>
      <w:r>
        <w:rPr>
          <w:rFonts w:hint="eastAsia" w:ascii="宋体" w:hAnsi="宋体" w:cs="宋体"/>
          <w:color w:val="auto"/>
          <w:kern w:val="0"/>
          <w:szCs w:val="21"/>
          <w:highlight w:val="none"/>
        </w:rPr>
        <w:t>联</w:t>
      </w:r>
      <w:r>
        <w:rPr>
          <w:rFonts w:hint="eastAsia" w:ascii="宋体" w:hAnsi="宋体" w:cs="宋体"/>
          <w:color w:val="auto"/>
          <w:spacing w:val="-2"/>
          <w:kern w:val="0"/>
          <w:szCs w:val="21"/>
          <w:highlight w:val="none"/>
        </w:rPr>
        <w:t>合</w:t>
      </w:r>
      <w:r>
        <w:rPr>
          <w:rFonts w:hint="eastAsia" w:ascii="宋体" w:hAnsi="宋体" w:cs="宋体"/>
          <w:color w:val="auto"/>
          <w:kern w:val="0"/>
          <w:szCs w:val="21"/>
          <w:highlight w:val="none"/>
        </w:rPr>
        <w:t>体</w:t>
      </w:r>
      <w:r>
        <w:rPr>
          <w:rFonts w:hint="eastAsia" w:ascii="宋体" w:hAnsi="宋体" w:cs="宋体"/>
          <w:color w:val="auto"/>
          <w:spacing w:val="-2"/>
          <w:kern w:val="0"/>
          <w:szCs w:val="21"/>
          <w:highlight w:val="none"/>
        </w:rPr>
        <w:t>中</w:t>
      </w:r>
      <w:r>
        <w:rPr>
          <w:rFonts w:hint="eastAsia" w:ascii="宋体" w:hAnsi="宋体" w:cs="宋体"/>
          <w:color w:val="auto"/>
          <w:kern w:val="0"/>
          <w:szCs w:val="21"/>
          <w:highlight w:val="none"/>
        </w:rPr>
        <w:t>标的</w:t>
      </w:r>
      <w:r>
        <w:rPr>
          <w:rFonts w:hint="eastAsia" w:ascii="宋体" w:hAnsi="宋体" w:cs="宋体"/>
          <w:color w:val="auto"/>
          <w:spacing w:val="-14"/>
          <w:kern w:val="0"/>
          <w:szCs w:val="21"/>
          <w:highlight w:val="none"/>
          <w:lang w:eastAsia="zh-CN"/>
        </w:rPr>
        <w:t>，</w:t>
      </w:r>
      <w:r>
        <w:rPr>
          <w:rFonts w:hint="eastAsia" w:ascii="宋体" w:hAnsi="宋体" w:cs="宋体"/>
          <w:color w:val="auto"/>
          <w:kern w:val="0"/>
          <w:szCs w:val="21"/>
          <w:highlight w:val="none"/>
        </w:rPr>
        <w:t>联</w:t>
      </w:r>
      <w:r>
        <w:rPr>
          <w:rFonts w:hint="eastAsia" w:ascii="宋体" w:hAnsi="宋体" w:cs="宋体"/>
          <w:color w:val="auto"/>
          <w:spacing w:val="-2"/>
          <w:kern w:val="0"/>
          <w:szCs w:val="21"/>
          <w:highlight w:val="none"/>
        </w:rPr>
        <w:t>合</w:t>
      </w:r>
      <w:r>
        <w:rPr>
          <w:rFonts w:hint="eastAsia" w:ascii="宋体" w:hAnsi="宋体" w:cs="宋体"/>
          <w:color w:val="auto"/>
          <w:kern w:val="0"/>
          <w:szCs w:val="21"/>
          <w:highlight w:val="none"/>
        </w:rPr>
        <w:t>体各</w:t>
      </w:r>
      <w:r>
        <w:rPr>
          <w:rFonts w:hint="eastAsia" w:ascii="宋体" w:hAnsi="宋体" w:cs="宋体"/>
          <w:color w:val="auto"/>
          <w:spacing w:val="-2"/>
          <w:kern w:val="0"/>
          <w:szCs w:val="21"/>
          <w:highlight w:val="none"/>
        </w:rPr>
        <w:t>方</w:t>
      </w:r>
      <w:r>
        <w:rPr>
          <w:rFonts w:hint="eastAsia" w:ascii="宋体" w:hAnsi="宋体" w:cs="宋体"/>
          <w:color w:val="auto"/>
          <w:kern w:val="0"/>
          <w:szCs w:val="21"/>
          <w:highlight w:val="none"/>
        </w:rPr>
        <w:t>应</w:t>
      </w:r>
      <w:r>
        <w:rPr>
          <w:rFonts w:hint="eastAsia" w:ascii="宋体" w:hAnsi="宋体" w:cs="宋体"/>
          <w:color w:val="auto"/>
          <w:spacing w:val="-2"/>
          <w:kern w:val="0"/>
          <w:szCs w:val="21"/>
          <w:highlight w:val="none"/>
        </w:rPr>
        <w:t>当</w:t>
      </w:r>
      <w:r>
        <w:rPr>
          <w:rFonts w:hint="eastAsia" w:ascii="宋体" w:hAnsi="宋体" w:cs="宋体"/>
          <w:color w:val="auto"/>
          <w:kern w:val="0"/>
          <w:szCs w:val="21"/>
          <w:highlight w:val="none"/>
        </w:rPr>
        <w:t>共</w:t>
      </w:r>
      <w:r>
        <w:rPr>
          <w:rFonts w:hint="eastAsia" w:ascii="宋体" w:hAnsi="宋体" w:cs="宋体"/>
          <w:color w:val="auto"/>
          <w:spacing w:val="-2"/>
          <w:kern w:val="0"/>
          <w:szCs w:val="21"/>
          <w:highlight w:val="none"/>
        </w:rPr>
        <w:t>同</w:t>
      </w:r>
      <w:r>
        <w:rPr>
          <w:rFonts w:hint="eastAsia" w:ascii="宋体" w:hAnsi="宋体" w:cs="宋体"/>
          <w:color w:val="auto"/>
          <w:kern w:val="0"/>
          <w:szCs w:val="21"/>
          <w:highlight w:val="none"/>
        </w:rPr>
        <w:t>与</w:t>
      </w:r>
      <w:r>
        <w:rPr>
          <w:rFonts w:hint="eastAsia" w:ascii="宋体" w:hAnsi="宋体" w:cs="宋体"/>
          <w:color w:val="auto"/>
          <w:spacing w:val="-2"/>
          <w:kern w:val="0"/>
          <w:szCs w:val="21"/>
          <w:highlight w:val="none"/>
        </w:rPr>
        <w:t>招</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人</w:t>
      </w:r>
      <w:r>
        <w:rPr>
          <w:rFonts w:hint="eastAsia" w:ascii="宋体" w:hAnsi="宋体" w:cs="宋体"/>
          <w:color w:val="auto"/>
          <w:kern w:val="0"/>
          <w:szCs w:val="21"/>
          <w:highlight w:val="none"/>
        </w:rPr>
        <w:t>签订</w:t>
      </w:r>
      <w:r>
        <w:rPr>
          <w:rFonts w:hint="eastAsia" w:ascii="宋体" w:hAnsi="宋体" w:cs="宋体"/>
          <w:color w:val="auto"/>
          <w:spacing w:val="-2"/>
          <w:kern w:val="0"/>
          <w:szCs w:val="21"/>
          <w:highlight w:val="none"/>
        </w:rPr>
        <w:t>合</w:t>
      </w:r>
      <w:r>
        <w:rPr>
          <w:rFonts w:hint="eastAsia" w:ascii="宋体" w:hAnsi="宋体" w:cs="宋体"/>
          <w:color w:val="auto"/>
          <w:kern w:val="0"/>
          <w:szCs w:val="21"/>
          <w:highlight w:val="none"/>
        </w:rPr>
        <w:t>同</w:t>
      </w:r>
      <w:r>
        <w:rPr>
          <w:rFonts w:hint="eastAsia" w:ascii="宋体" w:hAnsi="宋体" w:cs="宋体"/>
          <w:color w:val="auto"/>
          <w:spacing w:val="-14"/>
          <w:kern w:val="0"/>
          <w:szCs w:val="21"/>
          <w:highlight w:val="none"/>
          <w:lang w:eastAsia="zh-CN"/>
        </w:rPr>
        <w:t>，</w:t>
      </w:r>
      <w:r>
        <w:rPr>
          <w:rFonts w:hint="eastAsia" w:ascii="宋体" w:hAnsi="宋体" w:cs="宋体"/>
          <w:color w:val="auto"/>
          <w:kern w:val="0"/>
          <w:szCs w:val="21"/>
          <w:highlight w:val="none"/>
        </w:rPr>
        <w:t>就</w:t>
      </w:r>
      <w:r>
        <w:rPr>
          <w:rFonts w:hint="eastAsia" w:ascii="宋体" w:hAnsi="宋体" w:cs="宋体"/>
          <w:color w:val="auto"/>
          <w:spacing w:val="-2"/>
          <w:kern w:val="0"/>
          <w:szCs w:val="21"/>
          <w:highlight w:val="none"/>
        </w:rPr>
        <w:t>中</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项</w:t>
      </w:r>
      <w:r>
        <w:rPr>
          <w:rFonts w:hint="eastAsia" w:ascii="宋体" w:hAnsi="宋体" w:cs="宋体"/>
          <w:color w:val="auto"/>
          <w:kern w:val="0"/>
          <w:szCs w:val="21"/>
          <w:highlight w:val="none"/>
        </w:rPr>
        <w:t>目</w:t>
      </w:r>
      <w:r>
        <w:rPr>
          <w:rFonts w:hint="eastAsia" w:ascii="宋体" w:hAnsi="宋体" w:cs="宋体"/>
          <w:color w:val="auto"/>
          <w:spacing w:val="-2"/>
          <w:kern w:val="0"/>
          <w:szCs w:val="21"/>
          <w:highlight w:val="none"/>
        </w:rPr>
        <w:t>向</w:t>
      </w:r>
      <w:r>
        <w:rPr>
          <w:rFonts w:hint="eastAsia" w:ascii="宋体" w:hAnsi="宋体" w:cs="宋体"/>
          <w:color w:val="auto"/>
          <w:kern w:val="0"/>
          <w:szCs w:val="21"/>
          <w:highlight w:val="none"/>
        </w:rPr>
        <w:t>招标</w:t>
      </w:r>
      <w:r>
        <w:rPr>
          <w:rFonts w:hint="eastAsia" w:ascii="宋体" w:hAnsi="宋体" w:cs="宋体"/>
          <w:color w:val="auto"/>
          <w:spacing w:val="-2"/>
          <w:kern w:val="0"/>
          <w:szCs w:val="21"/>
          <w:highlight w:val="none"/>
        </w:rPr>
        <w:t>人</w:t>
      </w:r>
      <w:r>
        <w:rPr>
          <w:rFonts w:hint="eastAsia" w:ascii="宋体" w:hAnsi="宋体" w:cs="宋体"/>
          <w:color w:val="auto"/>
          <w:kern w:val="0"/>
          <w:szCs w:val="21"/>
          <w:highlight w:val="none"/>
        </w:rPr>
        <w:t>承</w:t>
      </w:r>
      <w:r>
        <w:rPr>
          <w:rFonts w:hint="eastAsia" w:ascii="宋体" w:hAnsi="宋体" w:cs="宋体"/>
          <w:color w:val="auto"/>
          <w:spacing w:val="-2"/>
          <w:kern w:val="0"/>
          <w:szCs w:val="21"/>
          <w:highlight w:val="none"/>
        </w:rPr>
        <w:t>担</w:t>
      </w:r>
      <w:r>
        <w:rPr>
          <w:rFonts w:hint="eastAsia" w:ascii="宋体" w:hAnsi="宋体" w:cs="宋体"/>
          <w:color w:val="auto"/>
          <w:kern w:val="0"/>
          <w:szCs w:val="21"/>
          <w:highlight w:val="none"/>
        </w:rPr>
        <w:t>连带责任。</w:t>
      </w:r>
    </w:p>
    <w:p w14:paraId="0BF51360">
      <w:pPr>
        <w:tabs>
          <w:tab w:val="left" w:pos="2127"/>
        </w:tabs>
        <w:kinsoku/>
        <w:overflowPunct/>
        <w:bidi w:val="0"/>
        <w:spacing w:line="360" w:lineRule="auto"/>
        <w:ind w:firstLine="420" w:firstLineChars="200"/>
        <w:textAlignment w:val="auto"/>
        <w:rPr>
          <w:rFonts w:ascii="宋体" w:hAnsi="宋体"/>
          <w:color w:val="auto"/>
          <w:highlight w:val="none"/>
        </w:rPr>
      </w:pPr>
    </w:p>
    <w:p w14:paraId="2CEF39B5">
      <w:pPr>
        <w:pStyle w:val="4"/>
        <w:tabs>
          <w:tab w:val="left" w:pos="2127"/>
        </w:tabs>
        <w:kinsoku/>
        <w:overflowPunct/>
        <w:bidi w:val="0"/>
        <w:spacing w:before="0" w:after="0" w:line="360" w:lineRule="auto"/>
        <w:textAlignment w:val="auto"/>
        <w:rPr>
          <w:rFonts w:ascii="宋体" w:hAnsi="宋体" w:eastAsia="宋体"/>
          <w:color w:val="auto"/>
          <w:sz w:val="24"/>
          <w:szCs w:val="24"/>
          <w:highlight w:val="none"/>
        </w:rPr>
      </w:pPr>
      <w:bookmarkStart w:id="1670" w:name="_Toc22477"/>
      <w:bookmarkStart w:id="1671" w:name="_Toc29832"/>
      <w:bookmarkStart w:id="1672" w:name="_Toc28294"/>
      <w:bookmarkStart w:id="1673" w:name="_Toc12616"/>
      <w:bookmarkStart w:id="1674" w:name="_Toc21866"/>
      <w:bookmarkStart w:id="1675" w:name="_Toc28984"/>
      <w:bookmarkStart w:id="1676" w:name="_Toc10163"/>
      <w:bookmarkStart w:id="1677" w:name="_Toc17255"/>
      <w:bookmarkStart w:id="1678" w:name="_Toc24177"/>
      <w:bookmarkStart w:id="1679" w:name="_Toc25304"/>
      <w:bookmarkStart w:id="1680" w:name="_Toc16959"/>
      <w:bookmarkStart w:id="1681" w:name="_Toc30406"/>
      <w:bookmarkStart w:id="1682" w:name="_Toc19308"/>
      <w:bookmarkStart w:id="1683" w:name="_Toc11707"/>
      <w:bookmarkStart w:id="1684" w:name="_Toc18932"/>
      <w:bookmarkStart w:id="1685" w:name="_Toc19424"/>
      <w:bookmarkStart w:id="1686" w:name="_Toc14323"/>
      <w:r>
        <w:rPr>
          <w:rFonts w:hint="eastAsia" w:ascii="宋体" w:hAnsi="宋体" w:eastAsia="宋体"/>
          <w:color w:val="auto"/>
          <w:sz w:val="24"/>
          <w:szCs w:val="24"/>
          <w:highlight w:val="none"/>
        </w:rPr>
        <w:t>8. 重新招标和不再招标</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14:paraId="140D4BB6">
      <w:pPr>
        <w:pStyle w:val="23"/>
        <w:tabs>
          <w:tab w:val="left" w:pos="2127"/>
        </w:tabs>
        <w:kinsoku/>
        <w:overflowPunct/>
        <w:bidi w:val="0"/>
        <w:spacing w:line="360" w:lineRule="auto"/>
        <w:textAlignment w:val="auto"/>
        <w:outlineLvl w:val="2"/>
        <w:rPr>
          <w:rFonts w:hAnsi="宋体"/>
          <w:b/>
          <w:color w:val="auto"/>
          <w:highlight w:val="none"/>
        </w:rPr>
      </w:pPr>
      <w:bookmarkStart w:id="1687" w:name="_Toc482803110"/>
      <w:bookmarkStart w:id="1688" w:name="_Toc32526"/>
      <w:bookmarkStart w:id="1689" w:name="_Toc32501"/>
      <w:bookmarkStart w:id="1690" w:name="_Toc29875"/>
      <w:bookmarkStart w:id="1691" w:name="_Toc5609"/>
      <w:bookmarkStart w:id="1692" w:name="_Toc6242"/>
      <w:bookmarkStart w:id="1693" w:name="_Toc427"/>
      <w:bookmarkStart w:id="1694" w:name="_Toc3921"/>
      <w:bookmarkStart w:id="1695" w:name="_Toc25235"/>
      <w:bookmarkStart w:id="1696" w:name="_Toc4663"/>
      <w:bookmarkStart w:id="1697" w:name="_Toc10359"/>
      <w:bookmarkStart w:id="1698" w:name="_Toc5099"/>
      <w:bookmarkStart w:id="1699" w:name="_Toc25045"/>
      <w:bookmarkStart w:id="1700" w:name="_Toc882"/>
      <w:bookmarkStart w:id="1701" w:name="_Toc15353"/>
      <w:bookmarkStart w:id="1702" w:name="_Toc17362"/>
      <w:bookmarkStart w:id="1703" w:name="_Toc22789"/>
      <w:bookmarkStart w:id="1704" w:name="_Toc29665"/>
      <w:bookmarkStart w:id="1705" w:name="_Toc30922"/>
      <w:bookmarkStart w:id="1706" w:name="_Toc25686"/>
      <w:bookmarkStart w:id="1707" w:name="_Toc16341"/>
      <w:bookmarkStart w:id="1708" w:name="_Toc18096"/>
      <w:bookmarkStart w:id="1709" w:name="_Toc8050"/>
      <w:bookmarkStart w:id="1710" w:name="_Toc27975"/>
      <w:bookmarkStart w:id="1711" w:name="_Toc484792223"/>
      <w:bookmarkStart w:id="1712" w:name="_Toc18489"/>
      <w:bookmarkStart w:id="1713" w:name="_Toc21297"/>
      <w:bookmarkStart w:id="1714" w:name="_Toc3464"/>
      <w:bookmarkStart w:id="1715" w:name="_Toc26653"/>
      <w:bookmarkStart w:id="1716" w:name="_Toc13868"/>
      <w:bookmarkStart w:id="1717" w:name="_Toc804"/>
      <w:bookmarkStart w:id="1718" w:name="_Toc24617"/>
      <w:bookmarkStart w:id="1719" w:name="_Toc6039"/>
      <w:bookmarkStart w:id="1720" w:name="_Toc20985"/>
      <w:bookmarkStart w:id="1721" w:name="_Toc17238"/>
      <w:bookmarkStart w:id="1722" w:name="_Toc25536"/>
      <w:bookmarkStart w:id="1723" w:name="_Toc11502"/>
      <w:bookmarkStart w:id="1724" w:name="_Toc22025"/>
      <w:bookmarkStart w:id="1725" w:name="_Toc26073"/>
      <w:bookmarkStart w:id="1726" w:name="_Toc28495"/>
      <w:bookmarkStart w:id="1727" w:name="_Toc31943"/>
      <w:bookmarkStart w:id="1728" w:name="_Toc6877"/>
      <w:bookmarkStart w:id="1729" w:name="_Toc25106"/>
      <w:bookmarkStart w:id="1730" w:name="_Toc23476"/>
      <w:bookmarkStart w:id="1731" w:name="_Toc11419"/>
      <w:bookmarkStart w:id="1732" w:name="_Toc3154"/>
      <w:bookmarkStart w:id="1733" w:name="_Toc24326"/>
      <w:bookmarkStart w:id="1734" w:name="_Toc21240"/>
      <w:r>
        <w:rPr>
          <w:rFonts w:hint="eastAsia" w:hAnsi="宋体"/>
          <w:b/>
          <w:color w:val="auto"/>
          <w:highlight w:val="none"/>
        </w:rPr>
        <w:t>8.1 重新招标</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14:paraId="59012B9C">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有下列情形之一的，招标人将重新招标：</w:t>
      </w:r>
    </w:p>
    <w:p w14:paraId="069BDCBA">
      <w:pPr>
        <w:keepNext w:val="0"/>
        <w:keepLines w:val="0"/>
        <w:pageBreakBefore w:val="0"/>
        <w:widowControl w:val="0"/>
        <w:tabs>
          <w:tab w:val="left" w:pos="2127"/>
        </w:tabs>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（1）递交</w:t>
      </w:r>
      <w:r>
        <w:rPr>
          <w:rFonts w:hint="eastAsia" w:ascii="宋体" w:hAnsi="宋体" w:cs="宋体"/>
          <w:color w:val="auto"/>
          <w:highlight w:val="none"/>
          <w:lang w:val="en-US" w:eastAsia="zh-CN"/>
        </w:rPr>
        <w:t>投标</w:t>
      </w:r>
      <w:r>
        <w:rPr>
          <w:rFonts w:hint="eastAsia" w:ascii="宋体" w:hAnsi="宋体" w:cs="宋体"/>
          <w:color w:val="auto"/>
          <w:highlight w:val="none"/>
          <w:lang w:eastAsia="zh-CN"/>
        </w:rPr>
        <w:t>文件</w:t>
      </w:r>
      <w:r>
        <w:rPr>
          <w:rFonts w:hint="eastAsia" w:ascii="宋体" w:hAnsi="宋体" w:eastAsia="宋体" w:cs="宋体"/>
          <w:color w:val="auto"/>
          <w:highlight w:val="none"/>
        </w:rPr>
        <w:t>截止时间止，</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少于</w:t>
      </w:r>
      <w:r>
        <w:rPr>
          <w:rFonts w:hint="eastAsia" w:ascii="宋体" w:hAnsi="宋体" w:eastAsia="宋体" w:cs="宋体"/>
          <w:color w:val="auto"/>
          <w:highlight w:val="none"/>
          <w:lang w:val="en-US" w:eastAsia="zh-CN"/>
        </w:rPr>
        <w:t>投标人</w:t>
      </w:r>
      <w:r>
        <w:rPr>
          <w:rFonts w:hint="eastAsia" w:ascii="宋体" w:hAnsi="宋体" w:cs="宋体"/>
          <w:color w:val="auto"/>
          <w:highlight w:val="none"/>
          <w:lang w:val="en-US" w:eastAsia="zh-CN"/>
        </w:rPr>
        <w:t>须知前附表</w:t>
      </w:r>
      <w:r>
        <w:rPr>
          <w:rFonts w:hint="eastAsia" w:ascii="宋体" w:hAnsi="宋体" w:eastAsia="宋体" w:cs="宋体"/>
          <w:color w:val="auto"/>
          <w:highlight w:val="none"/>
        </w:rPr>
        <w:t>“</w:t>
      </w:r>
      <w:r>
        <w:rPr>
          <w:rFonts w:hint="eastAsia" w:ascii="宋体" w:hAnsi="宋体" w:cs="宋体"/>
          <w:color w:val="auto"/>
          <w:kern w:val="0"/>
          <w:szCs w:val="21"/>
          <w:highlight w:val="none"/>
        </w:rPr>
        <w:t>递交投标文件的最少</w:t>
      </w:r>
      <w:r>
        <w:rPr>
          <w:rFonts w:hint="eastAsia" w:hAnsi="宋体" w:cs="宋体"/>
          <w:color w:val="auto"/>
          <w:kern w:val="0"/>
          <w:szCs w:val="21"/>
          <w:highlight w:val="none"/>
        </w:rPr>
        <w:t>投标人</w:t>
      </w:r>
      <w:r>
        <w:rPr>
          <w:rFonts w:hint="eastAsia" w:ascii="宋体" w:hAnsi="宋体" w:cs="宋体"/>
          <w:color w:val="auto"/>
          <w:kern w:val="0"/>
          <w:szCs w:val="21"/>
          <w:highlight w:val="none"/>
        </w:rPr>
        <w:t>数量</w:t>
      </w:r>
      <w:r>
        <w:rPr>
          <w:rFonts w:hint="eastAsia" w:ascii="宋体" w:hAnsi="宋体" w:eastAsia="宋体" w:cs="宋体"/>
          <w:color w:val="auto"/>
          <w:highlight w:val="none"/>
        </w:rPr>
        <w:t>”约定的；</w:t>
      </w:r>
    </w:p>
    <w:p w14:paraId="5330852D">
      <w:pPr>
        <w:keepNext w:val="0"/>
        <w:keepLines w:val="0"/>
        <w:pageBreakBefore w:val="0"/>
        <w:widowControl w:val="0"/>
        <w:tabs>
          <w:tab w:val="left" w:pos="2127"/>
        </w:tabs>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（2）经</w:t>
      </w:r>
      <w:r>
        <w:rPr>
          <w:rFonts w:hint="eastAsia" w:ascii="宋体" w:hAnsi="宋体"/>
          <w:color w:val="auto"/>
          <w:highlight w:val="none"/>
        </w:rPr>
        <w:t>评标委员会</w:t>
      </w:r>
      <w:r>
        <w:rPr>
          <w:rFonts w:hint="eastAsia" w:ascii="宋体" w:hAnsi="宋体" w:eastAsia="宋体" w:cs="宋体"/>
          <w:color w:val="auto"/>
          <w:highlight w:val="none"/>
        </w:rPr>
        <w:t>评审后否决所有</w:t>
      </w:r>
      <w:r>
        <w:rPr>
          <w:rFonts w:hint="eastAsia" w:ascii="宋体" w:hAnsi="宋体" w:eastAsia="宋体" w:cs="宋体"/>
          <w:color w:val="auto"/>
          <w:highlight w:val="none"/>
          <w:lang w:val="en-US" w:eastAsia="zh-CN"/>
        </w:rPr>
        <w:t>投标人的投标文件</w:t>
      </w:r>
      <w:r>
        <w:rPr>
          <w:rFonts w:hint="eastAsia" w:ascii="宋体" w:hAnsi="宋体" w:eastAsia="宋体" w:cs="宋体"/>
          <w:color w:val="auto"/>
          <w:highlight w:val="none"/>
        </w:rPr>
        <w:t>的</w:t>
      </w:r>
      <w:r>
        <w:rPr>
          <w:rFonts w:hint="eastAsia" w:ascii="宋体" w:hAnsi="宋体" w:eastAsia="宋体" w:cs="宋体"/>
          <w:color w:val="auto"/>
          <w:highlight w:val="none"/>
          <w:lang w:eastAsia="zh-CN"/>
        </w:rPr>
        <w:t>。</w:t>
      </w:r>
    </w:p>
    <w:p w14:paraId="4B26A5E4">
      <w:pPr>
        <w:tabs>
          <w:tab w:val="left" w:pos="2127"/>
        </w:tabs>
        <w:kinsoku/>
        <w:overflowPunct/>
        <w:bidi w:val="0"/>
        <w:spacing w:line="360" w:lineRule="auto"/>
        <w:ind w:firstLine="359" w:firstLineChars="171"/>
        <w:textAlignment w:val="auto"/>
        <w:rPr>
          <w:rFonts w:ascii="宋体" w:hAnsi="宋体"/>
          <w:color w:val="auto"/>
          <w:highlight w:val="none"/>
        </w:rPr>
      </w:pPr>
      <w:r>
        <w:rPr>
          <w:rFonts w:hint="eastAsia" w:ascii="宋体" w:hAnsi="宋体" w:eastAsia="宋体" w:cs="宋体"/>
          <w:bCs/>
          <w:color w:val="auto"/>
          <w:highlight w:val="none"/>
          <w:lang w:eastAsia="zh-CN"/>
        </w:rPr>
        <w:t>当获取</w:t>
      </w:r>
      <w:r>
        <w:rPr>
          <w:rFonts w:hint="eastAsia" w:ascii="宋体" w:hAnsi="宋体" w:eastAsia="宋体" w:cs="宋体"/>
          <w:bCs/>
          <w:color w:val="auto"/>
          <w:highlight w:val="none"/>
          <w:lang w:val="en-US" w:eastAsia="zh-CN"/>
        </w:rPr>
        <w:t>招标</w:t>
      </w:r>
      <w:r>
        <w:rPr>
          <w:rFonts w:hint="eastAsia" w:ascii="宋体" w:hAnsi="宋体" w:eastAsia="宋体" w:cs="宋体"/>
          <w:bCs/>
          <w:color w:val="auto"/>
          <w:highlight w:val="none"/>
          <w:lang w:eastAsia="zh-CN"/>
        </w:rPr>
        <w:t>文件的</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少于</w:t>
      </w:r>
      <w:r>
        <w:rPr>
          <w:rFonts w:hint="eastAsia" w:ascii="宋体" w:hAnsi="宋体" w:eastAsia="宋体" w:cs="宋体"/>
          <w:color w:val="auto"/>
          <w:highlight w:val="none"/>
          <w:lang w:val="en-US" w:eastAsia="zh-CN"/>
        </w:rPr>
        <w:t>投标人</w:t>
      </w:r>
      <w:r>
        <w:rPr>
          <w:rFonts w:hint="eastAsia" w:ascii="宋体" w:hAnsi="宋体" w:cs="宋体"/>
          <w:color w:val="auto"/>
          <w:highlight w:val="none"/>
          <w:lang w:val="en-US" w:eastAsia="zh-CN"/>
        </w:rPr>
        <w:t>须知前附表</w:t>
      </w:r>
      <w:r>
        <w:rPr>
          <w:rFonts w:hint="eastAsia" w:ascii="宋体" w:hAnsi="宋体" w:eastAsia="宋体" w:cs="宋体"/>
          <w:color w:val="auto"/>
          <w:highlight w:val="none"/>
        </w:rPr>
        <w:t>“</w:t>
      </w:r>
      <w:r>
        <w:rPr>
          <w:rFonts w:hint="eastAsia" w:ascii="宋体" w:hAnsi="宋体" w:cs="宋体"/>
          <w:color w:val="auto"/>
          <w:kern w:val="0"/>
          <w:szCs w:val="21"/>
          <w:highlight w:val="none"/>
        </w:rPr>
        <w:t>递交投标文件的最少</w:t>
      </w:r>
      <w:r>
        <w:rPr>
          <w:rFonts w:hint="eastAsia" w:hAnsi="宋体" w:cs="宋体"/>
          <w:color w:val="auto"/>
          <w:kern w:val="0"/>
          <w:szCs w:val="21"/>
          <w:highlight w:val="none"/>
        </w:rPr>
        <w:t>投标人</w:t>
      </w:r>
      <w:r>
        <w:rPr>
          <w:rFonts w:hint="eastAsia" w:ascii="宋体" w:hAnsi="宋体" w:cs="宋体"/>
          <w:color w:val="auto"/>
          <w:kern w:val="0"/>
          <w:szCs w:val="21"/>
          <w:highlight w:val="none"/>
        </w:rPr>
        <w:t>数量</w:t>
      </w:r>
      <w:r>
        <w:rPr>
          <w:rFonts w:hint="eastAsia" w:ascii="宋体" w:hAnsi="宋体" w:eastAsia="宋体" w:cs="宋体"/>
          <w:color w:val="auto"/>
          <w:highlight w:val="none"/>
        </w:rPr>
        <w:t>”约定</w:t>
      </w:r>
      <w:r>
        <w:rPr>
          <w:rFonts w:hint="eastAsia" w:ascii="宋体" w:hAnsi="宋体" w:eastAsia="宋体" w:cs="宋体"/>
          <w:color w:val="auto"/>
          <w:highlight w:val="none"/>
          <w:lang w:eastAsia="zh-CN"/>
        </w:rPr>
        <w:t>时，</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lang w:eastAsia="zh-CN"/>
        </w:rPr>
        <w:t>人可选择延长</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lang w:eastAsia="zh-CN"/>
        </w:rPr>
        <w:t>文件的获取时间或重新</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lang w:eastAsia="zh-CN"/>
        </w:rPr>
        <w:t>。</w:t>
      </w:r>
    </w:p>
    <w:p w14:paraId="4A732B7F">
      <w:pPr>
        <w:pStyle w:val="23"/>
        <w:tabs>
          <w:tab w:val="left" w:pos="2127"/>
        </w:tabs>
        <w:kinsoku/>
        <w:overflowPunct/>
        <w:bidi w:val="0"/>
        <w:spacing w:line="360" w:lineRule="auto"/>
        <w:textAlignment w:val="auto"/>
        <w:outlineLvl w:val="2"/>
        <w:rPr>
          <w:rFonts w:hAnsi="宋体"/>
          <w:b/>
          <w:color w:val="auto"/>
          <w:highlight w:val="none"/>
        </w:rPr>
      </w:pPr>
      <w:bookmarkStart w:id="1735" w:name="_Toc25183"/>
      <w:bookmarkStart w:id="1736" w:name="_Toc9677"/>
      <w:bookmarkStart w:id="1737" w:name="_Toc843"/>
      <w:bookmarkStart w:id="1738" w:name="_Toc647"/>
      <w:bookmarkStart w:id="1739" w:name="_Toc26410"/>
      <w:bookmarkStart w:id="1740" w:name="_Toc32436"/>
      <w:bookmarkStart w:id="1741" w:name="_Toc18703"/>
      <w:bookmarkStart w:id="1742" w:name="_Toc29663"/>
      <w:bookmarkStart w:id="1743" w:name="_Toc1465"/>
      <w:bookmarkStart w:id="1744" w:name="_Toc30513"/>
      <w:bookmarkStart w:id="1745" w:name="_Toc4855"/>
      <w:bookmarkStart w:id="1746" w:name="_Toc7768"/>
      <w:bookmarkStart w:id="1747" w:name="_Toc13712"/>
      <w:bookmarkStart w:id="1748" w:name="_Toc27391"/>
      <w:bookmarkStart w:id="1749" w:name="_Toc8763"/>
      <w:bookmarkStart w:id="1750" w:name="_Toc11313"/>
      <w:bookmarkStart w:id="1751" w:name="_Toc12301"/>
      <w:bookmarkStart w:id="1752" w:name="_Toc4173"/>
      <w:bookmarkStart w:id="1753" w:name="_Toc19002"/>
      <w:bookmarkStart w:id="1754" w:name="_Toc22344"/>
      <w:bookmarkStart w:id="1755" w:name="_Toc16469"/>
      <w:bookmarkStart w:id="1756" w:name="_Toc6439"/>
      <w:bookmarkStart w:id="1757" w:name="_Toc31907"/>
      <w:bookmarkStart w:id="1758" w:name="_Toc25834"/>
      <w:bookmarkStart w:id="1759" w:name="_Toc484792224"/>
      <w:bookmarkStart w:id="1760" w:name="_Toc26089"/>
      <w:bookmarkStart w:id="1761" w:name="_Toc27997"/>
      <w:bookmarkStart w:id="1762" w:name="_Toc24442"/>
      <w:bookmarkStart w:id="1763" w:name="_Toc31238"/>
      <w:bookmarkStart w:id="1764" w:name="_Toc14545"/>
      <w:bookmarkStart w:id="1765" w:name="_Toc17212"/>
      <w:bookmarkStart w:id="1766" w:name="_Toc23775"/>
      <w:bookmarkStart w:id="1767" w:name="_Toc2598"/>
      <w:bookmarkStart w:id="1768" w:name="_Toc8951"/>
      <w:bookmarkStart w:id="1769" w:name="_Toc31611"/>
      <w:bookmarkStart w:id="1770" w:name="_Toc1030"/>
      <w:bookmarkStart w:id="1771" w:name="_Toc21050"/>
      <w:bookmarkStart w:id="1772" w:name="_Toc2566"/>
      <w:bookmarkStart w:id="1773" w:name="_Toc482803111"/>
      <w:bookmarkStart w:id="1774" w:name="_Toc26084"/>
      <w:bookmarkStart w:id="1775" w:name="_Toc29182"/>
      <w:bookmarkStart w:id="1776" w:name="_Toc13732"/>
      <w:bookmarkStart w:id="1777" w:name="_Toc24619"/>
      <w:bookmarkStart w:id="1778" w:name="_Toc16395"/>
      <w:bookmarkStart w:id="1779" w:name="_Toc27853"/>
      <w:bookmarkStart w:id="1780" w:name="_Toc27540"/>
      <w:bookmarkStart w:id="1781" w:name="_Toc16361"/>
      <w:bookmarkStart w:id="1782" w:name="_Toc12938"/>
      <w:r>
        <w:rPr>
          <w:rFonts w:hint="eastAsia" w:hAnsi="宋体"/>
          <w:b/>
          <w:color w:val="auto"/>
          <w:highlight w:val="none"/>
        </w:rPr>
        <w:t>8.2 不再招标</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p>
    <w:p w14:paraId="63766409">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eastAsia="宋体" w:cs="宋体"/>
          <w:color w:val="auto"/>
          <w:highlight w:val="none"/>
        </w:rPr>
        <w:t>重新</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rPr>
        <w:t>后递交</w:t>
      </w:r>
      <w:r>
        <w:rPr>
          <w:rFonts w:hint="eastAsia" w:ascii="宋体" w:hAnsi="宋体" w:cs="宋体"/>
          <w:color w:val="auto"/>
          <w:highlight w:val="none"/>
          <w:lang w:val="en-US" w:eastAsia="zh-CN"/>
        </w:rPr>
        <w:t>投标</w:t>
      </w:r>
      <w:r>
        <w:rPr>
          <w:rFonts w:hint="eastAsia" w:ascii="宋体" w:hAnsi="宋体" w:cs="宋体"/>
          <w:color w:val="auto"/>
          <w:highlight w:val="none"/>
          <w:lang w:eastAsia="zh-CN"/>
        </w:rPr>
        <w:t>文件</w:t>
      </w:r>
      <w:r>
        <w:rPr>
          <w:rFonts w:hint="eastAsia" w:ascii="宋体" w:hAnsi="宋体" w:eastAsia="宋体" w:cs="宋体"/>
          <w:color w:val="auto"/>
          <w:highlight w:val="none"/>
          <w:lang w:eastAsia="zh-CN"/>
        </w:rPr>
        <w:t>的</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仍少于</w:t>
      </w:r>
      <w:r>
        <w:rPr>
          <w:rFonts w:hint="eastAsia" w:ascii="宋体" w:hAnsi="宋体" w:eastAsia="宋体" w:cs="宋体"/>
          <w:color w:val="auto"/>
          <w:highlight w:val="none"/>
          <w:lang w:val="en-US" w:eastAsia="zh-CN"/>
        </w:rPr>
        <w:t>投标人</w:t>
      </w:r>
      <w:r>
        <w:rPr>
          <w:rFonts w:hint="eastAsia" w:ascii="宋体" w:hAnsi="宋体" w:cs="宋体"/>
          <w:color w:val="auto"/>
          <w:highlight w:val="none"/>
          <w:lang w:val="en-US" w:eastAsia="zh-CN"/>
        </w:rPr>
        <w:t>须知前附表</w:t>
      </w:r>
      <w:r>
        <w:rPr>
          <w:rFonts w:hint="eastAsia" w:ascii="宋体" w:hAnsi="宋体" w:eastAsia="宋体" w:cs="宋体"/>
          <w:color w:val="auto"/>
          <w:highlight w:val="none"/>
        </w:rPr>
        <w:t>“</w:t>
      </w:r>
      <w:r>
        <w:rPr>
          <w:rFonts w:hint="eastAsia" w:ascii="宋体" w:hAnsi="宋体" w:cs="宋体"/>
          <w:color w:val="auto"/>
          <w:kern w:val="0"/>
          <w:szCs w:val="21"/>
          <w:highlight w:val="none"/>
        </w:rPr>
        <w:t>递交投标文件的最少</w:t>
      </w:r>
      <w:r>
        <w:rPr>
          <w:rFonts w:hint="eastAsia" w:hAnsi="宋体" w:cs="宋体"/>
          <w:color w:val="auto"/>
          <w:kern w:val="0"/>
          <w:szCs w:val="21"/>
          <w:highlight w:val="none"/>
        </w:rPr>
        <w:t>投标人</w:t>
      </w:r>
      <w:r>
        <w:rPr>
          <w:rFonts w:hint="eastAsia" w:ascii="宋体" w:hAnsi="宋体" w:cs="宋体"/>
          <w:color w:val="auto"/>
          <w:kern w:val="0"/>
          <w:szCs w:val="21"/>
          <w:highlight w:val="none"/>
        </w:rPr>
        <w:t>数量</w:t>
      </w:r>
      <w:r>
        <w:rPr>
          <w:rFonts w:hint="eastAsia" w:ascii="宋体" w:hAnsi="宋体" w:eastAsia="宋体" w:cs="宋体"/>
          <w:color w:val="auto"/>
          <w:highlight w:val="none"/>
        </w:rPr>
        <w:t>”约定或者所有</w:t>
      </w:r>
      <w:r>
        <w:rPr>
          <w:rFonts w:hint="eastAsia" w:ascii="宋体" w:hAnsi="宋体" w:eastAsia="宋体" w:cs="宋体"/>
          <w:color w:val="auto"/>
          <w:highlight w:val="none"/>
          <w:lang w:val="en-US" w:eastAsia="zh-CN"/>
        </w:rPr>
        <w:t>投标人的投标文件</w:t>
      </w:r>
      <w:r>
        <w:rPr>
          <w:rFonts w:hint="eastAsia" w:ascii="宋体" w:hAnsi="宋体" w:eastAsia="宋体" w:cs="宋体"/>
          <w:color w:val="auto"/>
          <w:highlight w:val="none"/>
        </w:rPr>
        <w:t>被否决</w:t>
      </w:r>
      <w:r>
        <w:rPr>
          <w:rFonts w:hint="eastAsia" w:ascii="宋体" w:hAnsi="宋体" w:eastAsia="宋体" w:cs="宋体"/>
          <w:color w:val="auto"/>
          <w:highlight w:val="none"/>
          <w:lang w:eastAsia="zh-CN"/>
        </w:rPr>
        <w:t>或者</w:t>
      </w:r>
      <w:r>
        <w:rPr>
          <w:rFonts w:hint="eastAsia" w:ascii="宋体" w:hAnsi="宋体" w:eastAsia="宋体" w:cs="宋体"/>
          <w:bCs/>
          <w:color w:val="auto"/>
          <w:highlight w:val="none"/>
          <w:lang w:eastAsia="zh-CN"/>
        </w:rPr>
        <w:t>获取</w:t>
      </w:r>
      <w:r>
        <w:rPr>
          <w:rFonts w:hint="eastAsia" w:ascii="宋体" w:hAnsi="宋体" w:eastAsia="宋体" w:cs="宋体"/>
          <w:bCs/>
          <w:color w:val="auto"/>
          <w:highlight w:val="none"/>
          <w:lang w:val="en-US" w:eastAsia="zh-CN"/>
        </w:rPr>
        <w:t>招标</w:t>
      </w:r>
      <w:r>
        <w:rPr>
          <w:rFonts w:hint="eastAsia" w:ascii="宋体" w:hAnsi="宋体" w:eastAsia="宋体" w:cs="宋体"/>
          <w:bCs/>
          <w:color w:val="auto"/>
          <w:highlight w:val="none"/>
          <w:lang w:eastAsia="zh-CN"/>
        </w:rPr>
        <w:t>文件的</w:t>
      </w:r>
      <w:r>
        <w:rPr>
          <w:rFonts w:hint="eastAsia" w:ascii="宋体" w:hAnsi="宋体" w:eastAsia="宋体" w:cs="宋体"/>
          <w:bCs/>
          <w:color w:val="auto"/>
          <w:highlight w:val="none"/>
          <w:lang w:val="en-US" w:eastAsia="zh-CN"/>
        </w:rPr>
        <w:t>投标人</w:t>
      </w:r>
      <w:r>
        <w:rPr>
          <w:rFonts w:hint="eastAsia" w:ascii="宋体" w:hAnsi="宋体" w:eastAsia="宋体" w:cs="宋体"/>
          <w:color w:val="auto"/>
          <w:highlight w:val="none"/>
        </w:rPr>
        <w:t>少于</w:t>
      </w:r>
      <w:r>
        <w:rPr>
          <w:rFonts w:hint="eastAsia" w:ascii="宋体" w:hAnsi="宋体" w:eastAsia="宋体" w:cs="宋体"/>
          <w:bCs/>
          <w:color w:val="auto"/>
          <w:highlight w:val="none"/>
          <w:lang w:val="en-US" w:eastAsia="zh-CN"/>
        </w:rPr>
        <w:t>投标人</w:t>
      </w:r>
      <w:r>
        <w:rPr>
          <w:rFonts w:hint="eastAsia" w:ascii="宋体" w:hAnsi="宋体" w:cs="宋体"/>
          <w:color w:val="auto"/>
          <w:highlight w:val="none"/>
          <w:lang w:val="en-US" w:eastAsia="zh-CN"/>
        </w:rPr>
        <w:t>须知前附表</w:t>
      </w:r>
      <w:r>
        <w:rPr>
          <w:rFonts w:hint="eastAsia" w:ascii="宋体" w:hAnsi="宋体" w:eastAsia="宋体" w:cs="宋体"/>
          <w:color w:val="auto"/>
          <w:highlight w:val="none"/>
        </w:rPr>
        <w:t>“</w:t>
      </w:r>
      <w:r>
        <w:rPr>
          <w:rFonts w:hint="eastAsia" w:ascii="宋体" w:hAnsi="宋体" w:cs="宋体"/>
          <w:color w:val="auto"/>
          <w:kern w:val="0"/>
          <w:szCs w:val="21"/>
          <w:highlight w:val="none"/>
        </w:rPr>
        <w:t>递交投标文件的最少</w:t>
      </w:r>
      <w:r>
        <w:rPr>
          <w:rFonts w:hint="eastAsia" w:hAnsi="宋体" w:cs="宋体"/>
          <w:color w:val="auto"/>
          <w:kern w:val="0"/>
          <w:szCs w:val="21"/>
          <w:highlight w:val="none"/>
        </w:rPr>
        <w:t>投标人</w:t>
      </w:r>
      <w:r>
        <w:rPr>
          <w:rFonts w:hint="eastAsia" w:ascii="宋体" w:hAnsi="宋体" w:cs="宋体"/>
          <w:color w:val="auto"/>
          <w:kern w:val="0"/>
          <w:szCs w:val="21"/>
          <w:highlight w:val="none"/>
        </w:rPr>
        <w:t>数量</w:t>
      </w:r>
      <w:r>
        <w:rPr>
          <w:rFonts w:hint="eastAsia" w:ascii="宋体" w:hAnsi="宋体" w:eastAsia="宋体" w:cs="宋体"/>
          <w:color w:val="auto"/>
          <w:highlight w:val="none"/>
        </w:rPr>
        <w:t>”约定的，经</w:t>
      </w:r>
      <w:r>
        <w:rPr>
          <w:rFonts w:hint="eastAsia" w:ascii="宋体" w:hAnsi="宋体" w:eastAsia="宋体" w:cs="宋体"/>
          <w:color w:val="auto"/>
          <w:highlight w:val="none"/>
          <w:lang w:val="en-US" w:eastAsia="zh-CN"/>
        </w:rPr>
        <w:t>相关</w:t>
      </w:r>
      <w:r>
        <w:rPr>
          <w:rFonts w:hint="eastAsia" w:ascii="宋体" w:hAnsi="宋体" w:eastAsia="宋体" w:cs="宋体"/>
          <w:color w:val="auto"/>
          <w:highlight w:val="none"/>
        </w:rPr>
        <w:t>部门批准后不再进行</w:t>
      </w:r>
      <w:r>
        <w:rPr>
          <w:rFonts w:hint="eastAsia" w:ascii="宋体" w:hAnsi="宋体" w:eastAsia="宋体" w:cs="宋体"/>
          <w:color w:val="auto"/>
          <w:highlight w:val="none"/>
          <w:lang w:val="en-US" w:eastAsia="zh-CN"/>
        </w:rPr>
        <w:t>招标</w:t>
      </w:r>
      <w:r>
        <w:rPr>
          <w:rFonts w:hint="eastAsia" w:ascii="宋体" w:hAnsi="宋体"/>
          <w:color w:val="auto"/>
          <w:highlight w:val="none"/>
        </w:rPr>
        <w:t>。</w:t>
      </w:r>
    </w:p>
    <w:p w14:paraId="1B958D5B">
      <w:pPr>
        <w:pStyle w:val="4"/>
        <w:tabs>
          <w:tab w:val="left" w:pos="2127"/>
        </w:tabs>
        <w:kinsoku/>
        <w:overflowPunct/>
        <w:bidi w:val="0"/>
        <w:spacing w:before="0" w:after="0" w:line="360" w:lineRule="auto"/>
        <w:textAlignment w:val="auto"/>
        <w:rPr>
          <w:rFonts w:ascii="宋体" w:hAnsi="宋体" w:eastAsia="宋体"/>
          <w:color w:val="auto"/>
          <w:sz w:val="24"/>
          <w:szCs w:val="24"/>
          <w:highlight w:val="none"/>
        </w:rPr>
      </w:pPr>
      <w:bookmarkStart w:id="1783" w:name="_Toc1051"/>
      <w:bookmarkStart w:id="1784" w:name="_Toc4814"/>
      <w:bookmarkStart w:id="1785" w:name="_Toc31806"/>
      <w:bookmarkStart w:id="1786" w:name="_Toc15034"/>
      <w:bookmarkStart w:id="1787" w:name="_Toc22879"/>
      <w:bookmarkStart w:id="1788" w:name="_Toc15267"/>
      <w:bookmarkStart w:id="1789" w:name="_Toc16659"/>
      <w:bookmarkStart w:id="1790" w:name="_Toc21086"/>
      <w:bookmarkStart w:id="1791" w:name="_Toc24163"/>
      <w:bookmarkStart w:id="1792" w:name="_Toc15748"/>
      <w:bookmarkStart w:id="1793" w:name="_Toc17717"/>
      <w:bookmarkStart w:id="1794" w:name="_Toc21356"/>
      <w:bookmarkStart w:id="1795" w:name="_Toc16527"/>
      <w:bookmarkStart w:id="1796" w:name="_Toc2738"/>
      <w:bookmarkStart w:id="1797" w:name="_Toc27653"/>
      <w:bookmarkStart w:id="1798" w:name="_Toc23551"/>
      <w:bookmarkStart w:id="1799" w:name="_Toc4616"/>
      <w:r>
        <w:rPr>
          <w:rFonts w:hint="eastAsia" w:ascii="宋体" w:hAnsi="宋体" w:eastAsia="宋体"/>
          <w:color w:val="auto"/>
          <w:sz w:val="24"/>
          <w:szCs w:val="24"/>
          <w:highlight w:val="none"/>
        </w:rPr>
        <w:t>9. 纪律和监督</w:t>
      </w:r>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p>
    <w:p w14:paraId="2E34AE63">
      <w:pPr>
        <w:pStyle w:val="23"/>
        <w:tabs>
          <w:tab w:val="left" w:pos="2127"/>
        </w:tabs>
        <w:kinsoku/>
        <w:overflowPunct/>
        <w:bidi w:val="0"/>
        <w:spacing w:line="360" w:lineRule="auto"/>
        <w:textAlignment w:val="auto"/>
        <w:outlineLvl w:val="2"/>
        <w:rPr>
          <w:rFonts w:hAnsi="宋体"/>
          <w:b/>
          <w:color w:val="auto"/>
          <w:highlight w:val="none"/>
        </w:rPr>
      </w:pPr>
      <w:bookmarkStart w:id="1800" w:name="_Toc1532"/>
      <w:bookmarkStart w:id="1801" w:name="_Toc7666"/>
      <w:bookmarkStart w:id="1802" w:name="_Toc1397"/>
      <w:bookmarkStart w:id="1803" w:name="_Toc4399"/>
      <w:bookmarkStart w:id="1804" w:name="_Toc25313"/>
      <w:bookmarkStart w:id="1805" w:name="_Toc29351"/>
      <w:bookmarkStart w:id="1806" w:name="_Toc23"/>
      <w:bookmarkStart w:id="1807" w:name="_Toc22805"/>
      <w:bookmarkStart w:id="1808" w:name="_Toc18880"/>
      <w:bookmarkStart w:id="1809" w:name="_Toc32248"/>
      <w:bookmarkStart w:id="1810" w:name="_Toc2732"/>
      <w:bookmarkStart w:id="1811" w:name="_Toc16875"/>
      <w:bookmarkStart w:id="1812" w:name="_Toc20517"/>
      <w:bookmarkStart w:id="1813" w:name="_Toc29214"/>
      <w:bookmarkStart w:id="1814" w:name="_Toc3900"/>
      <w:bookmarkStart w:id="1815" w:name="_Toc16214"/>
      <w:bookmarkStart w:id="1816" w:name="_Toc13053"/>
      <w:bookmarkStart w:id="1817" w:name="_Toc14601"/>
      <w:bookmarkStart w:id="1818" w:name="_Toc3936"/>
      <w:bookmarkStart w:id="1819" w:name="_Toc14448"/>
      <w:bookmarkStart w:id="1820" w:name="_Toc8158"/>
      <w:bookmarkStart w:id="1821" w:name="_Toc8794"/>
      <w:bookmarkStart w:id="1822" w:name="_Toc10184"/>
      <w:bookmarkStart w:id="1823" w:name="_Toc26542"/>
      <w:bookmarkStart w:id="1824" w:name="_Toc482803113"/>
      <w:bookmarkStart w:id="1825" w:name="_Toc21796"/>
      <w:bookmarkStart w:id="1826" w:name="_Toc3102"/>
      <w:bookmarkStart w:id="1827" w:name="_Toc12626"/>
      <w:bookmarkStart w:id="1828" w:name="_Toc4910"/>
      <w:bookmarkStart w:id="1829" w:name="_Toc9812"/>
      <w:bookmarkStart w:id="1830" w:name="_Toc6553"/>
      <w:bookmarkStart w:id="1831" w:name="_Toc15283"/>
      <w:bookmarkStart w:id="1832" w:name="_Toc2461"/>
      <w:bookmarkStart w:id="1833" w:name="_Toc4324"/>
      <w:bookmarkStart w:id="1834" w:name="_Toc25048"/>
      <w:bookmarkStart w:id="1835" w:name="_Toc12231"/>
      <w:bookmarkStart w:id="1836" w:name="_Toc18779"/>
      <w:bookmarkStart w:id="1837" w:name="_Toc28763"/>
      <w:bookmarkStart w:id="1838" w:name="_Toc25387"/>
      <w:bookmarkStart w:id="1839" w:name="_Toc18475"/>
      <w:bookmarkStart w:id="1840" w:name="_Toc484792226"/>
      <w:bookmarkStart w:id="1841" w:name="_Toc8967"/>
      <w:bookmarkStart w:id="1842" w:name="_Toc12592"/>
      <w:bookmarkStart w:id="1843" w:name="_Toc5751"/>
      <w:bookmarkStart w:id="1844" w:name="_Toc4053"/>
      <w:bookmarkStart w:id="1845" w:name="_Toc19286"/>
      <w:bookmarkStart w:id="1846" w:name="_Toc2237"/>
      <w:bookmarkStart w:id="1847" w:name="_Toc21482"/>
      <w:r>
        <w:rPr>
          <w:rFonts w:hint="eastAsia" w:hAnsi="宋体"/>
          <w:b/>
          <w:color w:val="auto"/>
          <w:highlight w:val="none"/>
        </w:rPr>
        <w:t>9.1 对招标人的纪律要求</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p>
    <w:p w14:paraId="151E1EFD">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招标人不得利用划分标段限制或排斥潜在投标人，不得泄漏招标投标活动中应当保密的情况和资料，不得与投标人串通损害国家利益、社会公共利益或者他人合法权益。</w:t>
      </w:r>
    </w:p>
    <w:p w14:paraId="7ACD3BB4">
      <w:pPr>
        <w:pStyle w:val="23"/>
        <w:tabs>
          <w:tab w:val="left" w:pos="2127"/>
        </w:tabs>
        <w:kinsoku/>
        <w:overflowPunct/>
        <w:bidi w:val="0"/>
        <w:spacing w:line="360" w:lineRule="auto"/>
        <w:textAlignment w:val="auto"/>
        <w:outlineLvl w:val="2"/>
        <w:rPr>
          <w:rFonts w:hAnsi="宋体"/>
          <w:b/>
          <w:color w:val="auto"/>
          <w:highlight w:val="none"/>
        </w:rPr>
      </w:pPr>
      <w:bookmarkStart w:id="1848" w:name="_Toc16475"/>
      <w:bookmarkStart w:id="1849" w:name="_Toc28885"/>
      <w:bookmarkStart w:id="1850" w:name="_Toc15756"/>
      <w:bookmarkStart w:id="1851" w:name="_Toc526"/>
      <w:bookmarkStart w:id="1852" w:name="_Toc30429"/>
      <w:bookmarkStart w:id="1853" w:name="_Toc31502"/>
      <w:bookmarkStart w:id="1854" w:name="_Toc11562"/>
      <w:bookmarkStart w:id="1855" w:name="_Toc7772"/>
      <w:bookmarkStart w:id="1856" w:name="_Toc25526"/>
      <w:bookmarkStart w:id="1857" w:name="_Toc18107"/>
      <w:bookmarkStart w:id="1858" w:name="_Toc13003"/>
      <w:bookmarkStart w:id="1859" w:name="_Toc482803114"/>
      <w:bookmarkStart w:id="1860" w:name="_Toc10108"/>
      <w:bookmarkStart w:id="1861" w:name="_Toc24783"/>
      <w:bookmarkStart w:id="1862" w:name="_Toc29086"/>
      <w:bookmarkStart w:id="1863" w:name="_Toc30421"/>
      <w:bookmarkStart w:id="1864" w:name="_Toc16383"/>
      <w:bookmarkStart w:id="1865" w:name="_Toc18598"/>
      <w:bookmarkStart w:id="1866" w:name="_Toc29383"/>
      <w:bookmarkStart w:id="1867" w:name="_Toc32375"/>
      <w:bookmarkStart w:id="1868" w:name="_Toc27026"/>
      <w:bookmarkStart w:id="1869" w:name="_Toc11124"/>
      <w:bookmarkStart w:id="1870" w:name="_Toc23098"/>
      <w:bookmarkStart w:id="1871" w:name="_Toc1516"/>
      <w:bookmarkStart w:id="1872" w:name="_Toc15458"/>
      <w:bookmarkStart w:id="1873" w:name="_Toc6712"/>
      <w:bookmarkStart w:id="1874" w:name="_Toc13249"/>
      <w:bookmarkStart w:id="1875" w:name="_Toc9347"/>
      <w:bookmarkStart w:id="1876" w:name="_Toc31016"/>
      <w:bookmarkStart w:id="1877" w:name="_Toc10761"/>
      <w:bookmarkStart w:id="1878" w:name="_Toc1986"/>
      <w:bookmarkStart w:id="1879" w:name="_Toc28539"/>
      <w:bookmarkStart w:id="1880" w:name="_Toc14324"/>
      <w:bookmarkStart w:id="1881" w:name="_Toc6668"/>
      <w:bookmarkStart w:id="1882" w:name="_Toc17927"/>
      <w:bookmarkStart w:id="1883" w:name="_Toc12997"/>
      <w:bookmarkStart w:id="1884" w:name="_Toc9123"/>
      <w:bookmarkStart w:id="1885" w:name="_Toc21114"/>
      <w:bookmarkStart w:id="1886" w:name="_Toc484792227"/>
      <w:bookmarkStart w:id="1887" w:name="_Toc12764"/>
      <w:bookmarkStart w:id="1888" w:name="_Toc19135"/>
      <w:bookmarkStart w:id="1889" w:name="_Toc21679"/>
      <w:bookmarkStart w:id="1890" w:name="_Toc22403"/>
      <w:bookmarkStart w:id="1891" w:name="_Toc8374"/>
      <w:bookmarkStart w:id="1892" w:name="_Toc2953"/>
      <w:bookmarkStart w:id="1893" w:name="_Toc6754"/>
      <w:bookmarkStart w:id="1894" w:name="_Toc18839"/>
      <w:bookmarkStart w:id="1895" w:name="_Toc28938"/>
      <w:r>
        <w:rPr>
          <w:rFonts w:hint="eastAsia" w:hAnsi="宋体"/>
          <w:b/>
          <w:color w:val="auto"/>
          <w:highlight w:val="none"/>
        </w:rPr>
        <w:t>9.2 对投标人的纪律要求</w:t>
      </w:r>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p w14:paraId="1A3BE162">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3CD35057">
      <w:pPr>
        <w:pStyle w:val="23"/>
        <w:tabs>
          <w:tab w:val="left" w:pos="2127"/>
        </w:tabs>
        <w:kinsoku/>
        <w:overflowPunct/>
        <w:bidi w:val="0"/>
        <w:spacing w:line="360" w:lineRule="auto"/>
        <w:textAlignment w:val="auto"/>
        <w:outlineLvl w:val="2"/>
        <w:rPr>
          <w:rFonts w:hAnsi="宋体"/>
          <w:b/>
          <w:color w:val="auto"/>
          <w:highlight w:val="none"/>
        </w:rPr>
      </w:pPr>
      <w:bookmarkStart w:id="1896" w:name="_Toc1949"/>
      <w:bookmarkStart w:id="1897" w:name="_Toc25007"/>
      <w:bookmarkStart w:id="1898" w:name="_Toc27124"/>
      <w:bookmarkStart w:id="1899" w:name="_Toc15999"/>
      <w:bookmarkStart w:id="1900" w:name="_Toc23151"/>
      <w:bookmarkStart w:id="1901" w:name="_Toc28951"/>
      <w:bookmarkStart w:id="1902" w:name="_Toc13971"/>
      <w:bookmarkStart w:id="1903" w:name="_Toc31884"/>
      <w:bookmarkStart w:id="1904" w:name="_Toc2002"/>
      <w:bookmarkStart w:id="1905" w:name="_Toc27316"/>
      <w:bookmarkStart w:id="1906" w:name="_Toc5989"/>
      <w:bookmarkStart w:id="1907" w:name="_Toc21065"/>
      <w:bookmarkStart w:id="1908" w:name="_Toc482803115"/>
      <w:bookmarkStart w:id="1909" w:name="_Toc21605"/>
      <w:bookmarkStart w:id="1910" w:name="_Toc27098"/>
      <w:bookmarkStart w:id="1911" w:name="_Toc3800"/>
      <w:bookmarkStart w:id="1912" w:name="_Toc12341"/>
      <w:bookmarkStart w:id="1913" w:name="_Toc20021"/>
      <w:bookmarkStart w:id="1914" w:name="_Toc3730"/>
      <w:bookmarkStart w:id="1915" w:name="_Toc14288"/>
      <w:bookmarkStart w:id="1916" w:name="_Toc29188"/>
      <w:bookmarkStart w:id="1917" w:name="_Toc12313"/>
      <w:bookmarkStart w:id="1918" w:name="_Toc4665"/>
      <w:bookmarkStart w:id="1919" w:name="_Toc13005"/>
      <w:bookmarkStart w:id="1920" w:name="_Toc16330"/>
      <w:bookmarkStart w:id="1921" w:name="_Toc20782"/>
      <w:bookmarkStart w:id="1922" w:name="_Toc31666"/>
      <w:bookmarkStart w:id="1923" w:name="_Toc19827"/>
      <w:bookmarkStart w:id="1924" w:name="_Toc23734"/>
      <w:bookmarkStart w:id="1925" w:name="_Toc6480"/>
      <w:bookmarkStart w:id="1926" w:name="_Toc11433"/>
      <w:bookmarkStart w:id="1927" w:name="_Toc28694"/>
      <w:bookmarkStart w:id="1928" w:name="_Toc6890"/>
      <w:bookmarkStart w:id="1929" w:name="_Toc18467"/>
      <w:bookmarkStart w:id="1930" w:name="_Toc10208"/>
      <w:bookmarkStart w:id="1931" w:name="_Toc2300"/>
      <w:bookmarkStart w:id="1932" w:name="_Toc25910"/>
      <w:bookmarkStart w:id="1933" w:name="_Toc7638"/>
      <w:bookmarkStart w:id="1934" w:name="_Toc23670"/>
      <w:bookmarkStart w:id="1935" w:name="_Toc2726"/>
      <w:bookmarkStart w:id="1936" w:name="_Toc13574"/>
      <w:bookmarkStart w:id="1937" w:name="_Toc247"/>
      <w:bookmarkStart w:id="1938" w:name="_Toc6120"/>
      <w:bookmarkStart w:id="1939" w:name="_Toc6951"/>
      <w:bookmarkStart w:id="1940" w:name="_Toc10787"/>
      <w:bookmarkStart w:id="1941" w:name="_Toc484792228"/>
      <w:bookmarkStart w:id="1942" w:name="_Toc18304"/>
      <w:bookmarkStart w:id="1943" w:name="_Toc8693"/>
      <w:r>
        <w:rPr>
          <w:rFonts w:hint="eastAsia" w:hAnsi="宋体"/>
          <w:b/>
          <w:color w:val="auto"/>
          <w:highlight w:val="none"/>
        </w:rPr>
        <w:t>9.3 对评标委员会成员的纪律要求</w:t>
      </w:r>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p>
    <w:p w14:paraId="43D889D1">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w:t>
      </w:r>
      <w:r>
        <w:rPr>
          <w:rFonts w:hint="eastAsia" w:ascii="宋体" w:hAnsi="宋体"/>
          <w:color w:val="auto"/>
          <w:highlight w:val="none"/>
          <w:lang w:val="en-US" w:eastAsia="zh-CN"/>
        </w:rPr>
        <w:t>三</w:t>
      </w:r>
      <w:r>
        <w:rPr>
          <w:rFonts w:hint="eastAsia" w:ascii="宋体" w:hAnsi="宋体"/>
          <w:color w:val="auto"/>
          <w:highlight w:val="none"/>
        </w:rPr>
        <w:t>章“评标办法”没有规定的评审因素和标准进行评标。</w:t>
      </w:r>
    </w:p>
    <w:p w14:paraId="35D2C412">
      <w:pPr>
        <w:pStyle w:val="23"/>
        <w:tabs>
          <w:tab w:val="left" w:pos="2127"/>
        </w:tabs>
        <w:kinsoku/>
        <w:overflowPunct/>
        <w:bidi w:val="0"/>
        <w:spacing w:line="360" w:lineRule="auto"/>
        <w:textAlignment w:val="auto"/>
        <w:outlineLvl w:val="2"/>
        <w:rPr>
          <w:rFonts w:hAnsi="宋体"/>
          <w:b/>
          <w:color w:val="auto"/>
          <w:highlight w:val="none"/>
        </w:rPr>
      </w:pPr>
      <w:bookmarkStart w:id="1944" w:name="_Toc18300"/>
      <w:bookmarkStart w:id="1945" w:name="_Toc25765"/>
      <w:bookmarkStart w:id="1946" w:name="_Toc14408"/>
      <w:bookmarkStart w:id="1947" w:name="_Toc24583"/>
      <w:bookmarkStart w:id="1948" w:name="_Toc15465"/>
      <w:bookmarkStart w:id="1949" w:name="_Toc28371"/>
      <w:bookmarkStart w:id="1950" w:name="_Toc9556"/>
      <w:bookmarkStart w:id="1951" w:name="_Toc9421"/>
      <w:bookmarkStart w:id="1952" w:name="_Toc28084"/>
      <w:bookmarkStart w:id="1953" w:name="_Toc27332"/>
      <w:bookmarkStart w:id="1954" w:name="_Toc31260"/>
      <w:bookmarkStart w:id="1955" w:name="_Toc18777"/>
      <w:bookmarkStart w:id="1956" w:name="_Toc13337"/>
      <w:bookmarkStart w:id="1957" w:name="_Toc22463"/>
      <w:bookmarkStart w:id="1958" w:name="_Toc19936"/>
      <w:bookmarkStart w:id="1959" w:name="_Toc19574"/>
      <w:bookmarkStart w:id="1960" w:name="_Toc17263"/>
      <w:bookmarkStart w:id="1961" w:name="_Toc5374"/>
      <w:bookmarkStart w:id="1962" w:name="_Toc26083"/>
      <w:bookmarkStart w:id="1963" w:name="_Toc22055"/>
      <w:bookmarkStart w:id="1964" w:name="_Toc138"/>
      <w:bookmarkStart w:id="1965" w:name="_Toc12103"/>
      <w:bookmarkStart w:id="1966" w:name="_Toc28953"/>
      <w:bookmarkStart w:id="1967" w:name="_Toc24013"/>
      <w:bookmarkStart w:id="1968" w:name="_Toc32563"/>
      <w:bookmarkStart w:id="1969" w:name="_Toc29102"/>
      <w:bookmarkStart w:id="1970" w:name="_Toc2823"/>
      <w:bookmarkStart w:id="1971" w:name="_Toc22867"/>
      <w:bookmarkStart w:id="1972" w:name="_Toc13865"/>
      <w:bookmarkStart w:id="1973" w:name="_Toc1481"/>
      <w:bookmarkStart w:id="1974" w:name="_Toc22279"/>
      <w:bookmarkStart w:id="1975" w:name="_Toc28431"/>
      <w:bookmarkStart w:id="1976" w:name="_Toc32242"/>
      <w:bookmarkStart w:id="1977" w:name="_Toc15090"/>
      <w:bookmarkStart w:id="1978" w:name="_Toc32152"/>
      <w:bookmarkStart w:id="1979" w:name="_Toc12266"/>
      <w:bookmarkStart w:id="1980" w:name="_Toc29625"/>
      <w:bookmarkStart w:id="1981" w:name="_Toc23559"/>
      <w:bookmarkStart w:id="1982" w:name="_Toc3265"/>
      <w:bookmarkStart w:id="1983" w:name="_Toc11014"/>
      <w:bookmarkStart w:id="1984" w:name="_Toc7305"/>
      <w:bookmarkStart w:id="1985" w:name="_Toc28940"/>
      <w:bookmarkStart w:id="1986" w:name="_Toc16767"/>
      <w:bookmarkStart w:id="1987" w:name="_Toc31534"/>
      <w:bookmarkStart w:id="1988" w:name="_Toc484792229"/>
      <w:bookmarkStart w:id="1989" w:name="_Toc7132"/>
      <w:bookmarkStart w:id="1990" w:name="_Toc24016"/>
      <w:bookmarkStart w:id="1991" w:name="_Toc482803116"/>
      <w:r>
        <w:rPr>
          <w:rFonts w:hint="eastAsia" w:hAnsi="宋体"/>
          <w:b/>
          <w:color w:val="auto"/>
          <w:highlight w:val="none"/>
        </w:rPr>
        <w:t>9.4 对与评标活动有关的工作人员的纪律要求</w:t>
      </w:r>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14:paraId="400DDF75">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4EB7DAF0">
      <w:pPr>
        <w:pStyle w:val="23"/>
        <w:tabs>
          <w:tab w:val="left" w:pos="2127"/>
        </w:tabs>
        <w:kinsoku/>
        <w:overflowPunct/>
        <w:bidi w:val="0"/>
        <w:spacing w:line="360" w:lineRule="auto"/>
        <w:textAlignment w:val="auto"/>
        <w:outlineLvl w:val="2"/>
        <w:rPr>
          <w:rFonts w:hAnsi="宋体"/>
          <w:b/>
          <w:color w:val="auto"/>
          <w:highlight w:val="none"/>
        </w:rPr>
      </w:pPr>
      <w:bookmarkStart w:id="1992" w:name="_Toc11187"/>
      <w:bookmarkStart w:id="1993" w:name="_Toc484792230"/>
      <w:bookmarkStart w:id="1994" w:name="_Toc24796"/>
      <w:bookmarkStart w:id="1995" w:name="_Toc16751"/>
      <w:bookmarkStart w:id="1996" w:name="_Toc13474"/>
      <w:bookmarkStart w:id="1997" w:name="_Toc28181"/>
      <w:bookmarkStart w:id="1998" w:name="_Toc21470"/>
      <w:bookmarkStart w:id="1999" w:name="_Toc24816"/>
      <w:bookmarkStart w:id="2000" w:name="_Toc24814"/>
      <w:bookmarkStart w:id="2001" w:name="_Toc22027"/>
      <w:bookmarkStart w:id="2002" w:name="_Toc27902"/>
      <w:bookmarkStart w:id="2003" w:name="_Toc18544"/>
      <w:bookmarkStart w:id="2004" w:name="_Toc13649"/>
      <w:bookmarkStart w:id="2005" w:name="_Toc14800"/>
      <w:bookmarkStart w:id="2006" w:name="_Toc19303"/>
      <w:bookmarkStart w:id="2007" w:name="_Toc1774"/>
      <w:bookmarkStart w:id="2008" w:name="_Toc482803117"/>
      <w:bookmarkStart w:id="2009" w:name="_Toc971"/>
      <w:bookmarkStart w:id="2010" w:name="_Toc28124"/>
      <w:bookmarkStart w:id="2011" w:name="_Toc18722"/>
      <w:bookmarkStart w:id="2012" w:name="_Toc17159"/>
      <w:bookmarkStart w:id="2013" w:name="_Toc29773"/>
      <w:bookmarkStart w:id="2014" w:name="_Toc4545"/>
      <w:bookmarkStart w:id="2015" w:name="_Toc32483"/>
      <w:bookmarkStart w:id="2016" w:name="_Toc20671"/>
      <w:bookmarkStart w:id="2017" w:name="_Toc18144"/>
      <w:bookmarkStart w:id="2018" w:name="_Toc22501"/>
      <w:bookmarkStart w:id="2019" w:name="_Toc1153"/>
      <w:bookmarkStart w:id="2020" w:name="_Toc17808"/>
      <w:bookmarkStart w:id="2021" w:name="_Toc5735"/>
      <w:bookmarkStart w:id="2022" w:name="_Toc18524"/>
      <w:bookmarkStart w:id="2023" w:name="_Toc27851"/>
      <w:bookmarkStart w:id="2024" w:name="_Toc20889"/>
      <w:bookmarkStart w:id="2025" w:name="_Toc10946"/>
      <w:bookmarkStart w:id="2026" w:name="_Toc5449"/>
      <w:bookmarkStart w:id="2027" w:name="_Toc15506"/>
      <w:bookmarkStart w:id="2028" w:name="_Toc23311"/>
      <w:bookmarkStart w:id="2029" w:name="_Toc31711"/>
      <w:bookmarkStart w:id="2030" w:name="_Toc17045"/>
      <w:bookmarkStart w:id="2031" w:name="_Toc12705"/>
      <w:bookmarkStart w:id="2032" w:name="_Toc9373"/>
      <w:bookmarkStart w:id="2033" w:name="_Toc17807"/>
      <w:bookmarkStart w:id="2034" w:name="_Toc6159"/>
      <w:bookmarkStart w:id="2035" w:name="_Toc14300"/>
      <w:bookmarkStart w:id="2036" w:name="_Toc13836"/>
      <w:bookmarkStart w:id="2037" w:name="_Toc21838"/>
      <w:bookmarkStart w:id="2038" w:name="_Toc29305"/>
      <w:bookmarkStart w:id="2039" w:name="_Toc231"/>
      <w:r>
        <w:rPr>
          <w:rFonts w:hint="eastAsia" w:hAnsi="宋体"/>
          <w:b/>
          <w:color w:val="auto"/>
          <w:highlight w:val="none"/>
        </w:rPr>
        <w:t>9.5 投诉</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p>
    <w:p w14:paraId="750AFC06">
      <w:pPr>
        <w:pStyle w:val="23"/>
        <w:kinsoku/>
        <w:overflowPunct/>
        <w:bidi w:val="0"/>
        <w:spacing w:line="360" w:lineRule="auto"/>
        <w:ind w:firstLine="420" w:firstLineChars="200"/>
        <w:textAlignment w:val="auto"/>
        <w:rPr>
          <w:rFonts w:hint="eastAsia" w:ascii="宋体" w:hAnsi="宋体" w:eastAsia="宋体" w:cs="宋体"/>
          <w:b w:val="0"/>
          <w:bCs/>
          <w:color w:val="auto"/>
          <w:szCs w:val="21"/>
          <w:highlight w:val="none"/>
          <w:u w:val="none"/>
          <w:lang w:val="en-US" w:eastAsia="zh-CN"/>
        </w:rPr>
      </w:pPr>
      <w:bookmarkStart w:id="2040" w:name="_Toc22793"/>
      <w:bookmarkStart w:id="2041" w:name="_Toc9043"/>
      <w:bookmarkStart w:id="2042" w:name="_Toc15616"/>
      <w:bookmarkStart w:id="2043" w:name="_Toc28676"/>
      <w:bookmarkStart w:id="2044" w:name="_Toc21330"/>
      <w:bookmarkStart w:id="2045" w:name="_Toc31287"/>
      <w:bookmarkStart w:id="2046" w:name="_Toc501"/>
      <w:bookmarkStart w:id="2047" w:name="_Toc15995"/>
      <w:bookmarkStart w:id="2048" w:name="_Toc12852"/>
      <w:bookmarkStart w:id="2049" w:name="_Toc6304"/>
      <w:bookmarkStart w:id="2050" w:name="_Toc8329"/>
      <w:bookmarkStart w:id="2051" w:name="_Toc9283"/>
      <w:bookmarkStart w:id="2052" w:name="_Toc32360"/>
      <w:bookmarkStart w:id="2053" w:name="_Toc9950"/>
      <w:bookmarkStart w:id="2054" w:name="_Toc13709"/>
      <w:bookmarkStart w:id="2055" w:name="_Toc10757"/>
      <w:bookmarkStart w:id="2056" w:name="_Toc7603"/>
      <w:bookmarkStart w:id="2057" w:name="_Toc19687"/>
      <w:bookmarkStart w:id="2058" w:name="_Toc762"/>
      <w:bookmarkStart w:id="2059" w:name="_Toc20480"/>
      <w:bookmarkStart w:id="2060" w:name="_Toc484792232"/>
      <w:bookmarkStart w:id="2061" w:name="_Toc10674"/>
      <w:bookmarkStart w:id="2062" w:name="_Toc16"/>
      <w:bookmarkStart w:id="2063" w:name="_Toc8861"/>
      <w:bookmarkStart w:id="2064" w:name="_Toc21247"/>
      <w:bookmarkStart w:id="2065" w:name="_Toc21286"/>
      <w:bookmarkStart w:id="2066" w:name="_Toc1648"/>
      <w:bookmarkStart w:id="2067" w:name="_Toc20101"/>
      <w:bookmarkStart w:id="2068" w:name="_Toc20926"/>
      <w:bookmarkStart w:id="2069" w:name="_Toc504"/>
      <w:bookmarkStart w:id="2070" w:name="_Toc6511"/>
      <w:bookmarkStart w:id="2071" w:name="_Toc16852"/>
      <w:bookmarkStart w:id="2072" w:name="_Toc5579"/>
      <w:bookmarkStart w:id="2073" w:name="_Toc8442"/>
      <w:bookmarkStart w:id="2074" w:name="_Toc8804"/>
      <w:bookmarkStart w:id="2075" w:name="_Toc21942"/>
      <w:bookmarkStart w:id="2076" w:name="_Toc1064"/>
      <w:bookmarkStart w:id="2077" w:name="_Toc24571"/>
      <w:bookmarkStart w:id="2078" w:name="_Toc15350"/>
      <w:bookmarkStart w:id="2079" w:name="_Toc17659"/>
      <w:bookmarkStart w:id="2080" w:name="_Toc482803119"/>
      <w:bookmarkStart w:id="2081" w:name="_Toc9899"/>
      <w:bookmarkStart w:id="2082" w:name="_Toc3545"/>
      <w:bookmarkStart w:id="2083" w:name="_Toc22540"/>
      <w:bookmarkStart w:id="2084" w:name="_Toc15658"/>
      <w:bookmarkStart w:id="2085" w:name="_Toc11875"/>
      <w:bookmarkStart w:id="2086" w:name="_Toc4426"/>
      <w:r>
        <w:rPr>
          <w:rFonts w:hint="eastAsia" w:ascii="宋体" w:hAnsi="宋体" w:eastAsia="宋体" w:cs="宋体"/>
          <w:b w:val="0"/>
          <w:bCs/>
          <w:color w:val="auto"/>
          <w:szCs w:val="21"/>
          <w:highlight w:val="none"/>
          <w:u w:val="none"/>
          <w:lang w:val="en-US" w:eastAsia="zh-CN"/>
        </w:rPr>
        <w:t xml:space="preserve">9.5.1 </w:t>
      </w:r>
      <w:r>
        <w:rPr>
          <w:rFonts w:hint="eastAsia" w:hAnsi="宋体" w:cs="宋体"/>
          <w:b w:val="0"/>
          <w:bCs/>
          <w:color w:val="auto"/>
          <w:szCs w:val="21"/>
          <w:highlight w:val="none"/>
          <w:u w:val="none"/>
          <w:lang w:val="en-US" w:eastAsia="zh-CN"/>
        </w:rPr>
        <w:t>投标人</w:t>
      </w:r>
      <w:r>
        <w:rPr>
          <w:rFonts w:hint="eastAsia" w:ascii="宋体" w:hAnsi="宋体" w:eastAsia="宋体" w:cs="宋体"/>
          <w:b w:val="0"/>
          <w:bCs/>
          <w:color w:val="auto"/>
          <w:szCs w:val="21"/>
          <w:highlight w:val="none"/>
          <w:u w:val="none"/>
          <w:lang w:val="en-US" w:eastAsia="zh-CN"/>
        </w:rPr>
        <w:t>和其他利害关系人认为本次采购活动违反法律法规规定的，应书面（签字或盖章）提出，向业务监督机构投诉。业务监督机构：广州南方投资集团有限公司供应链部；通讯地址：广州市海珠区琶洲大道188号南方投资大厦，邮政编码：510000；监督电话：（020）62938982；电子邮箱：gylb@gznftz.com。</w:t>
      </w:r>
    </w:p>
    <w:p w14:paraId="407838DA">
      <w:pPr>
        <w:pStyle w:val="23"/>
        <w:kinsoku/>
        <w:overflowPunct/>
        <w:bidi w:val="0"/>
        <w:spacing w:line="360" w:lineRule="auto"/>
        <w:ind w:firstLine="420" w:firstLineChars="200"/>
        <w:textAlignment w:val="auto"/>
        <w:rPr>
          <w:rFonts w:hAnsi="宋体"/>
          <w:color w:val="auto"/>
          <w:highlight w:val="none"/>
          <w:u w:val="single"/>
        </w:rPr>
      </w:pPr>
      <w:r>
        <w:rPr>
          <w:rFonts w:hint="eastAsia" w:ascii="宋体" w:hAnsi="宋体" w:eastAsia="宋体" w:cs="宋体"/>
          <w:b w:val="0"/>
          <w:bCs/>
          <w:color w:val="auto"/>
          <w:szCs w:val="21"/>
          <w:highlight w:val="none"/>
          <w:u w:val="none"/>
          <w:lang w:val="en-US" w:eastAsia="zh-CN"/>
        </w:rPr>
        <w:t xml:space="preserve">9.5.2 </w:t>
      </w:r>
      <w:r>
        <w:rPr>
          <w:rFonts w:hint="eastAsia" w:hAnsi="宋体" w:cs="宋体"/>
          <w:b w:val="0"/>
          <w:bCs/>
          <w:color w:val="auto"/>
          <w:szCs w:val="21"/>
          <w:highlight w:val="none"/>
          <w:u w:val="none"/>
          <w:lang w:val="en-US" w:eastAsia="zh-CN"/>
        </w:rPr>
        <w:t>投标人</w:t>
      </w:r>
      <w:r>
        <w:rPr>
          <w:rFonts w:hint="eastAsia" w:ascii="宋体" w:hAnsi="宋体" w:eastAsia="宋体" w:cs="宋体"/>
          <w:b w:val="0"/>
          <w:bCs/>
          <w:color w:val="auto"/>
          <w:szCs w:val="21"/>
          <w:highlight w:val="none"/>
          <w:u w:val="none"/>
          <w:lang w:val="en-US" w:eastAsia="zh-CN"/>
        </w:rPr>
        <w:t>或者其他利害关系人对</w:t>
      </w:r>
      <w:r>
        <w:rPr>
          <w:rFonts w:hint="eastAsia" w:hAnsi="宋体" w:cs="宋体"/>
          <w:b w:val="0"/>
          <w:bCs/>
          <w:color w:val="auto"/>
          <w:szCs w:val="21"/>
          <w:highlight w:val="none"/>
          <w:u w:val="none"/>
          <w:lang w:val="en-US" w:eastAsia="zh-CN"/>
        </w:rPr>
        <w:t>招标</w:t>
      </w:r>
      <w:r>
        <w:rPr>
          <w:rFonts w:hint="eastAsia" w:ascii="宋体" w:hAnsi="宋体" w:eastAsia="宋体" w:cs="宋体"/>
          <w:b w:val="0"/>
          <w:bCs/>
          <w:color w:val="auto"/>
          <w:szCs w:val="21"/>
          <w:highlight w:val="none"/>
          <w:u w:val="none"/>
          <w:lang w:val="en-US" w:eastAsia="zh-CN"/>
        </w:rPr>
        <w:t>文件和</w:t>
      </w:r>
      <w:r>
        <w:rPr>
          <w:rFonts w:hint="eastAsia" w:hAnsi="宋体" w:cs="宋体"/>
          <w:b w:val="0"/>
          <w:bCs/>
          <w:color w:val="auto"/>
          <w:szCs w:val="21"/>
          <w:highlight w:val="none"/>
          <w:u w:val="none"/>
          <w:lang w:val="en-US" w:eastAsia="zh-CN"/>
        </w:rPr>
        <w:t>评标</w:t>
      </w:r>
      <w:r>
        <w:rPr>
          <w:rFonts w:hint="eastAsia" w:ascii="宋体" w:hAnsi="宋体" w:eastAsia="宋体" w:cs="宋体"/>
          <w:b w:val="0"/>
          <w:bCs/>
          <w:color w:val="auto"/>
          <w:szCs w:val="21"/>
          <w:highlight w:val="none"/>
          <w:u w:val="none"/>
          <w:lang w:val="en-US" w:eastAsia="zh-CN"/>
        </w:rPr>
        <w:t>结果提出投诉的，应当先按照本章第2.5款和第7.2款先向</w:t>
      </w:r>
      <w:r>
        <w:rPr>
          <w:rFonts w:hint="eastAsia" w:hAnsi="宋体" w:cs="宋体"/>
          <w:b w:val="0"/>
          <w:bCs/>
          <w:color w:val="auto"/>
          <w:szCs w:val="21"/>
          <w:highlight w:val="none"/>
          <w:u w:val="none"/>
          <w:lang w:val="en-US" w:eastAsia="zh-CN"/>
        </w:rPr>
        <w:t>招标人</w:t>
      </w:r>
      <w:r>
        <w:rPr>
          <w:rFonts w:hint="eastAsia" w:ascii="宋体" w:hAnsi="宋体" w:eastAsia="宋体" w:cs="宋体"/>
          <w:b w:val="0"/>
          <w:bCs/>
          <w:color w:val="auto"/>
          <w:szCs w:val="21"/>
          <w:highlight w:val="none"/>
          <w:u w:val="none"/>
          <w:lang w:val="en-US" w:eastAsia="zh-CN"/>
        </w:rPr>
        <w:t>提出异议。</w:t>
      </w:r>
    </w:p>
    <w:p w14:paraId="331CF8D1">
      <w:pPr>
        <w:pStyle w:val="23"/>
        <w:tabs>
          <w:tab w:val="left" w:pos="2127"/>
        </w:tabs>
        <w:kinsoku/>
        <w:overflowPunct/>
        <w:bidi w:val="0"/>
        <w:spacing w:line="360" w:lineRule="auto"/>
        <w:textAlignment w:val="auto"/>
        <w:outlineLvl w:val="2"/>
        <w:rPr>
          <w:rFonts w:hAnsi="宋体"/>
          <w:b/>
          <w:color w:val="auto"/>
          <w:highlight w:val="none"/>
        </w:rPr>
      </w:pPr>
      <w:bookmarkStart w:id="2087" w:name="_Toc17549"/>
      <w:r>
        <w:rPr>
          <w:rFonts w:hint="eastAsia" w:hAnsi="宋体"/>
          <w:b/>
          <w:color w:val="auto"/>
          <w:highlight w:val="none"/>
        </w:rPr>
        <w:t>9.6 廉洁</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p>
    <w:p w14:paraId="1B64A87E">
      <w:pPr>
        <w:pStyle w:val="23"/>
        <w:tabs>
          <w:tab w:val="left" w:pos="2127"/>
        </w:tabs>
        <w:kinsoku/>
        <w:overflowPunct/>
        <w:bidi w:val="0"/>
        <w:spacing w:line="360" w:lineRule="auto"/>
        <w:ind w:firstLine="420" w:firstLineChars="200"/>
        <w:textAlignment w:val="auto"/>
        <w:rPr>
          <w:rFonts w:hAnsi="宋体"/>
          <w:color w:val="auto"/>
          <w:highlight w:val="none"/>
        </w:rPr>
      </w:pPr>
      <w:r>
        <w:rPr>
          <w:rFonts w:hAnsi="宋体"/>
          <w:color w:val="auto"/>
          <w:highlight w:val="none"/>
        </w:rPr>
        <w:t>执行</w:t>
      </w:r>
      <w:r>
        <w:rPr>
          <w:rFonts w:hint="eastAsia" w:hAnsi="宋体"/>
          <w:color w:val="auto"/>
          <w:highlight w:val="none"/>
        </w:rPr>
        <w:t>中国南方电网有限责任公司的相关规定</w:t>
      </w:r>
      <w:r>
        <w:rPr>
          <w:rFonts w:hAnsi="宋体"/>
          <w:color w:val="auto"/>
          <w:highlight w:val="none"/>
        </w:rPr>
        <w:t>，</w:t>
      </w:r>
      <w:r>
        <w:rPr>
          <w:rFonts w:hint="eastAsia" w:hAnsi="宋体"/>
          <w:color w:val="auto"/>
          <w:highlight w:val="none"/>
        </w:rPr>
        <w:t>在合同协议书签署前同时签署“廉洁协议书”。</w:t>
      </w:r>
    </w:p>
    <w:p w14:paraId="6A369FE4">
      <w:pPr>
        <w:pStyle w:val="4"/>
        <w:tabs>
          <w:tab w:val="left" w:pos="2127"/>
        </w:tabs>
        <w:kinsoku/>
        <w:overflowPunct/>
        <w:bidi w:val="0"/>
        <w:spacing w:before="0" w:after="0" w:line="360" w:lineRule="auto"/>
        <w:textAlignment w:val="auto"/>
        <w:rPr>
          <w:rFonts w:ascii="宋体" w:hAnsi="宋体" w:eastAsia="宋体"/>
          <w:color w:val="auto"/>
          <w:sz w:val="24"/>
          <w:szCs w:val="24"/>
          <w:highlight w:val="none"/>
        </w:rPr>
      </w:pPr>
      <w:bookmarkStart w:id="2088" w:name="_Toc2559"/>
      <w:bookmarkStart w:id="2089" w:name="_Toc1537"/>
      <w:bookmarkStart w:id="2090" w:name="_Toc17644"/>
      <w:bookmarkStart w:id="2091" w:name="_Toc18214"/>
      <w:bookmarkStart w:id="2092" w:name="_Toc16573"/>
      <w:bookmarkStart w:id="2093" w:name="_Toc20606"/>
      <w:bookmarkStart w:id="2094" w:name="_Toc482803120"/>
      <w:bookmarkStart w:id="2095" w:name="_Toc31860"/>
      <w:bookmarkStart w:id="2096" w:name="_Toc30892"/>
      <w:bookmarkStart w:id="2097" w:name="_Toc373"/>
      <w:bookmarkStart w:id="2098" w:name="_Toc28794"/>
      <w:bookmarkStart w:id="2099" w:name="_Toc28761"/>
      <w:bookmarkStart w:id="2100" w:name="_Toc27359"/>
      <w:bookmarkStart w:id="2101" w:name="_Toc30302"/>
      <w:bookmarkStart w:id="2102" w:name="_Toc16957"/>
      <w:bookmarkStart w:id="2103" w:name="_Toc8569"/>
      <w:bookmarkStart w:id="2104" w:name="_Toc32513"/>
      <w:bookmarkStart w:id="2105" w:name="_Toc13029"/>
      <w:bookmarkStart w:id="2106" w:name="_Toc12881"/>
      <w:r>
        <w:rPr>
          <w:rFonts w:hint="eastAsia" w:ascii="宋体" w:hAnsi="宋体" w:eastAsia="宋体"/>
          <w:color w:val="auto"/>
          <w:sz w:val="24"/>
          <w:szCs w:val="24"/>
          <w:highlight w:val="none"/>
        </w:rPr>
        <w:t>10. 需要补充的其他内容</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p>
    <w:p w14:paraId="1BF8E702">
      <w:pPr>
        <w:pStyle w:val="23"/>
        <w:tabs>
          <w:tab w:val="left" w:pos="2127"/>
        </w:tabs>
        <w:kinsoku/>
        <w:overflowPunct/>
        <w:bidi w:val="0"/>
        <w:spacing w:line="360" w:lineRule="auto"/>
        <w:ind w:firstLine="420" w:firstLineChars="200"/>
        <w:textAlignment w:val="auto"/>
        <w:rPr>
          <w:rFonts w:hAnsi="宋体"/>
          <w:color w:val="auto"/>
          <w:highlight w:val="none"/>
        </w:rPr>
      </w:pPr>
      <w:r>
        <w:rPr>
          <w:rFonts w:hint="eastAsia" w:hAnsi="宋体"/>
          <w:color w:val="auto"/>
          <w:highlight w:val="none"/>
        </w:rPr>
        <w:t>需要补充的其他内容：见投标人须知前附表。</w:t>
      </w:r>
    </w:p>
    <w:p w14:paraId="03ABC5A5">
      <w:pPr>
        <w:pStyle w:val="4"/>
        <w:tabs>
          <w:tab w:val="left" w:pos="2127"/>
        </w:tabs>
        <w:kinsoku/>
        <w:overflowPunct/>
        <w:bidi w:val="0"/>
        <w:spacing w:before="0" w:after="0" w:line="360" w:lineRule="auto"/>
        <w:textAlignment w:val="auto"/>
        <w:rPr>
          <w:rFonts w:ascii="宋体" w:hAnsi="宋体" w:eastAsia="宋体"/>
          <w:color w:val="auto"/>
          <w:sz w:val="24"/>
          <w:szCs w:val="24"/>
          <w:highlight w:val="none"/>
        </w:rPr>
      </w:pPr>
      <w:bookmarkStart w:id="2107" w:name="_Toc20963"/>
      <w:bookmarkStart w:id="2108" w:name="_Toc17095"/>
      <w:bookmarkStart w:id="2109" w:name="_Toc8096"/>
      <w:bookmarkStart w:id="2110" w:name="_Toc30593"/>
      <w:bookmarkStart w:id="2111" w:name="_Toc29120"/>
      <w:bookmarkStart w:id="2112" w:name="_Toc482803121"/>
      <w:bookmarkStart w:id="2113" w:name="_Toc28028"/>
      <w:bookmarkStart w:id="2114" w:name="_Toc16740"/>
      <w:bookmarkStart w:id="2115" w:name="_Toc26079"/>
      <w:bookmarkStart w:id="2116" w:name="_Toc748"/>
      <w:bookmarkStart w:id="2117" w:name="_Toc16814"/>
      <w:bookmarkStart w:id="2118" w:name="_Toc3719"/>
      <w:bookmarkStart w:id="2119" w:name="_Toc31515"/>
      <w:bookmarkStart w:id="2120" w:name="_Toc9613"/>
      <w:bookmarkStart w:id="2121" w:name="_Toc26600"/>
      <w:bookmarkStart w:id="2122" w:name="_Toc9699"/>
      <w:bookmarkStart w:id="2123" w:name="_Toc17907"/>
      <w:bookmarkStart w:id="2124" w:name="_Toc8268"/>
      <w:bookmarkStart w:id="2125" w:name="_Toc10443"/>
      <w:r>
        <w:rPr>
          <w:rFonts w:hint="eastAsia" w:ascii="宋体" w:hAnsi="宋体" w:eastAsia="宋体"/>
          <w:color w:val="auto"/>
          <w:sz w:val="24"/>
          <w:szCs w:val="24"/>
          <w:highlight w:val="none"/>
        </w:rPr>
        <w:t>11. 招标代理服务费</w:t>
      </w:r>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14:paraId="46A960F1">
      <w:pPr>
        <w:kinsoku/>
        <w:overflowPunct/>
        <w:bidi w:val="0"/>
        <w:spacing w:line="360" w:lineRule="auto"/>
        <w:ind w:firstLine="424" w:firstLineChars="202"/>
        <w:textAlignment w:val="auto"/>
        <w:rPr>
          <w:rFonts w:ascii="宋体" w:hAnsi="宋体"/>
          <w:color w:val="auto"/>
          <w:szCs w:val="21"/>
          <w:highlight w:val="none"/>
        </w:rPr>
      </w:pPr>
      <w:r>
        <w:rPr>
          <w:rFonts w:hint="eastAsia" w:ascii="宋体" w:hAnsi="宋体"/>
          <w:color w:val="auto"/>
          <w:szCs w:val="21"/>
          <w:highlight w:val="none"/>
        </w:rPr>
        <w:t>招标代理服务费：见投标人须知前附表。</w:t>
      </w:r>
    </w:p>
    <w:p w14:paraId="1EC09087">
      <w:pPr>
        <w:pStyle w:val="3"/>
        <w:pageBreakBefore/>
        <w:widowControl/>
        <w:numPr>
          <w:ilvl w:val="0"/>
          <w:numId w:val="5"/>
        </w:numPr>
        <w:tabs>
          <w:tab w:val="left" w:pos="2127"/>
        </w:tabs>
        <w:kinsoku/>
        <w:overflowPunct/>
        <w:bidi w:val="0"/>
        <w:spacing w:before="0" w:after="0" w:line="360" w:lineRule="auto"/>
        <w:jc w:val="center"/>
        <w:textAlignment w:val="auto"/>
        <w:rPr>
          <w:rFonts w:hint="eastAsia" w:ascii="宋体" w:hAnsi="宋体"/>
          <w:color w:val="auto"/>
          <w:kern w:val="0"/>
          <w:sz w:val="32"/>
          <w:szCs w:val="32"/>
          <w:highlight w:val="none"/>
        </w:rPr>
      </w:pPr>
      <w:bookmarkStart w:id="2126" w:name="_Toc27320"/>
      <w:r>
        <w:rPr>
          <w:rFonts w:hint="eastAsia" w:ascii="宋体" w:hAnsi="宋体"/>
          <w:color w:val="auto"/>
          <w:kern w:val="0"/>
          <w:sz w:val="32"/>
          <w:szCs w:val="32"/>
          <w:highlight w:val="none"/>
          <w:lang w:val="en-US" w:eastAsia="zh-CN"/>
        </w:rPr>
        <w:t>评标</w:t>
      </w:r>
      <w:r>
        <w:rPr>
          <w:rFonts w:hint="eastAsia" w:ascii="宋体" w:hAnsi="宋体"/>
          <w:color w:val="auto"/>
          <w:kern w:val="0"/>
          <w:sz w:val="32"/>
          <w:szCs w:val="32"/>
          <w:highlight w:val="none"/>
        </w:rPr>
        <w:t>办法</w:t>
      </w:r>
      <w:bookmarkEnd w:id="2126"/>
    </w:p>
    <w:p w14:paraId="162BFEE7">
      <w:pPr>
        <w:pStyle w:val="4"/>
        <w:numPr>
          <w:ilvl w:val="0"/>
          <w:numId w:val="0"/>
        </w:numPr>
        <w:tabs>
          <w:tab w:val="left" w:pos="2127"/>
        </w:tabs>
        <w:kinsoku/>
        <w:wordWrap/>
        <w:overflowPunct/>
        <w:topLinePunct w:val="0"/>
        <w:autoSpaceDE/>
        <w:autoSpaceDN/>
        <w:bidi w:val="0"/>
        <w:adjustRightInd/>
        <w:snapToGrid/>
        <w:spacing w:before="0" w:beforeLines="0" w:after="0" w:afterLines="0" w:line="312" w:lineRule="auto"/>
        <w:textAlignment w:val="auto"/>
        <w:outlineLvl w:val="1"/>
        <w:rPr>
          <w:rFonts w:hint="default" w:ascii="宋体" w:hAnsi="宋体" w:eastAsia="宋体" w:cs="宋体"/>
          <w:color w:val="auto"/>
          <w:sz w:val="24"/>
          <w:szCs w:val="24"/>
          <w:highlight w:val="none"/>
          <w:lang w:val="en-US"/>
        </w:rPr>
      </w:pPr>
      <w:bookmarkStart w:id="2127" w:name="_Toc2193"/>
      <w:bookmarkStart w:id="2128" w:name="_Toc17096"/>
      <w:bookmarkStart w:id="2129" w:name="_Toc19547"/>
      <w:bookmarkStart w:id="2130" w:name="_Toc7796"/>
      <w:bookmarkStart w:id="2131" w:name="_Toc25508"/>
      <w:bookmarkStart w:id="2132" w:name="_Toc11609"/>
      <w:bookmarkStart w:id="2133" w:name="_Toc9644"/>
      <w:bookmarkStart w:id="2134" w:name="_Toc27745"/>
      <w:bookmarkStart w:id="2135" w:name="_Toc25305"/>
      <w:bookmarkStart w:id="2136" w:name="_Toc30769"/>
      <w:bookmarkStart w:id="2137" w:name="_Toc23900"/>
      <w:bookmarkStart w:id="2138" w:name="_Toc20057"/>
      <w:bookmarkStart w:id="2139" w:name="_Toc15031"/>
      <w:bookmarkStart w:id="2140" w:name="_Toc8143"/>
      <w:r>
        <w:rPr>
          <w:rFonts w:hint="eastAsia" w:ascii="宋体" w:hAnsi="宋体" w:eastAsia="宋体" w:cs="宋体"/>
          <w:color w:val="auto"/>
          <w:sz w:val="24"/>
          <w:szCs w:val="24"/>
          <w:highlight w:val="none"/>
          <w:lang w:val="en-US" w:eastAsia="zh-CN"/>
        </w:rPr>
        <w:t xml:space="preserve">1. </w:t>
      </w:r>
      <w:bookmarkEnd w:id="2127"/>
      <w:bookmarkEnd w:id="2128"/>
      <w:bookmarkEnd w:id="2129"/>
      <w:bookmarkEnd w:id="2130"/>
      <w:bookmarkEnd w:id="2131"/>
      <w:bookmarkEnd w:id="2132"/>
      <w:r>
        <w:rPr>
          <w:rFonts w:hint="eastAsia" w:ascii="宋体" w:hAnsi="宋体" w:eastAsia="宋体" w:cs="宋体"/>
          <w:color w:val="auto"/>
          <w:sz w:val="24"/>
          <w:szCs w:val="24"/>
          <w:highlight w:val="none"/>
          <w:lang w:val="en-US" w:eastAsia="zh-CN"/>
        </w:rPr>
        <w:t>评标办法</w:t>
      </w:r>
      <w:bookmarkEnd w:id="2133"/>
    </w:p>
    <w:p w14:paraId="5573DC3E">
      <w:pPr>
        <w:pStyle w:val="23"/>
        <w:tabs>
          <w:tab w:val="left" w:pos="2127"/>
        </w:tabs>
        <w:kinsoku/>
        <w:overflowPunct/>
        <w:bidi w:val="0"/>
        <w:spacing w:line="360" w:lineRule="auto"/>
        <w:ind w:firstLine="420" w:firstLineChars="200"/>
        <w:textAlignment w:val="auto"/>
        <w:rPr>
          <w:rFonts w:hint="eastAsia" w:hAnsi="宋体"/>
          <w:color w:val="auto"/>
          <w:highlight w:val="none"/>
        </w:rPr>
      </w:pPr>
      <w:r>
        <w:rPr>
          <w:rFonts w:hint="eastAsia" w:hAnsi="宋体"/>
          <w:color w:val="auto"/>
          <w:highlight w:val="none"/>
        </w:rPr>
        <w:t>本次评标</w:t>
      </w:r>
      <w:r>
        <w:rPr>
          <w:rFonts w:hint="eastAsia" w:ascii="宋体" w:hAnsi="宋体" w:cs="宋体"/>
          <w:color w:val="auto"/>
          <w:kern w:val="2"/>
          <w:sz w:val="21"/>
          <w:szCs w:val="21"/>
          <w:highlight w:val="none"/>
          <w:lang w:val="en-US" w:eastAsia="zh-CN" w:bidi="ar-SA"/>
        </w:rPr>
        <w:t>采用综合评</w:t>
      </w:r>
      <w:r>
        <w:rPr>
          <w:rFonts w:hint="eastAsia" w:hAnsi="宋体" w:cs="宋体"/>
          <w:color w:val="auto"/>
          <w:kern w:val="2"/>
          <w:sz w:val="21"/>
          <w:szCs w:val="21"/>
          <w:highlight w:val="none"/>
          <w:lang w:val="en-US" w:eastAsia="zh-CN" w:bidi="ar-SA"/>
        </w:rPr>
        <w:t>审</w:t>
      </w:r>
      <w:r>
        <w:rPr>
          <w:rFonts w:hint="eastAsia" w:ascii="宋体" w:hAnsi="宋体" w:cs="宋体"/>
          <w:color w:val="auto"/>
          <w:kern w:val="2"/>
          <w:sz w:val="21"/>
          <w:szCs w:val="21"/>
          <w:highlight w:val="none"/>
          <w:lang w:val="en-US" w:eastAsia="zh-CN" w:bidi="ar-SA"/>
        </w:rPr>
        <w:t>法</w:t>
      </w:r>
      <w:r>
        <w:rPr>
          <w:rFonts w:hint="eastAsia" w:hAnsi="宋体"/>
          <w:color w:val="auto"/>
          <w:highlight w:val="none"/>
        </w:rPr>
        <w:t>。</w:t>
      </w:r>
      <w:r>
        <w:rPr>
          <w:rFonts w:hint="eastAsia" w:ascii="宋体" w:hAnsi="宋体" w:cs="宋体"/>
          <w:kern w:val="2"/>
          <w:sz w:val="21"/>
          <w:szCs w:val="21"/>
          <w:highlight w:val="none"/>
          <w:lang w:val="en-US" w:eastAsia="zh-CN" w:bidi="ar-SA"/>
        </w:rPr>
        <w:t>分为初步评审和详细评审两阶段进行。对通过初步评审的投标文件，按照招标文件约定的评分标准进行打分，并按综合得分由高到低顺序推荐中标候选人。综合得分相等时，以报价低的优先；报价也相等的，以技术得分高的优先；技术得分也相等的，由评标委员会以少数服从多数原则投票决定投标人的排序</w:t>
      </w:r>
      <w:r>
        <w:rPr>
          <w:rFonts w:hint="eastAsia" w:ascii="宋体" w:hAnsi="宋体" w:cs="宋体"/>
          <w:color w:val="auto"/>
          <w:kern w:val="2"/>
          <w:sz w:val="21"/>
          <w:szCs w:val="21"/>
          <w:highlight w:val="none"/>
          <w:lang w:val="en-US" w:eastAsia="zh-CN" w:bidi="ar-SA"/>
        </w:rPr>
        <w:t>。</w:t>
      </w:r>
    </w:p>
    <w:p w14:paraId="31259A68">
      <w:pPr>
        <w:pStyle w:val="4"/>
        <w:numPr>
          <w:ilvl w:val="0"/>
          <w:numId w:val="0"/>
        </w:numPr>
        <w:tabs>
          <w:tab w:val="left" w:pos="2127"/>
        </w:tabs>
        <w:kinsoku/>
        <w:wordWrap/>
        <w:overflowPunct/>
        <w:topLinePunct w:val="0"/>
        <w:autoSpaceDE/>
        <w:autoSpaceDN/>
        <w:bidi w:val="0"/>
        <w:adjustRightInd/>
        <w:snapToGrid/>
        <w:spacing w:before="0" w:beforeLines="0" w:after="0" w:afterLines="0" w:line="312" w:lineRule="auto"/>
        <w:textAlignment w:val="auto"/>
        <w:outlineLvl w:val="1"/>
        <w:rPr>
          <w:rFonts w:hint="eastAsia" w:ascii="宋体" w:hAnsi="宋体" w:eastAsia="宋体" w:cs="宋体"/>
          <w:color w:val="auto"/>
          <w:sz w:val="24"/>
          <w:szCs w:val="24"/>
          <w:highlight w:val="none"/>
        </w:rPr>
      </w:pPr>
      <w:bookmarkStart w:id="2141" w:name="_Toc4776"/>
      <w:bookmarkStart w:id="2142" w:name="_Toc24475"/>
      <w:bookmarkStart w:id="2143" w:name="_Toc24679"/>
      <w:bookmarkStart w:id="2144" w:name="_Toc29394"/>
      <w:bookmarkStart w:id="2145" w:name="_Toc8138"/>
      <w:bookmarkStart w:id="2146" w:name="_Toc17112"/>
      <w:bookmarkStart w:id="2147" w:name="_Toc30472"/>
      <w:r>
        <w:rPr>
          <w:rFonts w:hint="eastAsia" w:ascii="宋体" w:hAnsi="宋体" w:eastAsia="宋体" w:cs="宋体"/>
          <w:color w:val="auto"/>
          <w:sz w:val="24"/>
          <w:szCs w:val="24"/>
          <w:highlight w:val="none"/>
          <w:lang w:val="en-US" w:eastAsia="zh-CN"/>
        </w:rPr>
        <w:t xml:space="preserve">2. </w:t>
      </w:r>
      <w:r>
        <w:rPr>
          <w:rFonts w:hint="eastAsia" w:ascii="宋体" w:hAnsi="宋体" w:eastAsia="宋体" w:cs="宋体"/>
          <w:color w:val="auto"/>
          <w:sz w:val="24"/>
          <w:szCs w:val="24"/>
          <w:highlight w:val="none"/>
        </w:rPr>
        <w:t>评审标准</w:t>
      </w:r>
      <w:bookmarkEnd w:id="2141"/>
      <w:bookmarkEnd w:id="2142"/>
      <w:bookmarkEnd w:id="2143"/>
      <w:bookmarkEnd w:id="2144"/>
      <w:bookmarkEnd w:id="2145"/>
      <w:bookmarkEnd w:id="2146"/>
      <w:bookmarkEnd w:id="2147"/>
      <w:r>
        <w:rPr>
          <w:rFonts w:hint="eastAsia" w:ascii="宋体" w:hAnsi="宋体" w:eastAsia="宋体" w:cs="宋体"/>
          <w:color w:val="auto"/>
          <w:sz w:val="24"/>
          <w:szCs w:val="24"/>
          <w:highlight w:val="none"/>
        </w:rPr>
        <w:t xml:space="preserve"> </w:t>
      </w:r>
    </w:p>
    <w:p w14:paraId="6E0932FD">
      <w:pPr>
        <w:tabs>
          <w:tab w:val="left" w:pos="2127"/>
        </w:tabs>
        <w:kinsoku/>
        <w:wordWrap/>
        <w:overflowPunct/>
        <w:topLinePunct w:val="0"/>
        <w:autoSpaceDE/>
        <w:autoSpaceDN/>
        <w:bidi w:val="0"/>
        <w:adjustRightInd/>
        <w:snapToGrid/>
        <w:spacing w:line="312" w:lineRule="auto"/>
        <w:textAlignment w:val="auto"/>
        <w:outlineLvl w:val="2"/>
        <w:rPr>
          <w:rFonts w:hint="eastAsia" w:ascii="宋体" w:hAnsi="宋体" w:eastAsia="宋体" w:cs="宋体"/>
          <w:b/>
          <w:bCs/>
          <w:color w:val="auto"/>
          <w:highlight w:val="none"/>
        </w:rPr>
      </w:pPr>
      <w:bookmarkStart w:id="2148" w:name="_Toc26131"/>
      <w:bookmarkStart w:id="2149" w:name="_Toc29434"/>
      <w:bookmarkStart w:id="2150" w:name="_Toc987"/>
      <w:bookmarkStart w:id="2151" w:name="_Toc7227"/>
      <w:bookmarkStart w:id="2152" w:name="_Toc20054"/>
      <w:bookmarkStart w:id="2153" w:name="_Toc30586"/>
      <w:bookmarkStart w:id="2154" w:name="_Toc15805"/>
      <w:r>
        <w:rPr>
          <w:rFonts w:hint="eastAsia" w:ascii="宋体" w:hAnsi="宋体" w:eastAsia="宋体" w:cs="宋体"/>
          <w:b/>
          <w:bCs/>
          <w:color w:val="auto"/>
          <w:highlight w:val="none"/>
        </w:rPr>
        <w:t>2.1 初步评审标准</w:t>
      </w:r>
      <w:bookmarkEnd w:id="2148"/>
      <w:bookmarkEnd w:id="2149"/>
      <w:bookmarkEnd w:id="2150"/>
      <w:bookmarkEnd w:id="2151"/>
      <w:bookmarkEnd w:id="2152"/>
      <w:bookmarkEnd w:id="2153"/>
      <w:bookmarkEnd w:id="2154"/>
    </w:p>
    <w:bookmarkEnd w:id="2134"/>
    <w:bookmarkEnd w:id="2135"/>
    <w:bookmarkEnd w:id="2136"/>
    <w:bookmarkEnd w:id="2137"/>
    <w:bookmarkEnd w:id="2138"/>
    <w:bookmarkEnd w:id="2139"/>
    <w:bookmarkEnd w:id="2140"/>
    <w:p w14:paraId="57EEA52A">
      <w:pPr>
        <w:pStyle w:val="43"/>
        <w:keepNext w:val="0"/>
        <w:keepLines w:val="0"/>
        <w:pageBreakBefore w:val="0"/>
        <w:widowControl w:val="0"/>
        <w:tabs>
          <w:tab w:val="left" w:pos="2370"/>
        </w:tabs>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b/>
          <w:color w:val="auto"/>
          <w:sz w:val="21"/>
          <w:szCs w:val="21"/>
          <w:highlight w:val="none"/>
        </w:rPr>
      </w:pPr>
      <w:r>
        <w:rPr>
          <w:rFonts w:hint="eastAsia" w:hAnsi="宋体"/>
          <w:b/>
          <w:bCs/>
          <w:color w:val="auto"/>
          <w:highlight w:val="none"/>
        </w:rPr>
        <w:t>初步评审表</w:t>
      </w:r>
    </w:p>
    <w:tbl>
      <w:tblPr>
        <w:tblStyle w:val="46"/>
        <w:tblW w:w="9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080"/>
        <w:gridCol w:w="1940"/>
        <w:gridCol w:w="3530"/>
        <w:gridCol w:w="699"/>
        <w:gridCol w:w="683"/>
        <w:gridCol w:w="469"/>
        <w:gridCol w:w="704"/>
      </w:tblGrid>
      <w:tr w14:paraId="7B173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1905" w:type="dxa"/>
            <w:gridSpan w:val="2"/>
            <w:noWrap w:val="0"/>
            <w:vAlign w:val="center"/>
          </w:tcPr>
          <w:p w14:paraId="570822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条款号</w:t>
            </w:r>
          </w:p>
        </w:tc>
        <w:tc>
          <w:tcPr>
            <w:tcW w:w="1940" w:type="dxa"/>
            <w:noWrap w:val="0"/>
            <w:vAlign w:val="center"/>
          </w:tcPr>
          <w:p w14:paraId="47AF25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评审因素</w:t>
            </w:r>
          </w:p>
        </w:tc>
        <w:tc>
          <w:tcPr>
            <w:tcW w:w="3530" w:type="dxa"/>
            <w:noWrap w:val="0"/>
            <w:vAlign w:val="center"/>
          </w:tcPr>
          <w:p w14:paraId="6CF91E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评审标准</w:t>
            </w:r>
          </w:p>
        </w:tc>
        <w:tc>
          <w:tcPr>
            <w:tcW w:w="699" w:type="dxa"/>
            <w:noWrap w:val="0"/>
            <w:vAlign w:val="center"/>
          </w:tcPr>
          <w:p w14:paraId="76809A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eastAsia="zh-CN"/>
              </w:rPr>
              <w:t>投标人</w:t>
            </w:r>
            <w:r>
              <w:rPr>
                <w:rFonts w:hint="eastAsia" w:ascii="宋体" w:hAnsi="宋体" w:eastAsia="宋体" w:cs="宋体"/>
                <w:b/>
                <w:bCs/>
                <w:color w:val="auto"/>
                <w:kern w:val="0"/>
                <w:sz w:val="21"/>
                <w:szCs w:val="21"/>
                <w:highlight w:val="none"/>
                <w:lang w:val="en-US" w:eastAsia="zh-CN"/>
              </w:rPr>
              <w:t>1</w:t>
            </w:r>
          </w:p>
        </w:tc>
        <w:tc>
          <w:tcPr>
            <w:tcW w:w="683" w:type="dxa"/>
            <w:noWrap w:val="0"/>
            <w:vAlign w:val="center"/>
          </w:tcPr>
          <w:p w14:paraId="0D0545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eastAsia="zh-CN"/>
              </w:rPr>
              <w:t>投标人</w:t>
            </w:r>
            <w:r>
              <w:rPr>
                <w:rFonts w:hint="eastAsia" w:ascii="宋体" w:hAnsi="宋体" w:eastAsia="宋体" w:cs="宋体"/>
                <w:b/>
                <w:bCs/>
                <w:color w:val="auto"/>
                <w:kern w:val="0"/>
                <w:sz w:val="21"/>
                <w:szCs w:val="21"/>
                <w:highlight w:val="none"/>
                <w:lang w:val="en-US" w:eastAsia="zh-CN"/>
              </w:rPr>
              <w:t>2</w:t>
            </w:r>
          </w:p>
        </w:tc>
        <w:tc>
          <w:tcPr>
            <w:tcW w:w="469" w:type="dxa"/>
            <w:noWrap w:val="0"/>
            <w:vAlign w:val="center"/>
          </w:tcPr>
          <w:p w14:paraId="5ED31A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lang w:eastAsia="zh-CN"/>
              </w:rPr>
              <w:t>……</w:t>
            </w:r>
          </w:p>
        </w:tc>
        <w:tc>
          <w:tcPr>
            <w:tcW w:w="704" w:type="dxa"/>
            <w:noWrap w:val="0"/>
            <w:vAlign w:val="center"/>
          </w:tcPr>
          <w:p w14:paraId="091D5E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eastAsia="zh-CN"/>
              </w:rPr>
              <w:t>投标人</w:t>
            </w:r>
            <w:r>
              <w:rPr>
                <w:rFonts w:hint="eastAsia" w:ascii="宋体" w:hAnsi="宋体" w:eastAsia="宋体" w:cs="宋体"/>
                <w:b/>
                <w:bCs/>
                <w:color w:val="auto"/>
                <w:kern w:val="0"/>
                <w:sz w:val="21"/>
                <w:szCs w:val="21"/>
                <w:highlight w:val="none"/>
                <w:lang w:val="en-US" w:eastAsia="zh-CN"/>
              </w:rPr>
              <w:t>N</w:t>
            </w:r>
          </w:p>
        </w:tc>
      </w:tr>
      <w:tr w14:paraId="6D07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5" w:type="dxa"/>
            <w:vMerge w:val="restart"/>
            <w:noWrap w:val="0"/>
            <w:vAlign w:val="center"/>
          </w:tcPr>
          <w:p w14:paraId="494E5C33">
            <w:pPr>
              <w:keepNext w:val="0"/>
              <w:keepLines w:val="0"/>
              <w:pageBreakBefore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w:t>
            </w:r>
          </w:p>
        </w:tc>
        <w:tc>
          <w:tcPr>
            <w:tcW w:w="1080" w:type="dxa"/>
            <w:vMerge w:val="restart"/>
            <w:noWrap w:val="0"/>
            <w:vAlign w:val="center"/>
          </w:tcPr>
          <w:p w14:paraId="6FB738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形式评审标准</w:t>
            </w:r>
          </w:p>
        </w:tc>
        <w:tc>
          <w:tcPr>
            <w:tcW w:w="1940" w:type="dxa"/>
            <w:noWrap w:val="0"/>
            <w:vAlign w:val="center"/>
          </w:tcPr>
          <w:p w14:paraId="48C947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名称</w:t>
            </w:r>
          </w:p>
        </w:tc>
        <w:tc>
          <w:tcPr>
            <w:tcW w:w="3530" w:type="dxa"/>
            <w:noWrap w:val="0"/>
            <w:vAlign w:val="center"/>
          </w:tcPr>
          <w:p w14:paraId="1FD92F3C">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与营业执照</w:t>
            </w:r>
            <w:r>
              <w:rPr>
                <w:rFonts w:hint="eastAsia" w:ascii="宋体" w:hAnsi="宋体" w:eastAsia="宋体" w:cs="宋体"/>
                <w:color w:val="auto"/>
                <w:kern w:val="0"/>
                <w:sz w:val="21"/>
                <w:szCs w:val="21"/>
                <w:highlight w:val="none"/>
                <w:lang w:val="en-US" w:eastAsia="zh-CN"/>
              </w:rPr>
              <w:t>/事业单位法人证书</w:t>
            </w:r>
            <w:r>
              <w:rPr>
                <w:rFonts w:hint="eastAsia" w:ascii="宋体" w:hAnsi="宋体" w:eastAsia="宋体" w:cs="宋体"/>
                <w:color w:val="auto"/>
                <w:kern w:val="0"/>
                <w:sz w:val="21"/>
                <w:szCs w:val="21"/>
                <w:highlight w:val="none"/>
                <w:u w:val="none"/>
              </w:rPr>
              <w:t>、资质证书</w:t>
            </w:r>
            <w:r>
              <w:rPr>
                <w:rFonts w:hint="eastAsia" w:ascii="宋体" w:hAnsi="宋体" w:eastAsia="宋体" w:cs="宋体"/>
                <w:color w:val="auto"/>
                <w:kern w:val="0"/>
                <w:sz w:val="21"/>
                <w:szCs w:val="21"/>
                <w:highlight w:val="none"/>
                <w:u w:val="none"/>
                <w:lang w:eastAsia="zh-CN"/>
              </w:rPr>
              <w:t>（如资格条件要求）</w:t>
            </w:r>
            <w:r>
              <w:rPr>
                <w:rFonts w:hint="eastAsia" w:ascii="宋体" w:hAnsi="宋体" w:eastAsia="宋体" w:cs="宋体"/>
                <w:color w:val="auto"/>
                <w:kern w:val="0"/>
                <w:sz w:val="21"/>
                <w:szCs w:val="21"/>
                <w:highlight w:val="none"/>
              </w:rPr>
              <w:t>一致</w:t>
            </w:r>
            <w:r>
              <w:rPr>
                <w:rFonts w:hint="eastAsia" w:ascii="宋体" w:hAnsi="宋体" w:cs="宋体"/>
                <w:color w:val="auto"/>
                <w:kern w:val="0"/>
                <w:sz w:val="21"/>
                <w:szCs w:val="21"/>
                <w:highlight w:val="none"/>
                <w:lang w:eastAsia="zh-CN"/>
              </w:rPr>
              <w:t>。</w:t>
            </w:r>
          </w:p>
        </w:tc>
        <w:tc>
          <w:tcPr>
            <w:tcW w:w="699" w:type="dxa"/>
            <w:noWrap w:val="0"/>
            <w:vAlign w:val="center"/>
          </w:tcPr>
          <w:p w14:paraId="4A689AAD">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c>
          <w:tcPr>
            <w:tcW w:w="683" w:type="dxa"/>
            <w:noWrap w:val="0"/>
            <w:vAlign w:val="center"/>
          </w:tcPr>
          <w:p w14:paraId="64CBBC84">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c>
          <w:tcPr>
            <w:tcW w:w="469" w:type="dxa"/>
            <w:noWrap w:val="0"/>
            <w:vAlign w:val="center"/>
          </w:tcPr>
          <w:p w14:paraId="1A796C39">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c>
          <w:tcPr>
            <w:tcW w:w="704" w:type="dxa"/>
            <w:noWrap w:val="0"/>
            <w:vAlign w:val="center"/>
          </w:tcPr>
          <w:p w14:paraId="06FCFC49">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r>
      <w:tr w14:paraId="3BB35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25" w:type="dxa"/>
            <w:vMerge w:val="continue"/>
            <w:noWrap w:val="0"/>
            <w:vAlign w:val="center"/>
          </w:tcPr>
          <w:p w14:paraId="614BC71B">
            <w:pPr>
              <w:keepNext w:val="0"/>
              <w:keepLines w:val="0"/>
              <w:pageBreakBefore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rPr>
            </w:pPr>
          </w:p>
        </w:tc>
        <w:tc>
          <w:tcPr>
            <w:tcW w:w="1080" w:type="dxa"/>
            <w:vMerge w:val="continue"/>
            <w:noWrap w:val="0"/>
            <w:vAlign w:val="top"/>
          </w:tcPr>
          <w:p w14:paraId="46C52C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rPr>
            </w:pPr>
          </w:p>
        </w:tc>
        <w:tc>
          <w:tcPr>
            <w:tcW w:w="1940" w:type="dxa"/>
            <w:noWrap w:val="0"/>
            <w:vAlign w:val="center"/>
          </w:tcPr>
          <w:p w14:paraId="45159E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投标文件</w:t>
            </w:r>
            <w:r>
              <w:rPr>
                <w:rFonts w:hint="eastAsia" w:ascii="宋体" w:hAnsi="宋体" w:eastAsia="宋体" w:cs="宋体"/>
                <w:color w:val="auto"/>
                <w:kern w:val="0"/>
                <w:sz w:val="21"/>
                <w:szCs w:val="21"/>
                <w:highlight w:val="none"/>
              </w:rPr>
              <w:t xml:space="preserve">签字盖章          </w:t>
            </w:r>
          </w:p>
        </w:tc>
        <w:tc>
          <w:tcPr>
            <w:tcW w:w="3530" w:type="dxa"/>
            <w:noWrap w:val="0"/>
            <w:vAlign w:val="center"/>
          </w:tcPr>
          <w:p w14:paraId="2466A9F0">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符合第二章“</w:t>
            </w:r>
            <w:r>
              <w:rPr>
                <w:rFonts w:hint="eastAsia" w:ascii="宋体" w:hAnsi="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须知”第3.7.3项规定</w:t>
            </w:r>
            <w:r>
              <w:rPr>
                <w:rFonts w:hint="eastAsia" w:ascii="宋体" w:hAnsi="宋体" w:cs="宋体"/>
                <w:color w:val="auto"/>
                <w:kern w:val="0"/>
                <w:sz w:val="21"/>
                <w:szCs w:val="21"/>
                <w:highlight w:val="none"/>
                <w:lang w:eastAsia="zh-CN"/>
              </w:rPr>
              <w:t>。</w:t>
            </w:r>
          </w:p>
        </w:tc>
        <w:tc>
          <w:tcPr>
            <w:tcW w:w="699" w:type="dxa"/>
            <w:noWrap w:val="0"/>
            <w:vAlign w:val="center"/>
          </w:tcPr>
          <w:p w14:paraId="344C8FC3">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c>
          <w:tcPr>
            <w:tcW w:w="683" w:type="dxa"/>
            <w:noWrap w:val="0"/>
            <w:vAlign w:val="center"/>
          </w:tcPr>
          <w:p w14:paraId="0A701BC6">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c>
          <w:tcPr>
            <w:tcW w:w="469" w:type="dxa"/>
            <w:noWrap w:val="0"/>
            <w:vAlign w:val="center"/>
          </w:tcPr>
          <w:p w14:paraId="2E17FD94">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c>
          <w:tcPr>
            <w:tcW w:w="704" w:type="dxa"/>
            <w:noWrap w:val="0"/>
            <w:vAlign w:val="center"/>
          </w:tcPr>
          <w:p w14:paraId="13DC1A89">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r>
      <w:tr w14:paraId="08EE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825" w:type="dxa"/>
            <w:vMerge w:val="continue"/>
            <w:noWrap w:val="0"/>
            <w:vAlign w:val="center"/>
          </w:tcPr>
          <w:p w14:paraId="38CDC902">
            <w:pPr>
              <w:keepNext w:val="0"/>
              <w:keepLines w:val="0"/>
              <w:pageBreakBefore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rPr>
            </w:pPr>
          </w:p>
        </w:tc>
        <w:tc>
          <w:tcPr>
            <w:tcW w:w="1080" w:type="dxa"/>
            <w:vMerge w:val="continue"/>
            <w:noWrap w:val="0"/>
            <w:vAlign w:val="top"/>
          </w:tcPr>
          <w:p w14:paraId="6E8891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rPr>
            </w:pPr>
          </w:p>
        </w:tc>
        <w:tc>
          <w:tcPr>
            <w:tcW w:w="1940" w:type="dxa"/>
            <w:noWrap w:val="0"/>
            <w:vAlign w:val="center"/>
          </w:tcPr>
          <w:p w14:paraId="3C265D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报价唯一且有效</w:t>
            </w:r>
          </w:p>
        </w:tc>
        <w:tc>
          <w:tcPr>
            <w:tcW w:w="3530" w:type="dxa"/>
            <w:noWrap w:val="0"/>
            <w:vAlign w:val="center"/>
          </w:tcPr>
          <w:p w14:paraId="50540A1F">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投标函</w:t>
            </w:r>
            <w:r>
              <w:rPr>
                <w:rFonts w:hint="eastAsia" w:ascii="宋体" w:hAnsi="宋体" w:eastAsia="宋体" w:cs="宋体"/>
                <w:color w:val="auto"/>
                <w:kern w:val="0"/>
                <w:sz w:val="21"/>
                <w:szCs w:val="21"/>
                <w:highlight w:val="none"/>
              </w:rPr>
              <w:t>只能有一个有效报价，且</w:t>
            </w:r>
            <w:r>
              <w:rPr>
                <w:rFonts w:hint="eastAsia" w:ascii="宋体" w:hAnsi="宋体" w:cs="宋体"/>
                <w:color w:val="auto"/>
                <w:kern w:val="0"/>
                <w:sz w:val="21"/>
                <w:szCs w:val="21"/>
                <w:highlight w:val="none"/>
                <w:lang w:eastAsia="zh-CN"/>
              </w:rPr>
              <w:t>投标函</w:t>
            </w:r>
            <w:r>
              <w:rPr>
                <w:rFonts w:hint="eastAsia" w:ascii="宋体" w:hAnsi="宋体" w:eastAsia="宋体" w:cs="宋体"/>
                <w:color w:val="auto"/>
                <w:kern w:val="0"/>
                <w:sz w:val="21"/>
                <w:szCs w:val="21"/>
                <w:highlight w:val="none"/>
              </w:rPr>
              <w:t>的报价符合第</w:t>
            </w:r>
            <w:r>
              <w:rPr>
                <w:rFonts w:hint="eastAsia" w:ascii="宋体" w:hAnsi="宋体" w:eastAsia="宋体" w:cs="宋体"/>
                <w:color w:val="auto"/>
                <w:kern w:val="0"/>
                <w:sz w:val="21"/>
                <w:szCs w:val="21"/>
                <w:highlight w:val="none"/>
                <w:lang w:val="en-US" w:eastAsia="zh-CN"/>
              </w:rPr>
              <w:t>二章</w:t>
            </w: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须知”规定</w:t>
            </w:r>
            <w:r>
              <w:rPr>
                <w:rFonts w:hint="eastAsia" w:ascii="宋体" w:hAnsi="宋体" w:cs="宋体"/>
                <w:color w:val="auto"/>
                <w:kern w:val="0"/>
                <w:sz w:val="21"/>
                <w:szCs w:val="21"/>
                <w:highlight w:val="none"/>
                <w:lang w:eastAsia="zh-CN"/>
              </w:rPr>
              <w:t>。</w:t>
            </w:r>
          </w:p>
        </w:tc>
        <w:tc>
          <w:tcPr>
            <w:tcW w:w="699" w:type="dxa"/>
            <w:noWrap w:val="0"/>
            <w:vAlign w:val="center"/>
          </w:tcPr>
          <w:p w14:paraId="5263459F">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lang w:eastAsia="zh-CN"/>
              </w:rPr>
            </w:pPr>
          </w:p>
        </w:tc>
        <w:tc>
          <w:tcPr>
            <w:tcW w:w="683" w:type="dxa"/>
            <w:noWrap w:val="0"/>
            <w:vAlign w:val="center"/>
          </w:tcPr>
          <w:p w14:paraId="78EE00F4">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lang w:eastAsia="zh-CN"/>
              </w:rPr>
            </w:pPr>
          </w:p>
        </w:tc>
        <w:tc>
          <w:tcPr>
            <w:tcW w:w="469" w:type="dxa"/>
            <w:noWrap w:val="0"/>
            <w:vAlign w:val="center"/>
          </w:tcPr>
          <w:p w14:paraId="5E6E1D56">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lang w:eastAsia="zh-CN"/>
              </w:rPr>
            </w:pPr>
          </w:p>
        </w:tc>
        <w:tc>
          <w:tcPr>
            <w:tcW w:w="704" w:type="dxa"/>
            <w:noWrap w:val="0"/>
            <w:vAlign w:val="center"/>
          </w:tcPr>
          <w:p w14:paraId="023E7722">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lang w:eastAsia="zh-CN"/>
              </w:rPr>
            </w:pPr>
          </w:p>
        </w:tc>
      </w:tr>
      <w:tr w14:paraId="4198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25" w:type="dxa"/>
            <w:vMerge w:val="restart"/>
            <w:noWrap w:val="0"/>
            <w:vAlign w:val="center"/>
          </w:tcPr>
          <w:p w14:paraId="640576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c>
          <w:tcPr>
            <w:tcW w:w="1080" w:type="dxa"/>
            <w:vMerge w:val="restart"/>
            <w:noWrap w:val="0"/>
            <w:vAlign w:val="center"/>
          </w:tcPr>
          <w:p w14:paraId="134658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资格评审标准</w:t>
            </w:r>
          </w:p>
        </w:tc>
        <w:tc>
          <w:tcPr>
            <w:tcW w:w="1940" w:type="dxa"/>
            <w:noWrap w:val="0"/>
            <w:vAlign w:val="center"/>
          </w:tcPr>
          <w:p w14:paraId="3D1F44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rPr>
            </w:pPr>
            <w:r>
              <w:rPr>
                <w:rFonts w:hint="eastAsia" w:ascii="宋体" w:hAnsi="宋体" w:cs="宋体"/>
                <w:b w:val="0"/>
                <w:bCs/>
                <w:sz w:val="21"/>
                <w:szCs w:val="21"/>
                <w:highlight w:val="none"/>
                <w:lang w:eastAsia="zh-CN"/>
              </w:rPr>
              <w:t>投标人</w:t>
            </w:r>
            <w:r>
              <w:rPr>
                <w:rFonts w:hint="eastAsia" w:ascii="宋体" w:hAnsi="宋体" w:eastAsia="宋体" w:cs="宋体"/>
                <w:b w:val="0"/>
                <w:bCs/>
                <w:sz w:val="21"/>
                <w:szCs w:val="21"/>
                <w:highlight w:val="none"/>
              </w:rPr>
              <w:t>资格要求</w:t>
            </w:r>
          </w:p>
        </w:tc>
        <w:tc>
          <w:tcPr>
            <w:tcW w:w="3530" w:type="dxa"/>
            <w:noWrap w:val="0"/>
            <w:vAlign w:val="center"/>
          </w:tcPr>
          <w:p w14:paraId="57E3A8CE">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符合第二章“</w:t>
            </w:r>
            <w:r>
              <w:rPr>
                <w:rFonts w:hint="eastAsia" w:ascii="宋体" w:hAnsi="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须知”第1.4.1项规定</w:t>
            </w:r>
            <w:r>
              <w:rPr>
                <w:rFonts w:hint="eastAsia" w:ascii="宋体" w:hAnsi="宋体" w:cs="宋体"/>
                <w:color w:val="auto"/>
                <w:kern w:val="0"/>
                <w:sz w:val="21"/>
                <w:szCs w:val="21"/>
                <w:highlight w:val="none"/>
                <w:lang w:eastAsia="zh-CN"/>
              </w:rPr>
              <w:t>。</w:t>
            </w:r>
          </w:p>
        </w:tc>
        <w:tc>
          <w:tcPr>
            <w:tcW w:w="699" w:type="dxa"/>
            <w:noWrap w:val="0"/>
            <w:vAlign w:val="center"/>
          </w:tcPr>
          <w:p w14:paraId="1D9F650E">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c>
          <w:tcPr>
            <w:tcW w:w="683" w:type="dxa"/>
            <w:noWrap w:val="0"/>
            <w:vAlign w:val="center"/>
          </w:tcPr>
          <w:p w14:paraId="0D401D1F">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c>
          <w:tcPr>
            <w:tcW w:w="469" w:type="dxa"/>
            <w:noWrap w:val="0"/>
            <w:vAlign w:val="center"/>
          </w:tcPr>
          <w:p w14:paraId="340C46BF">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c>
          <w:tcPr>
            <w:tcW w:w="704" w:type="dxa"/>
            <w:noWrap w:val="0"/>
            <w:vAlign w:val="center"/>
          </w:tcPr>
          <w:p w14:paraId="27ACD691">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r>
      <w:tr w14:paraId="76CC0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25" w:type="dxa"/>
            <w:vMerge w:val="continue"/>
            <w:noWrap w:val="0"/>
            <w:vAlign w:val="center"/>
          </w:tcPr>
          <w:p w14:paraId="54EFD133">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kern w:val="0"/>
                <w:sz w:val="21"/>
                <w:szCs w:val="21"/>
                <w:highlight w:val="none"/>
              </w:rPr>
            </w:pPr>
          </w:p>
        </w:tc>
        <w:tc>
          <w:tcPr>
            <w:tcW w:w="1080" w:type="dxa"/>
            <w:vMerge w:val="continue"/>
            <w:noWrap w:val="0"/>
            <w:vAlign w:val="top"/>
          </w:tcPr>
          <w:p w14:paraId="13A199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rPr>
            </w:pPr>
          </w:p>
        </w:tc>
        <w:tc>
          <w:tcPr>
            <w:tcW w:w="1940" w:type="dxa"/>
            <w:noWrap w:val="0"/>
            <w:vAlign w:val="center"/>
          </w:tcPr>
          <w:p w14:paraId="1B54FE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不得存在的情形</w:t>
            </w:r>
          </w:p>
        </w:tc>
        <w:tc>
          <w:tcPr>
            <w:tcW w:w="3530" w:type="dxa"/>
            <w:noWrap w:val="0"/>
            <w:vAlign w:val="center"/>
          </w:tcPr>
          <w:p w14:paraId="0CC8DE39">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符合第二章“</w:t>
            </w:r>
            <w:r>
              <w:rPr>
                <w:rFonts w:hint="eastAsia" w:ascii="宋体" w:hAnsi="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须知”第1.4.3项规定</w:t>
            </w:r>
            <w:r>
              <w:rPr>
                <w:rFonts w:hint="eastAsia" w:ascii="宋体" w:hAnsi="宋体" w:cs="宋体"/>
                <w:color w:val="auto"/>
                <w:kern w:val="0"/>
                <w:sz w:val="21"/>
                <w:szCs w:val="21"/>
                <w:highlight w:val="none"/>
                <w:lang w:eastAsia="zh-CN"/>
              </w:rPr>
              <w:t>。</w:t>
            </w:r>
          </w:p>
        </w:tc>
        <w:tc>
          <w:tcPr>
            <w:tcW w:w="699" w:type="dxa"/>
            <w:noWrap w:val="0"/>
            <w:vAlign w:val="center"/>
          </w:tcPr>
          <w:p w14:paraId="1CB32CB5">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c>
          <w:tcPr>
            <w:tcW w:w="683" w:type="dxa"/>
            <w:noWrap w:val="0"/>
            <w:vAlign w:val="center"/>
          </w:tcPr>
          <w:p w14:paraId="0CB89AC6">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c>
          <w:tcPr>
            <w:tcW w:w="469" w:type="dxa"/>
            <w:noWrap w:val="0"/>
            <w:vAlign w:val="center"/>
          </w:tcPr>
          <w:p w14:paraId="6FCBA669">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c>
          <w:tcPr>
            <w:tcW w:w="704" w:type="dxa"/>
            <w:noWrap w:val="0"/>
            <w:vAlign w:val="center"/>
          </w:tcPr>
          <w:p w14:paraId="72044748">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r>
      <w:tr w14:paraId="6440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25" w:type="dxa"/>
            <w:vMerge w:val="restart"/>
            <w:noWrap w:val="0"/>
            <w:vAlign w:val="center"/>
          </w:tcPr>
          <w:p w14:paraId="6E8B92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w:t>
            </w:r>
          </w:p>
        </w:tc>
        <w:tc>
          <w:tcPr>
            <w:tcW w:w="1080" w:type="dxa"/>
            <w:vMerge w:val="restart"/>
            <w:noWrap w:val="0"/>
            <w:vAlign w:val="center"/>
          </w:tcPr>
          <w:p w14:paraId="4AAFA4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响应性评审标准</w:t>
            </w:r>
          </w:p>
        </w:tc>
        <w:tc>
          <w:tcPr>
            <w:tcW w:w="1940" w:type="dxa"/>
            <w:noWrap w:val="0"/>
            <w:vAlign w:val="center"/>
          </w:tcPr>
          <w:p w14:paraId="06D337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工期</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或交货期、服务期）</w:t>
            </w:r>
          </w:p>
        </w:tc>
        <w:tc>
          <w:tcPr>
            <w:tcW w:w="3530" w:type="dxa"/>
            <w:noWrap w:val="0"/>
            <w:vAlign w:val="center"/>
          </w:tcPr>
          <w:p w14:paraId="408AF8F9">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符合第二章“</w:t>
            </w:r>
            <w:r>
              <w:rPr>
                <w:rFonts w:hint="eastAsia" w:ascii="宋体" w:hAnsi="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须知”第1.3.2项规定</w:t>
            </w:r>
            <w:r>
              <w:rPr>
                <w:rFonts w:hint="eastAsia" w:ascii="宋体" w:hAnsi="宋体" w:cs="宋体"/>
                <w:color w:val="auto"/>
                <w:kern w:val="0"/>
                <w:sz w:val="21"/>
                <w:szCs w:val="21"/>
                <w:highlight w:val="none"/>
                <w:lang w:eastAsia="zh-CN"/>
              </w:rPr>
              <w:t>。</w:t>
            </w:r>
          </w:p>
        </w:tc>
        <w:tc>
          <w:tcPr>
            <w:tcW w:w="699" w:type="dxa"/>
            <w:noWrap w:val="0"/>
            <w:vAlign w:val="center"/>
          </w:tcPr>
          <w:p w14:paraId="3DDD1FA1">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c>
          <w:tcPr>
            <w:tcW w:w="683" w:type="dxa"/>
            <w:noWrap w:val="0"/>
            <w:vAlign w:val="center"/>
          </w:tcPr>
          <w:p w14:paraId="20B73DD4">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c>
          <w:tcPr>
            <w:tcW w:w="469" w:type="dxa"/>
            <w:noWrap w:val="0"/>
            <w:vAlign w:val="center"/>
          </w:tcPr>
          <w:p w14:paraId="6052B8F3">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c>
          <w:tcPr>
            <w:tcW w:w="704" w:type="dxa"/>
            <w:noWrap w:val="0"/>
            <w:vAlign w:val="center"/>
          </w:tcPr>
          <w:p w14:paraId="0EF14A5A">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r>
      <w:tr w14:paraId="02662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25" w:type="dxa"/>
            <w:vMerge w:val="continue"/>
            <w:noWrap w:val="0"/>
            <w:vAlign w:val="center"/>
          </w:tcPr>
          <w:p w14:paraId="61430713">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kern w:val="0"/>
                <w:sz w:val="21"/>
                <w:szCs w:val="21"/>
                <w:highlight w:val="none"/>
              </w:rPr>
            </w:pPr>
          </w:p>
        </w:tc>
        <w:tc>
          <w:tcPr>
            <w:tcW w:w="1080" w:type="dxa"/>
            <w:vMerge w:val="continue"/>
            <w:noWrap w:val="0"/>
            <w:vAlign w:val="top"/>
          </w:tcPr>
          <w:p w14:paraId="04E159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rPr>
            </w:pPr>
          </w:p>
        </w:tc>
        <w:tc>
          <w:tcPr>
            <w:tcW w:w="1940" w:type="dxa"/>
            <w:noWrap w:val="0"/>
            <w:vAlign w:val="center"/>
          </w:tcPr>
          <w:p w14:paraId="32A9BB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u w:val="none"/>
                <w:lang w:val="en-US" w:eastAsia="zh-CN"/>
              </w:rPr>
              <w:t>项目</w:t>
            </w:r>
            <w:r>
              <w:rPr>
                <w:rFonts w:hint="eastAsia" w:ascii="宋体" w:hAnsi="宋体" w:eastAsia="宋体" w:cs="宋体"/>
                <w:color w:val="auto"/>
                <w:kern w:val="0"/>
                <w:sz w:val="21"/>
                <w:szCs w:val="21"/>
                <w:highlight w:val="none"/>
                <w:u w:val="none"/>
              </w:rPr>
              <w:t>质量</w:t>
            </w:r>
          </w:p>
        </w:tc>
        <w:tc>
          <w:tcPr>
            <w:tcW w:w="3530" w:type="dxa"/>
            <w:noWrap w:val="0"/>
            <w:vAlign w:val="center"/>
          </w:tcPr>
          <w:p w14:paraId="0F59C315">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符合第二章“</w:t>
            </w:r>
            <w:r>
              <w:rPr>
                <w:rFonts w:hint="eastAsia" w:ascii="宋体" w:hAnsi="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须知”第1.3.3项规定</w:t>
            </w:r>
            <w:r>
              <w:rPr>
                <w:rFonts w:hint="eastAsia" w:ascii="宋体" w:hAnsi="宋体" w:cs="宋体"/>
                <w:color w:val="auto"/>
                <w:kern w:val="0"/>
                <w:sz w:val="21"/>
                <w:szCs w:val="21"/>
                <w:highlight w:val="none"/>
                <w:lang w:eastAsia="zh-CN"/>
              </w:rPr>
              <w:t>。</w:t>
            </w:r>
          </w:p>
        </w:tc>
        <w:tc>
          <w:tcPr>
            <w:tcW w:w="699" w:type="dxa"/>
            <w:noWrap w:val="0"/>
            <w:vAlign w:val="center"/>
          </w:tcPr>
          <w:p w14:paraId="5021D4AD">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u w:val="single"/>
              </w:rPr>
            </w:pPr>
          </w:p>
        </w:tc>
        <w:tc>
          <w:tcPr>
            <w:tcW w:w="683" w:type="dxa"/>
            <w:noWrap w:val="0"/>
            <w:vAlign w:val="center"/>
          </w:tcPr>
          <w:p w14:paraId="1CF3A34E">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u w:val="single"/>
              </w:rPr>
            </w:pPr>
          </w:p>
        </w:tc>
        <w:tc>
          <w:tcPr>
            <w:tcW w:w="469" w:type="dxa"/>
            <w:noWrap w:val="0"/>
            <w:vAlign w:val="center"/>
          </w:tcPr>
          <w:p w14:paraId="3EB1E379">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u w:val="single"/>
              </w:rPr>
            </w:pPr>
          </w:p>
        </w:tc>
        <w:tc>
          <w:tcPr>
            <w:tcW w:w="704" w:type="dxa"/>
            <w:noWrap w:val="0"/>
            <w:vAlign w:val="center"/>
          </w:tcPr>
          <w:p w14:paraId="2943D278">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u w:val="single"/>
              </w:rPr>
            </w:pPr>
          </w:p>
        </w:tc>
      </w:tr>
      <w:tr w14:paraId="5921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25" w:type="dxa"/>
            <w:vMerge w:val="continue"/>
            <w:noWrap w:val="0"/>
            <w:vAlign w:val="center"/>
          </w:tcPr>
          <w:p w14:paraId="3FB20308">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kern w:val="0"/>
                <w:sz w:val="21"/>
                <w:szCs w:val="21"/>
                <w:highlight w:val="none"/>
              </w:rPr>
            </w:pPr>
          </w:p>
        </w:tc>
        <w:tc>
          <w:tcPr>
            <w:tcW w:w="1080" w:type="dxa"/>
            <w:vMerge w:val="continue"/>
            <w:noWrap w:val="0"/>
            <w:vAlign w:val="top"/>
          </w:tcPr>
          <w:p w14:paraId="4CEC87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rPr>
            </w:pPr>
          </w:p>
        </w:tc>
        <w:tc>
          <w:tcPr>
            <w:tcW w:w="1940" w:type="dxa"/>
            <w:noWrap w:val="0"/>
            <w:vAlign w:val="center"/>
          </w:tcPr>
          <w:p w14:paraId="01A333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u w:val="none"/>
                <w:lang w:val="en-US" w:eastAsia="zh-CN"/>
              </w:rPr>
            </w:pPr>
            <w:r>
              <w:rPr>
                <w:rFonts w:hint="default" w:ascii="宋体" w:hAnsi="宋体" w:eastAsia="宋体" w:cs="宋体"/>
                <w:color w:val="auto"/>
                <w:kern w:val="0"/>
                <w:sz w:val="21"/>
                <w:szCs w:val="21"/>
                <w:highlight w:val="none"/>
                <w:u w:val="none"/>
                <w:lang w:val="en-US" w:eastAsia="zh-CN"/>
              </w:rPr>
              <w:t>投标文件电脑机器特征码审查</w:t>
            </w:r>
          </w:p>
        </w:tc>
        <w:tc>
          <w:tcPr>
            <w:tcW w:w="3530" w:type="dxa"/>
            <w:noWrap w:val="0"/>
            <w:vAlign w:val="center"/>
          </w:tcPr>
          <w:p w14:paraId="25378EDA">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default" w:ascii="宋体" w:hAnsi="宋体" w:eastAsia="宋体" w:cs="宋体"/>
                <w:color w:val="auto"/>
                <w:kern w:val="0"/>
                <w:sz w:val="21"/>
                <w:szCs w:val="21"/>
                <w:highlight w:val="none"/>
                <w:u w:val="none"/>
                <w:lang w:val="en-US" w:eastAsia="zh-CN"/>
              </w:rPr>
            </w:pPr>
            <w:r>
              <w:rPr>
                <w:rFonts w:hint="default" w:ascii="宋体" w:hAnsi="宋体" w:eastAsia="宋体" w:cs="宋体"/>
                <w:color w:val="auto"/>
                <w:kern w:val="0"/>
                <w:sz w:val="21"/>
                <w:szCs w:val="21"/>
                <w:highlight w:val="none"/>
                <w:u w:val="none"/>
                <w:lang w:val="en-US" w:eastAsia="zh-CN"/>
              </w:rPr>
              <w:t>投标人如存在以下情形，由评标委员会对其作否决投标处理：</w:t>
            </w:r>
          </w:p>
          <w:p w14:paraId="380B6F7C">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default"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投标人与其他投标人加密打包投标文件电脑机器特征码一致的。(以广州公共资源交易中心交易平台导出的《投标文件电脑机器特征码系统分析结论表》为准)。</w:t>
            </w:r>
          </w:p>
        </w:tc>
        <w:tc>
          <w:tcPr>
            <w:tcW w:w="699" w:type="dxa"/>
            <w:noWrap w:val="0"/>
            <w:vAlign w:val="center"/>
          </w:tcPr>
          <w:p w14:paraId="6FE65F3B">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u w:val="single"/>
              </w:rPr>
            </w:pPr>
          </w:p>
        </w:tc>
        <w:tc>
          <w:tcPr>
            <w:tcW w:w="683" w:type="dxa"/>
            <w:noWrap w:val="0"/>
            <w:vAlign w:val="center"/>
          </w:tcPr>
          <w:p w14:paraId="28ADD2E7">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u w:val="single"/>
              </w:rPr>
            </w:pPr>
          </w:p>
        </w:tc>
        <w:tc>
          <w:tcPr>
            <w:tcW w:w="469" w:type="dxa"/>
            <w:noWrap w:val="0"/>
            <w:vAlign w:val="center"/>
          </w:tcPr>
          <w:p w14:paraId="7144A0CA">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u w:val="single"/>
              </w:rPr>
            </w:pPr>
          </w:p>
        </w:tc>
        <w:tc>
          <w:tcPr>
            <w:tcW w:w="704" w:type="dxa"/>
            <w:noWrap w:val="0"/>
            <w:vAlign w:val="center"/>
          </w:tcPr>
          <w:p w14:paraId="6A6D446A">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u w:val="single"/>
              </w:rPr>
            </w:pPr>
          </w:p>
        </w:tc>
      </w:tr>
      <w:tr w14:paraId="00639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25" w:type="dxa"/>
            <w:vMerge w:val="continue"/>
            <w:noWrap w:val="0"/>
            <w:vAlign w:val="center"/>
          </w:tcPr>
          <w:p w14:paraId="39B68989">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kern w:val="0"/>
                <w:sz w:val="21"/>
                <w:szCs w:val="21"/>
                <w:highlight w:val="none"/>
              </w:rPr>
            </w:pPr>
          </w:p>
        </w:tc>
        <w:tc>
          <w:tcPr>
            <w:tcW w:w="1080" w:type="dxa"/>
            <w:vMerge w:val="continue"/>
            <w:noWrap w:val="0"/>
            <w:vAlign w:val="top"/>
          </w:tcPr>
          <w:p w14:paraId="680A53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rPr>
            </w:pPr>
          </w:p>
        </w:tc>
        <w:tc>
          <w:tcPr>
            <w:tcW w:w="1940" w:type="dxa"/>
            <w:noWrap w:val="0"/>
            <w:vAlign w:val="center"/>
          </w:tcPr>
          <w:p w14:paraId="6AE136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其他</w:t>
            </w:r>
          </w:p>
        </w:tc>
        <w:tc>
          <w:tcPr>
            <w:tcW w:w="3530" w:type="dxa"/>
            <w:noWrap w:val="0"/>
            <w:vAlign w:val="top"/>
          </w:tcPr>
          <w:p w14:paraId="15A1FBA0">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符合第二章“</w:t>
            </w:r>
            <w:r>
              <w:rPr>
                <w:rFonts w:hint="eastAsia" w:ascii="宋体" w:hAnsi="宋体" w:cs="宋体"/>
                <w:color w:val="auto"/>
                <w:kern w:val="0"/>
                <w:sz w:val="21"/>
                <w:szCs w:val="21"/>
                <w:highlight w:val="none"/>
                <w:u w:val="none"/>
                <w:lang w:val="en-US" w:eastAsia="zh-CN"/>
              </w:rPr>
              <w:t>投标人</w:t>
            </w:r>
            <w:r>
              <w:rPr>
                <w:rFonts w:hint="eastAsia" w:ascii="宋体" w:hAnsi="宋体" w:eastAsia="宋体" w:cs="宋体"/>
                <w:sz w:val="21"/>
                <w:szCs w:val="21"/>
                <w:highlight w:val="none"/>
              </w:rPr>
              <w:t>须知”第1.4.1项、第3.7.2项规定</w:t>
            </w:r>
          </w:p>
          <w:p w14:paraId="3476CB05">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不</w:t>
            </w:r>
            <w:r>
              <w:rPr>
                <w:rFonts w:hint="eastAsia" w:ascii="宋体" w:hAnsi="宋体" w:eastAsia="宋体" w:cs="宋体"/>
                <w:sz w:val="21"/>
                <w:szCs w:val="21"/>
                <w:highlight w:val="none"/>
              </w:rPr>
              <w:t>存在第三章</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评标</w:t>
            </w:r>
            <w:r>
              <w:rPr>
                <w:rFonts w:hint="eastAsia" w:ascii="宋体" w:hAnsi="宋体" w:eastAsia="宋体" w:cs="宋体"/>
                <w:sz w:val="21"/>
                <w:szCs w:val="21"/>
                <w:highlight w:val="none"/>
                <w:lang w:eastAsia="zh-CN"/>
              </w:rPr>
              <w:t>办法”</w:t>
            </w:r>
            <w:r>
              <w:rPr>
                <w:rFonts w:hint="eastAsia" w:ascii="宋体" w:hAnsi="宋体" w:eastAsia="宋体" w:cs="宋体"/>
                <w:sz w:val="21"/>
                <w:szCs w:val="21"/>
                <w:highlight w:val="none"/>
              </w:rPr>
              <w:t>第3.1.</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项规定情形</w:t>
            </w:r>
          </w:p>
        </w:tc>
        <w:tc>
          <w:tcPr>
            <w:tcW w:w="699" w:type="dxa"/>
            <w:noWrap w:val="0"/>
            <w:vAlign w:val="top"/>
          </w:tcPr>
          <w:p w14:paraId="0B8470DE">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c>
          <w:tcPr>
            <w:tcW w:w="683" w:type="dxa"/>
            <w:noWrap w:val="0"/>
            <w:vAlign w:val="top"/>
          </w:tcPr>
          <w:p w14:paraId="2BD8A820">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c>
          <w:tcPr>
            <w:tcW w:w="469" w:type="dxa"/>
            <w:noWrap w:val="0"/>
            <w:vAlign w:val="top"/>
          </w:tcPr>
          <w:p w14:paraId="406773D8">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c>
          <w:tcPr>
            <w:tcW w:w="704" w:type="dxa"/>
            <w:noWrap w:val="0"/>
            <w:vAlign w:val="top"/>
          </w:tcPr>
          <w:p w14:paraId="6766D445">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r>
      <w:tr w14:paraId="38AA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375" w:type="dxa"/>
            <w:gridSpan w:val="4"/>
            <w:noWrap w:val="0"/>
            <w:vAlign w:val="center"/>
          </w:tcPr>
          <w:p w14:paraId="0DC884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结论（</w:t>
            </w:r>
            <w:r>
              <w:rPr>
                <w:rFonts w:hint="eastAsia" w:ascii="宋体" w:hAnsi="宋体" w:eastAsia="宋体" w:cs="宋体"/>
                <w:color w:val="auto"/>
                <w:kern w:val="0"/>
                <w:sz w:val="21"/>
                <w:szCs w:val="21"/>
                <w:highlight w:val="none"/>
                <w:lang w:val="en-US" w:eastAsia="zh-CN"/>
              </w:rPr>
              <w:t>是</w:t>
            </w:r>
            <w:r>
              <w:rPr>
                <w:rFonts w:hint="eastAsia" w:ascii="宋体" w:hAnsi="宋体" w:eastAsia="宋体" w:cs="宋体"/>
                <w:color w:val="auto"/>
                <w:sz w:val="21"/>
                <w:szCs w:val="21"/>
                <w:highlight w:val="none"/>
              </w:rPr>
              <w:t>否通过并进入下一阶段评审</w:t>
            </w:r>
            <w:r>
              <w:rPr>
                <w:rFonts w:hint="eastAsia" w:ascii="宋体" w:hAnsi="宋体" w:eastAsia="宋体" w:cs="宋体"/>
                <w:color w:val="auto"/>
                <w:kern w:val="0"/>
                <w:sz w:val="21"/>
                <w:szCs w:val="21"/>
                <w:highlight w:val="none"/>
                <w:lang w:eastAsia="zh-CN"/>
              </w:rPr>
              <w:t>）</w:t>
            </w:r>
          </w:p>
        </w:tc>
        <w:tc>
          <w:tcPr>
            <w:tcW w:w="699" w:type="dxa"/>
            <w:noWrap w:val="0"/>
            <w:vAlign w:val="top"/>
          </w:tcPr>
          <w:p w14:paraId="77F0F16D">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c>
          <w:tcPr>
            <w:tcW w:w="683" w:type="dxa"/>
            <w:noWrap w:val="0"/>
            <w:vAlign w:val="top"/>
          </w:tcPr>
          <w:p w14:paraId="43CBB83B">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c>
          <w:tcPr>
            <w:tcW w:w="469" w:type="dxa"/>
            <w:noWrap w:val="0"/>
            <w:vAlign w:val="top"/>
          </w:tcPr>
          <w:p w14:paraId="5ACF337B">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c>
          <w:tcPr>
            <w:tcW w:w="704" w:type="dxa"/>
            <w:noWrap w:val="0"/>
            <w:vAlign w:val="top"/>
          </w:tcPr>
          <w:p w14:paraId="3456A5DA">
            <w:pPr>
              <w:keepNext w:val="0"/>
              <w:keepLines w:val="0"/>
              <w:pageBreakBefore w:val="0"/>
              <w:widowControl/>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highlight w:val="none"/>
              </w:rPr>
            </w:pPr>
          </w:p>
        </w:tc>
      </w:tr>
    </w:tbl>
    <w:p w14:paraId="662B4873">
      <w:pPr>
        <w:pageBreakBefore w:val="0"/>
        <w:tabs>
          <w:tab w:val="left" w:pos="2127"/>
        </w:tabs>
        <w:kinsoku/>
        <w:wordWrap/>
        <w:overflowPunct/>
        <w:topLinePunct w:val="0"/>
        <w:autoSpaceDE/>
        <w:autoSpaceDN/>
        <w:bidi w:val="0"/>
        <w:adjustRightInd/>
        <w:snapToGrid/>
        <w:spacing w:line="360" w:lineRule="auto"/>
        <w:ind w:left="0" w:leftChars="0" w:firstLine="420" w:firstLineChars="200"/>
        <w:textAlignment w:val="auto"/>
        <w:outlineLvl w:val="9"/>
        <w:rPr>
          <w:rFonts w:hint="eastAsia" w:ascii="宋体" w:hAnsi="宋体"/>
          <w:color w:val="auto"/>
          <w:highlight w:val="none"/>
        </w:rPr>
      </w:pPr>
      <w:r>
        <w:rPr>
          <w:rFonts w:hint="eastAsia" w:ascii="宋体" w:hAnsi="宋体"/>
          <w:color w:val="auto"/>
          <w:highlight w:val="none"/>
        </w:rPr>
        <w:t>说明：</w:t>
      </w:r>
    </w:p>
    <w:p w14:paraId="28645CC6">
      <w:pPr>
        <w:pageBreakBefore w:val="0"/>
        <w:tabs>
          <w:tab w:val="left" w:pos="2127"/>
        </w:tabs>
        <w:kinsoku/>
        <w:wordWrap/>
        <w:overflowPunct/>
        <w:topLinePunct w:val="0"/>
        <w:autoSpaceDE/>
        <w:autoSpaceDN/>
        <w:bidi w:val="0"/>
        <w:adjustRightInd/>
        <w:snapToGrid/>
        <w:spacing w:line="360" w:lineRule="auto"/>
        <w:ind w:left="0" w:leftChars="0" w:firstLine="420" w:firstLineChars="200"/>
        <w:textAlignment w:val="auto"/>
        <w:outlineLvl w:val="9"/>
        <w:rPr>
          <w:rFonts w:hint="eastAsia" w:ascii="宋体" w:hAnsi="宋体" w:eastAsia="宋体" w:cs="Times New Roman"/>
          <w:color w:val="auto"/>
          <w:highlight w:val="none"/>
        </w:rPr>
      </w:pPr>
      <w:r>
        <w:rPr>
          <w:rFonts w:hint="eastAsia" w:ascii="宋体" w:hAnsi="宋体" w:eastAsia="宋体" w:cs="Times New Roman"/>
          <w:color w:val="auto"/>
          <w:highlight w:val="none"/>
        </w:rPr>
        <w:t>（1）“是否通过并进入下一阶段评审”一栏应写“通过”或“不通过”；</w:t>
      </w:r>
    </w:p>
    <w:p w14:paraId="41657D89">
      <w:pPr>
        <w:pageBreakBefore w:val="0"/>
        <w:tabs>
          <w:tab w:val="left" w:pos="2127"/>
        </w:tabs>
        <w:kinsoku/>
        <w:wordWrap/>
        <w:overflowPunct/>
        <w:topLinePunct w:val="0"/>
        <w:autoSpaceDE/>
        <w:autoSpaceDN/>
        <w:bidi w:val="0"/>
        <w:adjustRightInd/>
        <w:snapToGrid/>
        <w:spacing w:line="360" w:lineRule="auto"/>
        <w:ind w:left="0" w:leftChars="0" w:firstLine="420" w:firstLineChars="200"/>
        <w:textAlignment w:val="auto"/>
        <w:outlineLvl w:val="9"/>
        <w:rPr>
          <w:rFonts w:hint="eastAsia" w:ascii="宋体" w:hAnsi="宋体" w:eastAsia="宋体" w:cs="Times New Roman"/>
          <w:color w:val="auto"/>
          <w:highlight w:val="none"/>
        </w:rPr>
      </w:pPr>
      <w:r>
        <w:rPr>
          <w:rFonts w:hint="eastAsia" w:ascii="宋体" w:hAnsi="宋体" w:eastAsia="宋体" w:cs="Times New Roman"/>
          <w:color w:val="auto"/>
          <w:highlight w:val="none"/>
        </w:rPr>
        <w:t>（2）每一项目符合的打“○”，不符合的打“×”；</w:t>
      </w:r>
    </w:p>
    <w:p w14:paraId="2560CD64">
      <w:pPr>
        <w:pageBreakBefore w:val="0"/>
        <w:tabs>
          <w:tab w:val="left" w:pos="2127"/>
        </w:tabs>
        <w:kinsoku/>
        <w:wordWrap/>
        <w:overflowPunct/>
        <w:topLinePunct w:val="0"/>
        <w:autoSpaceDE/>
        <w:autoSpaceDN/>
        <w:bidi w:val="0"/>
        <w:adjustRightInd/>
        <w:snapToGrid/>
        <w:spacing w:line="360" w:lineRule="auto"/>
        <w:ind w:left="0" w:leftChars="0" w:firstLine="420" w:firstLineChars="200"/>
        <w:textAlignment w:val="auto"/>
        <w:outlineLvl w:val="9"/>
        <w:rPr>
          <w:rFonts w:hint="eastAsia" w:ascii="宋体" w:hAnsi="宋体" w:eastAsia="宋体" w:cs="Times New Roman"/>
          <w:color w:val="auto"/>
          <w:highlight w:val="none"/>
        </w:rPr>
      </w:pPr>
      <w:r>
        <w:rPr>
          <w:rFonts w:hint="eastAsia" w:ascii="宋体" w:hAnsi="宋体" w:eastAsia="宋体" w:cs="Times New Roman"/>
          <w:color w:val="auto"/>
          <w:highlight w:val="none"/>
        </w:rPr>
        <w:t>（3）经</w:t>
      </w:r>
      <w:r>
        <w:rPr>
          <w:rFonts w:hint="eastAsia" w:ascii="宋体" w:hAnsi="宋体" w:cs="Times New Roman"/>
          <w:color w:val="auto"/>
          <w:highlight w:val="none"/>
          <w:lang w:val="en-US" w:eastAsia="zh-CN"/>
        </w:rPr>
        <w:t>评标委员会</w:t>
      </w:r>
      <w:r>
        <w:rPr>
          <w:rFonts w:hint="eastAsia" w:ascii="宋体" w:hAnsi="宋体" w:eastAsia="宋体" w:cs="Times New Roman"/>
          <w:color w:val="auto"/>
          <w:highlight w:val="none"/>
        </w:rPr>
        <w:t>审核后，出现一个“×”的结论为“不通过”，即按否决</w:t>
      </w:r>
      <w:r>
        <w:rPr>
          <w:rFonts w:hint="eastAsia" w:ascii="宋体" w:hAnsi="宋体" w:cs="Times New Roman"/>
          <w:color w:val="auto"/>
          <w:highlight w:val="none"/>
          <w:lang w:val="en-US" w:eastAsia="zh-CN"/>
        </w:rPr>
        <w:t>投标</w:t>
      </w:r>
      <w:r>
        <w:rPr>
          <w:rFonts w:hint="eastAsia" w:ascii="宋体" w:hAnsi="宋体" w:eastAsia="宋体" w:cs="Times New Roman"/>
          <w:color w:val="auto"/>
          <w:highlight w:val="none"/>
        </w:rPr>
        <w:t>处理；</w:t>
      </w:r>
    </w:p>
    <w:p w14:paraId="35740616">
      <w:pPr>
        <w:pageBreakBefore w:val="0"/>
        <w:tabs>
          <w:tab w:val="left" w:pos="2127"/>
        </w:tabs>
        <w:kinsoku/>
        <w:wordWrap/>
        <w:overflowPunct/>
        <w:topLinePunct w:val="0"/>
        <w:autoSpaceDE/>
        <w:autoSpaceDN/>
        <w:bidi w:val="0"/>
        <w:adjustRightInd/>
        <w:snapToGrid/>
        <w:spacing w:line="360" w:lineRule="auto"/>
        <w:ind w:left="0" w:leftChars="0" w:firstLine="420" w:firstLineChars="200"/>
        <w:textAlignment w:val="auto"/>
        <w:outlineLvl w:val="9"/>
        <w:rPr>
          <w:rFonts w:hint="eastAsia" w:ascii="宋体" w:hAnsi="宋体" w:eastAsia="宋体" w:cs="Times New Roman"/>
          <w:color w:val="auto"/>
          <w:highlight w:val="none"/>
        </w:rPr>
      </w:pPr>
      <w:r>
        <w:rPr>
          <w:rFonts w:hint="eastAsia" w:ascii="宋体" w:hAnsi="宋体" w:eastAsia="宋体" w:cs="Times New Roman"/>
          <w:color w:val="auto"/>
          <w:highlight w:val="none"/>
        </w:rPr>
        <w:t>（4）表中全部条件满足为“通过”，方可进入下一阶段评审；</w:t>
      </w:r>
    </w:p>
    <w:p w14:paraId="11B1232A">
      <w:pPr>
        <w:pageBreakBefore w:val="0"/>
        <w:tabs>
          <w:tab w:val="left" w:pos="2127"/>
        </w:tabs>
        <w:kinsoku/>
        <w:wordWrap/>
        <w:overflowPunct/>
        <w:topLinePunct w:val="0"/>
        <w:autoSpaceDE/>
        <w:autoSpaceDN/>
        <w:bidi w:val="0"/>
        <w:adjustRightInd/>
        <w:snapToGrid/>
        <w:spacing w:line="360" w:lineRule="auto"/>
        <w:ind w:left="0" w:leftChars="0" w:firstLine="420" w:firstLineChars="200"/>
        <w:textAlignment w:val="auto"/>
        <w:outlineLvl w:val="9"/>
        <w:rPr>
          <w:rFonts w:hint="eastAsia" w:ascii="宋体" w:hAnsi="宋体" w:eastAsia="宋体" w:cs="Times New Roman"/>
          <w:color w:val="auto"/>
          <w:highlight w:val="none"/>
        </w:rPr>
      </w:pPr>
      <w:r>
        <w:rPr>
          <w:rFonts w:hint="eastAsia" w:ascii="宋体" w:hAnsi="宋体" w:eastAsia="宋体" w:cs="Times New Roman"/>
          <w:color w:val="auto"/>
          <w:highlight w:val="none"/>
        </w:rPr>
        <w:t>（5）初步评审采取集体讨论评议的方式，按评审表的顺序逐条进行评审。若评委意见不一致时，则按少数服从多数的原则，决定该</w:t>
      </w:r>
      <w:r>
        <w:rPr>
          <w:rFonts w:hint="eastAsia" w:ascii="宋体" w:hAnsi="宋体" w:cs="Times New Roman"/>
          <w:color w:val="auto"/>
          <w:highlight w:val="none"/>
          <w:lang w:val="en-US" w:eastAsia="zh-CN"/>
        </w:rPr>
        <w:t>投标人</w:t>
      </w:r>
      <w:r>
        <w:rPr>
          <w:rFonts w:hint="eastAsia" w:ascii="宋体" w:hAnsi="宋体" w:eastAsia="宋体" w:cs="Times New Roman"/>
          <w:color w:val="auto"/>
          <w:highlight w:val="none"/>
        </w:rPr>
        <w:t>是否通过初步评审，进入下一阶段评审。</w:t>
      </w:r>
    </w:p>
    <w:p w14:paraId="2C46B696">
      <w:pPr>
        <w:pageBreakBefore w:val="0"/>
        <w:tabs>
          <w:tab w:val="left" w:pos="2127"/>
        </w:tabs>
        <w:kinsoku/>
        <w:wordWrap/>
        <w:overflowPunct/>
        <w:topLinePunct w:val="0"/>
        <w:autoSpaceDE/>
        <w:autoSpaceDN/>
        <w:bidi w:val="0"/>
        <w:adjustRightInd/>
        <w:snapToGrid/>
        <w:spacing w:line="360" w:lineRule="auto"/>
        <w:ind w:left="0" w:leftChars="0" w:firstLine="420" w:firstLineChars="200"/>
        <w:textAlignment w:val="auto"/>
        <w:outlineLvl w:val="9"/>
        <w:rPr>
          <w:rFonts w:hint="eastAsia" w:ascii="宋体" w:hAnsi="宋体" w:eastAsia="宋体" w:cs="Times New Roman"/>
          <w:color w:val="auto"/>
          <w:highlight w:val="none"/>
        </w:rPr>
      </w:pPr>
      <w:r>
        <w:rPr>
          <w:rFonts w:hint="eastAsia" w:ascii="宋体" w:hAnsi="宋体" w:eastAsia="宋体" w:cs="Times New Roman"/>
          <w:color w:val="auto"/>
          <w:highlight w:val="none"/>
        </w:rPr>
        <w:t>（6）</w:t>
      </w:r>
      <w:r>
        <w:rPr>
          <w:rFonts w:hint="eastAsia" w:ascii="宋体" w:hAnsi="宋体" w:cs="Times New Roman"/>
          <w:color w:val="auto"/>
          <w:sz w:val="21"/>
          <w:szCs w:val="22"/>
          <w:highlight w:val="none"/>
        </w:rPr>
        <w:t>通过初步评审的投标人数量不足N+2家的，若评标委员会认定投标明显缺乏竞争的，招标失败；若评标委员会认定仍具备竞争的，可进入下一阶段评审。</w:t>
      </w:r>
    </w:p>
    <w:p w14:paraId="563CFB8D">
      <w:pPr>
        <w:rPr>
          <w:rFonts w:hint="eastAsia" w:ascii="宋体" w:hAnsi="宋体" w:eastAsia="宋体" w:cs="宋体"/>
          <w:b/>
          <w:bCs/>
          <w:color w:val="auto"/>
          <w:sz w:val="21"/>
          <w:szCs w:val="21"/>
          <w:highlight w:val="none"/>
        </w:rPr>
      </w:pPr>
    </w:p>
    <w:p w14:paraId="1F65C936">
      <w:pPr>
        <w:keepNext w:val="0"/>
        <w:keepLines w:val="0"/>
        <w:pageBreakBefore w:val="0"/>
        <w:kinsoku/>
        <w:wordWrap/>
        <w:overflowPunct/>
        <w:topLinePunct w:val="0"/>
        <w:autoSpaceDE/>
        <w:autoSpaceDN/>
        <w:bidi w:val="0"/>
        <w:adjustRightInd/>
        <w:snapToGrid/>
        <w:spacing w:line="312" w:lineRule="auto"/>
        <w:textAlignment w:val="auto"/>
        <w:outlineLvl w:val="2"/>
        <w:rPr>
          <w:rFonts w:hint="eastAsia" w:ascii="宋体" w:hAnsi="宋体" w:eastAsia="宋体" w:cs="宋体"/>
          <w:b/>
          <w:bCs/>
          <w:color w:val="auto"/>
          <w:sz w:val="21"/>
          <w:szCs w:val="21"/>
          <w:highlight w:val="none"/>
        </w:rPr>
      </w:pPr>
      <w:bookmarkStart w:id="2155" w:name="_Toc17877"/>
      <w:bookmarkStart w:id="2156" w:name="_Toc9913"/>
      <w:bookmarkStart w:id="2157" w:name="_Toc19495"/>
      <w:bookmarkStart w:id="2158" w:name="_Toc5301"/>
      <w:bookmarkStart w:id="2159" w:name="_Toc29113"/>
      <w:bookmarkStart w:id="2160" w:name="_Toc6703"/>
      <w:bookmarkStart w:id="2161" w:name="_Toc4799"/>
      <w:r>
        <w:rPr>
          <w:rFonts w:hint="eastAsia" w:ascii="宋体" w:hAnsi="宋体" w:eastAsia="宋体" w:cs="宋体"/>
          <w:b/>
          <w:bCs/>
          <w:color w:val="auto"/>
          <w:sz w:val="21"/>
          <w:szCs w:val="21"/>
          <w:highlight w:val="none"/>
        </w:rPr>
        <w:t xml:space="preserve">2.2 </w:t>
      </w:r>
      <w:bookmarkEnd w:id="2155"/>
      <w:bookmarkEnd w:id="2156"/>
      <w:bookmarkEnd w:id="2157"/>
      <w:bookmarkEnd w:id="2158"/>
      <w:bookmarkEnd w:id="2159"/>
      <w:bookmarkEnd w:id="2160"/>
      <w:r>
        <w:rPr>
          <w:rFonts w:hint="eastAsia" w:ascii="宋体" w:hAnsi="宋体" w:eastAsia="宋体" w:cs="Times New Roman"/>
          <w:b/>
          <w:bCs/>
          <w:color w:val="auto"/>
          <w:highlight w:val="none"/>
        </w:rPr>
        <w:t>详细评审</w:t>
      </w:r>
      <w:bookmarkEnd w:id="2161"/>
    </w:p>
    <w:p w14:paraId="255CE053">
      <w:pPr>
        <w:keepNext w:val="0"/>
        <w:keepLines w:val="0"/>
        <w:pageBreakBefore w:val="0"/>
        <w:widowControl w:val="0"/>
        <w:tabs>
          <w:tab w:val="left" w:pos="2127"/>
        </w:tabs>
        <w:kinsoku/>
        <w:wordWrap/>
        <w:overflowPunct/>
        <w:topLinePunct w:val="0"/>
        <w:autoSpaceDE/>
        <w:autoSpaceDN/>
        <w:bidi w:val="0"/>
        <w:adjustRightInd/>
        <w:snapToGrid/>
        <w:spacing w:line="312" w:lineRule="auto"/>
        <w:ind w:firstLine="422" w:firstLineChars="200"/>
        <w:textAlignment w:val="auto"/>
        <w:outlineLvl w:val="2"/>
        <w:rPr>
          <w:rFonts w:hint="eastAsia" w:ascii="宋体" w:hAnsi="宋体" w:eastAsia="宋体" w:cs="宋体"/>
          <w:b/>
          <w:bCs/>
          <w:color w:val="auto"/>
          <w:kern w:val="2"/>
          <w:sz w:val="21"/>
          <w:szCs w:val="21"/>
          <w:highlight w:val="none"/>
          <w:lang w:val="en-US" w:eastAsia="zh-CN"/>
        </w:rPr>
      </w:pPr>
      <w:bookmarkStart w:id="2162" w:name="_Toc29966"/>
      <w:bookmarkStart w:id="2163" w:name="_Toc30709"/>
      <w:bookmarkStart w:id="2164" w:name="_Toc8771"/>
      <w:bookmarkStart w:id="2165" w:name="_Toc21910"/>
      <w:bookmarkStart w:id="2166" w:name="_Toc22280"/>
      <w:bookmarkStart w:id="2167" w:name="_Toc20093"/>
      <w:bookmarkStart w:id="2168" w:name="_Toc9597"/>
      <w:r>
        <w:rPr>
          <w:rFonts w:hint="eastAsia" w:ascii="宋体" w:hAnsi="宋体" w:eastAsia="宋体" w:cs="宋体"/>
          <w:b/>
          <w:bCs/>
          <w:color w:val="auto"/>
          <w:kern w:val="2"/>
          <w:sz w:val="21"/>
          <w:szCs w:val="21"/>
          <w:highlight w:val="none"/>
          <w:lang w:val="en-US" w:eastAsia="zh-CN"/>
        </w:rPr>
        <w:t>2.2.1评分标准</w:t>
      </w:r>
      <w:bookmarkEnd w:id="2162"/>
      <w:bookmarkEnd w:id="2163"/>
      <w:bookmarkEnd w:id="2164"/>
      <w:bookmarkEnd w:id="2165"/>
      <w:bookmarkEnd w:id="2166"/>
      <w:bookmarkEnd w:id="2167"/>
      <w:bookmarkEnd w:id="2168"/>
    </w:p>
    <w:tbl>
      <w:tblPr>
        <w:tblStyle w:val="46"/>
        <w:tblW w:w="8060" w:type="dxa"/>
        <w:jc w:val="center"/>
        <w:tblLayout w:type="fixed"/>
        <w:tblCellMar>
          <w:top w:w="0" w:type="dxa"/>
          <w:left w:w="0" w:type="dxa"/>
          <w:bottom w:w="0" w:type="dxa"/>
          <w:right w:w="0" w:type="dxa"/>
        </w:tblCellMar>
      </w:tblPr>
      <w:tblGrid>
        <w:gridCol w:w="2625"/>
        <w:gridCol w:w="1811"/>
        <w:gridCol w:w="1895"/>
        <w:gridCol w:w="1729"/>
      </w:tblGrid>
      <w:tr w14:paraId="3194DA91">
        <w:tblPrEx>
          <w:tblCellMar>
            <w:top w:w="0" w:type="dxa"/>
            <w:left w:w="0" w:type="dxa"/>
            <w:bottom w:w="0" w:type="dxa"/>
            <w:right w:w="0" w:type="dxa"/>
          </w:tblCellMar>
        </w:tblPrEx>
        <w:trPr>
          <w:trHeight w:val="640" w:hRule="atLeast"/>
          <w:jc w:val="center"/>
        </w:trPr>
        <w:tc>
          <w:tcPr>
            <w:tcW w:w="262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14:paraId="1EC61A8A">
            <w:pPr>
              <w:jc w:val="center"/>
              <w:rPr>
                <w:rFonts w:ascii="Dialog" w:hAnsi="Dialog" w:cs="Dialog"/>
                <w:b/>
                <w:bCs/>
                <w:color w:val="auto"/>
                <w:sz w:val="24"/>
                <w:szCs w:val="24"/>
                <w:highlight w:val="none"/>
              </w:rPr>
            </w:pPr>
            <w:r>
              <w:rPr>
                <w:rFonts w:ascii="Dialog" w:hAnsi="Dialog" w:cs="Dialog"/>
                <w:b/>
                <w:bCs/>
                <w:color w:val="auto"/>
                <w:sz w:val="24"/>
                <w:szCs w:val="24"/>
                <w:highlight w:val="none"/>
              </w:rPr>
              <w:t>评分办法名称</w:t>
            </w:r>
          </w:p>
        </w:tc>
        <w:tc>
          <w:tcPr>
            <w:tcW w:w="5435"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14:paraId="47F3B219">
            <w:pPr>
              <w:jc w:val="center"/>
              <w:rPr>
                <w:rFonts w:ascii="Dialog" w:hAnsi="Dialog" w:cs="Dialog"/>
                <w:color w:val="auto"/>
                <w:sz w:val="24"/>
                <w:szCs w:val="24"/>
                <w:highlight w:val="none"/>
              </w:rPr>
            </w:pPr>
            <w:r>
              <w:rPr>
                <w:rFonts w:ascii="Dialog" w:hAnsi="Dialog" w:cs="Dialog"/>
                <w:b/>
                <w:bCs/>
                <w:color w:val="auto"/>
                <w:sz w:val="24"/>
                <w:szCs w:val="24"/>
                <w:highlight w:val="none"/>
              </w:rPr>
              <w:t>综合</w:t>
            </w:r>
            <w:r>
              <w:rPr>
                <w:rFonts w:hint="eastAsia" w:ascii="Dialog" w:hAnsi="Dialog" w:cs="Dialog"/>
                <w:b/>
                <w:bCs/>
                <w:color w:val="auto"/>
                <w:sz w:val="24"/>
                <w:szCs w:val="24"/>
                <w:highlight w:val="none"/>
                <w:lang w:eastAsia="zh-CN"/>
              </w:rPr>
              <w:t>评估</w:t>
            </w:r>
            <w:r>
              <w:rPr>
                <w:rFonts w:ascii="Dialog" w:hAnsi="Dialog" w:cs="Dialog"/>
                <w:b/>
                <w:bCs/>
                <w:color w:val="auto"/>
                <w:sz w:val="24"/>
                <w:szCs w:val="24"/>
                <w:highlight w:val="none"/>
              </w:rPr>
              <w:t>法</w:t>
            </w:r>
          </w:p>
        </w:tc>
      </w:tr>
      <w:tr w14:paraId="735F5C84">
        <w:tblPrEx>
          <w:tblCellMar>
            <w:top w:w="0" w:type="dxa"/>
            <w:left w:w="0" w:type="dxa"/>
            <w:bottom w:w="0" w:type="dxa"/>
            <w:right w:w="0" w:type="dxa"/>
          </w:tblCellMar>
        </w:tblPrEx>
        <w:trPr>
          <w:trHeight w:val="580" w:hRule="atLeast"/>
          <w:jc w:val="center"/>
        </w:trPr>
        <w:tc>
          <w:tcPr>
            <w:tcW w:w="262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14:paraId="09F9052B">
            <w:pPr>
              <w:jc w:val="center"/>
              <w:rPr>
                <w:rFonts w:ascii="Dialog" w:hAnsi="Dialog" w:cs="Dialog"/>
                <w:color w:val="auto"/>
                <w:sz w:val="24"/>
                <w:szCs w:val="24"/>
                <w:highlight w:val="none"/>
              </w:rPr>
            </w:pPr>
            <w:r>
              <w:rPr>
                <w:rFonts w:hint="eastAsia" w:ascii="Dialog" w:hAnsi="Dialog" w:cs="Dialog"/>
                <w:color w:val="auto"/>
                <w:sz w:val="24"/>
                <w:szCs w:val="24"/>
                <w:highlight w:val="none"/>
              </w:rPr>
              <w:t>评审项</w:t>
            </w:r>
          </w:p>
        </w:tc>
        <w:tc>
          <w:tcPr>
            <w:tcW w:w="181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14:paraId="4B383369">
            <w:pPr>
              <w:jc w:val="center"/>
              <w:rPr>
                <w:rFonts w:ascii="Dialog" w:hAnsi="Dialog" w:cs="Dialog"/>
                <w:color w:val="auto"/>
                <w:sz w:val="24"/>
                <w:szCs w:val="24"/>
                <w:highlight w:val="none"/>
              </w:rPr>
            </w:pPr>
            <w:r>
              <w:rPr>
                <w:rFonts w:ascii="Dialog" w:hAnsi="Dialog" w:cs="Dialog"/>
                <w:color w:val="auto"/>
                <w:sz w:val="24"/>
                <w:szCs w:val="24"/>
                <w:highlight w:val="none"/>
              </w:rPr>
              <w:t>商务</w:t>
            </w:r>
          </w:p>
        </w:tc>
        <w:tc>
          <w:tcPr>
            <w:tcW w:w="189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14:paraId="7AC886C3">
            <w:pPr>
              <w:jc w:val="center"/>
              <w:rPr>
                <w:rFonts w:ascii="Dialog" w:hAnsi="Dialog" w:cs="Dialog"/>
                <w:color w:val="auto"/>
                <w:sz w:val="24"/>
                <w:szCs w:val="24"/>
                <w:highlight w:val="none"/>
              </w:rPr>
            </w:pPr>
            <w:r>
              <w:rPr>
                <w:rFonts w:ascii="Dialog" w:hAnsi="Dialog" w:cs="Dialog"/>
                <w:color w:val="auto"/>
                <w:sz w:val="24"/>
                <w:szCs w:val="24"/>
                <w:highlight w:val="none"/>
              </w:rPr>
              <w:t>技术</w:t>
            </w:r>
          </w:p>
        </w:tc>
        <w:tc>
          <w:tcPr>
            <w:tcW w:w="1729"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14:paraId="57369E4D">
            <w:pPr>
              <w:jc w:val="center"/>
              <w:rPr>
                <w:rFonts w:ascii="Dialog" w:hAnsi="Dialog" w:cs="Dialog"/>
                <w:color w:val="auto"/>
                <w:sz w:val="24"/>
                <w:szCs w:val="24"/>
                <w:highlight w:val="none"/>
              </w:rPr>
            </w:pPr>
            <w:r>
              <w:rPr>
                <w:rFonts w:ascii="Dialog" w:hAnsi="Dialog" w:cs="Dialog"/>
                <w:color w:val="auto"/>
                <w:sz w:val="24"/>
                <w:szCs w:val="24"/>
                <w:highlight w:val="none"/>
              </w:rPr>
              <w:t>价格</w:t>
            </w:r>
          </w:p>
        </w:tc>
      </w:tr>
      <w:tr w14:paraId="06930955">
        <w:tblPrEx>
          <w:tblCellMar>
            <w:top w:w="0" w:type="dxa"/>
            <w:left w:w="0" w:type="dxa"/>
            <w:bottom w:w="0" w:type="dxa"/>
            <w:right w:w="0" w:type="dxa"/>
          </w:tblCellMar>
        </w:tblPrEx>
        <w:trPr>
          <w:trHeight w:val="560" w:hRule="atLeast"/>
          <w:jc w:val="center"/>
        </w:trPr>
        <w:tc>
          <w:tcPr>
            <w:tcW w:w="262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14:paraId="7980CFDC">
            <w:pPr>
              <w:jc w:val="center"/>
              <w:rPr>
                <w:rFonts w:hint="eastAsia" w:ascii="Dialog" w:hAnsi="Dialog" w:eastAsia="宋体" w:cs="Dialog"/>
                <w:color w:val="auto"/>
                <w:sz w:val="24"/>
                <w:szCs w:val="24"/>
                <w:highlight w:val="none"/>
                <w:lang w:eastAsia="zh-CN"/>
              </w:rPr>
            </w:pPr>
            <w:r>
              <w:rPr>
                <w:rFonts w:hint="eastAsia" w:ascii="Dialog" w:hAnsi="Dialog" w:cs="Dialog"/>
                <w:color w:val="auto"/>
                <w:sz w:val="24"/>
                <w:szCs w:val="24"/>
                <w:highlight w:val="none"/>
              </w:rPr>
              <w:t>权重</w:t>
            </w:r>
            <w:r>
              <w:rPr>
                <w:rFonts w:hint="eastAsia" w:ascii="Dialog" w:hAnsi="Dialog" w:cs="Dialog"/>
                <w:color w:val="auto"/>
                <w:sz w:val="24"/>
                <w:szCs w:val="24"/>
                <w:highlight w:val="none"/>
                <w:lang w:eastAsia="zh-CN"/>
              </w:rPr>
              <w:t>值（</w:t>
            </w:r>
            <w:r>
              <w:rPr>
                <w:rFonts w:hint="eastAsia" w:ascii="Dialog" w:hAnsi="Dialog" w:cs="Dialog"/>
                <w:color w:val="auto"/>
                <w:sz w:val="24"/>
                <w:szCs w:val="24"/>
                <w:highlight w:val="none"/>
                <w:lang w:val="en-US" w:eastAsia="zh-CN"/>
              </w:rPr>
              <w:t>%</w:t>
            </w:r>
            <w:r>
              <w:rPr>
                <w:rFonts w:hint="eastAsia" w:ascii="Dialog" w:hAnsi="Dialog" w:cs="Dialog"/>
                <w:color w:val="auto"/>
                <w:sz w:val="24"/>
                <w:szCs w:val="24"/>
                <w:highlight w:val="none"/>
                <w:lang w:eastAsia="zh-CN"/>
              </w:rPr>
              <w:t>）</w:t>
            </w:r>
          </w:p>
        </w:tc>
        <w:tc>
          <w:tcPr>
            <w:tcW w:w="181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14:paraId="0A4F06DE">
            <w:pPr>
              <w:jc w:val="center"/>
              <w:rPr>
                <w:rFonts w:ascii="Dialog" w:hAnsi="Dialog" w:cs="Dialog"/>
                <w:color w:val="auto"/>
                <w:sz w:val="24"/>
                <w:szCs w:val="24"/>
                <w:highlight w:val="none"/>
              </w:rPr>
            </w:pPr>
            <w:r>
              <w:rPr>
                <w:rFonts w:hint="eastAsia" w:ascii="Dialog" w:hAnsi="Dialog" w:cs="Dialog"/>
                <w:color w:val="auto"/>
                <w:sz w:val="24"/>
                <w:szCs w:val="24"/>
                <w:highlight w:val="none"/>
                <w:lang w:val="en-US" w:eastAsia="zh-CN"/>
              </w:rPr>
              <w:t>100</w:t>
            </w:r>
          </w:p>
        </w:tc>
        <w:tc>
          <w:tcPr>
            <w:tcW w:w="189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14:paraId="0301DE04">
            <w:pPr>
              <w:jc w:val="center"/>
              <w:rPr>
                <w:rFonts w:ascii="Dialog" w:hAnsi="Dialog" w:cs="Dialog"/>
                <w:color w:val="auto"/>
                <w:sz w:val="24"/>
                <w:szCs w:val="24"/>
                <w:highlight w:val="none"/>
              </w:rPr>
            </w:pPr>
            <w:r>
              <w:rPr>
                <w:rFonts w:hint="eastAsia" w:ascii="Dialog" w:hAnsi="Dialog" w:cs="Dialog"/>
                <w:color w:val="auto"/>
                <w:sz w:val="24"/>
                <w:szCs w:val="24"/>
                <w:highlight w:val="none"/>
                <w:lang w:val="en-US" w:eastAsia="zh-CN"/>
              </w:rPr>
              <w:t>100</w:t>
            </w:r>
          </w:p>
        </w:tc>
        <w:tc>
          <w:tcPr>
            <w:tcW w:w="1729"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14:paraId="6D08A69C">
            <w:pPr>
              <w:jc w:val="center"/>
              <w:rPr>
                <w:rFonts w:ascii="Dialog" w:hAnsi="Dialog" w:cs="Dialog"/>
                <w:color w:val="auto"/>
                <w:sz w:val="24"/>
                <w:szCs w:val="24"/>
                <w:highlight w:val="none"/>
              </w:rPr>
            </w:pPr>
            <w:r>
              <w:rPr>
                <w:rFonts w:hint="eastAsia" w:ascii="Dialog" w:hAnsi="Dialog" w:cs="Dialog"/>
                <w:color w:val="auto"/>
                <w:sz w:val="24"/>
                <w:szCs w:val="24"/>
                <w:highlight w:val="none"/>
                <w:lang w:val="en-US" w:eastAsia="zh-CN"/>
              </w:rPr>
              <w:t>100</w:t>
            </w:r>
          </w:p>
        </w:tc>
      </w:tr>
    </w:tbl>
    <w:p w14:paraId="1CC44CA5">
      <w:pPr>
        <w:pStyle w:val="17"/>
        <w:rPr>
          <w:rFonts w:hint="eastAsia"/>
          <w:highlight w:val="none"/>
          <w:lang w:val="en-US" w:eastAsia="zh-CN"/>
        </w:rPr>
      </w:pPr>
    </w:p>
    <w:tbl>
      <w:tblPr>
        <w:tblStyle w:val="46"/>
        <w:tblW w:w="9619" w:type="dxa"/>
        <w:jc w:val="center"/>
        <w:shd w:val="clear" w:color="auto" w:fill="auto"/>
        <w:tblLayout w:type="fixed"/>
        <w:tblCellMar>
          <w:top w:w="0" w:type="dxa"/>
          <w:left w:w="0" w:type="dxa"/>
          <w:bottom w:w="0" w:type="dxa"/>
          <w:right w:w="0" w:type="dxa"/>
        </w:tblCellMar>
      </w:tblPr>
      <w:tblGrid>
        <w:gridCol w:w="828"/>
        <w:gridCol w:w="1749"/>
        <w:gridCol w:w="6091"/>
        <w:gridCol w:w="951"/>
      </w:tblGrid>
      <w:tr w14:paraId="71803D0C">
        <w:tblPrEx>
          <w:shd w:val="clear" w:color="auto" w:fill="auto"/>
          <w:tblCellMar>
            <w:top w:w="0" w:type="dxa"/>
            <w:left w:w="0" w:type="dxa"/>
            <w:bottom w:w="0" w:type="dxa"/>
            <w:right w:w="0" w:type="dxa"/>
          </w:tblCellMar>
        </w:tblPrEx>
        <w:trPr>
          <w:trHeight w:val="567" w:hRule="atLeast"/>
          <w:jc w:val="center"/>
        </w:trPr>
        <w:tc>
          <w:tcPr>
            <w:tcW w:w="9619" w:type="dxa"/>
            <w:gridSpan w:val="4"/>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6490C3D6">
            <w:pPr>
              <w:keepNext w:val="0"/>
              <w:keepLines w:val="0"/>
              <w:pageBreakBefore w:val="0"/>
              <w:kinsoku/>
              <w:wordWrap/>
              <w:overflowPunct/>
              <w:topLinePunct w:val="0"/>
              <w:autoSpaceDE/>
              <w:autoSpaceDN/>
              <w:bidi w:val="0"/>
              <w:adjustRightInd/>
              <w:snapToGrid/>
              <w:spacing w:line="312" w:lineRule="auto"/>
              <w:ind w:left="0" w:firstLine="0" w:firstLineChars="0"/>
              <w:rPr>
                <w:rFonts w:hint="eastAsia" w:ascii="宋体" w:hAnsi="宋体" w:eastAsia="宋体" w:cs="宋体"/>
                <w:color w:val="auto"/>
                <w:sz w:val="21"/>
                <w:szCs w:val="21"/>
                <w:highlight w:val="none"/>
                <w:u w:val="none"/>
              </w:rPr>
            </w:pPr>
            <w:bookmarkStart w:id="2169" w:name="_Toc28933"/>
            <w:bookmarkStart w:id="2170" w:name="_Toc7372"/>
            <w:bookmarkStart w:id="2171" w:name="_Toc4696"/>
            <w:bookmarkStart w:id="2172" w:name="_Toc28315"/>
            <w:bookmarkStart w:id="2173" w:name="_Toc2951"/>
            <w:bookmarkStart w:id="2174" w:name="_Toc27646"/>
            <w:r>
              <w:rPr>
                <w:rFonts w:hint="eastAsia" w:ascii="宋体" w:hAnsi="宋体" w:eastAsia="宋体" w:cs="宋体"/>
                <w:b/>
                <w:bCs/>
                <w:color w:val="auto"/>
                <w:sz w:val="21"/>
                <w:szCs w:val="21"/>
                <w:highlight w:val="none"/>
                <w:u w:val="none"/>
              </w:rPr>
              <w:t>（一）商务评审（</w:t>
            </w:r>
            <w:r>
              <w:rPr>
                <w:rFonts w:hint="eastAsia" w:ascii="宋体" w:hAnsi="宋体" w:cs="宋体"/>
                <w:b/>
                <w:bCs/>
                <w:color w:val="auto"/>
                <w:sz w:val="21"/>
                <w:szCs w:val="21"/>
                <w:highlight w:val="none"/>
                <w:u w:val="none"/>
                <w:lang w:val="en-US" w:eastAsia="zh-CN"/>
              </w:rPr>
              <w:t>30</w:t>
            </w:r>
            <w:r>
              <w:rPr>
                <w:rFonts w:hint="eastAsia" w:ascii="宋体" w:hAnsi="宋体" w:eastAsia="宋体" w:cs="宋体"/>
                <w:b/>
                <w:bCs/>
                <w:color w:val="auto"/>
                <w:sz w:val="21"/>
                <w:szCs w:val="21"/>
                <w:highlight w:val="none"/>
                <w:u w:val="none"/>
              </w:rPr>
              <w:t>）分</w:t>
            </w:r>
          </w:p>
        </w:tc>
      </w:tr>
      <w:tr w14:paraId="4D67375E">
        <w:tblPrEx>
          <w:shd w:val="clear" w:color="auto" w:fill="auto"/>
          <w:tblCellMar>
            <w:top w:w="0" w:type="dxa"/>
            <w:left w:w="0" w:type="dxa"/>
            <w:bottom w:w="0" w:type="dxa"/>
            <w:right w:w="0" w:type="dxa"/>
          </w:tblCellMar>
        </w:tblPrEx>
        <w:trPr>
          <w:trHeight w:val="567" w:hRule="atLeast"/>
          <w:jc w:val="center"/>
        </w:trPr>
        <w:tc>
          <w:tcPr>
            <w:tcW w:w="828"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067933F9">
            <w:pPr>
              <w:keepNext w:val="0"/>
              <w:keepLines w:val="0"/>
              <w:pageBreakBefore w:val="0"/>
              <w:kinsoku/>
              <w:wordWrap/>
              <w:overflowPunct/>
              <w:topLinePunct w:val="0"/>
              <w:autoSpaceDE/>
              <w:autoSpaceDN/>
              <w:bidi w:val="0"/>
              <w:adjustRightInd/>
              <w:snapToGrid/>
              <w:spacing w:line="312" w:lineRule="auto"/>
              <w:ind w:left="0" w:firstLine="0" w:firstLineChars="0"/>
              <w:jc w:val="center"/>
              <w:rPr>
                <w:rFonts w:hint="eastAsia" w:ascii="宋体" w:hAnsi="宋体" w:eastAsia="宋体" w:cs="宋体"/>
                <w:color w:val="auto"/>
                <w:sz w:val="21"/>
                <w:szCs w:val="21"/>
                <w:highlight w:val="none"/>
                <w:u w:val="none"/>
              </w:rPr>
            </w:pPr>
            <w:r>
              <w:rPr>
                <w:rFonts w:hint="eastAsia" w:ascii="宋体" w:hAnsi="宋体" w:eastAsia="宋体" w:cs="宋体"/>
                <w:b/>
                <w:bCs/>
                <w:color w:val="auto"/>
                <w:sz w:val="21"/>
                <w:szCs w:val="21"/>
                <w:highlight w:val="none"/>
                <w:u w:val="none"/>
              </w:rPr>
              <w:t>序号</w:t>
            </w:r>
          </w:p>
        </w:tc>
        <w:tc>
          <w:tcPr>
            <w:tcW w:w="1749"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28BCE07">
            <w:pPr>
              <w:keepNext w:val="0"/>
              <w:keepLines w:val="0"/>
              <w:pageBreakBefore w:val="0"/>
              <w:kinsoku/>
              <w:wordWrap/>
              <w:overflowPunct/>
              <w:topLinePunct w:val="0"/>
              <w:autoSpaceDE/>
              <w:autoSpaceDN/>
              <w:bidi w:val="0"/>
              <w:adjustRightInd/>
              <w:snapToGrid/>
              <w:spacing w:line="312" w:lineRule="auto"/>
              <w:ind w:left="0" w:firstLine="0" w:firstLineChars="0"/>
              <w:jc w:val="center"/>
              <w:rPr>
                <w:rFonts w:hint="eastAsia" w:ascii="宋体" w:hAnsi="宋体" w:eastAsia="宋体" w:cs="宋体"/>
                <w:color w:val="auto"/>
                <w:sz w:val="21"/>
                <w:szCs w:val="21"/>
                <w:highlight w:val="none"/>
                <w:u w:val="none"/>
              </w:rPr>
            </w:pPr>
            <w:r>
              <w:rPr>
                <w:rFonts w:hint="eastAsia" w:ascii="宋体" w:hAnsi="宋体" w:eastAsia="宋体" w:cs="宋体"/>
                <w:b/>
                <w:bCs/>
                <w:color w:val="auto"/>
                <w:sz w:val="21"/>
                <w:szCs w:val="21"/>
                <w:highlight w:val="none"/>
                <w:u w:val="none"/>
              </w:rPr>
              <w:t>详细评审项</w:t>
            </w:r>
          </w:p>
        </w:tc>
        <w:tc>
          <w:tcPr>
            <w:tcW w:w="609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8210CDB">
            <w:pPr>
              <w:keepNext w:val="0"/>
              <w:keepLines w:val="0"/>
              <w:pageBreakBefore w:val="0"/>
              <w:kinsoku/>
              <w:wordWrap/>
              <w:overflowPunct/>
              <w:topLinePunct w:val="0"/>
              <w:autoSpaceDE/>
              <w:autoSpaceDN/>
              <w:bidi w:val="0"/>
              <w:adjustRightInd/>
              <w:snapToGrid/>
              <w:spacing w:line="312" w:lineRule="auto"/>
              <w:ind w:left="0" w:firstLine="0" w:firstLineChars="0"/>
              <w:jc w:val="center"/>
              <w:rPr>
                <w:rFonts w:hint="eastAsia" w:ascii="宋体" w:hAnsi="宋体" w:eastAsia="宋体" w:cs="宋体"/>
                <w:color w:val="auto"/>
                <w:sz w:val="21"/>
                <w:szCs w:val="21"/>
                <w:highlight w:val="none"/>
                <w:u w:val="none"/>
              </w:rPr>
            </w:pPr>
            <w:r>
              <w:rPr>
                <w:rFonts w:hint="eastAsia" w:ascii="宋体" w:hAnsi="宋体" w:eastAsia="宋体" w:cs="宋体"/>
                <w:b/>
                <w:bCs/>
                <w:color w:val="auto"/>
                <w:sz w:val="21"/>
                <w:szCs w:val="21"/>
                <w:highlight w:val="none"/>
                <w:u w:val="none"/>
              </w:rPr>
              <w:t>详细评审分项要素</w:t>
            </w:r>
          </w:p>
        </w:tc>
        <w:tc>
          <w:tcPr>
            <w:tcW w:w="95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6D1D9EB5">
            <w:pPr>
              <w:keepNext w:val="0"/>
              <w:keepLines w:val="0"/>
              <w:pageBreakBefore w:val="0"/>
              <w:kinsoku/>
              <w:wordWrap/>
              <w:overflowPunct/>
              <w:topLinePunct w:val="0"/>
              <w:autoSpaceDE/>
              <w:autoSpaceDN/>
              <w:bidi w:val="0"/>
              <w:adjustRightInd/>
              <w:snapToGrid/>
              <w:spacing w:line="312" w:lineRule="auto"/>
              <w:ind w:left="0" w:firstLine="0" w:firstLineChars="0"/>
              <w:jc w:val="center"/>
              <w:rPr>
                <w:rFonts w:hint="eastAsia" w:ascii="宋体" w:hAnsi="宋体" w:eastAsia="宋体" w:cs="宋体"/>
                <w:color w:val="auto"/>
                <w:sz w:val="21"/>
                <w:szCs w:val="21"/>
                <w:highlight w:val="none"/>
                <w:u w:val="none"/>
              </w:rPr>
            </w:pPr>
            <w:r>
              <w:rPr>
                <w:rFonts w:hint="eastAsia" w:ascii="宋体" w:hAnsi="宋体" w:eastAsia="宋体" w:cs="宋体"/>
                <w:b/>
                <w:bCs/>
                <w:color w:val="auto"/>
                <w:sz w:val="21"/>
                <w:szCs w:val="21"/>
                <w:highlight w:val="none"/>
                <w:u w:val="none"/>
              </w:rPr>
              <w:t>分值</w:t>
            </w:r>
          </w:p>
        </w:tc>
      </w:tr>
      <w:tr w14:paraId="79ED9410">
        <w:tblPrEx>
          <w:shd w:val="clear" w:color="auto" w:fill="auto"/>
          <w:tblCellMar>
            <w:top w:w="0" w:type="dxa"/>
            <w:left w:w="0" w:type="dxa"/>
            <w:bottom w:w="0" w:type="dxa"/>
            <w:right w:w="0" w:type="dxa"/>
          </w:tblCellMar>
        </w:tblPrEx>
        <w:trPr>
          <w:trHeight w:val="567" w:hRule="atLeast"/>
          <w:jc w:val="center"/>
        </w:trPr>
        <w:tc>
          <w:tcPr>
            <w:tcW w:w="828"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157DC50E">
            <w:pPr>
              <w:keepNext w:val="0"/>
              <w:keepLines w:val="0"/>
              <w:pageBreakBefore w:val="0"/>
              <w:kinsoku/>
              <w:wordWrap/>
              <w:overflowPunct/>
              <w:topLinePunct w:val="0"/>
              <w:autoSpaceDE/>
              <w:autoSpaceDN/>
              <w:bidi w:val="0"/>
              <w:adjustRightInd/>
              <w:snapToGrid/>
              <w:spacing w:line="312" w:lineRule="auto"/>
              <w:ind w:left="0" w:firstLine="0" w:firstLineChars="0"/>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w:t>
            </w:r>
          </w:p>
        </w:tc>
        <w:tc>
          <w:tcPr>
            <w:tcW w:w="1749"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7AAC1676">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rPr>
                <w:rFonts w:hint="eastAsia" w:ascii="宋体" w:hAnsi="宋体" w:eastAsia="宋体" w:cs="宋体"/>
                <w:color w:val="auto"/>
                <w:kern w:val="0"/>
                <w:sz w:val="21"/>
                <w:szCs w:val="21"/>
                <w:highlight w:val="none"/>
                <w:u w:val="none"/>
              </w:rPr>
            </w:pPr>
            <w:r>
              <w:rPr>
                <w:rFonts w:hint="eastAsia" w:ascii="宋体" w:hAnsi="宋体" w:cs="宋体"/>
                <w:color w:val="auto"/>
                <w:kern w:val="0"/>
                <w:szCs w:val="21"/>
                <w:highlight w:val="none"/>
              </w:rPr>
              <w:t>同类项目业绩</w:t>
            </w:r>
          </w:p>
        </w:tc>
        <w:tc>
          <w:tcPr>
            <w:tcW w:w="609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0C9BA0FE">
            <w:pPr>
              <w:widowControl/>
              <w:spacing w:line="312" w:lineRule="auto"/>
              <w:rPr>
                <w:rFonts w:hint="eastAsia"/>
                <w:color w:val="auto"/>
                <w:highlight w:val="none"/>
              </w:rPr>
            </w:pPr>
            <w:r>
              <w:rPr>
                <w:rFonts w:hint="eastAsia"/>
                <w:color w:val="auto"/>
                <w:highlight w:val="none"/>
              </w:rPr>
              <w:t>近三年（202</w:t>
            </w:r>
            <w:r>
              <w:rPr>
                <w:rFonts w:hint="eastAsia"/>
                <w:color w:val="auto"/>
                <w:highlight w:val="none"/>
                <w:lang w:val="en-US" w:eastAsia="zh-CN"/>
              </w:rPr>
              <w:t>2</w:t>
            </w:r>
            <w:r>
              <w:rPr>
                <w:rFonts w:hint="eastAsia"/>
                <w:color w:val="auto"/>
                <w:highlight w:val="none"/>
              </w:rPr>
              <w:t>年至今）满足投标资格条件的</w:t>
            </w:r>
            <w:r>
              <w:rPr>
                <w:rFonts w:hint="eastAsia"/>
                <w:color w:val="auto"/>
                <w:highlight w:val="none"/>
                <w:lang w:val="en-US" w:eastAsia="zh-CN"/>
              </w:rPr>
              <w:t>500MWp的基础</w:t>
            </w:r>
            <w:r>
              <w:rPr>
                <w:rFonts w:hint="eastAsia"/>
                <w:color w:val="auto"/>
                <w:highlight w:val="none"/>
              </w:rPr>
              <w:t>上每增加</w:t>
            </w:r>
            <w:r>
              <w:rPr>
                <w:rFonts w:hint="eastAsia"/>
                <w:color w:val="auto"/>
                <w:highlight w:val="none"/>
                <w:lang w:val="en-US" w:eastAsia="zh-CN"/>
              </w:rPr>
              <w:t>1G</w:t>
            </w:r>
            <w:r>
              <w:rPr>
                <w:rFonts w:hint="eastAsia"/>
                <w:color w:val="auto"/>
                <w:highlight w:val="none"/>
              </w:rPr>
              <w:t>Wp 计</w:t>
            </w:r>
            <w:r>
              <w:rPr>
                <w:rFonts w:hint="eastAsia"/>
                <w:color w:val="auto"/>
                <w:highlight w:val="none"/>
                <w:lang w:val="en-US" w:eastAsia="zh-CN"/>
              </w:rPr>
              <w:t>1.5</w:t>
            </w:r>
            <w:r>
              <w:rPr>
                <w:rFonts w:hint="eastAsia"/>
                <w:color w:val="auto"/>
                <w:highlight w:val="none"/>
              </w:rPr>
              <w:t>分，差值计算。</w:t>
            </w:r>
            <w:r>
              <w:rPr>
                <w:rFonts w:hint="eastAsia"/>
                <w:color w:val="auto"/>
                <w:highlight w:val="none"/>
                <w:lang w:val="en-US" w:eastAsia="zh-CN"/>
              </w:rPr>
              <w:t>本项最高9分，</w:t>
            </w:r>
            <w:r>
              <w:rPr>
                <w:rFonts w:hint="eastAsia"/>
                <w:color w:val="auto"/>
                <w:highlight w:val="none"/>
              </w:rPr>
              <w:t>不满足或不提供不得分。</w:t>
            </w:r>
          </w:p>
          <w:p w14:paraId="3C75E9B9">
            <w:pPr>
              <w:widowControl/>
              <w:spacing w:line="312" w:lineRule="auto"/>
              <w:rPr>
                <w:rFonts w:hint="eastAsia"/>
                <w:color w:val="auto"/>
                <w:szCs w:val="22"/>
                <w:highlight w:val="none"/>
              </w:rPr>
            </w:pPr>
            <w:r>
              <w:rPr>
                <w:rFonts w:hint="eastAsia"/>
                <w:color w:val="auto"/>
                <w:highlight w:val="none"/>
                <w:lang w:val="en-US" w:eastAsia="zh-CN"/>
              </w:rPr>
              <w:t>注：</w:t>
            </w:r>
            <w:r>
              <w:rPr>
                <w:rFonts w:hint="eastAsia"/>
                <w:color w:val="auto"/>
                <w:highlight w:val="none"/>
              </w:rPr>
              <w:t>须提供合同复印件。合同复印件需提供合同关键页，包括体现合同标的、合同金额、签字盖章页、合同签订时间等。业绩以合同签订时间为准。</w:t>
            </w:r>
          </w:p>
        </w:tc>
        <w:tc>
          <w:tcPr>
            <w:tcW w:w="95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43528DFA">
            <w:pPr>
              <w:keepNext w:val="0"/>
              <w:keepLines w:val="0"/>
              <w:pageBreakBefore w:val="0"/>
              <w:kinsoku/>
              <w:wordWrap/>
              <w:overflowPunct/>
              <w:topLinePunct w:val="0"/>
              <w:autoSpaceDE/>
              <w:autoSpaceDN/>
              <w:bidi w:val="0"/>
              <w:adjustRightInd/>
              <w:snapToGrid/>
              <w:spacing w:line="312" w:lineRule="auto"/>
              <w:ind w:left="0" w:leftChars="0" w:firstLine="0" w:firstLineChars="0"/>
              <w:jc w:val="center"/>
              <w:rPr>
                <w:rFonts w:hint="eastAsia" w:ascii="宋体" w:hAnsi="宋体" w:eastAsia="宋体" w:cs="宋体"/>
                <w:color w:val="auto"/>
                <w:sz w:val="21"/>
                <w:szCs w:val="21"/>
                <w:highlight w:val="none"/>
                <w:u w:val="none"/>
              </w:rPr>
            </w:pPr>
            <w:r>
              <w:rPr>
                <w:rFonts w:hint="eastAsia" w:ascii="宋体" w:hAnsi="宋体" w:cs="宋体"/>
                <w:color w:val="auto"/>
                <w:szCs w:val="21"/>
                <w:highlight w:val="none"/>
              </w:rPr>
              <w:t>0-</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分</w:t>
            </w:r>
          </w:p>
        </w:tc>
      </w:tr>
      <w:tr w14:paraId="32F57304">
        <w:tblPrEx>
          <w:tblCellMar>
            <w:top w:w="0" w:type="dxa"/>
            <w:left w:w="0" w:type="dxa"/>
            <w:bottom w:w="0" w:type="dxa"/>
            <w:right w:w="0" w:type="dxa"/>
          </w:tblCellMar>
        </w:tblPrEx>
        <w:trPr>
          <w:trHeight w:val="567" w:hRule="atLeast"/>
          <w:jc w:val="center"/>
        </w:trPr>
        <w:tc>
          <w:tcPr>
            <w:tcW w:w="828"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424A3A9C">
            <w:pPr>
              <w:keepNext w:val="0"/>
              <w:keepLines w:val="0"/>
              <w:pageBreakBefore w:val="0"/>
              <w:kinsoku/>
              <w:wordWrap/>
              <w:overflowPunct/>
              <w:topLinePunct w:val="0"/>
              <w:autoSpaceDE/>
              <w:autoSpaceDN/>
              <w:bidi w:val="0"/>
              <w:adjustRightInd/>
              <w:snapToGrid/>
              <w:spacing w:line="312" w:lineRule="auto"/>
              <w:ind w:left="0" w:firstLine="0" w:firstLineChars="0"/>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w:t>
            </w:r>
          </w:p>
        </w:tc>
        <w:tc>
          <w:tcPr>
            <w:tcW w:w="1749"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63885324">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Cs w:val="21"/>
                <w:highlight w:val="none"/>
              </w:rPr>
              <w:t>管理体系认证</w:t>
            </w:r>
          </w:p>
        </w:tc>
        <w:tc>
          <w:tcPr>
            <w:tcW w:w="609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73CD24BF">
            <w:pPr>
              <w:widowControl/>
              <w:spacing w:line="312" w:lineRule="auto"/>
              <w:rPr>
                <w:rFonts w:hint="eastAsia"/>
                <w:color w:val="auto"/>
                <w:highlight w:val="none"/>
              </w:rPr>
            </w:pPr>
            <w:r>
              <w:rPr>
                <w:rFonts w:hint="eastAsia"/>
                <w:color w:val="auto"/>
                <w:highlight w:val="none"/>
              </w:rPr>
              <w:t>具备有效期内的</w:t>
            </w:r>
            <w:r>
              <w:rPr>
                <w:rFonts w:hint="eastAsia"/>
                <w:color w:val="auto"/>
                <w:highlight w:val="none"/>
              </w:rPr>
              <w:fldChar w:fldCharType="begin"/>
            </w:r>
            <w:r>
              <w:rPr>
                <w:rFonts w:hint="eastAsia"/>
                <w:color w:val="auto"/>
                <w:highlight w:val="none"/>
              </w:rPr>
              <w:instrText xml:space="preserve"> HYPERLINK "https://baike.so.com/doc/1709289-1807125.html" \t "https://baike.so.com/doc/_blank" </w:instrText>
            </w:r>
            <w:r>
              <w:rPr>
                <w:rFonts w:hint="eastAsia"/>
                <w:color w:val="auto"/>
                <w:highlight w:val="none"/>
              </w:rPr>
              <w:fldChar w:fldCharType="separate"/>
            </w:r>
            <w:r>
              <w:rPr>
                <w:rFonts w:hint="eastAsia"/>
                <w:color w:val="auto"/>
                <w:highlight w:val="none"/>
              </w:rPr>
              <w:t>质量管理体系</w:t>
            </w:r>
            <w:r>
              <w:rPr>
                <w:rFonts w:hint="eastAsia"/>
                <w:color w:val="auto"/>
                <w:highlight w:val="none"/>
              </w:rPr>
              <w:fldChar w:fldCharType="end"/>
            </w:r>
            <w:r>
              <w:rPr>
                <w:rFonts w:hint="eastAsia"/>
                <w:color w:val="auto"/>
                <w:highlight w:val="none"/>
              </w:rPr>
              <w:t>认证、环境管理体系认证、</w:t>
            </w:r>
            <w:r>
              <w:rPr>
                <w:rFonts w:hint="eastAsia"/>
                <w:color w:val="auto"/>
                <w:highlight w:val="none"/>
              </w:rPr>
              <w:fldChar w:fldCharType="begin"/>
            </w:r>
            <w:r>
              <w:rPr>
                <w:rFonts w:hint="eastAsia"/>
                <w:color w:val="auto"/>
                <w:highlight w:val="none"/>
              </w:rPr>
              <w:instrText xml:space="preserve"> HYPERLINK "https://baike.so.com/doc/6813629-7030596.html" \t "https://baike.so.com/doc/_blank" </w:instrText>
            </w:r>
            <w:r>
              <w:rPr>
                <w:rFonts w:hint="eastAsia"/>
                <w:color w:val="auto"/>
                <w:highlight w:val="none"/>
              </w:rPr>
              <w:fldChar w:fldCharType="separate"/>
            </w:r>
            <w:r>
              <w:rPr>
                <w:rFonts w:hint="eastAsia"/>
                <w:color w:val="auto"/>
                <w:highlight w:val="none"/>
              </w:rPr>
              <w:t>职业健康安全管理体系</w:t>
            </w:r>
            <w:r>
              <w:rPr>
                <w:rFonts w:hint="eastAsia"/>
                <w:color w:val="auto"/>
                <w:highlight w:val="none"/>
              </w:rPr>
              <w:fldChar w:fldCharType="end"/>
            </w:r>
            <w:r>
              <w:rPr>
                <w:rFonts w:hint="eastAsia"/>
                <w:color w:val="auto"/>
                <w:highlight w:val="none"/>
              </w:rPr>
              <w:t>认证得</w:t>
            </w:r>
            <w:r>
              <w:rPr>
                <w:rFonts w:hint="eastAsia"/>
                <w:color w:val="auto"/>
                <w:highlight w:val="none"/>
                <w:lang w:val="en-US" w:eastAsia="zh-CN"/>
              </w:rPr>
              <w:t>3</w:t>
            </w:r>
            <w:r>
              <w:rPr>
                <w:rFonts w:hint="eastAsia"/>
                <w:color w:val="auto"/>
                <w:highlight w:val="none"/>
              </w:rPr>
              <w:t>分，每缺少一项减</w:t>
            </w:r>
            <w:r>
              <w:rPr>
                <w:rFonts w:hint="eastAsia"/>
                <w:color w:val="auto"/>
                <w:highlight w:val="none"/>
                <w:lang w:val="en-US" w:eastAsia="zh-CN"/>
              </w:rPr>
              <w:t>1</w:t>
            </w:r>
            <w:r>
              <w:rPr>
                <w:rFonts w:hint="eastAsia"/>
                <w:color w:val="auto"/>
                <w:highlight w:val="none"/>
              </w:rPr>
              <w:t>分。</w:t>
            </w:r>
          </w:p>
          <w:p w14:paraId="5E6317CE">
            <w:pPr>
              <w:widowControl/>
              <w:spacing w:line="312" w:lineRule="auto"/>
              <w:rPr>
                <w:rFonts w:hint="eastAsia" w:ascii="宋体" w:hAnsi="宋体" w:eastAsia="宋体" w:cs="宋体"/>
                <w:color w:val="auto"/>
                <w:kern w:val="0"/>
                <w:sz w:val="21"/>
                <w:szCs w:val="21"/>
                <w:highlight w:val="none"/>
                <w:u w:val="none"/>
                <w:lang w:val="en-US" w:eastAsia="zh-CN" w:bidi="ar-SA"/>
              </w:rPr>
            </w:pPr>
            <w:r>
              <w:rPr>
                <w:rFonts w:hint="eastAsia"/>
                <w:color w:val="auto"/>
                <w:highlight w:val="none"/>
                <w:lang w:val="en-US" w:eastAsia="zh-CN"/>
              </w:rPr>
              <w:t>注：提供有效证书复印件，未按要求提供证明材料的不得分。</w:t>
            </w:r>
          </w:p>
        </w:tc>
        <w:tc>
          <w:tcPr>
            <w:tcW w:w="95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11388682">
            <w:pPr>
              <w:keepNext w:val="0"/>
              <w:keepLines w:val="0"/>
              <w:pageBreakBefore w:val="0"/>
              <w:kinsoku/>
              <w:wordWrap/>
              <w:overflowPunct/>
              <w:topLinePunct w:val="0"/>
              <w:autoSpaceDE/>
              <w:autoSpaceDN/>
              <w:bidi w:val="0"/>
              <w:adjustRightInd/>
              <w:snapToGrid/>
              <w:spacing w:line="312" w:lineRule="auto"/>
              <w:ind w:left="0" w:leftChars="0" w:firstLine="0" w:firstLineChars="0"/>
              <w:jc w:val="center"/>
              <w:rPr>
                <w:rFonts w:hint="eastAsia" w:ascii="宋体" w:hAnsi="宋体" w:eastAsia="宋体" w:cs="宋体"/>
                <w:color w:val="auto"/>
                <w:sz w:val="21"/>
                <w:szCs w:val="21"/>
                <w:highlight w:val="none"/>
                <w:u w:val="none"/>
              </w:rPr>
            </w:pPr>
            <w:r>
              <w:rPr>
                <w:rFonts w:hint="eastAsia" w:ascii="宋体" w:hAnsi="宋体" w:cs="宋体"/>
                <w:color w:val="auto"/>
                <w:szCs w:val="21"/>
                <w:highlight w:val="none"/>
              </w:rPr>
              <w:t>0-</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p>
        </w:tc>
      </w:tr>
      <w:tr w14:paraId="3141ED5D">
        <w:tblPrEx>
          <w:shd w:val="clear" w:color="auto" w:fill="auto"/>
          <w:tblCellMar>
            <w:top w:w="0" w:type="dxa"/>
            <w:left w:w="0" w:type="dxa"/>
            <w:bottom w:w="0" w:type="dxa"/>
            <w:right w:w="0" w:type="dxa"/>
          </w:tblCellMar>
        </w:tblPrEx>
        <w:trPr>
          <w:trHeight w:val="567" w:hRule="atLeast"/>
          <w:jc w:val="center"/>
        </w:trPr>
        <w:tc>
          <w:tcPr>
            <w:tcW w:w="828"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1CA32EE0">
            <w:pPr>
              <w:keepNext w:val="0"/>
              <w:keepLines w:val="0"/>
              <w:pageBreakBefore w:val="0"/>
              <w:widowControl/>
              <w:suppressLineNumbers w:val="0"/>
              <w:kinsoku/>
              <w:wordWrap/>
              <w:overflowPunct/>
              <w:topLinePunct w:val="0"/>
              <w:autoSpaceDE/>
              <w:autoSpaceDN/>
              <w:bidi w:val="0"/>
              <w:adjustRightInd/>
              <w:snapToGrid/>
              <w:spacing w:line="312" w:lineRule="auto"/>
              <w:ind w:left="0" w:firstLine="0" w:firstLineChars="0"/>
              <w:jc w:val="center"/>
              <w:textAlignment w:val="center"/>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1749"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55DBAD6A">
            <w:pPr>
              <w:keepNext w:val="0"/>
              <w:keepLines w:val="0"/>
              <w:pageBreakBefore w:val="0"/>
              <w:widowControl/>
              <w:kinsoku/>
              <w:wordWrap/>
              <w:overflowPunct/>
              <w:topLinePunct w:val="0"/>
              <w:autoSpaceDE/>
              <w:autoSpaceDN/>
              <w:bidi w:val="0"/>
              <w:adjustRightInd/>
              <w:snapToGrid/>
              <w:spacing w:line="312" w:lineRule="auto"/>
              <w:ind w:left="0" w:firstLine="0" w:firstLineChars="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企业纳税信用</w:t>
            </w:r>
          </w:p>
          <w:p w14:paraId="000184EC">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color w:val="auto"/>
                <w:kern w:val="0"/>
                <w:szCs w:val="21"/>
                <w:highlight w:val="none"/>
              </w:rPr>
              <w:t>等级</w:t>
            </w:r>
          </w:p>
        </w:tc>
        <w:tc>
          <w:tcPr>
            <w:tcW w:w="609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46C74EF5">
            <w:pPr>
              <w:widowControl/>
              <w:spacing w:line="312" w:lineRule="auto"/>
              <w:rPr>
                <w:rFonts w:hint="eastAsia"/>
                <w:color w:val="auto"/>
                <w:highlight w:val="none"/>
                <w:lang w:eastAsia="zh-CN"/>
              </w:rPr>
            </w:pPr>
            <w:r>
              <w:rPr>
                <w:rFonts w:hint="eastAsia"/>
                <w:color w:val="auto"/>
                <w:highlight w:val="none"/>
                <w:lang w:eastAsia="zh-CN"/>
              </w:rPr>
              <w:t>根据2021年至今获得国家税务机关等级评价评定，任意一年获得“A级纳税人”评价评定的得</w:t>
            </w:r>
            <w:r>
              <w:rPr>
                <w:rFonts w:hint="eastAsia"/>
                <w:color w:val="auto"/>
                <w:highlight w:val="none"/>
                <w:lang w:val="en-US" w:eastAsia="zh-CN"/>
              </w:rPr>
              <w:t>2</w:t>
            </w:r>
            <w:r>
              <w:rPr>
                <w:rFonts w:hint="eastAsia"/>
                <w:color w:val="auto"/>
                <w:highlight w:val="none"/>
                <w:lang w:eastAsia="zh-CN"/>
              </w:rPr>
              <w:t>分；其他情况不得分。</w:t>
            </w:r>
          </w:p>
          <w:p w14:paraId="314DEE00">
            <w:pPr>
              <w:widowControl/>
              <w:spacing w:line="312" w:lineRule="auto"/>
              <w:rPr>
                <w:rFonts w:hint="default" w:ascii="宋体" w:hAnsi="宋体" w:eastAsia="宋体" w:cs="宋体"/>
                <w:color w:val="auto"/>
                <w:szCs w:val="21"/>
                <w:highlight w:val="none"/>
                <w:shd w:val="clear" w:color="auto" w:fill="FFFFFF"/>
                <w:lang w:val="en-US" w:eastAsia="zh-CN"/>
              </w:rPr>
            </w:pPr>
            <w:r>
              <w:rPr>
                <w:rFonts w:hint="eastAsia"/>
                <w:color w:val="auto"/>
                <w:highlight w:val="none"/>
                <w:lang w:eastAsia="zh-CN"/>
              </w:rPr>
              <w:t>注：提供税务机关网站的查询结果截图或者证书扫描件。税务机关每年4月确定上一年度纳税信用评价结果，若在投标前仍未公布上一年的评价结果，则将前一年度结果作为最近一年度的查询结果，以此类推。未提供有效证明材料不得分。</w:t>
            </w:r>
          </w:p>
        </w:tc>
        <w:tc>
          <w:tcPr>
            <w:tcW w:w="95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0F88EEC8">
            <w:pPr>
              <w:keepNext w:val="0"/>
              <w:keepLines w:val="0"/>
              <w:pageBreakBefore w:val="0"/>
              <w:kinsoku/>
              <w:wordWrap/>
              <w:overflowPunct/>
              <w:topLinePunct w:val="0"/>
              <w:autoSpaceDE/>
              <w:autoSpaceDN/>
              <w:bidi w:val="0"/>
              <w:adjustRightInd/>
              <w:snapToGrid/>
              <w:spacing w:line="312" w:lineRule="auto"/>
              <w:ind w:left="0" w:leftChars="0" w:firstLine="0" w:firstLineChars="0"/>
              <w:jc w:val="center"/>
              <w:rPr>
                <w:rFonts w:hint="eastAsia" w:ascii="宋体" w:hAnsi="宋体" w:eastAsia="宋体" w:cs="宋体"/>
                <w:color w:val="auto"/>
                <w:sz w:val="21"/>
                <w:szCs w:val="21"/>
                <w:highlight w:val="none"/>
                <w:u w:val="none"/>
                <w:lang w:val="en-US" w:eastAsia="zh-CN"/>
              </w:rPr>
            </w:pPr>
            <w:r>
              <w:rPr>
                <w:rFonts w:hint="eastAsia" w:ascii="宋体" w:hAnsi="宋体" w:cs="宋体"/>
                <w:color w:val="auto"/>
                <w:szCs w:val="21"/>
                <w:highlight w:val="none"/>
              </w:rPr>
              <w:t>0-</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p>
        </w:tc>
      </w:tr>
      <w:tr w14:paraId="663CC710">
        <w:tblPrEx>
          <w:shd w:val="clear" w:color="auto" w:fill="auto"/>
          <w:tblCellMar>
            <w:top w:w="0" w:type="dxa"/>
            <w:left w:w="0" w:type="dxa"/>
            <w:bottom w:w="0" w:type="dxa"/>
            <w:right w:w="0" w:type="dxa"/>
          </w:tblCellMar>
        </w:tblPrEx>
        <w:trPr>
          <w:trHeight w:val="567" w:hRule="atLeast"/>
          <w:jc w:val="center"/>
        </w:trPr>
        <w:tc>
          <w:tcPr>
            <w:tcW w:w="828"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3756A940">
            <w:pPr>
              <w:keepNext w:val="0"/>
              <w:keepLines w:val="0"/>
              <w:pageBreakBefore w:val="0"/>
              <w:widowControl/>
              <w:suppressLineNumbers w:val="0"/>
              <w:kinsoku/>
              <w:wordWrap/>
              <w:overflowPunct/>
              <w:topLinePunct w:val="0"/>
              <w:autoSpaceDE/>
              <w:autoSpaceDN/>
              <w:bidi w:val="0"/>
              <w:adjustRightInd/>
              <w:snapToGrid/>
              <w:spacing w:line="312" w:lineRule="auto"/>
              <w:ind w:left="0" w:firstLine="0" w:firstLineChars="0"/>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4</w:t>
            </w:r>
          </w:p>
        </w:tc>
        <w:tc>
          <w:tcPr>
            <w:tcW w:w="1749"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3E716C67">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rPr>
              <w:t>货期要求</w:t>
            </w:r>
          </w:p>
        </w:tc>
        <w:tc>
          <w:tcPr>
            <w:tcW w:w="609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842DD9A">
            <w:pPr>
              <w:widowControl/>
              <w:spacing w:line="360" w:lineRule="auto"/>
              <w:jc w:val="left"/>
              <w:textAlignment w:val="center"/>
              <w:rPr>
                <w:rFonts w:hint="eastAsia" w:ascii="宋体" w:hAnsi="宋体" w:cs="宋体"/>
                <w:szCs w:val="21"/>
                <w:highlight w:val="none"/>
              </w:rPr>
            </w:pPr>
            <w:r>
              <w:rPr>
                <w:rFonts w:hint="eastAsia" w:ascii="宋体" w:hAnsi="宋体" w:cs="宋体"/>
                <w:szCs w:val="21"/>
                <w:highlight w:val="none"/>
              </w:rPr>
              <w:t>A（</w:t>
            </w:r>
            <w:r>
              <w:rPr>
                <w:rFonts w:hint="eastAsia" w:ascii="宋体" w:hAnsi="宋体" w:cs="宋体"/>
                <w:szCs w:val="21"/>
                <w:highlight w:val="none"/>
                <w:lang w:val="en-US" w:eastAsia="zh-CN"/>
              </w:rPr>
              <w:t>10</w:t>
            </w:r>
            <w:r>
              <w:rPr>
                <w:rFonts w:hint="eastAsia" w:ascii="宋体" w:hAnsi="宋体" w:cs="宋体"/>
                <w:szCs w:val="21"/>
                <w:highlight w:val="none"/>
              </w:rPr>
              <w:t>分）：承诺交货时间</w:t>
            </w:r>
            <w:r>
              <w:rPr>
                <w:rFonts w:hint="eastAsia" w:ascii="宋体" w:hAnsi="宋体" w:cs="宋体"/>
                <w:szCs w:val="21"/>
                <w:highlight w:val="none"/>
                <w:lang w:val="en-US" w:eastAsia="zh-CN"/>
              </w:rPr>
              <w:t>7</w:t>
            </w:r>
            <w:r>
              <w:rPr>
                <w:rFonts w:hint="eastAsia" w:ascii="宋体" w:hAnsi="宋体" w:cs="宋体"/>
                <w:szCs w:val="21"/>
                <w:highlight w:val="none"/>
              </w:rPr>
              <w:t>天内；</w:t>
            </w:r>
          </w:p>
          <w:p w14:paraId="7581B97E">
            <w:pPr>
              <w:widowControl/>
              <w:spacing w:line="360" w:lineRule="auto"/>
              <w:jc w:val="left"/>
              <w:textAlignment w:val="center"/>
              <w:rPr>
                <w:rFonts w:hint="eastAsia" w:ascii="宋体" w:hAnsi="宋体" w:cs="宋体"/>
                <w:szCs w:val="21"/>
                <w:highlight w:val="none"/>
              </w:rPr>
            </w:pPr>
            <w:r>
              <w:rPr>
                <w:rFonts w:hint="eastAsia" w:ascii="宋体" w:hAnsi="宋体" w:cs="宋体"/>
                <w:szCs w:val="21"/>
                <w:highlight w:val="none"/>
              </w:rPr>
              <w:t>B（</w:t>
            </w:r>
            <w:r>
              <w:rPr>
                <w:rFonts w:hint="eastAsia" w:ascii="宋体" w:hAnsi="宋体" w:cs="宋体"/>
                <w:szCs w:val="21"/>
                <w:highlight w:val="none"/>
                <w:lang w:val="en-US" w:eastAsia="zh-CN"/>
              </w:rPr>
              <w:t>7</w:t>
            </w:r>
            <w:r>
              <w:rPr>
                <w:rFonts w:hint="eastAsia" w:ascii="宋体" w:hAnsi="宋体" w:cs="宋体"/>
                <w:szCs w:val="21"/>
                <w:highlight w:val="none"/>
              </w:rPr>
              <w:t>分）：承诺交货时间</w:t>
            </w:r>
            <w:r>
              <w:rPr>
                <w:rFonts w:hint="eastAsia" w:ascii="宋体" w:hAnsi="宋体" w:cs="宋体"/>
                <w:szCs w:val="21"/>
                <w:highlight w:val="none"/>
                <w:lang w:val="en-US" w:eastAsia="zh-CN"/>
              </w:rPr>
              <w:t>14</w:t>
            </w:r>
            <w:r>
              <w:rPr>
                <w:rFonts w:hint="eastAsia" w:ascii="宋体" w:hAnsi="宋体" w:cs="宋体"/>
                <w:szCs w:val="21"/>
                <w:highlight w:val="none"/>
              </w:rPr>
              <w:t>天内；</w:t>
            </w:r>
          </w:p>
          <w:p w14:paraId="36527A03">
            <w:pPr>
              <w:widowControl/>
              <w:spacing w:line="360" w:lineRule="auto"/>
              <w:jc w:val="left"/>
              <w:textAlignment w:val="center"/>
              <w:rPr>
                <w:rFonts w:hint="eastAsia" w:ascii="宋体" w:hAnsi="宋体" w:cs="宋体"/>
                <w:szCs w:val="21"/>
                <w:highlight w:val="none"/>
              </w:rPr>
            </w:pPr>
            <w:r>
              <w:rPr>
                <w:rFonts w:hint="eastAsia" w:ascii="宋体" w:hAnsi="宋体" w:cs="宋体"/>
                <w:szCs w:val="21"/>
                <w:highlight w:val="none"/>
              </w:rPr>
              <w:t>C（</w:t>
            </w:r>
            <w:r>
              <w:rPr>
                <w:rFonts w:hint="eastAsia" w:ascii="宋体" w:hAnsi="宋体" w:cs="宋体"/>
                <w:szCs w:val="21"/>
                <w:highlight w:val="none"/>
                <w:lang w:val="en-US" w:eastAsia="zh-CN"/>
              </w:rPr>
              <w:t>3</w:t>
            </w:r>
            <w:r>
              <w:rPr>
                <w:rFonts w:hint="eastAsia" w:ascii="宋体" w:hAnsi="宋体" w:cs="宋体"/>
                <w:szCs w:val="21"/>
                <w:highlight w:val="none"/>
              </w:rPr>
              <w:t>分）：承诺交货时间</w:t>
            </w:r>
            <w:r>
              <w:rPr>
                <w:rFonts w:hint="eastAsia" w:ascii="宋体" w:hAnsi="宋体" w:cs="宋体"/>
                <w:szCs w:val="21"/>
                <w:highlight w:val="none"/>
                <w:lang w:val="en-US" w:eastAsia="zh-CN"/>
              </w:rPr>
              <w:t>21</w:t>
            </w:r>
            <w:r>
              <w:rPr>
                <w:rFonts w:hint="eastAsia" w:ascii="宋体" w:hAnsi="宋体" w:cs="宋体"/>
                <w:szCs w:val="21"/>
                <w:highlight w:val="none"/>
              </w:rPr>
              <w:t>天内；</w:t>
            </w:r>
          </w:p>
          <w:p w14:paraId="6E9FC17C">
            <w:pPr>
              <w:widowControl/>
              <w:spacing w:line="360" w:lineRule="auto"/>
              <w:jc w:val="left"/>
              <w:textAlignment w:val="center"/>
              <w:rPr>
                <w:rFonts w:hint="eastAsia" w:ascii="宋体" w:hAnsi="宋体" w:cs="宋体"/>
                <w:szCs w:val="21"/>
                <w:highlight w:val="none"/>
              </w:rPr>
            </w:pPr>
            <w:r>
              <w:rPr>
                <w:rFonts w:hint="eastAsia" w:ascii="宋体" w:hAnsi="宋体" w:cs="宋体"/>
                <w:szCs w:val="21"/>
                <w:highlight w:val="none"/>
              </w:rPr>
              <w:t>D（1分）：承诺交货时间</w:t>
            </w:r>
            <w:r>
              <w:rPr>
                <w:rFonts w:hint="eastAsia" w:ascii="宋体" w:hAnsi="宋体" w:cs="宋体"/>
                <w:szCs w:val="21"/>
                <w:highlight w:val="none"/>
                <w:lang w:val="en-US" w:eastAsia="zh-CN"/>
              </w:rPr>
              <w:t>28</w:t>
            </w:r>
            <w:r>
              <w:rPr>
                <w:rFonts w:hint="eastAsia" w:ascii="宋体" w:hAnsi="宋体" w:cs="宋体"/>
                <w:szCs w:val="21"/>
                <w:highlight w:val="none"/>
              </w:rPr>
              <w:t>天内。</w:t>
            </w:r>
          </w:p>
          <w:p w14:paraId="027648C3">
            <w:pPr>
              <w:pStyle w:val="15"/>
              <w:rPr>
                <w:rFonts w:hint="eastAsia" w:ascii="宋体" w:hAnsi="宋体" w:cs="宋体"/>
                <w:color w:val="auto"/>
                <w:szCs w:val="21"/>
                <w:highlight w:val="none"/>
                <w:shd w:val="clear" w:color="auto" w:fill="FFFFFF"/>
                <w:lang w:eastAsia="zh-CN"/>
              </w:rPr>
            </w:pPr>
            <w:r>
              <w:rPr>
                <w:rFonts w:hint="eastAsia" w:ascii="宋体" w:hAnsi="宋体" w:cs="宋体"/>
                <w:szCs w:val="21"/>
                <w:highlight w:val="none"/>
              </w:rPr>
              <w:t>提供承诺函（格式自拟），不提供则不得分。</w:t>
            </w:r>
          </w:p>
        </w:tc>
        <w:tc>
          <w:tcPr>
            <w:tcW w:w="95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6D9D48B">
            <w:pPr>
              <w:keepNext w:val="0"/>
              <w:keepLines w:val="0"/>
              <w:pageBreakBefore w:val="0"/>
              <w:kinsoku/>
              <w:wordWrap/>
              <w:overflowPunct/>
              <w:topLinePunct w:val="0"/>
              <w:autoSpaceDE/>
              <w:autoSpaceDN/>
              <w:bidi w:val="0"/>
              <w:adjustRightInd/>
              <w:snapToGrid/>
              <w:spacing w:line="312" w:lineRule="auto"/>
              <w:ind w:left="0" w:leftChars="0" w:firstLine="0" w:firstLineChars="0"/>
              <w:jc w:val="center"/>
              <w:rPr>
                <w:rFonts w:hint="eastAsia" w:ascii="宋体" w:hAnsi="宋体" w:cs="宋体"/>
                <w:color w:val="auto"/>
                <w:kern w:val="0"/>
                <w:szCs w:val="21"/>
                <w:highlight w:val="none"/>
                <w:lang w:bidi="ar"/>
              </w:rPr>
            </w:pPr>
            <w:r>
              <w:rPr>
                <w:rFonts w:hint="eastAsia" w:ascii="宋体" w:hAnsi="宋体" w:cs="宋体"/>
                <w:color w:val="auto"/>
                <w:szCs w:val="21"/>
                <w:highlight w:val="none"/>
                <w:lang w:val="en-US" w:eastAsia="zh-CN"/>
              </w:rPr>
              <w:t>0-10分</w:t>
            </w:r>
          </w:p>
        </w:tc>
      </w:tr>
      <w:tr w14:paraId="33B2EC32">
        <w:tblPrEx>
          <w:tblCellMar>
            <w:top w:w="0" w:type="dxa"/>
            <w:left w:w="0" w:type="dxa"/>
            <w:bottom w:w="0" w:type="dxa"/>
            <w:right w:w="0" w:type="dxa"/>
          </w:tblCellMar>
        </w:tblPrEx>
        <w:trPr>
          <w:trHeight w:val="567" w:hRule="atLeast"/>
          <w:jc w:val="center"/>
        </w:trPr>
        <w:tc>
          <w:tcPr>
            <w:tcW w:w="828"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0C8041DE">
            <w:pPr>
              <w:keepNext w:val="0"/>
              <w:keepLines w:val="0"/>
              <w:pageBreakBefore w:val="0"/>
              <w:widowControl/>
              <w:suppressLineNumbers w:val="0"/>
              <w:kinsoku/>
              <w:wordWrap/>
              <w:overflowPunct/>
              <w:topLinePunct w:val="0"/>
              <w:autoSpaceDE/>
              <w:autoSpaceDN/>
              <w:bidi w:val="0"/>
              <w:adjustRightInd/>
              <w:snapToGrid/>
              <w:spacing w:line="312" w:lineRule="auto"/>
              <w:ind w:left="0" w:firstLine="0" w:firstLineChars="0"/>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5</w:t>
            </w:r>
          </w:p>
        </w:tc>
        <w:tc>
          <w:tcPr>
            <w:tcW w:w="1749"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79CE77F6">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cs="宋体"/>
                <w:color w:val="auto"/>
                <w:kern w:val="0"/>
                <w:szCs w:val="21"/>
                <w:highlight w:val="none"/>
                <w:lang w:bidi="ar"/>
              </w:rPr>
            </w:pPr>
            <w:r>
              <w:rPr>
                <w:rFonts w:hint="eastAsia" w:ascii="宋体" w:hAnsi="宋体" w:eastAsia="宋体" w:cs="宋体"/>
                <w:color w:val="auto"/>
                <w:sz w:val="21"/>
                <w:szCs w:val="21"/>
                <w:highlight w:val="none"/>
                <w:lang w:val="en-US" w:eastAsia="zh-CN"/>
              </w:rPr>
              <w:t>质保条款</w:t>
            </w:r>
          </w:p>
        </w:tc>
        <w:tc>
          <w:tcPr>
            <w:tcW w:w="609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194D4666">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1.产品质保年限</w:t>
            </w:r>
            <w:r>
              <w:rPr>
                <w:rFonts w:hint="eastAsia" w:ascii="宋体" w:hAnsi="宋体" w:cs="宋体"/>
                <w:color w:val="auto"/>
                <w:sz w:val="21"/>
                <w:szCs w:val="21"/>
                <w:highlight w:val="none"/>
                <w:lang w:val="en-US" w:eastAsia="zh-CN"/>
              </w:rPr>
              <w:t>在</w:t>
            </w:r>
            <w:r>
              <w:rPr>
                <w:rFonts w:hint="eastAsia" w:ascii="宋体" w:hAnsi="宋体" w:eastAsia="宋体" w:cs="宋体"/>
                <w:color w:val="auto"/>
                <w:sz w:val="21"/>
                <w:szCs w:val="21"/>
                <w:highlight w:val="none"/>
                <w:lang w:val="en-US" w:eastAsia="zh-CN"/>
              </w:rPr>
              <w:t>满足</w:t>
            </w:r>
            <w:r>
              <w:rPr>
                <w:rFonts w:hint="eastAsia" w:ascii="宋体" w:hAnsi="宋体" w:cs="宋体"/>
                <w:color w:val="auto"/>
                <w:sz w:val="21"/>
                <w:szCs w:val="21"/>
                <w:highlight w:val="none"/>
                <w:lang w:val="en-US" w:eastAsia="zh-CN"/>
              </w:rPr>
              <w:t>至少</w:t>
            </w:r>
            <w:r>
              <w:rPr>
                <w:rFonts w:hint="eastAsia" w:ascii="宋体" w:hAnsi="宋体" w:eastAsia="宋体" w:cs="宋体"/>
                <w:color w:val="auto"/>
                <w:sz w:val="21"/>
                <w:szCs w:val="21"/>
                <w:highlight w:val="none"/>
                <w:lang w:val="en-US" w:eastAsia="zh-CN"/>
              </w:rPr>
              <w:t>12年</w:t>
            </w:r>
            <w:r>
              <w:rPr>
                <w:rFonts w:hint="eastAsia" w:ascii="宋体" w:hAnsi="宋体" w:cs="宋体"/>
                <w:color w:val="auto"/>
                <w:sz w:val="21"/>
                <w:szCs w:val="21"/>
                <w:highlight w:val="none"/>
                <w:lang w:val="en-US" w:eastAsia="zh-CN"/>
              </w:rPr>
              <w:t>的基础上</w:t>
            </w:r>
            <w:r>
              <w:rPr>
                <w:rFonts w:hint="eastAsia" w:ascii="宋体" w:hAnsi="宋体" w:eastAsia="宋体" w:cs="宋体"/>
                <w:color w:val="auto"/>
                <w:sz w:val="21"/>
                <w:szCs w:val="21"/>
                <w:highlight w:val="none"/>
                <w:lang w:val="en-US" w:eastAsia="zh-CN"/>
              </w:rPr>
              <w:t>，每</w:t>
            </w:r>
            <w:r>
              <w:rPr>
                <w:rFonts w:hint="eastAsia" w:ascii="宋体" w:hAnsi="宋体" w:cs="宋体"/>
                <w:color w:val="auto"/>
                <w:sz w:val="21"/>
                <w:szCs w:val="21"/>
                <w:highlight w:val="none"/>
                <w:lang w:val="en-US" w:eastAsia="zh-CN"/>
              </w:rPr>
              <w:t>承诺</w:t>
            </w:r>
            <w:r>
              <w:rPr>
                <w:rFonts w:hint="eastAsia" w:ascii="宋体" w:hAnsi="宋体" w:eastAsia="宋体" w:cs="宋体"/>
                <w:color w:val="auto"/>
                <w:sz w:val="21"/>
                <w:szCs w:val="21"/>
                <w:highlight w:val="none"/>
                <w:lang w:val="en-US" w:eastAsia="zh-CN"/>
              </w:rPr>
              <w:t>增加</w:t>
            </w:r>
            <w:r>
              <w:rPr>
                <w:rFonts w:hint="eastAsia" w:ascii="宋体" w:hAnsi="宋体" w:cs="宋体"/>
                <w:color w:val="auto"/>
                <w:sz w:val="21"/>
                <w:szCs w:val="21"/>
                <w:highlight w:val="none"/>
                <w:lang w:val="en-US" w:eastAsia="zh-CN"/>
              </w:rPr>
              <w:t>一</w:t>
            </w:r>
            <w:r>
              <w:rPr>
                <w:rFonts w:hint="eastAsia" w:ascii="宋体" w:hAnsi="宋体" w:eastAsia="宋体" w:cs="宋体"/>
                <w:color w:val="auto"/>
                <w:sz w:val="21"/>
                <w:szCs w:val="21"/>
                <w:highlight w:val="none"/>
                <w:lang w:val="en-US" w:eastAsia="zh-CN"/>
              </w:rPr>
              <w:t>年得1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4.5</w:t>
            </w:r>
            <w:r>
              <w:rPr>
                <w:rFonts w:hint="eastAsia" w:ascii="宋体" w:hAnsi="宋体" w:eastAsia="宋体" w:cs="宋体"/>
                <w:color w:val="auto"/>
                <w:sz w:val="21"/>
                <w:szCs w:val="21"/>
                <w:highlight w:val="none"/>
                <w:lang w:val="en-US" w:eastAsia="zh-CN"/>
              </w:rPr>
              <w:t>分；</w:t>
            </w:r>
          </w:p>
          <w:p w14:paraId="1E425D42">
            <w:pPr>
              <w:pStyle w:val="1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提供</w:t>
            </w:r>
            <w:r>
              <w:rPr>
                <w:rFonts w:hint="eastAsia" w:ascii="宋体" w:hAnsi="宋体" w:eastAsia="宋体" w:cs="宋体"/>
                <w:color w:val="auto"/>
                <w:sz w:val="21"/>
                <w:szCs w:val="21"/>
                <w:highlight w:val="none"/>
                <w:lang w:val="en-US" w:eastAsia="zh-CN"/>
              </w:rPr>
              <w:t>功率</w:t>
            </w:r>
            <w:r>
              <w:rPr>
                <w:rFonts w:hint="eastAsia" w:ascii="宋体" w:hAnsi="宋体" w:cs="宋体"/>
                <w:color w:val="auto"/>
                <w:sz w:val="21"/>
                <w:szCs w:val="21"/>
                <w:highlight w:val="none"/>
                <w:lang w:val="en-US" w:eastAsia="zh-CN"/>
              </w:rPr>
              <w:t>输出</w:t>
            </w:r>
            <w:r>
              <w:rPr>
                <w:rFonts w:hint="eastAsia" w:ascii="宋体" w:hAnsi="宋体" w:eastAsia="宋体" w:cs="宋体"/>
                <w:color w:val="auto"/>
                <w:sz w:val="21"/>
                <w:szCs w:val="21"/>
                <w:highlight w:val="none"/>
                <w:lang w:val="en-US" w:eastAsia="zh-CN"/>
              </w:rPr>
              <w:t>质保</w:t>
            </w:r>
            <w:r>
              <w:rPr>
                <w:rFonts w:hint="eastAsia" w:ascii="宋体" w:hAnsi="宋体" w:cs="宋体"/>
                <w:color w:val="auto"/>
                <w:sz w:val="21"/>
                <w:szCs w:val="21"/>
                <w:highlight w:val="none"/>
                <w:lang w:val="en-US" w:eastAsia="zh-CN"/>
              </w:rPr>
              <w:t>承诺，如承诺产品运行25年后功率输出率</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90%得1.5分</w:t>
            </w:r>
            <w:r>
              <w:rPr>
                <w:rFonts w:hint="eastAsia" w:ascii="宋体" w:hAnsi="宋体" w:eastAsia="宋体" w:cs="宋体"/>
                <w:color w:val="auto"/>
                <w:sz w:val="21"/>
                <w:szCs w:val="21"/>
                <w:highlight w:val="none"/>
                <w:lang w:val="en-US" w:eastAsia="zh-CN"/>
              </w:rPr>
              <w:t>。</w:t>
            </w:r>
          </w:p>
          <w:p w14:paraId="4122D13E">
            <w:pPr>
              <w:pStyle w:val="15"/>
              <w:rPr>
                <w:rFonts w:hint="eastAsia" w:ascii="宋体" w:hAnsi="宋体" w:cs="宋体"/>
                <w:color w:val="auto"/>
                <w:szCs w:val="21"/>
                <w:highlight w:val="none"/>
                <w:shd w:val="clear" w:color="auto" w:fill="FFFFFF"/>
                <w:lang w:eastAsia="zh-CN"/>
              </w:rPr>
            </w:pPr>
            <w:r>
              <w:rPr>
                <w:rFonts w:hint="eastAsia" w:ascii="宋体" w:hAnsi="宋体" w:eastAsia="宋体" w:cs="宋体"/>
                <w:color w:val="auto"/>
                <w:sz w:val="21"/>
                <w:szCs w:val="21"/>
                <w:highlight w:val="none"/>
                <w:lang w:val="en-US" w:eastAsia="zh-CN"/>
              </w:rPr>
              <w:t>注：需提供相关承诺</w:t>
            </w:r>
            <w:r>
              <w:rPr>
                <w:rFonts w:hint="eastAsia" w:ascii="宋体" w:hAnsi="宋体" w:cs="宋体"/>
                <w:color w:val="auto"/>
                <w:sz w:val="21"/>
                <w:szCs w:val="21"/>
                <w:highlight w:val="none"/>
                <w:lang w:val="en-US" w:eastAsia="zh-CN"/>
              </w:rPr>
              <w:t>函</w:t>
            </w:r>
            <w:r>
              <w:rPr>
                <w:rFonts w:hint="eastAsia" w:ascii="宋体" w:hAnsi="宋体" w:eastAsia="宋体" w:cs="宋体"/>
                <w:color w:val="auto"/>
                <w:sz w:val="21"/>
                <w:szCs w:val="21"/>
                <w:highlight w:val="none"/>
                <w:lang w:val="en-US" w:eastAsia="zh-CN"/>
              </w:rPr>
              <w:t>。不提供不得分。</w:t>
            </w:r>
          </w:p>
        </w:tc>
        <w:tc>
          <w:tcPr>
            <w:tcW w:w="95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481D8B5A">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cs="宋体"/>
                <w:color w:val="auto"/>
                <w:kern w:val="0"/>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0-</w:t>
            </w: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分</w:t>
            </w:r>
          </w:p>
        </w:tc>
      </w:tr>
      <w:tr w14:paraId="7B865676">
        <w:tblPrEx>
          <w:shd w:val="clear" w:color="auto" w:fill="auto"/>
          <w:tblCellMar>
            <w:top w:w="0" w:type="dxa"/>
            <w:left w:w="0" w:type="dxa"/>
            <w:bottom w:w="0" w:type="dxa"/>
            <w:right w:w="0" w:type="dxa"/>
          </w:tblCellMar>
        </w:tblPrEx>
        <w:trPr>
          <w:trHeight w:val="567" w:hRule="atLeast"/>
          <w:jc w:val="center"/>
        </w:trPr>
        <w:tc>
          <w:tcPr>
            <w:tcW w:w="9619" w:type="dxa"/>
            <w:gridSpan w:val="4"/>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5A54F428">
            <w:pPr>
              <w:keepNext w:val="0"/>
              <w:keepLines w:val="0"/>
              <w:pageBreakBefore w:val="0"/>
              <w:kinsoku/>
              <w:wordWrap/>
              <w:overflowPunct/>
              <w:topLinePunct w:val="0"/>
              <w:autoSpaceDE/>
              <w:autoSpaceDN/>
              <w:bidi w:val="0"/>
              <w:adjustRightInd/>
              <w:snapToGrid/>
              <w:spacing w:line="312" w:lineRule="auto"/>
              <w:ind w:left="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b/>
                <w:bCs/>
                <w:color w:val="auto"/>
                <w:sz w:val="21"/>
                <w:szCs w:val="21"/>
                <w:highlight w:val="none"/>
                <w:u w:val="none"/>
              </w:rPr>
              <w:t>（二）技术评审（</w:t>
            </w:r>
            <w:r>
              <w:rPr>
                <w:rFonts w:hint="eastAsia" w:ascii="宋体" w:hAnsi="宋体" w:cs="宋体"/>
                <w:b/>
                <w:bCs/>
                <w:color w:val="auto"/>
                <w:sz w:val="21"/>
                <w:szCs w:val="21"/>
                <w:highlight w:val="none"/>
                <w:u w:val="none"/>
                <w:lang w:val="en-US" w:eastAsia="zh-CN"/>
              </w:rPr>
              <w:t>40</w:t>
            </w:r>
            <w:r>
              <w:rPr>
                <w:rFonts w:hint="eastAsia" w:ascii="宋体" w:hAnsi="宋体" w:eastAsia="宋体" w:cs="宋体"/>
                <w:b/>
                <w:bCs/>
                <w:color w:val="auto"/>
                <w:sz w:val="21"/>
                <w:szCs w:val="21"/>
                <w:highlight w:val="none"/>
                <w:u w:val="none"/>
              </w:rPr>
              <w:t>）分</w:t>
            </w:r>
          </w:p>
        </w:tc>
      </w:tr>
      <w:tr w14:paraId="092E0642">
        <w:tblPrEx>
          <w:tblCellMar>
            <w:top w:w="0" w:type="dxa"/>
            <w:left w:w="0" w:type="dxa"/>
            <w:bottom w:w="0" w:type="dxa"/>
            <w:right w:w="0" w:type="dxa"/>
          </w:tblCellMar>
        </w:tblPrEx>
        <w:trPr>
          <w:trHeight w:val="567" w:hRule="atLeast"/>
          <w:jc w:val="center"/>
        </w:trPr>
        <w:tc>
          <w:tcPr>
            <w:tcW w:w="828" w:type="dxa"/>
            <w:tcBorders>
              <w:top w:val="single" w:color="auto" w:sz="4" w:space="0"/>
              <w:left w:val="single" w:color="000000" w:sz="6" w:space="0"/>
              <w:right w:val="single" w:color="000000" w:sz="6" w:space="0"/>
            </w:tcBorders>
            <w:shd w:val="clear" w:color="auto" w:fill="auto"/>
            <w:noWrap w:val="0"/>
            <w:vAlign w:val="center"/>
          </w:tcPr>
          <w:p w14:paraId="61C63A1B">
            <w:pPr>
              <w:keepNext w:val="0"/>
              <w:keepLines w:val="0"/>
              <w:pageBreakBefore w:val="0"/>
              <w:kinsoku/>
              <w:wordWrap/>
              <w:overflowPunct/>
              <w:topLinePunct w:val="0"/>
              <w:autoSpaceDE/>
              <w:autoSpaceDN/>
              <w:bidi w:val="0"/>
              <w:adjustRightInd/>
              <w:snapToGrid/>
              <w:spacing w:line="312" w:lineRule="auto"/>
              <w:ind w:left="0" w:leftChars="0" w:firstLine="0" w:firstLine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color w:val="auto"/>
                <w:sz w:val="21"/>
                <w:szCs w:val="21"/>
                <w:highlight w:val="none"/>
                <w:u w:val="none"/>
              </w:rPr>
              <w:t>序号</w:t>
            </w:r>
          </w:p>
        </w:tc>
        <w:tc>
          <w:tcPr>
            <w:tcW w:w="1749" w:type="dxa"/>
            <w:tcBorders>
              <w:top w:val="single" w:color="auto" w:sz="4" w:space="0"/>
              <w:left w:val="single" w:color="000000" w:sz="6" w:space="0"/>
              <w:right w:val="single" w:color="000000" w:sz="6" w:space="0"/>
            </w:tcBorders>
            <w:shd w:val="clear" w:color="auto" w:fill="auto"/>
            <w:noWrap w:val="0"/>
            <w:vAlign w:val="center"/>
          </w:tcPr>
          <w:p w14:paraId="0CD67779">
            <w:pPr>
              <w:keepNext w:val="0"/>
              <w:keepLines w:val="0"/>
              <w:pageBreakBefore w:val="0"/>
              <w:kinsoku/>
              <w:wordWrap/>
              <w:overflowPunct/>
              <w:topLinePunct w:val="0"/>
              <w:autoSpaceDE/>
              <w:autoSpaceDN/>
              <w:bidi w:val="0"/>
              <w:adjustRightInd/>
              <w:snapToGrid/>
              <w:spacing w:line="312" w:lineRule="auto"/>
              <w:ind w:left="0" w:leftChars="0" w:firstLine="0" w:firstLineChars="0"/>
              <w:jc w:val="center"/>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b/>
                <w:bCs/>
                <w:color w:val="auto"/>
                <w:sz w:val="21"/>
                <w:szCs w:val="21"/>
                <w:highlight w:val="none"/>
                <w:u w:val="none"/>
              </w:rPr>
              <w:t>详细评审项</w:t>
            </w:r>
          </w:p>
        </w:tc>
        <w:tc>
          <w:tcPr>
            <w:tcW w:w="609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6385A55E">
            <w:pPr>
              <w:keepNext w:val="0"/>
              <w:keepLines w:val="0"/>
              <w:pageBreakBefore w:val="0"/>
              <w:kinsoku/>
              <w:wordWrap/>
              <w:overflowPunct/>
              <w:topLinePunct w:val="0"/>
              <w:autoSpaceDE/>
              <w:autoSpaceDN/>
              <w:bidi w:val="0"/>
              <w:adjustRightInd/>
              <w:snapToGrid/>
              <w:spacing w:line="312" w:lineRule="auto"/>
              <w:ind w:left="0" w:leftChars="0" w:firstLine="0" w:firstLine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color w:val="auto"/>
                <w:sz w:val="21"/>
                <w:szCs w:val="21"/>
                <w:highlight w:val="none"/>
                <w:u w:val="none"/>
              </w:rPr>
              <w:t>详细评审分项要素</w:t>
            </w:r>
          </w:p>
        </w:tc>
        <w:tc>
          <w:tcPr>
            <w:tcW w:w="95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7878B174">
            <w:pPr>
              <w:keepNext w:val="0"/>
              <w:keepLines w:val="0"/>
              <w:pageBreakBefore w:val="0"/>
              <w:kinsoku/>
              <w:wordWrap/>
              <w:overflowPunct/>
              <w:topLinePunct w:val="0"/>
              <w:autoSpaceDE/>
              <w:autoSpaceDN/>
              <w:bidi w:val="0"/>
              <w:adjustRightInd/>
              <w:snapToGrid/>
              <w:spacing w:line="312" w:lineRule="auto"/>
              <w:ind w:left="0" w:leftChars="0" w:firstLine="0" w:firstLine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color w:val="auto"/>
                <w:sz w:val="21"/>
                <w:szCs w:val="21"/>
                <w:highlight w:val="none"/>
                <w:u w:val="none"/>
              </w:rPr>
              <w:t>分值</w:t>
            </w:r>
          </w:p>
        </w:tc>
      </w:tr>
      <w:tr w14:paraId="076F5E65">
        <w:tblPrEx>
          <w:shd w:val="clear" w:color="auto" w:fill="auto"/>
          <w:tblCellMar>
            <w:top w:w="0" w:type="dxa"/>
            <w:left w:w="0" w:type="dxa"/>
            <w:bottom w:w="0" w:type="dxa"/>
            <w:right w:w="0" w:type="dxa"/>
          </w:tblCellMar>
        </w:tblPrEx>
        <w:trPr>
          <w:trHeight w:val="567" w:hRule="atLeast"/>
          <w:jc w:val="center"/>
        </w:trPr>
        <w:tc>
          <w:tcPr>
            <w:tcW w:w="828" w:type="dxa"/>
            <w:tcBorders>
              <w:top w:val="single" w:color="auto" w:sz="4" w:space="0"/>
              <w:left w:val="single" w:color="000000" w:sz="6" w:space="0"/>
              <w:right w:val="single" w:color="000000" w:sz="6" w:space="0"/>
            </w:tcBorders>
            <w:shd w:val="clear" w:color="auto" w:fill="auto"/>
            <w:noWrap w:val="0"/>
            <w:vAlign w:val="center"/>
          </w:tcPr>
          <w:p w14:paraId="52508C57">
            <w:pPr>
              <w:keepNext w:val="0"/>
              <w:keepLines w:val="0"/>
              <w:pageBreakBefore w:val="0"/>
              <w:kinsoku/>
              <w:wordWrap/>
              <w:overflowPunct/>
              <w:topLinePunct w:val="0"/>
              <w:autoSpaceDE/>
              <w:autoSpaceDN/>
              <w:bidi w:val="0"/>
              <w:adjustRightInd/>
              <w:snapToGrid/>
              <w:spacing w:line="312" w:lineRule="auto"/>
              <w:ind w:left="0" w:firstLine="0" w:firstLine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w:t>
            </w:r>
          </w:p>
        </w:tc>
        <w:tc>
          <w:tcPr>
            <w:tcW w:w="1749" w:type="dxa"/>
            <w:tcBorders>
              <w:top w:val="single" w:color="auto" w:sz="4" w:space="0"/>
              <w:left w:val="single" w:color="000000" w:sz="6" w:space="0"/>
              <w:right w:val="single" w:color="000000" w:sz="6" w:space="0"/>
            </w:tcBorders>
            <w:shd w:val="clear" w:color="auto" w:fill="auto"/>
            <w:noWrap w:val="0"/>
            <w:vAlign w:val="center"/>
          </w:tcPr>
          <w:p w14:paraId="6E55B47D">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sz w:val="21"/>
                <w:szCs w:val="21"/>
                <w:highlight w:val="none"/>
              </w:rPr>
              <w:t>主要技术参数</w:t>
            </w:r>
          </w:p>
        </w:tc>
        <w:tc>
          <w:tcPr>
            <w:tcW w:w="609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191A9C8E">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kern w:val="2"/>
                <w:sz w:val="21"/>
                <w:szCs w:val="21"/>
                <w:highlight w:val="none"/>
                <w:u w:val="none"/>
                <w:lang w:val="en-US" w:eastAsia="zh-CN" w:bidi="ar-SA"/>
              </w:rPr>
              <w:t>（</w:t>
            </w:r>
            <w:r>
              <w:rPr>
                <w:rFonts w:hint="eastAsia" w:ascii="宋体" w:hAnsi="宋体" w:eastAsia="宋体" w:cs="宋体"/>
                <w:color w:val="auto"/>
                <w:kern w:val="2"/>
                <w:sz w:val="21"/>
                <w:szCs w:val="21"/>
                <w:highlight w:val="none"/>
                <w:u w:val="none"/>
                <w:lang w:val="en-US" w:eastAsia="zh-CN" w:bidi="ar-SA"/>
              </w:rPr>
              <w:t>1）温度系数，单晶硅组件功率温度系数工作温度达到-0.29%/℃得1分，在此基础上每降低0.01%/℃加0.5分，最高得2分；</w:t>
            </w:r>
          </w:p>
          <w:p w14:paraId="39F9874D">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kern w:val="2"/>
                <w:sz w:val="21"/>
                <w:szCs w:val="21"/>
                <w:highlight w:val="none"/>
                <w:u w:val="none"/>
                <w:lang w:val="en-US" w:eastAsia="zh-CN" w:bidi="ar-SA"/>
              </w:rPr>
              <w:t>（</w:t>
            </w:r>
            <w:r>
              <w:rPr>
                <w:rFonts w:hint="eastAsia" w:ascii="宋体" w:hAnsi="宋体" w:eastAsia="宋体" w:cs="宋体"/>
                <w:color w:val="auto"/>
                <w:kern w:val="2"/>
                <w:sz w:val="21"/>
                <w:szCs w:val="21"/>
                <w:highlight w:val="none"/>
                <w:u w:val="none"/>
                <w:lang w:val="en-US" w:eastAsia="zh-CN" w:bidi="ar-SA"/>
              </w:rPr>
              <w:t>2）衰减率：首年衰减率≤1%的1分，线性年衰减率≤0.4%/年得1分，最高得2分；</w:t>
            </w:r>
          </w:p>
          <w:p w14:paraId="4DF9E8AF">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kern w:val="2"/>
                <w:sz w:val="21"/>
                <w:szCs w:val="21"/>
                <w:highlight w:val="none"/>
                <w:u w:val="none"/>
                <w:lang w:val="en-US" w:eastAsia="zh-CN" w:bidi="ar-SA"/>
              </w:rPr>
              <w:t>（</w:t>
            </w:r>
            <w:r>
              <w:rPr>
                <w:rFonts w:hint="eastAsia" w:ascii="宋体" w:hAnsi="宋体" w:eastAsia="宋体" w:cs="宋体"/>
                <w:color w:val="auto"/>
                <w:kern w:val="2"/>
                <w:sz w:val="21"/>
                <w:szCs w:val="21"/>
                <w:highlight w:val="none"/>
                <w:u w:val="none"/>
                <w:lang w:val="en-US" w:eastAsia="zh-CN" w:bidi="ar-SA"/>
              </w:rPr>
              <w:t>3）光伏组件转化效率低于22.8%不得分，在22.8%的基础上每增加0.1%加0.5分，最高得2分</w:t>
            </w:r>
            <w:r>
              <w:rPr>
                <w:rFonts w:hint="eastAsia" w:ascii="宋体" w:hAnsi="宋体" w:cs="宋体"/>
                <w:color w:val="auto"/>
                <w:kern w:val="2"/>
                <w:sz w:val="21"/>
                <w:szCs w:val="21"/>
                <w:highlight w:val="none"/>
                <w:u w:val="none"/>
                <w:lang w:val="en-US" w:eastAsia="zh-CN" w:bidi="ar-SA"/>
              </w:rPr>
              <w:t>。</w:t>
            </w:r>
          </w:p>
          <w:p w14:paraId="6A5F4FF7">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kern w:val="2"/>
                <w:sz w:val="21"/>
                <w:szCs w:val="21"/>
                <w:highlight w:val="none"/>
                <w:u w:val="none"/>
                <w:lang w:val="en-US" w:eastAsia="zh-CN" w:bidi="ar-SA"/>
              </w:rPr>
              <w:t>需要提供第三方检测机构出具的具备CMA或CNAS标识的型式试验报告，不提供不得分。</w:t>
            </w:r>
            <w:bookmarkStart w:id="2327" w:name="_GoBack"/>
            <w:bookmarkEnd w:id="2327"/>
          </w:p>
        </w:tc>
        <w:tc>
          <w:tcPr>
            <w:tcW w:w="95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9F73440">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w:t>
            </w: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cs="宋体"/>
                <w:color w:val="auto"/>
                <w:szCs w:val="21"/>
                <w:highlight w:val="none"/>
                <w:lang w:val="en-US" w:eastAsia="zh-CN"/>
              </w:rPr>
              <w:t>分</w:t>
            </w:r>
          </w:p>
        </w:tc>
      </w:tr>
      <w:tr w14:paraId="4D9207B4">
        <w:tblPrEx>
          <w:shd w:val="clear" w:color="auto" w:fill="auto"/>
          <w:tblCellMar>
            <w:top w:w="0" w:type="dxa"/>
            <w:left w:w="0" w:type="dxa"/>
            <w:bottom w:w="0" w:type="dxa"/>
            <w:right w:w="0" w:type="dxa"/>
          </w:tblCellMar>
        </w:tblPrEx>
        <w:trPr>
          <w:trHeight w:val="567" w:hRule="atLeast"/>
          <w:jc w:val="center"/>
        </w:trPr>
        <w:tc>
          <w:tcPr>
            <w:tcW w:w="828"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000A2530">
            <w:pPr>
              <w:keepNext w:val="0"/>
              <w:keepLines w:val="0"/>
              <w:pageBreakBefore w:val="0"/>
              <w:kinsoku/>
              <w:wordWrap/>
              <w:overflowPunct/>
              <w:topLinePunct w:val="0"/>
              <w:autoSpaceDE/>
              <w:autoSpaceDN/>
              <w:bidi w:val="0"/>
              <w:adjustRightInd/>
              <w:snapToGrid/>
              <w:spacing w:line="312" w:lineRule="auto"/>
              <w:ind w:left="0" w:firstLine="0" w:firstLineChars="0"/>
              <w:jc w:val="center"/>
              <w:rPr>
                <w:rFonts w:hint="eastAsia" w:ascii="宋体" w:hAnsi="宋体" w:eastAsia="宋体" w:cs="宋体"/>
                <w:color w:val="auto"/>
                <w:sz w:val="21"/>
                <w:szCs w:val="21"/>
                <w:highlight w:val="none"/>
                <w:u w:val="none"/>
                <w:lang w:eastAsia="zh-CN"/>
              </w:rPr>
            </w:pPr>
            <w:r>
              <w:rPr>
                <w:rFonts w:hint="eastAsia" w:ascii="宋体" w:hAnsi="宋体" w:cs="宋体"/>
                <w:color w:val="auto"/>
                <w:sz w:val="21"/>
                <w:szCs w:val="21"/>
                <w:highlight w:val="none"/>
                <w:u w:val="none"/>
                <w:lang w:val="en-US" w:eastAsia="zh-CN"/>
              </w:rPr>
              <w:t>2</w:t>
            </w:r>
          </w:p>
        </w:tc>
        <w:tc>
          <w:tcPr>
            <w:tcW w:w="1749"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68FD14F4">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sz w:val="21"/>
                <w:szCs w:val="21"/>
                <w:highlight w:val="none"/>
                <w:lang w:val="en-US" w:eastAsia="zh-CN"/>
              </w:rPr>
              <w:t>性能指标</w:t>
            </w:r>
          </w:p>
        </w:tc>
        <w:tc>
          <w:tcPr>
            <w:tcW w:w="609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61E86B5B">
            <w:pPr>
              <w:keepNext w:val="0"/>
              <w:keepLines w:val="0"/>
              <w:widowControl/>
              <w:numPr>
                <w:ilvl w:val="0"/>
                <w:numId w:val="0"/>
              </w:numPr>
              <w:suppressLineNumbers w:val="0"/>
              <w:spacing w:before="0" w:beforeAutospacing="0" w:after="0" w:afterAutospacing="0" w:line="360" w:lineRule="auto"/>
              <w:ind w:left="0" w:leftChars="0" w:right="0" w:rightChars="0" w:firstLine="0" w:firstLineChars="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1）强度系数，投标组件通过直径45mm及以上冰雹测试加严测试得1分，需提供第三方检测机构出具的具备CMA或CNAS标识的型式试验报告，不提供不得分；</w:t>
            </w:r>
          </w:p>
          <w:p w14:paraId="129C83D9">
            <w:pPr>
              <w:keepNext w:val="0"/>
              <w:keepLines w:val="0"/>
              <w:widowControl/>
              <w:numPr>
                <w:ilvl w:val="0"/>
                <w:numId w:val="0"/>
              </w:numPr>
              <w:suppressLineNumbers w:val="0"/>
              <w:spacing w:before="0" w:beforeAutospacing="0" w:after="0" w:afterAutospacing="0" w:line="360" w:lineRule="auto"/>
              <w:ind w:left="0" w:leftChars="0" w:right="0" w:rightChars="0" w:firstLine="0" w:firstLineChars="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2）防火性能，投标组件通过防火Class A等级测试（需同时通过火焰蔓延测试A级和燃块燃烧测试A级测试）得1分，需提供第三方检测机构出具的具备CMA或CNAS标识的型式试验报告，不提供不得分；</w:t>
            </w:r>
          </w:p>
          <w:p w14:paraId="3404EF21">
            <w:pPr>
              <w:keepNext w:val="0"/>
              <w:keepLines w:val="0"/>
              <w:widowControl/>
              <w:numPr>
                <w:ilvl w:val="0"/>
                <w:numId w:val="0"/>
              </w:numPr>
              <w:suppressLineNumbers w:val="0"/>
              <w:spacing w:before="0" w:beforeAutospacing="0" w:after="0" w:afterAutospacing="0" w:line="360" w:lineRule="auto"/>
              <w:ind w:left="0" w:leftChars="0" w:right="0" w:rightChars="0" w:firstLine="0" w:firstLineChars="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3）抗阴影遮挡，投标组件通过抗阴影遮挡A级测试得1分，需提供第三方检测机构出具的具备CMA或CNAS标识的型式试验报告，不提供不得分；</w:t>
            </w:r>
          </w:p>
          <w:p w14:paraId="762C49DB">
            <w:pPr>
              <w:keepNext w:val="0"/>
              <w:keepLines w:val="0"/>
              <w:widowControl/>
              <w:numPr>
                <w:ilvl w:val="0"/>
                <w:numId w:val="0"/>
              </w:numPr>
              <w:suppressLineNumbers w:val="0"/>
              <w:spacing w:before="0" w:beforeAutospacing="0" w:after="0" w:afterAutospacing="0" w:line="360" w:lineRule="auto"/>
              <w:ind w:left="0" w:leftChars="0" w:right="0" w:rightChars="0" w:firstLine="0" w:firstLineChars="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4）盐雾测试，通过盐雾8级及以上测试得1分，需提供第三方检测机构出具的具备CMA或CNAS标识的型式试验报告，不提供不得分；</w:t>
            </w:r>
          </w:p>
          <w:p w14:paraId="432DB13F">
            <w:pPr>
              <w:keepNext w:val="0"/>
              <w:keepLines w:val="0"/>
              <w:widowControl/>
              <w:numPr>
                <w:ilvl w:val="0"/>
                <w:numId w:val="0"/>
              </w:numPr>
              <w:suppressLineNumbers w:val="0"/>
              <w:spacing w:before="0" w:beforeAutospacing="0" w:after="0" w:afterAutospacing="0" w:line="360" w:lineRule="auto"/>
              <w:ind w:left="0" w:leftChars="0" w:right="0" w:rightChars="0" w:firstLine="0" w:firstLineChars="0"/>
              <w:jc w:val="left"/>
              <w:textAlignment w:val="center"/>
              <w:rPr>
                <w:rFonts w:hint="eastAsia" w:ascii="宋体" w:hAnsi="宋体" w:eastAsia="宋体" w:cs="宋体"/>
                <w:color w:val="auto"/>
                <w:sz w:val="21"/>
                <w:szCs w:val="21"/>
                <w:highlight w:val="none"/>
                <w:u w:val="none"/>
                <w:lang w:val="en-US" w:eastAsia="zh-CN"/>
              </w:rPr>
            </w:pP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5）风洞测试，通过组件正面风速60m/s</w:t>
            </w:r>
            <w:r>
              <w:rPr>
                <w:rFonts w:hint="eastAsia" w:ascii="宋体" w:hAnsi="宋体" w:cs="宋体"/>
                <w:color w:val="auto"/>
                <w:kern w:val="2"/>
                <w:sz w:val="21"/>
                <w:szCs w:val="21"/>
                <w:highlight w:val="none"/>
                <w:lang w:val="en-US" w:eastAsia="zh-CN" w:bidi="ar-SA"/>
              </w:rPr>
              <w:t>及以上</w:t>
            </w:r>
            <w:r>
              <w:rPr>
                <w:rFonts w:hint="eastAsia" w:ascii="宋体" w:hAnsi="宋体" w:eastAsia="宋体" w:cs="宋体"/>
                <w:color w:val="auto"/>
                <w:kern w:val="2"/>
                <w:sz w:val="21"/>
                <w:szCs w:val="21"/>
                <w:highlight w:val="none"/>
                <w:lang w:val="en-US" w:eastAsia="zh-CN" w:bidi="ar-SA"/>
              </w:rPr>
              <w:t>，背面风速50m/s及以上风洞测试测试得1分，需提供第三方检测机构出具的具备CMA或CNAS标识的型式试验报告，不提供不得分。</w:t>
            </w:r>
          </w:p>
        </w:tc>
        <w:tc>
          <w:tcPr>
            <w:tcW w:w="95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11AB509">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cs="宋体"/>
                <w:color w:val="auto"/>
                <w:szCs w:val="21"/>
                <w:highlight w:val="none"/>
                <w:lang w:val="en-US" w:eastAsia="zh-CN"/>
              </w:rPr>
              <w:t>分</w:t>
            </w:r>
          </w:p>
        </w:tc>
      </w:tr>
      <w:tr w14:paraId="6338501F">
        <w:tblPrEx>
          <w:shd w:val="clear" w:color="auto" w:fill="auto"/>
          <w:tblCellMar>
            <w:top w:w="0" w:type="dxa"/>
            <w:left w:w="0" w:type="dxa"/>
            <w:bottom w:w="0" w:type="dxa"/>
            <w:right w:w="0" w:type="dxa"/>
          </w:tblCellMar>
        </w:tblPrEx>
        <w:trPr>
          <w:trHeight w:val="567" w:hRule="atLeast"/>
          <w:jc w:val="center"/>
        </w:trPr>
        <w:tc>
          <w:tcPr>
            <w:tcW w:w="828"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2A524294">
            <w:pPr>
              <w:keepNext w:val="0"/>
              <w:keepLines w:val="0"/>
              <w:pageBreakBefore w:val="0"/>
              <w:kinsoku/>
              <w:wordWrap/>
              <w:overflowPunct/>
              <w:topLinePunct w:val="0"/>
              <w:autoSpaceDE/>
              <w:autoSpaceDN/>
              <w:bidi w:val="0"/>
              <w:adjustRightInd/>
              <w:snapToGrid/>
              <w:spacing w:line="312" w:lineRule="auto"/>
              <w:ind w:left="0" w:firstLine="0" w:firstLineChars="0"/>
              <w:jc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w:t>
            </w:r>
          </w:p>
        </w:tc>
        <w:tc>
          <w:tcPr>
            <w:tcW w:w="1749"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51774913">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0"/>
                <w:sz w:val="21"/>
                <w:szCs w:val="21"/>
                <w:highlight w:val="none"/>
                <w:u w:val="none"/>
                <w:lang w:val="en-US" w:eastAsia="zh-CN"/>
              </w:rPr>
            </w:pPr>
            <w:r>
              <w:rPr>
                <w:rFonts w:hint="default" w:ascii="宋体" w:hAnsi="宋体" w:eastAsia="宋体" w:cs="宋体"/>
                <w:color w:val="auto"/>
                <w:sz w:val="21"/>
                <w:szCs w:val="21"/>
                <w:highlight w:val="none"/>
                <w:lang w:val="en-US" w:eastAsia="zh-CN"/>
              </w:rPr>
              <w:t>生产能力</w:t>
            </w:r>
          </w:p>
        </w:tc>
        <w:tc>
          <w:tcPr>
            <w:tcW w:w="609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AB0AACF">
            <w:pPr>
              <w:keepNext w:val="0"/>
              <w:keepLines w:val="0"/>
              <w:widowControl/>
              <w:numPr>
                <w:ilvl w:val="0"/>
                <w:numId w:val="0"/>
              </w:numPr>
              <w:suppressLineNumbers w:val="0"/>
              <w:spacing w:before="0" w:beforeAutospacing="0" w:after="0" w:afterAutospacing="0" w:line="360" w:lineRule="auto"/>
              <w:ind w:right="0" w:rightChars="0"/>
              <w:jc w:val="left"/>
              <w:textAlignment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1）具备完整的工艺流程和管理程序得1.5分；</w:t>
            </w:r>
          </w:p>
          <w:p w14:paraId="694253D7">
            <w:pPr>
              <w:keepNext w:val="0"/>
              <w:keepLines w:val="0"/>
              <w:widowControl/>
              <w:numPr>
                <w:ilvl w:val="0"/>
                <w:numId w:val="0"/>
              </w:numPr>
              <w:suppressLineNumbers w:val="0"/>
              <w:spacing w:before="0" w:beforeAutospacing="0" w:after="0" w:afterAutospacing="0" w:line="360" w:lineRule="auto"/>
              <w:ind w:left="0" w:leftChars="0" w:right="0" w:rightChars="0" w:firstLine="0" w:firstLineChars="0"/>
              <w:jc w:val="left"/>
              <w:textAlignment w:val="center"/>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lang w:val="en-US" w:eastAsia="zh-CN"/>
              </w:rPr>
              <w:t>2）具有全自动生产线的（至少包括焊接机、层压机、装框机、打胶机、灌胶机、缠绕机、裁切机）的得3.5分，需要提供设备证明材料（包括整机和铭牌照片，购置合同，型号必须一致），上述设备每缺少一项扣0.5分。证明材料不全或未提供的不得分。</w:t>
            </w:r>
          </w:p>
        </w:tc>
        <w:tc>
          <w:tcPr>
            <w:tcW w:w="95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1D7E3682">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cs="宋体"/>
                <w:color w:val="auto"/>
                <w:szCs w:val="21"/>
                <w:highlight w:val="none"/>
                <w:lang w:val="en-US" w:eastAsia="zh-CN"/>
              </w:rPr>
              <w:t>分</w:t>
            </w:r>
          </w:p>
        </w:tc>
      </w:tr>
      <w:tr w14:paraId="5C021616">
        <w:tblPrEx>
          <w:shd w:val="clear" w:color="auto" w:fill="auto"/>
          <w:tblCellMar>
            <w:top w:w="0" w:type="dxa"/>
            <w:left w:w="0" w:type="dxa"/>
            <w:bottom w:w="0" w:type="dxa"/>
            <w:right w:w="0" w:type="dxa"/>
          </w:tblCellMar>
        </w:tblPrEx>
        <w:trPr>
          <w:trHeight w:val="567" w:hRule="atLeast"/>
          <w:jc w:val="center"/>
        </w:trPr>
        <w:tc>
          <w:tcPr>
            <w:tcW w:w="828"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646B9A5B">
            <w:pPr>
              <w:keepNext w:val="0"/>
              <w:keepLines w:val="0"/>
              <w:pageBreakBefore w:val="0"/>
              <w:kinsoku/>
              <w:wordWrap/>
              <w:overflowPunct/>
              <w:topLinePunct w:val="0"/>
              <w:autoSpaceDE/>
              <w:autoSpaceDN/>
              <w:bidi w:val="0"/>
              <w:adjustRightInd/>
              <w:snapToGrid/>
              <w:spacing w:line="312" w:lineRule="auto"/>
              <w:ind w:left="0" w:firstLine="0" w:firstLineChars="0"/>
              <w:jc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4</w:t>
            </w:r>
          </w:p>
        </w:tc>
        <w:tc>
          <w:tcPr>
            <w:tcW w:w="1749"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3736A895">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sz w:val="21"/>
                <w:szCs w:val="21"/>
                <w:highlight w:val="none"/>
                <w:lang w:val="en-US" w:eastAsia="zh-CN"/>
              </w:rPr>
              <w:t>检验能力</w:t>
            </w:r>
          </w:p>
        </w:tc>
        <w:tc>
          <w:tcPr>
            <w:tcW w:w="609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65F0B9B6">
            <w:pPr>
              <w:keepNext w:val="0"/>
              <w:keepLines w:val="0"/>
              <w:widowControl/>
              <w:numPr>
                <w:ilvl w:val="0"/>
                <w:numId w:val="0"/>
              </w:numPr>
              <w:suppressLineNumbers w:val="0"/>
              <w:spacing w:before="0" w:beforeAutospacing="0" w:after="0" w:afterAutospacing="0" w:line="360" w:lineRule="auto"/>
              <w:ind w:left="0" w:leftChars="0" w:right="0" w:rightChars="0" w:firstLine="0" w:firstLineChars="0"/>
              <w:jc w:val="left"/>
              <w:textAlignment w:val="center"/>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lang w:val="en-US" w:eastAsia="zh-CN"/>
              </w:rPr>
              <w:t>具有CNAS（中国合格评定国家认可委员会）认证的实验室，每个得1分，满分8分。注：须提供有效的证书证明，不具备或未提供得0分。</w:t>
            </w:r>
          </w:p>
        </w:tc>
        <w:tc>
          <w:tcPr>
            <w:tcW w:w="95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620EA141">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w:t>
            </w:r>
            <w:r>
              <w:rPr>
                <w:rFonts w:hint="eastAsia" w:ascii="宋体" w:hAnsi="宋体" w:cs="宋体"/>
                <w:i w:val="0"/>
                <w:iCs w:val="0"/>
                <w:color w:val="auto"/>
                <w:kern w:val="0"/>
                <w:sz w:val="21"/>
                <w:szCs w:val="21"/>
                <w:highlight w:val="none"/>
                <w:u w:val="none"/>
                <w:lang w:val="en-US" w:eastAsia="zh-CN" w:bidi="ar"/>
              </w:rPr>
              <w:t>8</w:t>
            </w:r>
            <w:r>
              <w:rPr>
                <w:rFonts w:hint="eastAsia" w:ascii="宋体" w:hAnsi="宋体" w:cs="宋体"/>
                <w:color w:val="auto"/>
                <w:szCs w:val="21"/>
                <w:highlight w:val="none"/>
                <w:lang w:val="en-US" w:eastAsia="zh-CN"/>
              </w:rPr>
              <w:t>分</w:t>
            </w:r>
          </w:p>
        </w:tc>
      </w:tr>
      <w:tr w14:paraId="7734D1D0">
        <w:tblPrEx>
          <w:tblCellMar>
            <w:top w:w="0" w:type="dxa"/>
            <w:left w:w="0" w:type="dxa"/>
            <w:bottom w:w="0" w:type="dxa"/>
            <w:right w:w="0" w:type="dxa"/>
          </w:tblCellMar>
        </w:tblPrEx>
        <w:trPr>
          <w:trHeight w:val="567" w:hRule="atLeast"/>
          <w:jc w:val="center"/>
        </w:trPr>
        <w:tc>
          <w:tcPr>
            <w:tcW w:w="828"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308354C1">
            <w:pPr>
              <w:keepNext w:val="0"/>
              <w:keepLines w:val="0"/>
              <w:pageBreakBefore w:val="0"/>
              <w:widowControl/>
              <w:tabs>
                <w:tab w:val="left" w:pos="2127"/>
              </w:tabs>
              <w:kinsoku/>
              <w:wordWrap/>
              <w:overflowPunct/>
              <w:topLinePunct w:val="0"/>
              <w:autoSpaceDE/>
              <w:autoSpaceDN/>
              <w:bidi w:val="0"/>
              <w:adjustRightInd/>
              <w:snapToGrid/>
              <w:spacing w:line="312" w:lineRule="auto"/>
              <w:ind w:left="0" w:firstLine="0" w:firstLineChars="0"/>
              <w:jc w:val="center"/>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kern w:val="0"/>
                <w:sz w:val="21"/>
                <w:szCs w:val="21"/>
                <w:highlight w:val="none"/>
                <w:u w:val="none"/>
                <w:lang w:val="en-US" w:eastAsia="zh-CN"/>
              </w:rPr>
              <w:t>5</w:t>
            </w:r>
          </w:p>
        </w:tc>
        <w:tc>
          <w:tcPr>
            <w:tcW w:w="1749"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4411F16E">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sz w:val="21"/>
                <w:szCs w:val="21"/>
                <w:highlight w:val="none"/>
                <w:lang w:val="en-US" w:eastAsia="zh-CN"/>
              </w:rPr>
              <w:t>研发和技术能力</w:t>
            </w:r>
          </w:p>
        </w:tc>
        <w:tc>
          <w:tcPr>
            <w:tcW w:w="609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4125318D">
            <w:pPr>
              <w:keepNext w:val="0"/>
              <w:keepLines w:val="0"/>
              <w:widowControl/>
              <w:numPr>
                <w:ilvl w:val="0"/>
                <w:numId w:val="0"/>
              </w:numPr>
              <w:suppressLineNumbers w:val="0"/>
              <w:spacing w:before="0" w:beforeAutospacing="0" w:after="0" w:afterAutospacing="0" w:line="360" w:lineRule="auto"/>
              <w:ind w:right="0" w:rightChars="0"/>
              <w:jc w:val="left"/>
              <w:textAlignment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具有有效期内的高新技术企业</w:t>
            </w:r>
            <w:r>
              <w:rPr>
                <w:rFonts w:hint="eastAsia" w:ascii="宋体" w:hAnsi="宋体" w:cs="宋体"/>
                <w:color w:val="auto"/>
                <w:sz w:val="21"/>
                <w:szCs w:val="21"/>
                <w:highlight w:val="none"/>
                <w:lang w:val="en-US" w:eastAsia="zh-CN"/>
              </w:rPr>
              <w:t>证书</w:t>
            </w:r>
            <w:r>
              <w:rPr>
                <w:rFonts w:hint="eastAsia" w:ascii="宋体" w:hAnsi="宋体" w:eastAsia="宋体" w:cs="宋体"/>
                <w:color w:val="auto"/>
                <w:sz w:val="21"/>
                <w:szCs w:val="21"/>
                <w:highlight w:val="none"/>
                <w:lang w:val="en-US" w:eastAsia="zh-CN"/>
              </w:rPr>
              <w:t>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分，不具备或未提供得0分</w:t>
            </w:r>
            <w:r>
              <w:rPr>
                <w:rFonts w:hint="eastAsia" w:ascii="宋体" w:hAnsi="宋体" w:cs="宋体"/>
                <w:color w:val="auto"/>
                <w:sz w:val="21"/>
                <w:szCs w:val="21"/>
                <w:highlight w:val="none"/>
                <w:lang w:val="en-US" w:eastAsia="zh-CN"/>
              </w:rPr>
              <w:t>；</w:t>
            </w:r>
          </w:p>
          <w:p w14:paraId="7E157084">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2.投标产品取得国家知识产权局出具的发明专利证书，每项专利得0.5分，满分3分；</w:t>
            </w:r>
          </w:p>
          <w:p w14:paraId="0C3D6C00">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注：需提供</w:t>
            </w:r>
            <w:r>
              <w:rPr>
                <w:rFonts w:hint="eastAsia" w:ascii="宋体" w:hAnsi="宋体" w:cs="宋体"/>
                <w:color w:val="auto"/>
                <w:sz w:val="21"/>
                <w:szCs w:val="21"/>
                <w:highlight w:val="none"/>
                <w:lang w:val="en-US" w:eastAsia="zh-CN"/>
              </w:rPr>
              <w:t>相关</w:t>
            </w:r>
            <w:r>
              <w:rPr>
                <w:rFonts w:hint="eastAsia" w:ascii="宋体" w:hAnsi="宋体" w:eastAsia="宋体" w:cs="宋体"/>
                <w:color w:val="auto"/>
                <w:sz w:val="21"/>
                <w:szCs w:val="21"/>
                <w:highlight w:val="none"/>
                <w:lang w:val="en-US" w:eastAsia="zh-CN"/>
              </w:rPr>
              <w:t>证明材料。不提供不得分。</w:t>
            </w:r>
          </w:p>
        </w:tc>
        <w:tc>
          <w:tcPr>
            <w:tcW w:w="95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8DC85B4">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i w:val="0"/>
                <w:iCs w:val="0"/>
                <w:color w:val="auto"/>
                <w:kern w:val="0"/>
                <w:sz w:val="21"/>
                <w:szCs w:val="21"/>
                <w:highlight w:val="none"/>
                <w:u w:val="none"/>
                <w:lang w:val="en-US" w:eastAsia="zh-CN" w:bidi="ar"/>
              </w:rPr>
              <w:t>0-4</w:t>
            </w:r>
            <w:r>
              <w:rPr>
                <w:rFonts w:hint="eastAsia" w:ascii="宋体" w:hAnsi="宋体" w:cs="宋体"/>
                <w:color w:val="auto"/>
                <w:szCs w:val="21"/>
                <w:highlight w:val="none"/>
                <w:lang w:val="en-US" w:eastAsia="zh-CN"/>
              </w:rPr>
              <w:t>分</w:t>
            </w:r>
          </w:p>
        </w:tc>
      </w:tr>
      <w:tr w14:paraId="759A2B86">
        <w:tblPrEx>
          <w:shd w:val="clear" w:color="auto" w:fill="auto"/>
          <w:tblCellMar>
            <w:top w:w="0" w:type="dxa"/>
            <w:left w:w="0" w:type="dxa"/>
            <w:bottom w:w="0" w:type="dxa"/>
            <w:right w:w="0" w:type="dxa"/>
          </w:tblCellMar>
        </w:tblPrEx>
        <w:trPr>
          <w:trHeight w:val="567" w:hRule="atLeast"/>
          <w:jc w:val="center"/>
        </w:trPr>
        <w:tc>
          <w:tcPr>
            <w:tcW w:w="828"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0CA07F3E">
            <w:pPr>
              <w:keepNext w:val="0"/>
              <w:keepLines w:val="0"/>
              <w:pageBreakBefore w:val="0"/>
              <w:widowControl/>
              <w:tabs>
                <w:tab w:val="left" w:pos="2127"/>
              </w:tabs>
              <w:kinsoku/>
              <w:wordWrap/>
              <w:overflowPunct/>
              <w:topLinePunct w:val="0"/>
              <w:autoSpaceDE/>
              <w:autoSpaceDN/>
              <w:bidi w:val="0"/>
              <w:adjustRightInd/>
              <w:snapToGrid/>
              <w:spacing w:line="312" w:lineRule="auto"/>
              <w:ind w:left="0" w:firstLine="0" w:firstLineChars="0"/>
              <w:jc w:val="center"/>
              <w:rPr>
                <w:rFonts w:hint="default" w:ascii="宋体" w:hAnsi="宋体" w:eastAsia="宋体" w:cs="宋体"/>
                <w:color w:val="auto"/>
                <w:kern w:val="0"/>
                <w:sz w:val="21"/>
                <w:szCs w:val="21"/>
                <w:highlight w:val="none"/>
                <w:u w:val="none"/>
                <w:lang w:val="en-US" w:eastAsia="zh-CN"/>
              </w:rPr>
            </w:pPr>
            <w:r>
              <w:rPr>
                <w:rFonts w:hint="eastAsia" w:ascii="宋体" w:hAnsi="宋体" w:cs="宋体"/>
                <w:color w:val="auto"/>
                <w:kern w:val="0"/>
                <w:sz w:val="21"/>
                <w:szCs w:val="21"/>
                <w:highlight w:val="none"/>
                <w:u w:val="none"/>
                <w:lang w:val="en-US" w:eastAsia="zh-CN"/>
              </w:rPr>
              <w:t>6</w:t>
            </w:r>
          </w:p>
        </w:tc>
        <w:tc>
          <w:tcPr>
            <w:tcW w:w="1749"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0B24CA64">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cs="宋体"/>
                <w:color w:val="auto"/>
                <w:kern w:val="0"/>
                <w:szCs w:val="21"/>
                <w:highlight w:val="none"/>
                <w:lang w:eastAsia="zh-CN"/>
              </w:rPr>
            </w:pPr>
            <w:r>
              <w:rPr>
                <w:rFonts w:hint="eastAsia" w:ascii="宋体" w:hAnsi="宋体" w:eastAsia="宋体" w:cs="宋体"/>
                <w:color w:val="auto"/>
                <w:sz w:val="21"/>
                <w:szCs w:val="21"/>
                <w:highlight w:val="none"/>
              </w:rPr>
              <w:t>质量保障措施</w:t>
            </w:r>
          </w:p>
        </w:tc>
        <w:tc>
          <w:tcPr>
            <w:tcW w:w="609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1BF7039">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提供质量保障体系及措施方案（包括光伏组件设备的设计、监造、工厂检测和验收、现场安装调试、光伏组件试运行期和质量保证期的维护和维修设计联络会；技术培训</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w:t>
            </w:r>
          </w:p>
          <w:p w14:paraId="58003B45">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A</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分）：质量保障体系及措施方案非常完善；</w:t>
            </w:r>
          </w:p>
          <w:p w14:paraId="0191044A">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B</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3-4分</w:t>
            </w:r>
            <w:r>
              <w:rPr>
                <w:rFonts w:hint="eastAsia" w:ascii="宋体" w:hAnsi="宋体" w:eastAsia="宋体" w:cs="宋体"/>
                <w:color w:val="auto"/>
                <w:sz w:val="21"/>
                <w:szCs w:val="21"/>
                <w:highlight w:val="none"/>
                <w:lang w:val="en-US" w:eastAsia="zh-CN"/>
              </w:rPr>
              <w:t>）：质量保障体系及措施方案较为完善；</w:t>
            </w:r>
          </w:p>
          <w:p w14:paraId="1272A2FB">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C</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分）：质量保障体系及措施方案一般</w:t>
            </w:r>
            <w:r>
              <w:rPr>
                <w:rFonts w:hint="eastAsia" w:ascii="宋体" w:hAnsi="宋体" w:cs="宋体"/>
                <w:color w:val="auto"/>
                <w:sz w:val="21"/>
                <w:szCs w:val="21"/>
                <w:highlight w:val="none"/>
                <w:lang w:val="en-US" w:eastAsia="zh-CN"/>
              </w:rPr>
              <w:t>；</w:t>
            </w:r>
          </w:p>
          <w:p w14:paraId="22D5E872">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D</w:t>
            </w:r>
            <w:r>
              <w:rPr>
                <w:rFonts w:hint="eastAsia" w:ascii="宋体" w:hAnsi="宋体" w:eastAsia="宋体" w:cs="宋体"/>
                <w:color w:val="auto"/>
                <w:sz w:val="21"/>
                <w:szCs w:val="21"/>
                <w:highlight w:val="none"/>
                <w:lang w:val="en-US" w:eastAsia="zh-CN"/>
              </w:rPr>
              <w:t>（0分）：质量保障体系及措施方案不详细、不充分、不合理</w:t>
            </w:r>
            <w:r>
              <w:rPr>
                <w:rFonts w:hint="eastAsia" w:ascii="宋体" w:hAnsi="宋体" w:cs="宋体"/>
                <w:color w:val="auto"/>
                <w:sz w:val="21"/>
                <w:szCs w:val="21"/>
                <w:highlight w:val="none"/>
                <w:lang w:val="en-US" w:eastAsia="zh-CN"/>
              </w:rPr>
              <w:t>。</w:t>
            </w:r>
          </w:p>
          <w:p w14:paraId="584773F4">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cs="宋体"/>
                <w:color w:val="auto"/>
                <w:kern w:val="0"/>
                <w:szCs w:val="21"/>
                <w:highlight w:val="none"/>
                <w:lang w:eastAsia="zh-CN"/>
              </w:rPr>
            </w:pPr>
            <w:r>
              <w:rPr>
                <w:rFonts w:hint="eastAsia" w:ascii="宋体" w:hAnsi="宋体" w:eastAsia="宋体" w:cs="宋体"/>
                <w:color w:val="auto"/>
                <w:sz w:val="21"/>
                <w:szCs w:val="21"/>
                <w:highlight w:val="none"/>
                <w:lang w:val="en-US" w:eastAsia="zh-CN"/>
              </w:rPr>
              <w:t>注：不提供不得分。</w:t>
            </w:r>
          </w:p>
        </w:tc>
        <w:tc>
          <w:tcPr>
            <w:tcW w:w="95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DFF35B2">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cs="宋体"/>
                <w:color w:val="auto"/>
                <w:kern w:val="0"/>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0-</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cs="宋体"/>
                <w:color w:val="auto"/>
                <w:szCs w:val="21"/>
                <w:highlight w:val="none"/>
                <w:lang w:val="en-US" w:eastAsia="zh-CN"/>
              </w:rPr>
              <w:t>分</w:t>
            </w:r>
          </w:p>
        </w:tc>
      </w:tr>
      <w:tr w14:paraId="2C80B0FF">
        <w:tblPrEx>
          <w:tblCellMar>
            <w:top w:w="0" w:type="dxa"/>
            <w:left w:w="0" w:type="dxa"/>
            <w:bottom w:w="0" w:type="dxa"/>
            <w:right w:w="0" w:type="dxa"/>
          </w:tblCellMar>
        </w:tblPrEx>
        <w:trPr>
          <w:trHeight w:val="567" w:hRule="atLeast"/>
          <w:jc w:val="center"/>
        </w:trPr>
        <w:tc>
          <w:tcPr>
            <w:tcW w:w="828"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22F12CBD">
            <w:pPr>
              <w:keepNext w:val="0"/>
              <w:keepLines w:val="0"/>
              <w:pageBreakBefore w:val="0"/>
              <w:widowControl/>
              <w:tabs>
                <w:tab w:val="left" w:pos="2127"/>
              </w:tabs>
              <w:kinsoku/>
              <w:wordWrap/>
              <w:overflowPunct/>
              <w:topLinePunct w:val="0"/>
              <w:autoSpaceDE/>
              <w:autoSpaceDN/>
              <w:bidi w:val="0"/>
              <w:adjustRightInd/>
              <w:snapToGrid/>
              <w:spacing w:line="312" w:lineRule="auto"/>
              <w:ind w:left="0" w:firstLine="0" w:firstLineChars="0"/>
              <w:jc w:val="center"/>
              <w:rPr>
                <w:rFonts w:hint="default" w:ascii="宋体" w:hAnsi="宋体" w:eastAsia="宋体" w:cs="宋体"/>
                <w:color w:val="auto"/>
                <w:kern w:val="0"/>
                <w:sz w:val="21"/>
                <w:szCs w:val="21"/>
                <w:highlight w:val="none"/>
                <w:u w:val="none"/>
                <w:lang w:val="en-US" w:eastAsia="zh-CN"/>
              </w:rPr>
            </w:pPr>
            <w:r>
              <w:rPr>
                <w:rFonts w:hint="eastAsia" w:ascii="宋体" w:hAnsi="宋体" w:cs="宋体"/>
                <w:color w:val="auto"/>
                <w:kern w:val="0"/>
                <w:sz w:val="21"/>
                <w:szCs w:val="21"/>
                <w:highlight w:val="none"/>
                <w:u w:val="none"/>
                <w:lang w:val="en-US" w:eastAsia="zh-CN"/>
              </w:rPr>
              <w:t>7</w:t>
            </w:r>
          </w:p>
        </w:tc>
        <w:tc>
          <w:tcPr>
            <w:tcW w:w="1749"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72F05B2A">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cs="宋体"/>
                <w:color w:val="auto"/>
                <w:kern w:val="0"/>
                <w:szCs w:val="21"/>
                <w:highlight w:val="none"/>
                <w:lang w:eastAsia="zh-CN"/>
              </w:rPr>
            </w:pPr>
            <w:r>
              <w:rPr>
                <w:rFonts w:hint="eastAsia" w:ascii="宋体" w:hAnsi="宋体" w:eastAsia="宋体" w:cs="宋体"/>
                <w:color w:val="auto"/>
                <w:sz w:val="21"/>
                <w:szCs w:val="21"/>
                <w:highlight w:val="none"/>
                <w:lang w:val="en-US" w:eastAsia="zh-CN"/>
              </w:rPr>
              <w:t>运输便利性</w:t>
            </w:r>
          </w:p>
        </w:tc>
        <w:tc>
          <w:tcPr>
            <w:tcW w:w="609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2AD711C">
            <w:pPr>
              <w:keepNext w:val="0"/>
              <w:keepLines w:val="0"/>
              <w:widowControl/>
              <w:numPr>
                <w:ilvl w:val="0"/>
                <w:numId w:val="0"/>
              </w:numPr>
              <w:suppressLineNumbers w:val="0"/>
              <w:spacing w:before="0" w:beforeAutospacing="0" w:after="0" w:afterAutospacing="0" w:line="360" w:lineRule="auto"/>
              <w:ind w:right="0" w:rightChars="0"/>
              <w:jc w:val="left"/>
              <w:textAlignment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1.运输便利性：</w:t>
            </w:r>
          </w:p>
          <w:p w14:paraId="520E59F7">
            <w:pPr>
              <w:keepNext w:val="0"/>
              <w:keepLines w:val="0"/>
              <w:widowControl/>
              <w:numPr>
                <w:ilvl w:val="0"/>
                <w:numId w:val="0"/>
              </w:numPr>
              <w:suppressLineNumbers w:val="0"/>
              <w:spacing w:before="0" w:beforeAutospacing="0" w:after="0" w:afterAutospacing="0" w:line="360" w:lineRule="auto"/>
              <w:ind w:right="0" w:rightChars="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A</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分）：运输便利性和有效性好，满足一般配送要求，供货保证措施完整得当，进度违约责任承诺具体</w:t>
            </w:r>
            <w:r>
              <w:rPr>
                <w:rFonts w:hint="eastAsia" w:ascii="宋体" w:hAnsi="宋体" w:cs="宋体"/>
                <w:color w:val="auto"/>
                <w:sz w:val="21"/>
                <w:szCs w:val="21"/>
                <w:highlight w:val="none"/>
                <w:lang w:val="en-US" w:eastAsia="zh-CN"/>
              </w:rPr>
              <w:t>；</w:t>
            </w:r>
          </w:p>
          <w:p w14:paraId="5F1734C6">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B</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2分</w:t>
            </w:r>
            <w:r>
              <w:rPr>
                <w:rFonts w:hint="eastAsia" w:ascii="宋体" w:hAnsi="宋体" w:eastAsia="宋体" w:cs="宋体"/>
                <w:color w:val="auto"/>
                <w:sz w:val="21"/>
                <w:szCs w:val="21"/>
                <w:highlight w:val="none"/>
                <w:lang w:val="en-US" w:eastAsia="zh-CN"/>
              </w:rPr>
              <w:t>）：运输便利性和有效性较好，满足一般配送要求，有供货保证措施，有进度违约责任承诺</w:t>
            </w:r>
            <w:r>
              <w:rPr>
                <w:rFonts w:hint="eastAsia" w:ascii="宋体" w:hAnsi="宋体" w:cs="宋体"/>
                <w:color w:val="auto"/>
                <w:sz w:val="21"/>
                <w:szCs w:val="21"/>
                <w:highlight w:val="none"/>
                <w:lang w:val="en-US" w:eastAsia="zh-CN"/>
              </w:rPr>
              <w:t>；</w:t>
            </w:r>
          </w:p>
          <w:p w14:paraId="43C3A0CF">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C</w:t>
            </w:r>
            <w:r>
              <w:rPr>
                <w:rFonts w:hint="eastAsia" w:ascii="宋体" w:hAnsi="宋体" w:eastAsia="宋体" w:cs="宋体"/>
                <w:color w:val="auto"/>
                <w:sz w:val="21"/>
                <w:szCs w:val="21"/>
                <w:highlight w:val="none"/>
                <w:lang w:val="en-US" w:eastAsia="zh-CN"/>
              </w:rPr>
              <w:t>（1分）：运输便利性和有效性一般</w:t>
            </w:r>
            <w:r>
              <w:rPr>
                <w:rFonts w:hint="eastAsia" w:ascii="宋体" w:hAnsi="宋体" w:cs="宋体"/>
                <w:color w:val="auto"/>
                <w:sz w:val="21"/>
                <w:szCs w:val="21"/>
                <w:highlight w:val="none"/>
                <w:lang w:val="en-US" w:eastAsia="zh-CN"/>
              </w:rPr>
              <w:t>；</w:t>
            </w:r>
          </w:p>
          <w:p w14:paraId="0823802E">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D</w:t>
            </w:r>
            <w:r>
              <w:rPr>
                <w:rFonts w:hint="eastAsia" w:ascii="宋体" w:hAnsi="宋体" w:eastAsia="宋体" w:cs="宋体"/>
                <w:color w:val="auto"/>
                <w:sz w:val="21"/>
                <w:szCs w:val="21"/>
                <w:highlight w:val="none"/>
                <w:lang w:val="en-US" w:eastAsia="zh-CN"/>
              </w:rPr>
              <w:t>（0分）：运输便利性和有效性不详细、不充分、不合理。</w:t>
            </w:r>
          </w:p>
          <w:p w14:paraId="52CAC8AA">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cs="宋体"/>
                <w:color w:val="auto"/>
                <w:kern w:val="0"/>
                <w:szCs w:val="21"/>
                <w:highlight w:val="none"/>
                <w:lang w:eastAsia="zh-CN"/>
              </w:rPr>
            </w:pPr>
            <w:r>
              <w:rPr>
                <w:rFonts w:hint="eastAsia" w:ascii="宋体" w:hAnsi="宋体" w:eastAsia="宋体" w:cs="宋体"/>
                <w:color w:val="auto"/>
                <w:sz w:val="21"/>
                <w:szCs w:val="21"/>
                <w:highlight w:val="none"/>
                <w:lang w:val="en-US" w:eastAsia="zh-CN"/>
              </w:rPr>
              <w:t>注：不提供不得分。</w:t>
            </w:r>
          </w:p>
        </w:tc>
        <w:tc>
          <w:tcPr>
            <w:tcW w:w="95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2ACFC14">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cs="宋体"/>
                <w:color w:val="auto"/>
                <w:kern w:val="0"/>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0-</w:t>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cs="宋体"/>
                <w:color w:val="auto"/>
                <w:szCs w:val="21"/>
                <w:highlight w:val="none"/>
                <w:lang w:val="en-US" w:eastAsia="zh-CN"/>
              </w:rPr>
              <w:t>分</w:t>
            </w:r>
          </w:p>
        </w:tc>
      </w:tr>
      <w:tr w14:paraId="1DEC43D6">
        <w:tblPrEx>
          <w:shd w:val="clear" w:color="auto" w:fill="auto"/>
          <w:tblCellMar>
            <w:top w:w="0" w:type="dxa"/>
            <w:left w:w="0" w:type="dxa"/>
            <w:bottom w:w="0" w:type="dxa"/>
            <w:right w:w="0" w:type="dxa"/>
          </w:tblCellMar>
        </w:tblPrEx>
        <w:trPr>
          <w:trHeight w:val="567" w:hRule="atLeast"/>
          <w:jc w:val="center"/>
        </w:trPr>
        <w:tc>
          <w:tcPr>
            <w:tcW w:w="828"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58E64DFC">
            <w:pPr>
              <w:keepNext w:val="0"/>
              <w:keepLines w:val="0"/>
              <w:pageBreakBefore w:val="0"/>
              <w:widowControl/>
              <w:tabs>
                <w:tab w:val="left" w:pos="2127"/>
              </w:tabs>
              <w:kinsoku/>
              <w:wordWrap/>
              <w:overflowPunct/>
              <w:topLinePunct w:val="0"/>
              <w:autoSpaceDE/>
              <w:autoSpaceDN/>
              <w:bidi w:val="0"/>
              <w:adjustRightInd/>
              <w:snapToGrid/>
              <w:spacing w:line="312" w:lineRule="auto"/>
              <w:ind w:left="0" w:firstLine="0" w:firstLineChars="0"/>
              <w:jc w:val="center"/>
              <w:rPr>
                <w:rFonts w:hint="default" w:ascii="宋体" w:hAnsi="宋体" w:eastAsia="宋体" w:cs="宋体"/>
                <w:color w:val="auto"/>
                <w:kern w:val="0"/>
                <w:sz w:val="21"/>
                <w:szCs w:val="21"/>
                <w:highlight w:val="none"/>
                <w:u w:val="none"/>
                <w:lang w:val="en-US" w:eastAsia="zh-CN"/>
              </w:rPr>
            </w:pPr>
            <w:r>
              <w:rPr>
                <w:rFonts w:hint="eastAsia" w:ascii="宋体" w:hAnsi="宋体" w:cs="宋体"/>
                <w:color w:val="auto"/>
                <w:kern w:val="0"/>
                <w:sz w:val="21"/>
                <w:szCs w:val="21"/>
                <w:highlight w:val="none"/>
                <w:u w:val="none"/>
                <w:lang w:val="en-US" w:eastAsia="zh-CN"/>
              </w:rPr>
              <w:t>8</w:t>
            </w:r>
          </w:p>
        </w:tc>
        <w:tc>
          <w:tcPr>
            <w:tcW w:w="1749" w:type="dxa"/>
            <w:tcBorders>
              <w:top w:val="single" w:color="auto" w:sz="4" w:space="0"/>
              <w:left w:val="single" w:color="000000" w:sz="6" w:space="0"/>
              <w:bottom w:val="single" w:color="000000" w:sz="6" w:space="0"/>
              <w:right w:val="single" w:color="000000" w:sz="6" w:space="0"/>
            </w:tcBorders>
            <w:shd w:val="clear" w:color="auto" w:fill="auto"/>
            <w:noWrap w:val="0"/>
            <w:vAlign w:val="center"/>
          </w:tcPr>
          <w:p w14:paraId="54D436EE">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cs="宋体"/>
                <w:color w:val="auto"/>
                <w:kern w:val="0"/>
                <w:szCs w:val="21"/>
                <w:highlight w:val="none"/>
                <w:lang w:eastAsia="zh-CN"/>
              </w:rPr>
            </w:pPr>
            <w:r>
              <w:rPr>
                <w:rFonts w:hint="eastAsia" w:ascii="宋体" w:hAnsi="宋体" w:eastAsia="宋体" w:cs="宋体"/>
                <w:color w:val="auto"/>
                <w:sz w:val="21"/>
                <w:szCs w:val="21"/>
                <w:highlight w:val="none"/>
                <w:lang w:val="en-US" w:eastAsia="zh-CN"/>
              </w:rPr>
              <w:t>应急方案</w:t>
            </w:r>
          </w:p>
        </w:tc>
        <w:tc>
          <w:tcPr>
            <w:tcW w:w="609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D526373">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cs="宋体"/>
                <w:color w:val="auto"/>
                <w:kern w:val="0"/>
                <w:szCs w:val="21"/>
                <w:highlight w:val="none"/>
                <w:lang w:eastAsia="zh-CN"/>
              </w:rPr>
            </w:pPr>
            <w:r>
              <w:rPr>
                <w:rFonts w:hint="eastAsia" w:ascii="宋体" w:hAnsi="宋体" w:eastAsia="宋体" w:cs="宋体"/>
                <w:color w:val="auto"/>
                <w:sz w:val="21"/>
                <w:szCs w:val="21"/>
                <w:highlight w:val="none"/>
                <w:lang w:val="en-US" w:eastAsia="zh-CN"/>
              </w:rPr>
              <w:t>应急方案包括项目执行过程中的紧急情况或突发事情的处理方案：</w:t>
            </w:r>
            <w:r>
              <w:rPr>
                <w:rFonts w:hint="eastAsia" w:ascii="宋体" w:hAnsi="宋体" w:eastAsia="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A</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分）：方案描述详细、合理、可行性高；</w:t>
            </w:r>
            <w:r>
              <w:rPr>
                <w:rFonts w:hint="eastAsia" w:ascii="宋体" w:hAnsi="宋体" w:eastAsia="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B</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2-3分</w:t>
            </w:r>
            <w:r>
              <w:rPr>
                <w:rFonts w:hint="eastAsia" w:ascii="宋体" w:hAnsi="宋体" w:eastAsia="宋体" w:cs="宋体"/>
                <w:color w:val="auto"/>
                <w:sz w:val="21"/>
                <w:szCs w:val="21"/>
                <w:highlight w:val="none"/>
                <w:lang w:val="en-US" w:eastAsia="zh-CN"/>
              </w:rPr>
              <w:t>）：方案描述较为详细、合理、具有一定的可行性；</w:t>
            </w:r>
            <w:r>
              <w:rPr>
                <w:rFonts w:hint="eastAsia" w:ascii="宋体" w:hAnsi="宋体" w:eastAsia="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C</w:t>
            </w:r>
            <w:r>
              <w:rPr>
                <w:rFonts w:hint="eastAsia" w:ascii="宋体" w:hAnsi="宋体" w:eastAsia="宋体" w:cs="宋体"/>
                <w:color w:val="auto"/>
                <w:sz w:val="21"/>
                <w:szCs w:val="21"/>
                <w:highlight w:val="none"/>
                <w:lang w:val="en-US" w:eastAsia="zh-CN"/>
              </w:rPr>
              <w:t>（1分）：方案描述完整但不够详细、合理性一般，可行性一般；</w:t>
            </w:r>
            <w:r>
              <w:rPr>
                <w:rFonts w:hint="eastAsia" w:ascii="宋体" w:hAnsi="宋体" w:eastAsia="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D</w:t>
            </w:r>
            <w:r>
              <w:rPr>
                <w:rFonts w:hint="eastAsia" w:ascii="宋体" w:hAnsi="宋体" w:eastAsia="宋体" w:cs="宋体"/>
                <w:color w:val="auto"/>
                <w:sz w:val="21"/>
                <w:szCs w:val="21"/>
                <w:highlight w:val="none"/>
                <w:lang w:val="en-US" w:eastAsia="zh-CN"/>
              </w:rPr>
              <w:t>（0分）：方案描述不够完整、合理性较差，可行性较差</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注：不提供不得分。</w:t>
            </w:r>
          </w:p>
        </w:tc>
        <w:tc>
          <w:tcPr>
            <w:tcW w:w="951"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B1A9573">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cs="宋体"/>
                <w:color w:val="auto"/>
                <w:kern w:val="0"/>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0-</w:t>
            </w: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cs="宋体"/>
                <w:color w:val="auto"/>
                <w:szCs w:val="21"/>
                <w:highlight w:val="none"/>
                <w:lang w:val="en-US" w:eastAsia="zh-CN"/>
              </w:rPr>
              <w:t>分</w:t>
            </w:r>
          </w:p>
        </w:tc>
      </w:tr>
      <w:tr w14:paraId="7C285D8D">
        <w:tblPrEx>
          <w:shd w:val="clear" w:color="auto" w:fill="auto"/>
          <w:tblCellMar>
            <w:top w:w="0" w:type="dxa"/>
            <w:left w:w="0" w:type="dxa"/>
            <w:bottom w:w="0" w:type="dxa"/>
            <w:right w:w="0" w:type="dxa"/>
          </w:tblCellMar>
        </w:tblPrEx>
        <w:trPr>
          <w:trHeight w:val="567" w:hRule="atLeast"/>
          <w:jc w:val="center"/>
        </w:trPr>
        <w:tc>
          <w:tcPr>
            <w:tcW w:w="9619" w:type="dxa"/>
            <w:gridSpan w:val="4"/>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1A25CF6F">
            <w:pPr>
              <w:keepNext w:val="0"/>
              <w:keepLines w:val="0"/>
              <w:pageBreakBefore w:val="0"/>
              <w:kinsoku/>
              <w:wordWrap/>
              <w:overflowPunct/>
              <w:topLinePunct w:val="0"/>
              <w:autoSpaceDE/>
              <w:autoSpaceDN/>
              <w:bidi w:val="0"/>
              <w:adjustRightInd/>
              <w:snapToGrid/>
              <w:spacing w:line="312" w:lineRule="auto"/>
              <w:ind w:left="0" w:firstLine="0" w:firstLineChars="0"/>
              <w:jc w:val="left"/>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（三）价格评审（</w:t>
            </w:r>
            <w:r>
              <w:rPr>
                <w:rFonts w:hint="eastAsia" w:ascii="宋体" w:hAnsi="宋体" w:cs="宋体"/>
                <w:b/>
                <w:bCs/>
                <w:color w:val="auto"/>
                <w:sz w:val="21"/>
                <w:szCs w:val="21"/>
                <w:highlight w:val="none"/>
                <w:u w:val="none"/>
                <w:lang w:val="en-US" w:eastAsia="zh-CN"/>
              </w:rPr>
              <w:t>30</w:t>
            </w:r>
            <w:r>
              <w:rPr>
                <w:rFonts w:hint="eastAsia" w:ascii="宋体" w:hAnsi="宋体" w:eastAsia="宋体" w:cs="宋体"/>
                <w:b/>
                <w:bCs/>
                <w:color w:val="auto"/>
                <w:sz w:val="21"/>
                <w:szCs w:val="21"/>
                <w:highlight w:val="none"/>
                <w:u w:val="none"/>
              </w:rPr>
              <w:t>分）</w:t>
            </w:r>
          </w:p>
        </w:tc>
      </w:tr>
      <w:tr w14:paraId="25A1DC98">
        <w:tblPrEx>
          <w:shd w:val="clear" w:color="auto" w:fill="auto"/>
          <w:tblCellMar>
            <w:top w:w="0" w:type="dxa"/>
            <w:left w:w="0" w:type="dxa"/>
            <w:bottom w:w="0" w:type="dxa"/>
            <w:right w:w="0" w:type="dxa"/>
          </w:tblCellMar>
        </w:tblPrEx>
        <w:trPr>
          <w:trHeight w:val="567" w:hRule="atLeast"/>
          <w:jc w:val="center"/>
        </w:trPr>
        <w:tc>
          <w:tcPr>
            <w:tcW w:w="9619" w:type="dxa"/>
            <w:gridSpan w:val="4"/>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77C47A4">
            <w:pPr>
              <w:keepNext w:val="0"/>
              <w:keepLines w:val="0"/>
              <w:pageBreakBefore w:val="0"/>
              <w:numPr>
                <w:ilvl w:val="0"/>
                <w:numId w:val="0"/>
              </w:numPr>
              <w:kinsoku/>
              <w:wordWrap/>
              <w:overflowPunct/>
              <w:topLinePunct w:val="0"/>
              <w:autoSpaceDE/>
              <w:autoSpaceDN/>
              <w:bidi w:val="0"/>
              <w:adjustRightInd/>
              <w:snapToGrid/>
              <w:spacing w:line="312" w:lineRule="auto"/>
              <w:ind w:leftChars="0"/>
              <w:rPr>
                <w:rFonts w:hint="eastAsia" w:asciiTheme="minorEastAsia" w:hAnsiTheme="minorEastAsia" w:eastAsiaTheme="minorEastAsia" w:cstheme="minorEastAsia"/>
                <w:b w:val="0"/>
                <w:bCs w:val="0"/>
                <w:color w:val="000000"/>
                <w:sz w:val="21"/>
                <w:szCs w:val="21"/>
                <w:highlight w:val="none"/>
                <w:u w:val="none"/>
                <w:lang w:eastAsia="zh-CN"/>
              </w:rPr>
            </w:pPr>
            <w:r>
              <w:rPr>
                <w:rFonts w:hint="eastAsia" w:asciiTheme="minorEastAsia" w:hAnsiTheme="minorEastAsia" w:eastAsiaTheme="minorEastAsia" w:cstheme="minorEastAsia"/>
                <w:b w:val="0"/>
                <w:bCs w:val="0"/>
                <w:color w:val="000000"/>
                <w:sz w:val="21"/>
                <w:szCs w:val="21"/>
                <w:highlight w:val="none"/>
                <w:u w:val="none"/>
                <w:lang w:eastAsia="zh-CN"/>
              </w:rPr>
              <w:t>靶心法：</w:t>
            </w:r>
          </w:p>
          <w:p w14:paraId="2AF316F2">
            <w:pPr>
              <w:keepNext w:val="0"/>
              <w:keepLines w:val="0"/>
              <w:pageBreakBefore w:val="0"/>
              <w:numPr>
                <w:ilvl w:val="0"/>
                <w:numId w:val="0"/>
              </w:numPr>
              <w:kinsoku/>
              <w:wordWrap/>
              <w:overflowPunct/>
              <w:topLinePunct w:val="0"/>
              <w:autoSpaceDE/>
              <w:autoSpaceDN/>
              <w:bidi w:val="0"/>
              <w:adjustRightInd/>
              <w:snapToGrid/>
              <w:spacing w:line="312" w:lineRule="auto"/>
              <w:ind w:leftChars="0" w:firstLine="420" w:firstLineChars="200"/>
              <w:rPr>
                <w:rFonts w:hint="eastAsia" w:asciiTheme="minorEastAsia" w:hAnsiTheme="minorEastAsia" w:eastAsiaTheme="minorEastAsia" w:cstheme="minorEastAsia"/>
                <w:b w:val="0"/>
                <w:bCs w:val="0"/>
                <w:color w:val="auto"/>
                <w:sz w:val="21"/>
                <w:szCs w:val="21"/>
                <w:highlight w:val="none"/>
                <w:u w:val="none"/>
                <w:lang w:val="en-US" w:eastAsia="zh-CN"/>
              </w:rPr>
            </w:pPr>
            <w:r>
              <w:rPr>
                <w:rFonts w:hint="eastAsia" w:asciiTheme="minorEastAsia" w:hAnsiTheme="minorEastAsia" w:eastAsiaTheme="minorEastAsia" w:cstheme="minorEastAsia"/>
                <w:b w:val="0"/>
                <w:bCs w:val="0"/>
                <w:color w:val="000000"/>
                <w:sz w:val="21"/>
                <w:szCs w:val="21"/>
                <w:highlight w:val="none"/>
                <w:u w:val="none"/>
                <w:lang w:eastAsia="zh-CN"/>
              </w:rPr>
              <w:t>评审价</w:t>
            </w:r>
            <w:r>
              <w:rPr>
                <w:rFonts w:hint="eastAsia" w:asciiTheme="minorEastAsia" w:hAnsiTheme="minorEastAsia" w:eastAsiaTheme="minorEastAsia" w:cstheme="minorEastAsia"/>
                <w:b w:val="0"/>
                <w:bCs w:val="0"/>
                <w:color w:val="000000"/>
                <w:sz w:val="21"/>
                <w:szCs w:val="21"/>
                <w:highlight w:val="none"/>
                <w:u w:val="none"/>
              </w:rPr>
              <w:t>=含税单价报价</w:t>
            </w:r>
          </w:p>
          <w:p w14:paraId="76E84B24">
            <w:pPr>
              <w:keepNext w:val="0"/>
              <w:keepLines w:val="0"/>
              <w:pageBreakBefore w:val="0"/>
              <w:numPr>
                <w:ilvl w:val="0"/>
                <w:numId w:val="0"/>
              </w:numPr>
              <w:kinsoku/>
              <w:wordWrap/>
              <w:overflowPunct/>
              <w:topLinePunct w:val="0"/>
              <w:autoSpaceDE/>
              <w:autoSpaceDN/>
              <w:bidi w:val="0"/>
              <w:adjustRightInd/>
              <w:snapToGrid/>
              <w:spacing w:line="312" w:lineRule="auto"/>
              <w:ind w:leftChars="0" w:firstLine="420" w:firstLineChars="200"/>
              <w:rPr>
                <w:rFonts w:hint="eastAsia" w:asciiTheme="minorEastAsia" w:hAnsiTheme="minorEastAsia" w:eastAsiaTheme="minorEastAsia" w:cstheme="minorEastAsia"/>
                <w:b w:val="0"/>
                <w:bCs w:val="0"/>
                <w:color w:val="auto"/>
                <w:sz w:val="21"/>
                <w:szCs w:val="21"/>
                <w:highlight w:val="none"/>
                <w:u w:val="none"/>
              </w:rPr>
            </w:pPr>
            <w:r>
              <w:rPr>
                <w:rFonts w:hint="eastAsia" w:asciiTheme="minorEastAsia" w:hAnsiTheme="minorEastAsia" w:eastAsiaTheme="minorEastAsia" w:cstheme="minorEastAsia"/>
                <w:b w:val="0"/>
                <w:bCs w:val="0"/>
                <w:color w:val="auto"/>
                <w:sz w:val="21"/>
                <w:szCs w:val="21"/>
                <w:highlight w:val="none"/>
                <w:u w:val="none"/>
              </w:rPr>
              <w:t>基准价（Y基准）=合格</w:t>
            </w:r>
            <w:r>
              <w:rPr>
                <w:rFonts w:hint="eastAsia" w:asciiTheme="minorEastAsia" w:hAnsiTheme="minorEastAsia" w:eastAsiaTheme="minorEastAsia" w:cstheme="minorEastAsia"/>
                <w:b w:val="0"/>
                <w:bCs w:val="0"/>
                <w:color w:val="auto"/>
                <w:sz w:val="21"/>
                <w:szCs w:val="21"/>
                <w:highlight w:val="none"/>
                <w:u w:val="none"/>
                <w:lang w:eastAsia="zh-CN"/>
              </w:rPr>
              <w:t>投标人</w:t>
            </w:r>
            <w:r>
              <w:rPr>
                <w:rFonts w:hint="eastAsia" w:asciiTheme="minorEastAsia" w:hAnsiTheme="minorEastAsia" w:eastAsiaTheme="minorEastAsia" w:cstheme="minorEastAsia"/>
                <w:b w:val="0"/>
                <w:bCs w:val="0"/>
                <w:color w:val="auto"/>
                <w:sz w:val="21"/>
                <w:szCs w:val="21"/>
                <w:highlight w:val="none"/>
                <w:u w:val="none"/>
              </w:rPr>
              <w:t>的平均价，基准按四舍五入法保留</w:t>
            </w:r>
            <w:r>
              <w:rPr>
                <w:rFonts w:hint="eastAsia" w:asciiTheme="minorEastAsia" w:hAnsiTheme="minorEastAsia" w:eastAsiaTheme="minorEastAsia" w:cstheme="minorEastAsia"/>
                <w:b w:val="0"/>
                <w:bCs w:val="0"/>
                <w:color w:val="auto"/>
                <w:sz w:val="21"/>
                <w:szCs w:val="21"/>
                <w:highlight w:val="none"/>
                <w:u w:val="none"/>
                <w:lang w:val="en-US" w:eastAsia="zh-CN"/>
              </w:rPr>
              <w:t>三位</w:t>
            </w:r>
            <w:r>
              <w:rPr>
                <w:rFonts w:hint="eastAsia" w:asciiTheme="minorEastAsia" w:hAnsiTheme="minorEastAsia" w:eastAsiaTheme="minorEastAsia" w:cstheme="minorEastAsia"/>
                <w:b w:val="0"/>
                <w:bCs w:val="0"/>
                <w:color w:val="auto"/>
                <w:sz w:val="21"/>
                <w:szCs w:val="21"/>
                <w:highlight w:val="none"/>
                <w:u w:val="none"/>
              </w:rPr>
              <w:t>小数。</w:t>
            </w:r>
          </w:p>
          <w:p w14:paraId="612A7023">
            <w:pPr>
              <w:pStyle w:val="23"/>
              <w:pageBreakBefore w:val="0"/>
              <w:kinsoku/>
              <w:wordWrap/>
              <w:overflowPunct/>
              <w:topLinePunct w:val="0"/>
              <w:autoSpaceDE/>
              <w:autoSpaceDN/>
              <w:bidi w:val="0"/>
              <w:spacing w:before="10" w:after="10" w:line="360" w:lineRule="auto"/>
              <w:ind w:firstLine="420" w:firstLineChars="200"/>
              <w:textAlignment w:val="auto"/>
              <w:rPr>
                <w:rFonts w:hint="eastAsia" w:asciiTheme="minorEastAsia" w:hAnsiTheme="minorEastAsia" w:eastAsiaTheme="minorEastAsia" w:cstheme="minorEastAsia"/>
                <w:b w:val="0"/>
                <w:bCs w:val="0"/>
                <w:color w:val="auto"/>
                <w:sz w:val="21"/>
                <w:szCs w:val="21"/>
                <w:highlight w:val="none"/>
                <w:u w:val="none"/>
              </w:rPr>
            </w:pPr>
            <w:r>
              <w:rPr>
                <w:rFonts w:hint="eastAsia" w:asciiTheme="minorEastAsia" w:hAnsiTheme="minorEastAsia" w:eastAsiaTheme="minorEastAsia" w:cstheme="minorEastAsia"/>
                <w:b w:val="0"/>
                <w:bCs w:val="0"/>
                <w:color w:val="auto"/>
                <w:sz w:val="21"/>
                <w:szCs w:val="21"/>
                <w:highlight w:val="none"/>
                <w:u w:val="none"/>
              </w:rPr>
              <w:t>报价得分=满分-满分×n×|</w:t>
            </w:r>
            <w:r>
              <w:rPr>
                <w:rFonts w:hint="eastAsia" w:asciiTheme="minorEastAsia" w:hAnsiTheme="minorEastAsia" w:eastAsiaTheme="minorEastAsia" w:cstheme="minorEastAsia"/>
                <w:b w:val="0"/>
                <w:bCs w:val="0"/>
                <w:color w:val="auto"/>
                <w:sz w:val="21"/>
                <w:szCs w:val="21"/>
                <w:highlight w:val="none"/>
                <w:u w:val="none"/>
                <w:lang w:eastAsia="zh-CN"/>
              </w:rPr>
              <w:t>投标人</w:t>
            </w:r>
            <w:r>
              <w:rPr>
                <w:rFonts w:hint="eastAsia" w:asciiTheme="minorEastAsia" w:hAnsiTheme="minorEastAsia" w:eastAsiaTheme="minorEastAsia" w:cstheme="minorEastAsia"/>
                <w:b w:val="0"/>
                <w:bCs w:val="0"/>
                <w:color w:val="auto"/>
                <w:sz w:val="21"/>
                <w:szCs w:val="21"/>
                <w:highlight w:val="none"/>
                <w:u w:val="none"/>
              </w:rPr>
              <w:t>的评标价-基准价|/基准价，当</w:t>
            </w:r>
            <w:r>
              <w:rPr>
                <w:rFonts w:hint="eastAsia" w:asciiTheme="minorEastAsia" w:hAnsiTheme="minorEastAsia" w:eastAsiaTheme="minorEastAsia" w:cstheme="minorEastAsia"/>
                <w:b w:val="0"/>
                <w:bCs w:val="0"/>
                <w:color w:val="auto"/>
                <w:sz w:val="21"/>
                <w:szCs w:val="21"/>
                <w:highlight w:val="none"/>
                <w:u w:val="none"/>
                <w:lang w:eastAsia="zh-CN"/>
              </w:rPr>
              <w:t>投标人</w:t>
            </w:r>
            <w:r>
              <w:rPr>
                <w:rFonts w:hint="eastAsia" w:asciiTheme="minorEastAsia" w:hAnsiTheme="minorEastAsia" w:eastAsiaTheme="minorEastAsia" w:cstheme="minorEastAsia"/>
                <w:b w:val="0"/>
                <w:bCs w:val="0"/>
                <w:color w:val="auto"/>
                <w:sz w:val="21"/>
                <w:szCs w:val="21"/>
                <w:highlight w:val="none"/>
                <w:u w:val="none"/>
              </w:rPr>
              <w:t>的评标价≤基准价时，n=0.</w:t>
            </w:r>
            <w:r>
              <w:rPr>
                <w:rFonts w:hint="eastAsia" w:asciiTheme="minorEastAsia" w:hAnsiTheme="minorEastAsia" w:eastAsiaTheme="minorEastAsia" w:cstheme="minorEastAsia"/>
                <w:b w:val="0"/>
                <w:bCs w:val="0"/>
                <w:color w:val="auto"/>
                <w:sz w:val="21"/>
                <w:szCs w:val="21"/>
                <w:highlight w:val="none"/>
                <w:u w:val="none"/>
                <w:lang w:val="en-US" w:eastAsia="zh-CN"/>
              </w:rPr>
              <w:t>3</w:t>
            </w:r>
            <w:r>
              <w:rPr>
                <w:rFonts w:hint="eastAsia" w:asciiTheme="minorEastAsia" w:hAnsiTheme="minorEastAsia" w:eastAsiaTheme="minorEastAsia" w:cstheme="minorEastAsia"/>
                <w:b w:val="0"/>
                <w:bCs w:val="0"/>
                <w:color w:val="auto"/>
                <w:sz w:val="21"/>
                <w:szCs w:val="21"/>
                <w:highlight w:val="none"/>
                <w:u w:val="none"/>
              </w:rPr>
              <w:t>，当</w:t>
            </w:r>
            <w:r>
              <w:rPr>
                <w:rFonts w:hint="eastAsia" w:asciiTheme="minorEastAsia" w:hAnsiTheme="minorEastAsia" w:eastAsiaTheme="minorEastAsia" w:cstheme="minorEastAsia"/>
                <w:b w:val="0"/>
                <w:bCs w:val="0"/>
                <w:color w:val="auto"/>
                <w:sz w:val="21"/>
                <w:szCs w:val="21"/>
                <w:highlight w:val="none"/>
                <w:u w:val="none"/>
                <w:lang w:eastAsia="zh-CN"/>
              </w:rPr>
              <w:t>投标人</w:t>
            </w:r>
            <w:r>
              <w:rPr>
                <w:rFonts w:hint="eastAsia" w:asciiTheme="minorEastAsia" w:hAnsiTheme="minorEastAsia" w:eastAsiaTheme="minorEastAsia" w:cstheme="minorEastAsia"/>
                <w:b w:val="0"/>
                <w:bCs w:val="0"/>
                <w:color w:val="auto"/>
                <w:sz w:val="21"/>
                <w:szCs w:val="21"/>
                <w:highlight w:val="none"/>
                <w:u w:val="none"/>
              </w:rPr>
              <w:t>的评标价＞基准价时，n=</w:t>
            </w:r>
            <w:r>
              <w:rPr>
                <w:rFonts w:hint="eastAsia" w:asciiTheme="minorEastAsia" w:hAnsiTheme="minorEastAsia" w:eastAsiaTheme="minorEastAsia" w:cstheme="minorEastAsia"/>
                <w:b w:val="0"/>
                <w:bCs w:val="0"/>
                <w:color w:val="auto"/>
                <w:sz w:val="21"/>
                <w:szCs w:val="21"/>
                <w:highlight w:val="none"/>
                <w:u w:val="none"/>
                <w:lang w:val="en-US" w:eastAsia="zh-CN"/>
              </w:rPr>
              <w:t>0.7</w:t>
            </w:r>
            <w:r>
              <w:rPr>
                <w:rFonts w:hint="eastAsia" w:asciiTheme="minorEastAsia" w:hAnsiTheme="minorEastAsia" w:eastAsiaTheme="minorEastAsia" w:cstheme="minorEastAsia"/>
                <w:b w:val="0"/>
                <w:bCs w:val="0"/>
                <w:color w:val="auto"/>
                <w:sz w:val="21"/>
                <w:szCs w:val="21"/>
                <w:highlight w:val="none"/>
                <w:u w:val="none"/>
              </w:rPr>
              <w:t>。</w:t>
            </w:r>
          </w:p>
          <w:p w14:paraId="4CF39EB8">
            <w:pPr>
              <w:keepNext w:val="0"/>
              <w:keepLines w:val="0"/>
              <w:pageBreakBefore w:val="0"/>
              <w:kinsoku/>
              <w:wordWrap/>
              <w:overflowPunct/>
              <w:topLinePunct w:val="0"/>
              <w:autoSpaceDE/>
              <w:autoSpaceDN/>
              <w:bidi w:val="0"/>
              <w:adjustRightInd/>
              <w:snapToGrid/>
              <w:spacing w:line="312" w:lineRule="auto"/>
              <w:ind w:left="0" w:firstLine="0" w:firstLineChars="0"/>
              <w:rPr>
                <w:rFonts w:hint="eastAsia" w:ascii="宋体" w:hAnsi="宋体" w:cs="宋体" w:eastAsiaTheme="minorEastAsia"/>
                <w:color w:val="000000"/>
                <w:kern w:val="0"/>
                <w:sz w:val="21"/>
                <w:szCs w:val="21"/>
                <w:highlight w:val="none"/>
                <w:u w:val="none"/>
                <w:lang w:eastAsia="zh-CN"/>
              </w:rPr>
            </w:pPr>
            <w:r>
              <w:rPr>
                <w:rFonts w:hint="eastAsia" w:asciiTheme="minorEastAsia" w:hAnsiTheme="minorEastAsia" w:eastAsiaTheme="minorEastAsia" w:cstheme="minorEastAsia"/>
                <w:b w:val="0"/>
                <w:bCs w:val="0"/>
                <w:color w:val="auto"/>
                <w:sz w:val="21"/>
                <w:szCs w:val="21"/>
                <w:highlight w:val="none"/>
                <w:u w:val="none"/>
              </w:rPr>
              <w:t>注：基准价、报价得分的结果按“四舍五入”的原则保留两位小数。若报价得分为负分时，则按零分计算</w:t>
            </w:r>
            <w:r>
              <w:rPr>
                <w:rFonts w:hint="eastAsia" w:asciiTheme="minorEastAsia" w:hAnsiTheme="minorEastAsia" w:eastAsiaTheme="minorEastAsia" w:cstheme="minorEastAsia"/>
                <w:b w:val="0"/>
                <w:bCs w:val="0"/>
                <w:color w:val="auto"/>
                <w:sz w:val="21"/>
                <w:szCs w:val="21"/>
                <w:highlight w:val="none"/>
                <w:u w:val="none"/>
                <w:lang w:eastAsia="zh-CN"/>
              </w:rPr>
              <w:t>。</w:t>
            </w:r>
          </w:p>
        </w:tc>
      </w:tr>
      <w:tr w14:paraId="4DE991A3">
        <w:tblPrEx>
          <w:shd w:val="clear" w:color="auto" w:fill="auto"/>
          <w:tblCellMar>
            <w:top w:w="0" w:type="dxa"/>
            <w:left w:w="0" w:type="dxa"/>
            <w:bottom w:w="0" w:type="dxa"/>
            <w:right w:w="0" w:type="dxa"/>
          </w:tblCellMar>
        </w:tblPrEx>
        <w:trPr>
          <w:trHeight w:val="567" w:hRule="atLeast"/>
          <w:jc w:val="center"/>
        </w:trPr>
        <w:tc>
          <w:tcPr>
            <w:tcW w:w="2577" w:type="dxa"/>
            <w:gridSpan w:val="2"/>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B7911D8">
            <w:pPr>
              <w:keepNext w:val="0"/>
              <w:keepLines w:val="0"/>
              <w:pageBreakBefore w:val="0"/>
              <w:widowControl/>
              <w:kinsoku/>
              <w:wordWrap/>
              <w:overflowPunct/>
              <w:topLinePunct w:val="0"/>
              <w:autoSpaceDE/>
              <w:autoSpaceDN/>
              <w:bidi w:val="0"/>
              <w:adjustRightInd/>
              <w:snapToGrid/>
              <w:spacing w:line="312" w:lineRule="auto"/>
              <w:ind w:left="0" w:firstLine="0" w:firstLineChars="0"/>
              <w:rPr>
                <w:rFonts w:hint="eastAsia" w:ascii="宋体" w:hAnsi="宋体" w:eastAsia="宋体" w:cs="宋体"/>
                <w:color w:val="000000"/>
                <w:kern w:val="0"/>
                <w:sz w:val="21"/>
                <w:szCs w:val="21"/>
                <w:highlight w:val="none"/>
                <w:u w:val="none"/>
                <w:lang w:val="en-US" w:eastAsia="zh-CN" w:bidi="ar-SA"/>
              </w:rPr>
            </w:pPr>
            <w:r>
              <w:rPr>
                <w:rFonts w:hint="eastAsia" w:ascii="宋体" w:hAnsi="宋体" w:cs="宋体"/>
                <w:b/>
                <w:bCs/>
                <w:color w:val="000000"/>
                <w:kern w:val="0"/>
                <w:sz w:val="21"/>
                <w:szCs w:val="21"/>
                <w:highlight w:val="none"/>
                <w:u w:val="none"/>
                <w:lang w:eastAsia="zh-CN"/>
              </w:rPr>
              <w:t>进入价格评审投标人数量</w:t>
            </w:r>
          </w:p>
        </w:tc>
        <w:tc>
          <w:tcPr>
            <w:tcW w:w="7042" w:type="dxa"/>
            <w:gridSpan w:val="2"/>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E268C6E">
            <w:pPr>
              <w:keepNext w:val="0"/>
              <w:keepLines w:val="0"/>
              <w:pageBreakBefore w:val="0"/>
              <w:widowControl/>
              <w:kinsoku/>
              <w:wordWrap/>
              <w:overflowPunct/>
              <w:topLinePunct w:val="0"/>
              <w:autoSpaceDE/>
              <w:autoSpaceDN/>
              <w:bidi w:val="0"/>
              <w:adjustRightInd/>
              <w:snapToGrid/>
              <w:spacing w:line="312" w:lineRule="auto"/>
              <w:ind w:left="0" w:firstLine="0" w:firstLineChars="0"/>
              <w:rPr>
                <w:rFonts w:hint="eastAsia" w:ascii="宋体" w:hAnsi="宋体" w:eastAsia="宋体" w:cs="宋体"/>
                <w:color w:val="000000"/>
                <w:kern w:val="0"/>
                <w:sz w:val="21"/>
                <w:szCs w:val="21"/>
                <w:highlight w:val="none"/>
                <w:u w:val="none"/>
                <w:lang w:val="en-US" w:eastAsia="zh-CN" w:bidi="ar-SA"/>
              </w:rPr>
            </w:pPr>
            <w:r>
              <w:rPr>
                <w:rFonts w:hint="eastAsia" w:ascii="宋体" w:hAnsi="宋体" w:eastAsia="宋体" w:cs="宋体"/>
                <w:color w:val="000000"/>
                <w:kern w:val="0"/>
                <w:sz w:val="21"/>
                <w:szCs w:val="21"/>
                <w:highlight w:val="none"/>
                <w:u w:val="none"/>
                <w:lang w:val="en-US" w:eastAsia="zh-CN"/>
              </w:rPr>
              <w:t>本次评标不设置</w:t>
            </w:r>
            <w:r>
              <w:rPr>
                <w:rFonts w:hint="eastAsia" w:ascii="宋体" w:hAnsi="宋体" w:cs="宋体"/>
                <w:color w:val="000000"/>
                <w:kern w:val="0"/>
                <w:sz w:val="21"/>
                <w:szCs w:val="21"/>
                <w:highlight w:val="none"/>
                <w:u w:val="none"/>
                <w:lang w:val="en-US" w:eastAsia="zh-CN"/>
              </w:rPr>
              <w:t>商务技术</w:t>
            </w:r>
            <w:r>
              <w:rPr>
                <w:rFonts w:hint="eastAsia" w:ascii="宋体" w:hAnsi="宋体" w:eastAsia="宋体" w:cs="宋体"/>
                <w:color w:val="000000"/>
                <w:kern w:val="0"/>
                <w:sz w:val="21"/>
                <w:szCs w:val="21"/>
                <w:highlight w:val="none"/>
                <w:u w:val="none"/>
                <w:lang w:val="en-US" w:eastAsia="zh-CN"/>
              </w:rPr>
              <w:t>末位淘汰。进入</w:t>
            </w:r>
            <w:r>
              <w:rPr>
                <w:rFonts w:hint="eastAsia" w:ascii="宋体" w:hAnsi="宋体" w:cs="宋体"/>
                <w:color w:val="000000"/>
                <w:kern w:val="0"/>
                <w:sz w:val="21"/>
                <w:szCs w:val="21"/>
                <w:highlight w:val="none"/>
                <w:u w:val="none"/>
                <w:lang w:val="en-US" w:eastAsia="zh-CN"/>
              </w:rPr>
              <w:t>商务技术</w:t>
            </w:r>
            <w:r>
              <w:rPr>
                <w:rFonts w:hint="eastAsia" w:ascii="宋体" w:hAnsi="宋体" w:eastAsia="宋体" w:cs="宋体"/>
                <w:color w:val="000000"/>
                <w:kern w:val="0"/>
                <w:sz w:val="21"/>
                <w:szCs w:val="21"/>
                <w:highlight w:val="none"/>
                <w:u w:val="none"/>
                <w:lang w:val="en-US" w:eastAsia="zh-CN"/>
              </w:rPr>
              <w:t>评分范围的</w:t>
            </w:r>
            <w:r>
              <w:rPr>
                <w:rFonts w:hint="eastAsia" w:ascii="宋体" w:hAnsi="宋体" w:cs="宋体"/>
                <w:color w:val="000000"/>
                <w:kern w:val="0"/>
                <w:sz w:val="21"/>
                <w:szCs w:val="21"/>
                <w:highlight w:val="none"/>
                <w:u w:val="none"/>
                <w:lang w:val="en-US" w:eastAsia="zh-CN"/>
              </w:rPr>
              <w:t>投标人</w:t>
            </w:r>
            <w:r>
              <w:rPr>
                <w:rFonts w:hint="eastAsia" w:ascii="宋体" w:hAnsi="宋体" w:eastAsia="宋体" w:cs="宋体"/>
                <w:color w:val="000000"/>
                <w:kern w:val="0"/>
                <w:sz w:val="21"/>
                <w:szCs w:val="21"/>
                <w:highlight w:val="none"/>
                <w:u w:val="none"/>
                <w:lang w:val="en-US" w:eastAsia="zh-CN"/>
              </w:rPr>
              <w:t>全部进入价格评分。</w:t>
            </w:r>
          </w:p>
        </w:tc>
      </w:tr>
      <w:tr w14:paraId="19991A27">
        <w:tblPrEx>
          <w:shd w:val="clear" w:color="auto" w:fill="auto"/>
          <w:tblCellMar>
            <w:top w:w="0" w:type="dxa"/>
            <w:left w:w="0" w:type="dxa"/>
            <w:bottom w:w="0" w:type="dxa"/>
            <w:right w:w="0" w:type="dxa"/>
          </w:tblCellMar>
        </w:tblPrEx>
        <w:trPr>
          <w:trHeight w:val="567" w:hRule="atLeast"/>
          <w:jc w:val="center"/>
        </w:trPr>
        <w:tc>
          <w:tcPr>
            <w:tcW w:w="2577" w:type="dxa"/>
            <w:gridSpan w:val="2"/>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16C7E70F">
            <w:pPr>
              <w:keepNext w:val="0"/>
              <w:keepLines w:val="0"/>
              <w:pageBreakBefore w:val="0"/>
              <w:widowControl/>
              <w:kinsoku/>
              <w:wordWrap/>
              <w:overflowPunct/>
              <w:topLinePunct w:val="0"/>
              <w:autoSpaceDE/>
              <w:autoSpaceDN/>
              <w:bidi w:val="0"/>
              <w:adjustRightInd/>
              <w:spacing w:line="312" w:lineRule="auto"/>
              <w:ind w:left="0" w:leftChars="0"/>
              <w:rPr>
                <w:rFonts w:hint="eastAsia" w:ascii="宋体" w:hAnsi="宋体" w:eastAsia="宋体" w:cs="宋体"/>
                <w:b/>
                <w:bCs/>
                <w:color w:val="auto"/>
                <w:kern w:val="0"/>
                <w:sz w:val="21"/>
                <w:szCs w:val="21"/>
                <w:highlight w:val="none"/>
                <w:u w:val="none"/>
                <w:lang w:val="en-US" w:eastAsia="zh-CN" w:bidi="ar-SA"/>
              </w:rPr>
            </w:pPr>
            <w:r>
              <w:rPr>
                <w:rFonts w:hint="eastAsia" w:ascii="宋体" w:hAnsi="宋体" w:eastAsia="宋体" w:cs="宋体"/>
                <w:b/>
                <w:bCs/>
                <w:color w:val="auto"/>
                <w:kern w:val="0"/>
                <w:sz w:val="21"/>
                <w:szCs w:val="21"/>
                <w:highlight w:val="none"/>
                <w:u w:val="none"/>
                <w:lang w:val="en-US" w:eastAsia="zh-CN"/>
              </w:rPr>
              <w:t>备注</w:t>
            </w:r>
          </w:p>
        </w:tc>
        <w:tc>
          <w:tcPr>
            <w:tcW w:w="7042" w:type="dxa"/>
            <w:gridSpan w:val="2"/>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144BA301">
            <w:pPr>
              <w:keepNext w:val="0"/>
              <w:keepLines w:val="0"/>
              <w:pageBreakBefore w:val="0"/>
              <w:kinsoku/>
              <w:wordWrap/>
              <w:overflowPunct/>
              <w:topLinePunct w:val="0"/>
              <w:autoSpaceDE/>
              <w:autoSpaceDN/>
              <w:bidi w:val="0"/>
              <w:adjustRightInd/>
              <w:spacing w:line="312" w:lineRule="auto"/>
              <w:ind w:left="0" w:leftChars="0"/>
              <w:rPr>
                <w:rFonts w:hint="default" w:ascii="宋体" w:hAnsi="宋体" w:eastAsia="宋体" w:cs="宋体"/>
                <w:color w:val="auto"/>
                <w:kern w:val="0"/>
                <w:sz w:val="21"/>
                <w:szCs w:val="21"/>
                <w:highlight w:val="none"/>
                <w:u w:val="none"/>
                <w:lang w:val="en-US" w:eastAsia="zh-CN" w:bidi="ar-SA"/>
              </w:rPr>
            </w:pPr>
            <w:r>
              <w:rPr>
                <w:rFonts w:hint="eastAsia" w:ascii="宋体" w:hAnsi="宋体" w:cs="宋体"/>
                <w:color w:val="auto"/>
                <w:sz w:val="21"/>
                <w:szCs w:val="21"/>
                <w:highlight w:val="none"/>
                <w:u w:val="none"/>
                <w:lang w:val="en-US" w:eastAsia="zh-CN"/>
              </w:rPr>
              <w:t>/</w:t>
            </w:r>
          </w:p>
        </w:tc>
      </w:tr>
    </w:tbl>
    <w:p w14:paraId="50AE13F4">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实施办法:</w:t>
      </w:r>
    </w:p>
    <w:p w14:paraId="31AF7E87">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(1) 必须每项打分。</w:t>
      </w:r>
    </w:p>
    <w:p w14:paraId="688D13BB">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(2) 商务技术分，最后得分为各评委的算术平均值，按“四舍五入”原则并保留两位小数计取。</w:t>
      </w:r>
    </w:p>
    <w:p w14:paraId="0C9BD677">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(3) 必须严格按照规定项目及其评分标准进行打分。</w:t>
      </w:r>
    </w:p>
    <w:p w14:paraId="11CB28F6">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(4) 采用记名方式进行打分。</w:t>
      </w:r>
    </w:p>
    <w:p w14:paraId="47C49EAE">
      <w:pPr>
        <w:keepNext/>
        <w:keepLines/>
        <w:pageBreakBefore w:val="0"/>
        <w:widowControl w:val="0"/>
        <w:tabs>
          <w:tab w:val="left" w:pos="2127"/>
        </w:tabs>
        <w:kinsoku/>
        <w:wordWrap/>
        <w:overflowPunct/>
        <w:topLinePunct w:val="0"/>
        <w:autoSpaceDE/>
        <w:autoSpaceDN/>
        <w:bidi w:val="0"/>
        <w:adjustRightInd/>
        <w:snapToGrid/>
        <w:spacing w:before="0" w:beforeLines="0" w:after="0" w:afterLines="0" w:line="312" w:lineRule="auto"/>
        <w:textAlignment w:val="auto"/>
        <w:outlineLvl w:val="9"/>
        <w:rPr>
          <w:rFonts w:hint="eastAsia" w:ascii="宋体" w:hAnsi="宋体" w:eastAsia="宋体" w:cs="宋体"/>
          <w:color w:val="auto"/>
          <w:sz w:val="24"/>
          <w:szCs w:val="24"/>
          <w:highlight w:val="none"/>
        </w:rPr>
      </w:pPr>
      <w:bookmarkStart w:id="2175" w:name="_Toc20537"/>
    </w:p>
    <w:p w14:paraId="084220DB">
      <w:pPr>
        <w:pStyle w:val="4"/>
        <w:tabs>
          <w:tab w:val="left" w:pos="2127"/>
        </w:tabs>
        <w:kinsoku/>
        <w:wordWrap/>
        <w:overflowPunct/>
        <w:topLinePunct w:val="0"/>
        <w:autoSpaceDE/>
        <w:autoSpaceDN/>
        <w:bidi w:val="0"/>
        <w:adjustRightInd/>
        <w:snapToGrid/>
        <w:spacing w:before="0" w:beforeLines="0" w:after="0" w:afterLines="0" w:line="312" w:lineRule="auto"/>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 </w:t>
      </w:r>
      <w:r>
        <w:rPr>
          <w:rFonts w:hint="eastAsia" w:ascii="宋体" w:hAnsi="宋体" w:eastAsia="宋体" w:cs="宋体"/>
          <w:color w:val="auto"/>
          <w:sz w:val="24"/>
          <w:szCs w:val="24"/>
          <w:highlight w:val="none"/>
          <w:lang w:eastAsia="zh-CN"/>
        </w:rPr>
        <w:t>评审</w:t>
      </w:r>
      <w:r>
        <w:rPr>
          <w:rFonts w:hint="eastAsia" w:ascii="宋体" w:hAnsi="宋体" w:eastAsia="宋体" w:cs="宋体"/>
          <w:color w:val="auto"/>
          <w:sz w:val="24"/>
          <w:szCs w:val="24"/>
          <w:highlight w:val="none"/>
        </w:rPr>
        <w:t>程序</w:t>
      </w:r>
      <w:bookmarkEnd w:id="2169"/>
      <w:bookmarkEnd w:id="2170"/>
      <w:bookmarkEnd w:id="2171"/>
      <w:bookmarkEnd w:id="2172"/>
      <w:bookmarkEnd w:id="2173"/>
      <w:bookmarkEnd w:id="2174"/>
      <w:bookmarkEnd w:id="2175"/>
    </w:p>
    <w:p w14:paraId="0E4F8293">
      <w:pPr>
        <w:tabs>
          <w:tab w:val="left" w:pos="2127"/>
        </w:tabs>
        <w:kinsoku/>
        <w:wordWrap/>
        <w:overflowPunct/>
        <w:topLinePunct w:val="0"/>
        <w:autoSpaceDE/>
        <w:autoSpaceDN/>
        <w:bidi w:val="0"/>
        <w:adjustRightInd/>
        <w:snapToGrid/>
        <w:spacing w:line="312" w:lineRule="auto"/>
        <w:textAlignment w:val="auto"/>
        <w:outlineLvl w:val="2"/>
        <w:rPr>
          <w:rFonts w:hint="eastAsia" w:ascii="宋体" w:hAnsi="宋体" w:eastAsia="宋体" w:cs="宋体"/>
          <w:b/>
          <w:bCs/>
          <w:color w:val="auto"/>
          <w:highlight w:val="none"/>
        </w:rPr>
      </w:pPr>
      <w:bookmarkStart w:id="2176" w:name="_Toc18704"/>
      <w:bookmarkStart w:id="2177" w:name="_Toc32119"/>
      <w:bookmarkStart w:id="2178" w:name="_Toc29891"/>
      <w:bookmarkStart w:id="2179" w:name="_Toc6214"/>
      <w:bookmarkStart w:id="2180" w:name="_Toc26874"/>
      <w:bookmarkStart w:id="2181" w:name="_Toc19690"/>
      <w:bookmarkStart w:id="2182" w:name="_Toc26951"/>
      <w:r>
        <w:rPr>
          <w:rFonts w:hint="eastAsia" w:ascii="宋体" w:hAnsi="宋体" w:eastAsia="宋体" w:cs="宋体"/>
          <w:b/>
          <w:bCs/>
          <w:color w:val="auto"/>
          <w:highlight w:val="none"/>
        </w:rPr>
        <w:t>3.1 初步评审</w:t>
      </w:r>
      <w:bookmarkEnd w:id="2176"/>
      <w:bookmarkEnd w:id="2177"/>
      <w:bookmarkEnd w:id="2178"/>
      <w:bookmarkEnd w:id="2179"/>
      <w:bookmarkEnd w:id="2180"/>
      <w:bookmarkEnd w:id="2181"/>
      <w:bookmarkEnd w:id="2182"/>
    </w:p>
    <w:p w14:paraId="2CAC17F5">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 xml:space="preserve">3.1.1 </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依据本章第2.1款规定的标准依次对</w:t>
      </w:r>
      <w:r>
        <w:rPr>
          <w:rFonts w:hint="eastAsia" w:ascii="宋体" w:hAnsi="宋体" w:cs="宋体"/>
          <w:color w:val="auto"/>
          <w:highlight w:val="none"/>
          <w:lang w:val="en-US" w:eastAsia="zh-CN"/>
        </w:rPr>
        <w:t>投标</w:t>
      </w:r>
      <w:r>
        <w:rPr>
          <w:rFonts w:hint="eastAsia" w:ascii="宋体" w:hAnsi="宋体" w:cs="宋体"/>
          <w:color w:val="auto"/>
          <w:highlight w:val="none"/>
          <w:lang w:eastAsia="zh-CN"/>
        </w:rPr>
        <w:t>文件</w:t>
      </w:r>
      <w:r>
        <w:rPr>
          <w:rFonts w:hint="eastAsia" w:ascii="宋体" w:hAnsi="宋体" w:eastAsia="宋体" w:cs="宋体"/>
          <w:color w:val="auto"/>
          <w:highlight w:val="none"/>
        </w:rPr>
        <w:t>进行初步评审，有一项不符合评审标准的，其</w:t>
      </w:r>
      <w:r>
        <w:rPr>
          <w:rFonts w:hint="eastAsia" w:ascii="宋体" w:hAnsi="宋体" w:cs="宋体"/>
          <w:color w:val="auto"/>
          <w:highlight w:val="none"/>
          <w:lang w:val="en-US" w:eastAsia="zh-CN"/>
        </w:rPr>
        <w:t>投标</w:t>
      </w:r>
      <w:r>
        <w:rPr>
          <w:rFonts w:hint="eastAsia" w:ascii="宋体" w:hAnsi="宋体" w:cs="宋体"/>
          <w:color w:val="auto"/>
          <w:highlight w:val="none"/>
          <w:lang w:eastAsia="zh-CN"/>
        </w:rPr>
        <w:t>文件</w:t>
      </w:r>
      <w:r>
        <w:rPr>
          <w:rFonts w:hint="eastAsia" w:ascii="宋体" w:hAnsi="宋体" w:eastAsia="宋体" w:cs="宋体"/>
          <w:color w:val="auto"/>
          <w:highlight w:val="none"/>
        </w:rPr>
        <w:t>作否决处理</w:t>
      </w:r>
      <w:r>
        <w:rPr>
          <w:rFonts w:hint="eastAsia" w:ascii="宋体" w:hAnsi="宋体" w:eastAsia="宋体" w:cs="宋体"/>
          <w:color w:val="auto"/>
          <w:highlight w:val="none"/>
          <w:lang w:eastAsia="zh-CN"/>
        </w:rPr>
        <w:t>。</w:t>
      </w:r>
    </w:p>
    <w:p w14:paraId="1BE42C00">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3.1.2 投标人</w:t>
      </w:r>
      <w:r>
        <w:rPr>
          <w:rFonts w:hint="eastAsia" w:ascii="宋体" w:hAnsi="宋体" w:eastAsia="宋体" w:cs="宋体"/>
          <w:color w:val="auto"/>
          <w:highlight w:val="none"/>
        </w:rPr>
        <w:t>有以下情形之一的，其</w:t>
      </w:r>
      <w:r>
        <w:rPr>
          <w:rFonts w:hint="eastAsia" w:ascii="宋体" w:hAnsi="宋体" w:cs="宋体"/>
          <w:color w:val="auto"/>
          <w:highlight w:val="none"/>
          <w:lang w:val="en-US" w:eastAsia="zh-CN"/>
        </w:rPr>
        <w:t>投标</w:t>
      </w:r>
      <w:r>
        <w:rPr>
          <w:rFonts w:hint="eastAsia" w:ascii="宋体" w:hAnsi="宋体" w:cs="宋体"/>
          <w:color w:val="auto"/>
          <w:highlight w:val="none"/>
          <w:lang w:eastAsia="zh-CN"/>
        </w:rPr>
        <w:t>文件</w:t>
      </w:r>
      <w:r>
        <w:rPr>
          <w:rFonts w:hint="eastAsia" w:ascii="宋体" w:hAnsi="宋体" w:eastAsia="宋体" w:cs="宋体"/>
          <w:color w:val="auto"/>
          <w:highlight w:val="none"/>
        </w:rPr>
        <w:t>作否决处理：</w:t>
      </w:r>
    </w:p>
    <w:p w14:paraId="4EA86EE6">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投标人相互</w:t>
      </w:r>
      <w:r>
        <w:rPr>
          <w:rFonts w:hint="eastAsia" w:ascii="宋体" w:hAnsi="宋体" w:eastAsia="宋体" w:cs="宋体"/>
          <w:color w:val="auto"/>
          <w:highlight w:val="none"/>
        </w:rPr>
        <w:t>串通或弄虚作假或有其他违法行为的；</w:t>
      </w:r>
    </w:p>
    <w:p w14:paraId="09023B31">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）不按</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要求澄清、说明或补正的</w:t>
      </w:r>
      <w:r>
        <w:rPr>
          <w:rFonts w:hint="eastAsia" w:ascii="宋体" w:hAnsi="宋体" w:eastAsia="宋体" w:cs="宋体"/>
          <w:color w:val="auto"/>
          <w:highlight w:val="none"/>
          <w:lang w:eastAsia="zh-CN"/>
        </w:rPr>
        <w:t>；</w:t>
      </w:r>
    </w:p>
    <w:p w14:paraId="2C5FF2FD">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）低于成本报价的。</w:t>
      </w:r>
    </w:p>
    <w:p w14:paraId="7F5367DB">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3.1.</w:t>
      </w:r>
      <w:r>
        <w:rPr>
          <w:rFonts w:hint="eastAsia" w:ascii="宋体" w:hAnsi="宋体" w:eastAsia="宋体" w:cs="宋体"/>
          <w:color w:val="auto"/>
          <w:highlight w:val="none"/>
          <w:lang w:val="en-US" w:eastAsia="zh-CN"/>
        </w:rPr>
        <w:t>3 投标人</w:t>
      </w:r>
      <w:r>
        <w:rPr>
          <w:rFonts w:hint="eastAsia" w:ascii="宋体" w:hAnsi="宋体" w:eastAsia="宋体" w:cs="宋体"/>
          <w:color w:val="auto"/>
          <w:highlight w:val="none"/>
        </w:rPr>
        <w:t>报价有算术错误及其他错误的，</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按以下原则要求对</w:t>
      </w:r>
      <w:r>
        <w:rPr>
          <w:rFonts w:hint="eastAsia" w:ascii="宋体" w:hAnsi="宋体" w:eastAsia="宋体" w:cs="宋体"/>
          <w:color w:val="auto"/>
          <w:highlight w:val="none"/>
          <w:lang w:val="en-US" w:eastAsia="zh-CN"/>
        </w:rPr>
        <w:t>其</w:t>
      </w:r>
      <w:r>
        <w:rPr>
          <w:rFonts w:hint="eastAsia" w:ascii="宋体" w:hAnsi="宋体" w:eastAsia="宋体" w:cs="宋体"/>
          <w:color w:val="auto"/>
          <w:highlight w:val="none"/>
        </w:rPr>
        <w:t>报价进行修正：</w:t>
      </w:r>
    </w:p>
    <w:p w14:paraId="096C4699">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如</w:t>
      </w: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lang w:eastAsia="zh-CN"/>
        </w:rPr>
        <w:t>函</w:t>
      </w:r>
      <w:r>
        <w:rPr>
          <w:rFonts w:hint="eastAsia" w:ascii="宋体" w:hAnsi="宋体" w:eastAsia="宋体" w:cs="宋体"/>
          <w:color w:val="auto"/>
          <w:highlight w:val="none"/>
        </w:rPr>
        <w:t>与</w:t>
      </w:r>
      <w:r>
        <w:rPr>
          <w:rFonts w:hint="eastAsia" w:ascii="宋体" w:hAnsi="宋体" w:cs="宋体"/>
          <w:color w:val="auto"/>
          <w:highlight w:val="none"/>
          <w:lang w:val="en-US" w:eastAsia="zh-CN"/>
        </w:rPr>
        <w:t>报价书</w:t>
      </w:r>
      <w:r>
        <w:rPr>
          <w:rFonts w:hint="eastAsia" w:ascii="宋体" w:hAnsi="宋体" w:eastAsia="宋体" w:cs="宋体"/>
          <w:color w:val="auto"/>
          <w:highlight w:val="none"/>
        </w:rPr>
        <w:t>总价不一致时，以</w:t>
      </w: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lang w:eastAsia="zh-CN"/>
        </w:rPr>
        <w:t>函</w:t>
      </w:r>
      <w:r>
        <w:rPr>
          <w:rFonts w:hint="eastAsia" w:ascii="宋体" w:hAnsi="宋体" w:eastAsia="宋体" w:cs="宋体"/>
          <w:color w:val="auto"/>
          <w:highlight w:val="none"/>
        </w:rPr>
        <w:t>为准；</w:t>
      </w:r>
    </w:p>
    <w:p w14:paraId="223227D7">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）如</w:t>
      </w: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lang w:eastAsia="zh-CN"/>
        </w:rPr>
        <w:t>函</w:t>
      </w:r>
      <w:r>
        <w:rPr>
          <w:rFonts w:hint="eastAsia" w:ascii="宋体" w:hAnsi="宋体" w:eastAsia="宋体" w:cs="宋体"/>
          <w:color w:val="auto"/>
          <w:highlight w:val="none"/>
        </w:rPr>
        <w:t>与</w:t>
      </w:r>
      <w:r>
        <w:rPr>
          <w:rFonts w:hint="eastAsia" w:ascii="宋体" w:hAnsi="宋体" w:cs="宋体"/>
          <w:b w:val="0"/>
          <w:bCs w:val="0"/>
          <w:color w:val="auto"/>
          <w:szCs w:val="21"/>
          <w:highlight w:val="none"/>
          <w:shd w:val="clear" w:color="auto" w:fill="auto"/>
          <w:lang w:val="en-US" w:eastAsia="zh-CN"/>
        </w:rPr>
        <w:t>广州交易集团有限公司（广州公共资源交易中心）网站交易平台</w:t>
      </w:r>
      <w:r>
        <w:rPr>
          <w:rFonts w:hint="eastAsia" w:ascii="宋体" w:hAnsi="宋体" w:eastAsia="宋体" w:cs="宋体"/>
          <w:color w:val="auto"/>
          <w:highlight w:val="none"/>
        </w:rPr>
        <w:t>上</w:t>
      </w:r>
      <w:r>
        <w:rPr>
          <w:rFonts w:hint="eastAsia" w:ascii="宋体" w:hAnsi="宋体" w:eastAsia="宋体" w:cs="宋体"/>
          <w:color w:val="auto"/>
          <w:highlight w:val="none"/>
          <w:lang w:eastAsia="zh-CN"/>
        </w:rPr>
        <w:t>填写报价</w:t>
      </w:r>
      <w:r>
        <w:rPr>
          <w:rFonts w:hint="eastAsia" w:ascii="宋体" w:hAnsi="宋体" w:eastAsia="宋体" w:cs="宋体"/>
          <w:color w:val="auto"/>
          <w:highlight w:val="none"/>
        </w:rPr>
        <w:t>不一致时，以</w:t>
      </w: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lang w:eastAsia="zh-CN"/>
        </w:rPr>
        <w:t>函</w:t>
      </w:r>
      <w:r>
        <w:rPr>
          <w:rFonts w:hint="eastAsia" w:ascii="宋体" w:hAnsi="宋体" w:eastAsia="宋体" w:cs="宋体"/>
          <w:color w:val="auto"/>
          <w:highlight w:val="none"/>
        </w:rPr>
        <w:t>为准；</w:t>
      </w:r>
    </w:p>
    <w:p w14:paraId="755889DC">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如报价金额大写与小写不一致时，以大写为准；</w:t>
      </w:r>
    </w:p>
    <w:p w14:paraId="6F6BA7DB">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报价书</w:t>
      </w:r>
      <w:r>
        <w:rPr>
          <w:rFonts w:hint="eastAsia" w:ascii="宋体" w:hAnsi="宋体" w:eastAsia="宋体" w:cs="宋体"/>
          <w:color w:val="auto"/>
          <w:highlight w:val="none"/>
        </w:rPr>
        <w:t>总价与分项报价合计数不一致时，以</w:t>
      </w:r>
      <w:r>
        <w:rPr>
          <w:rFonts w:hint="eastAsia" w:ascii="宋体" w:hAnsi="宋体" w:cs="宋体"/>
          <w:color w:val="auto"/>
          <w:highlight w:val="none"/>
          <w:lang w:val="en-US" w:eastAsia="zh-CN"/>
        </w:rPr>
        <w:t>报价书</w:t>
      </w:r>
      <w:r>
        <w:rPr>
          <w:rFonts w:hint="eastAsia" w:ascii="宋体" w:hAnsi="宋体" w:eastAsia="宋体" w:cs="宋体"/>
          <w:color w:val="auto"/>
          <w:highlight w:val="none"/>
        </w:rPr>
        <w:t>总价为准，但在签订合同时由</w:t>
      </w:r>
      <w:r>
        <w:rPr>
          <w:rFonts w:hint="eastAsia" w:ascii="宋体" w:hAnsi="宋体" w:eastAsia="宋体" w:cs="宋体"/>
          <w:color w:val="auto"/>
          <w:highlight w:val="none"/>
          <w:lang w:val="en-US" w:eastAsia="zh-CN"/>
        </w:rPr>
        <w:t>中标人</w:t>
      </w:r>
      <w:r>
        <w:rPr>
          <w:rFonts w:hint="eastAsia" w:ascii="宋体" w:hAnsi="宋体" w:eastAsia="宋体" w:cs="宋体"/>
          <w:color w:val="auto"/>
          <w:highlight w:val="none"/>
        </w:rPr>
        <w:t>修正分项的价格使之等于总价。如果分项报价中存在缺漏项，则视为缺漏项价格已包含在其他分项报价之中。</w:t>
      </w:r>
    </w:p>
    <w:p w14:paraId="6965E631">
      <w:pPr>
        <w:tabs>
          <w:tab w:val="left" w:pos="2127"/>
        </w:tabs>
        <w:kinsoku/>
        <w:wordWrap/>
        <w:overflowPunct/>
        <w:topLinePunct w:val="0"/>
        <w:autoSpaceDE/>
        <w:autoSpaceDN/>
        <w:bidi w:val="0"/>
        <w:adjustRightInd/>
        <w:snapToGrid/>
        <w:spacing w:line="312" w:lineRule="auto"/>
        <w:textAlignment w:val="auto"/>
        <w:outlineLvl w:val="2"/>
        <w:rPr>
          <w:rFonts w:hint="eastAsia" w:ascii="宋体" w:hAnsi="宋体" w:eastAsia="宋体" w:cs="宋体"/>
          <w:b/>
          <w:bCs/>
          <w:color w:val="auto"/>
          <w:highlight w:val="none"/>
        </w:rPr>
      </w:pPr>
      <w:bookmarkStart w:id="2183" w:name="_Toc19714"/>
      <w:bookmarkStart w:id="2184" w:name="_Toc14293"/>
      <w:bookmarkStart w:id="2185" w:name="_Toc29019"/>
      <w:bookmarkStart w:id="2186" w:name="_Toc8137"/>
      <w:bookmarkStart w:id="2187" w:name="_Toc6610"/>
      <w:bookmarkStart w:id="2188" w:name="_Toc19795"/>
      <w:bookmarkStart w:id="2189" w:name="_Toc109"/>
      <w:r>
        <w:rPr>
          <w:rFonts w:hint="eastAsia" w:ascii="宋体" w:hAnsi="宋体" w:eastAsia="宋体" w:cs="宋体"/>
          <w:b/>
          <w:bCs/>
          <w:color w:val="auto"/>
          <w:highlight w:val="none"/>
        </w:rPr>
        <w:t>3.2 详细评审</w:t>
      </w:r>
      <w:bookmarkEnd w:id="2183"/>
      <w:bookmarkEnd w:id="2184"/>
      <w:bookmarkEnd w:id="2185"/>
      <w:bookmarkEnd w:id="2186"/>
      <w:bookmarkEnd w:id="2187"/>
      <w:bookmarkEnd w:id="2188"/>
      <w:bookmarkEnd w:id="2189"/>
    </w:p>
    <w:p w14:paraId="669F068A">
      <w:pPr>
        <w:tabs>
          <w:tab w:val="left" w:pos="2127"/>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3.2.1 </w:t>
      </w:r>
      <w:r>
        <w:rPr>
          <w:rFonts w:hint="eastAsia" w:ascii="宋体" w:hAnsi="宋体" w:cs="宋体"/>
          <w:color w:val="auto"/>
          <w:highlight w:val="none"/>
          <w:lang w:val="en-US" w:eastAsia="zh-CN"/>
        </w:rPr>
        <w:t>评标委员会</w:t>
      </w:r>
      <w:r>
        <w:rPr>
          <w:rFonts w:hint="eastAsia" w:ascii="宋体" w:hAnsi="宋体" w:eastAsia="宋体" w:cs="宋体"/>
          <w:color w:val="auto"/>
          <w:highlight w:val="none"/>
        </w:rPr>
        <w:t>按本章第 2.2 款规定的量化因素和分值进行打分，并计算出综合得分。</w:t>
      </w:r>
    </w:p>
    <w:p w14:paraId="2EB3C477">
      <w:pPr>
        <w:tabs>
          <w:tab w:val="left" w:pos="2127"/>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highlight w:val="none"/>
        </w:rPr>
      </w:pPr>
      <w:r>
        <w:rPr>
          <w:rFonts w:hint="eastAsia" w:ascii="宋体" w:hAnsi="宋体" w:eastAsia="宋体" w:cs="宋体"/>
          <w:color w:val="auto"/>
          <w:highlight w:val="none"/>
        </w:rPr>
        <w:t>3.2.2 评分分值计算保留小数点后两位，小数点后第三位“四舍五入”。</w:t>
      </w:r>
    </w:p>
    <w:p w14:paraId="178E764B">
      <w:pPr>
        <w:tabs>
          <w:tab w:val="left" w:pos="2127"/>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 xml:space="preserve">3.2.3 </w:t>
      </w:r>
      <w:r>
        <w:rPr>
          <w:rFonts w:hint="eastAsia" w:ascii="宋体" w:hAnsi="宋体" w:eastAsia="宋体" w:cs="宋体"/>
          <w:color w:val="auto"/>
          <w:highlight w:val="none"/>
          <w:lang w:eastAsia="zh-CN"/>
        </w:rPr>
        <w:t>综合</w:t>
      </w:r>
      <w:r>
        <w:rPr>
          <w:rFonts w:hint="eastAsia" w:ascii="宋体" w:hAnsi="宋体" w:eastAsia="宋体" w:cs="宋体"/>
          <w:color w:val="auto"/>
          <w:highlight w:val="none"/>
        </w:rPr>
        <w:t>得分=</w:t>
      </w:r>
      <w:r>
        <w:rPr>
          <w:rFonts w:hint="eastAsia" w:ascii="宋体" w:hAnsi="宋体" w:eastAsia="宋体" w:cs="宋体"/>
          <w:color w:val="auto"/>
          <w:highlight w:val="none"/>
          <w:lang w:val="en-US" w:eastAsia="zh-CN"/>
        </w:rPr>
        <w:t>商务得分+技术得分+价格得分</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设置评审分值权重时，</w:t>
      </w:r>
      <w:r>
        <w:rPr>
          <w:rFonts w:hint="eastAsia" w:ascii="宋体" w:hAnsi="宋体" w:eastAsia="宋体" w:cs="宋体"/>
          <w:color w:val="auto"/>
          <w:highlight w:val="none"/>
          <w:lang w:eastAsia="zh-CN"/>
        </w:rPr>
        <w:t>综合</w:t>
      </w:r>
      <w:r>
        <w:rPr>
          <w:rFonts w:hint="eastAsia" w:ascii="宋体" w:hAnsi="宋体" w:eastAsia="宋体" w:cs="宋体"/>
          <w:color w:val="auto"/>
          <w:highlight w:val="none"/>
        </w:rPr>
        <w:t>得分=</w:t>
      </w:r>
      <w:r>
        <w:rPr>
          <w:rFonts w:hint="eastAsia" w:ascii="宋体" w:hAnsi="宋体" w:eastAsia="宋体" w:cs="宋体"/>
          <w:color w:val="auto"/>
          <w:highlight w:val="none"/>
          <w:lang w:val="en-US" w:eastAsia="zh-CN"/>
        </w:rPr>
        <w:t>商务得分*商务得分权重+技术得分*技术得分权重+价格得分*价格得分权重。</w:t>
      </w:r>
    </w:p>
    <w:p w14:paraId="12990BF6">
      <w:pPr>
        <w:tabs>
          <w:tab w:val="left" w:pos="2127"/>
        </w:tabs>
        <w:kinsoku/>
        <w:wordWrap/>
        <w:overflowPunct/>
        <w:topLinePunct w:val="0"/>
        <w:autoSpaceDE/>
        <w:autoSpaceDN/>
        <w:bidi w:val="0"/>
        <w:adjustRightInd/>
        <w:snapToGrid/>
        <w:spacing w:line="312" w:lineRule="auto"/>
        <w:textAlignment w:val="auto"/>
        <w:outlineLvl w:val="2"/>
        <w:rPr>
          <w:rFonts w:hint="eastAsia" w:ascii="宋体" w:hAnsi="宋体" w:eastAsia="宋体" w:cs="宋体"/>
          <w:b/>
          <w:bCs/>
          <w:color w:val="auto"/>
          <w:highlight w:val="none"/>
        </w:rPr>
      </w:pPr>
      <w:bookmarkStart w:id="2190" w:name="_Toc30850"/>
      <w:bookmarkStart w:id="2191" w:name="_Toc17523"/>
      <w:bookmarkStart w:id="2192" w:name="_Toc16005"/>
      <w:bookmarkStart w:id="2193" w:name="_Toc13155"/>
      <w:bookmarkStart w:id="2194" w:name="_Toc14027"/>
      <w:bookmarkStart w:id="2195" w:name="_Toc8274"/>
      <w:bookmarkStart w:id="2196" w:name="_Toc9863"/>
      <w:r>
        <w:rPr>
          <w:rFonts w:hint="eastAsia" w:ascii="宋体" w:hAnsi="宋体" w:eastAsia="宋体" w:cs="宋体"/>
          <w:b/>
          <w:bCs/>
          <w:color w:val="auto"/>
          <w:highlight w:val="none"/>
        </w:rPr>
        <w:t xml:space="preserve">3.3 </w:t>
      </w:r>
      <w:r>
        <w:rPr>
          <w:rFonts w:hint="eastAsia" w:ascii="宋体" w:hAnsi="宋体" w:cs="宋体"/>
          <w:b/>
          <w:bCs/>
          <w:color w:val="auto"/>
          <w:highlight w:val="none"/>
          <w:lang w:val="en-US" w:eastAsia="zh-CN"/>
        </w:rPr>
        <w:t>投标</w:t>
      </w:r>
      <w:r>
        <w:rPr>
          <w:rFonts w:hint="eastAsia" w:ascii="宋体" w:hAnsi="宋体" w:cs="宋体"/>
          <w:b/>
          <w:bCs/>
          <w:color w:val="auto"/>
          <w:highlight w:val="none"/>
          <w:lang w:eastAsia="zh-CN"/>
        </w:rPr>
        <w:t>文件</w:t>
      </w:r>
      <w:r>
        <w:rPr>
          <w:rFonts w:hint="eastAsia" w:ascii="宋体" w:hAnsi="宋体" w:eastAsia="宋体" w:cs="宋体"/>
          <w:b/>
          <w:bCs/>
          <w:color w:val="auto"/>
          <w:highlight w:val="none"/>
        </w:rPr>
        <w:t>的澄清和补正</w:t>
      </w:r>
      <w:bookmarkEnd w:id="2190"/>
      <w:bookmarkEnd w:id="2191"/>
      <w:bookmarkEnd w:id="2192"/>
      <w:bookmarkEnd w:id="2193"/>
      <w:bookmarkEnd w:id="2194"/>
      <w:bookmarkEnd w:id="2195"/>
      <w:bookmarkEnd w:id="2196"/>
    </w:p>
    <w:p w14:paraId="038D57C6">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3.3.1在</w:t>
      </w:r>
      <w:r>
        <w:rPr>
          <w:rFonts w:hint="eastAsia" w:ascii="宋体" w:hAnsi="宋体" w:eastAsia="宋体" w:cs="宋体"/>
          <w:color w:val="auto"/>
          <w:highlight w:val="none"/>
          <w:lang w:eastAsia="zh-CN"/>
        </w:rPr>
        <w:t>评审</w:t>
      </w:r>
      <w:r>
        <w:rPr>
          <w:rFonts w:hint="eastAsia" w:ascii="宋体" w:hAnsi="宋体" w:eastAsia="宋体" w:cs="宋体"/>
          <w:color w:val="auto"/>
          <w:highlight w:val="none"/>
        </w:rPr>
        <w:t>过程中，</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可以书面形式要求</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对所提交</w:t>
      </w:r>
      <w:r>
        <w:rPr>
          <w:rFonts w:hint="eastAsia" w:ascii="宋体" w:hAnsi="宋体" w:eastAsia="宋体" w:cs="宋体"/>
          <w:color w:val="auto"/>
          <w:highlight w:val="none"/>
          <w:lang w:val="en-US" w:eastAsia="zh-CN"/>
        </w:rPr>
        <w:t>投标</w:t>
      </w:r>
      <w:r>
        <w:rPr>
          <w:rFonts w:hint="eastAsia" w:ascii="宋体" w:hAnsi="宋体" w:cs="宋体"/>
          <w:color w:val="auto"/>
          <w:highlight w:val="none"/>
          <w:lang w:eastAsia="zh-CN"/>
        </w:rPr>
        <w:t>文件</w:t>
      </w:r>
      <w:r>
        <w:rPr>
          <w:rFonts w:hint="eastAsia" w:ascii="宋体" w:hAnsi="宋体" w:eastAsia="宋体" w:cs="宋体"/>
          <w:color w:val="auto"/>
          <w:highlight w:val="none"/>
        </w:rPr>
        <w:t>中不明确的内容进行书面澄清或说明，或者对细微偏差进行补正。</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不接受</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主动提出的澄清、说明或补正。</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发现</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的报价明显低于其他</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报价，使得其报价可能低于其个别成本的，应当要求该</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作出书面说明并提供相应的证明材料。</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不能合理说明或者不能提供相应证明材料的，</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应当认定该</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低于成本报价</w:t>
      </w:r>
      <w:r>
        <w:rPr>
          <w:rFonts w:hint="eastAsia" w:ascii="宋体" w:hAnsi="宋体" w:eastAsia="宋体" w:cs="宋体"/>
          <w:color w:val="auto"/>
          <w:highlight w:val="none"/>
          <w:lang w:val="en-US" w:eastAsia="zh-CN"/>
        </w:rPr>
        <w:t>。</w:t>
      </w:r>
    </w:p>
    <w:p w14:paraId="25313850">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3.3.2 </w:t>
      </w:r>
      <w:r>
        <w:rPr>
          <w:rFonts w:hint="eastAsia" w:ascii="宋体" w:hAnsi="宋体"/>
          <w:color w:val="auto"/>
          <w:highlight w:val="none"/>
        </w:rPr>
        <w:t>澄清、说明和补正不得改变</w:t>
      </w:r>
      <w:r>
        <w:rPr>
          <w:rFonts w:hint="eastAsia" w:ascii="宋体" w:hAnsi="宋体"/>
          <w:color w:val="auto"/>
          <w:highlight w:val="none"/>
          <w:lang w:val="en-US" w:eastAsia="zh-CN"/>
        </w:rPr>
        <w:t>投标</w:t>
      </w:r>
      <w:r>
        <w:rPr>
          <w:rFonts w:hint="eastAsia" w:ascii="宋体" w:hAnsi="宋体"/>
          <w:color w:val="auto"/>
          <w:highlight w:val="none"/>
        </w:rPr>
        <w:t>文件的实质性内容（算术性错误修正的除外）。</w:t>
      </w:r>
      <w:r>
        <w:rPr>
          <w:rFonts w:hint="eastAsia" w:ascii="宋体" w:hAnsi="宋体"/>
          <w:color w:val="auto"/>
          <w:highlight w:val="none"/>
          <w:lang w:val="en-US" w:eastAsia="zh-CN"/>
        </w:rPr>
        <w:t>投标人</w:t>
      </w:r>
      <w:r>
        <w:rPr>
          <w:rFonts w:hint="eastAsia" w:ascii="宋体" w:hAnsi="宋体"/>
          <w:color w:val="auto"/>
          <w:highlight w:val="none"/>
        </w:rPr>
        <w:t>的书面澄清、说明和补正属于</w:t>
      </w:r>
      <w:r>
        <w:rPr>
          <w:rFonts w:hint="eastAsia" w:ascii="宋体" w:hAnsi="宋体"/>
          <w:color w:val="auto"/>
          <w:highlight w:val="none"/>
          <w:lang w:val="en-US" w:eastAsia="zh-CN"/>
        </w:rPr>
        <w:t>投标</w:t>
      </w:r>
      <w:r>
        <w:rPr>
          <w:rFonts w:hint="eastAsia" w:ascii="宋体" w:hAnsi="宋体"/>
          <w:color w:val="auto"/>
          <w:highlight w:val="none"/>
        </w:rPr>
        <w:t>文件的组成部分。</w:t>
      </w:r>
    </w:p>
    <w:p w14:paraId="21D969B6">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3.3.3 </w:t>
      </w:r>
      <w:r>
        <w:rPr>
          <w:rFonts w:hint="eastAsia" w:ascii="宋体" w:hAnsi="宋体" w:eastAsia="宋体" w:cs="宋体"/>
          <w:color w:val="auto"/>
          <w:highlight w:val="none"/>
          <w:lang w:eastAsia="zh-CN"/>
        </w:rPr>
        <w:t>评标委员会</w:t>
      </w:r>
      <w:r>
        <w:rPr>
          <w:rFonts w:hint="eastAsia" w:ascii="宋体" w:hAnsi="宋体" w:eastAsia="宋体" w:cs="宋体"/>
          <w:color w:val="auto"/>
          <w:highlight w:val="none"/>
        </w:rPr>
        <w:t>对</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提交的澄清、说明或补正有疑问的，可以要求</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进一步澄清、说明或补正，直至满足</w:t>
      </w:r>
      <w:r>
        <w:rPr>
          <w:rFonts w:hint="eastAsia" w:ascii="宋体" w:hAnsi="宋体" w:eastAsia="宋体" w:cs="宋体"/>
          <w:color w:val="auto"/>
          <w:highlight w:val="none"/>
          <w:lang w:eastAsia="zh-CN"/>
        </w:rPr>
        <w:t>评标委员会</w:t>
      </w:r>
      <w:r>
        <w:rPr>
          <w:rFonts w:hint="eastAsia" w:ascii="宋体" w:hAnsi="宋体" w:eastAsia="宋体" w:cs="宋体"/>
          <w:color w:val="auto"/>
          <w:highlight w:val="none"/>
        </w:rPr>
        <w:t>的要求。</w:t>
      </w:r>
    </w:p>
    <w:p w14:paraId="62C097C5">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3.3.4对否决的</w:t>
      </w:r>
      <w:r>
        <w:rPr>
          <w:rFonts w:hint="eastAsia" w:ascii="宋体" w:hAnsi="宋体"/>
          <w:color w:val="auto"/>
          <w:highlight w:val="none"/>
          <w:lang w:val="en-US" w:eastAsia="zh-CN"/>
        </w:rPr>
        <w:t>投标</w:t>
      </w:r>
      <w:r>
        <w:rPr>
          <w:rFonts w:hint="eastAsia" w:ascii="宋体" w:hAnsi="宋体" w:cs="宋体"/>
          <w:color w:val="auto"/>
          <w:highlight w:val="none"/>
          <w:lang w:eastAsia="zh-CN"/>
        </w:rPr>
        <w:t>文件</w:t>
      </w:r>
      <w:r>
        <w:rPr>
          <w:rFonts w:hint="eastAsia" w:ascii="宋体" w:hAnsi="宋体" w:eastAsia="宋体" w:cs="宋体"/>
          <w:color w:val="auto"/>
          <w:highlight w:val="none"/>
        </w:rPr>
        <w:t>，不允许</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通过修正或撤销其不符合要求的差异或保留，使之成为具有响应性的</w:t>
      </w:r>
      <w:r>
        <w:rPr>
          <w:rFonts w:hint="eastAsia" w:ascii="宋体" w:hAnsi="宋体" w:cs="宋体"/>
          <w:color w:val="auto"/>
          <w:highlight w:val="none"/>
          <w:lang w:val="en-US" w:eastAsia="zh-CN"/>
        </w:rPr>
        <w:t>投标</w:t>
      </w:r>
      <w:r>
        <w:rPr>
          <w:rFonts w:hint="eastAsia" w:ascii="宋体" w:hAnsi="宋体" w:cs="宋体"/>
          <w:color w:val="auto"/>
          <w:highlight w:val="none"/>
          <w:lang w:eastAsia="zh-CN"/>
        </w:rPr>
        <w:t>文件</w:t>
      </w:r>
      <w:r>
        <w:rPr>
          <w:rFonts w:hint="eastAsia" w:ascii="宋体" w:hAnsi="宋体" w:eastAsia="宋体" w:cs="宋体"/>
          <w:color w:val="auto"/>
          <w:highlight w:val="none"/>
        </w:rPr>
        <w:t>。</w:t>
      </w:r>
    </w:p>
    <w:p w14:paraId="7E2CAF13">
      <w:pPr>
        <w:tabs>
          <w:tab w:val="left" w:pos="2127"/>
        </w:tabs>
        <w:kinsoku/>
        <w:wordWrap/>
        <w:overflowPunct/>
        <w:topLinePunct w:val="0"/>
        <w:autoSpaceDE/>
        <w:autoSpaceDN/>
        <w:bidi w:val="0"/>
        <w:adjustRightInd/>
        <w:snapToGrid/>
        <w:spacing w:line="312" w:lineRule="auto"/>
        <w:textAlignment w:val="auto"/>
        <w:outlineLvl w:val="2"/>
        <w:rPr>
          <w:rFonts w:hint="eastAsia" w:ascii="宋体" w:hAnsi="宋体" w:eastAsia="宋体" w:cs="宋体"/>
          <w:b/>
          <w:bCs/>
          <w:color w:val="auto"/>
          <w:highlight w:val="none"/>
        </w:rPr>
      </w:pPr>
      <w:bookmarkStart w:id="2197" w:name="_Toc21298"/>
      <w:bookmarkStart w:id="2198" w:name="_Toc25407"/>
      <w:bookmarkStart w:id="2199" w:name="_Toc32507"/>
      <w:bookmarkStart w:id="2200" w:name="_Toc7668"/>
      <w:bookmarkStart w:id="2201" w:name="_Toc5777"/>
      <w:bookmarkStart w:id="2202" w:name="_Toc9797"/>
      <w:bookmarkStart w:id="2203" w:name="_Toc14726"/>
      <w:r>
        <w:rPr>
          <w:rFonts w:hint="eastAsia" w:ascii="宋体" w:hAnsi="宋体" w:eastAsia="宋体" w:cs="宋体"/>
          <w:b/>
          <w:bCs/>
          <w:color w:val="auto"/>
          <w:highlight w:val="none"/>
        </w:rPr>
        <w:t xml:space="preserve">3.4 </w:t>
      </w:r>
      <w:r>
        <w:rPr>
          <w:rFonts w:hint="eastAsia" w:ascii="宋体" w:hAnsi="宋体" w:eastAsia="宋体" w:cs="宋体"/>
          <w:b/>
          <w:bCs/>
          <w:color w:val="auto"/>
          <w:highlight w:val="none"/>
          <w:lang w:eastAsia="zh-CN"/>
        </w:rPr>
        <w:t>评审</w:t>
      </w:r>
      <w:r>
        <w:rPr>
          <w:rFonts w:hint="eastAsia" w:ascii="宋体" w:hAnsi="宋体" w:eastAsia="宋体" w:cs="宋体"/>
          <w:b/>
          <w:bCs/>
          <w:color w:val="auto"/>
          <w:highlight w:val="none"/>
        </w:rPr>
        <w:t>结果</w:t>
      </w:r>
      <w:bookmarkEnd w:id="2197"/>
      <w:bookmarkEnd w:id="2198"/>
      <w:bookmarkEnd w:id="2199"/>
      <w:bookmarkEnd w:id="2200"/>
      <w:bookmarkEnd w:id="2201"/>
      <w:bookmarkEnd w:id="2202"/>
      <w:bookmarkEnd w:id="2203"/>
    </w:p>
    <w:p w14:paraId="1CE88E9C">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sz w:val="21"/>
          <w:szCs w:val="21"/>
          <w:highlight w:val="none"/>
          <w:lang w:eastAsia="zh-CN"/>
        </w:rPr>
        <w:t xml:space="preserve">评标委员会提出评标报告，按得分由高到低进行排序，向招标人推荐不超过“N+2”名(N为中标人数量)中标候选人，其中得分最高者为第一中标候选人，次高者为第二中标候选人，第三高者为第三中标候选人，如此类推。综合得分相等时，中标候选人排名原则详见“第三章 </w:t>
      </w:r>
      <w:r>
        <w:rPr>
          <w:rFonts w:hint="eastAsia" w:ascii="宋体" w:hAnsi="宋体" w:cs="宋体"/>
          <w:color w:val="auto"/>
          <w:sz w:val="21"/>
          <w:szCs w:val="21"/>
          <w:highlight w:val="none"/>
          <w:lang w:val="en-US" w:eastAsia="zh-CN"/>
        </w:rPr>
        <w:t>评标</w:t>
      </w:r>
      <w:r>
        <w:rPr>
          <w:rFonts w:hint="eastAsia" w:ascii="宋体" w:hAnsi="宋体" w:eastAsia="宋体" w:cs="宋体"/>
          <w:color w:val="auto"/>
          <w:sz w:val="21"/>
          <w:szCs w:val="21"/>
          <w:highlight w:val="none"/>
          <w:lang w:eastAsia="zh-CN"/>
        </w:rPr>
        <w:t>办法”第一点“</w:t>
      </w:r>
      <w:r>
        <w:rPr>
          <w:rFonts w:hint="eastAsia" w:ascii="宋体" w:hAnsi="宋体" w:cs="宋体"/>
          <w:color w:val="auto"/>
          <w:sz w:val="21"/>
          <w:szCs w:val="21"/>
          <w:highlight w:val="none"/>
          <w:lang w:val="en-US" w:eastAsia="zh-CN"/>
        </w:rPr>
        <w:t>评标</w:t>
      </w:r>
      <w:r>
        <w:rPr>
          <w:rFonts w:hint="eastAsia" w:ascii="宋体" w:hAnsi="宋体" w:eastAsia="宋体" w:cs="宋体"/>
          <w:color w:val="auto"/>
          <w:sz w:val="21"/>
          <w:szCs w:val="21"/>
          <w:highlight w:val="none"/>
          <w:lang w:eastAsia="zh-CN"/>
        </w:rPr>
        <w:t>办法”。</w:t>
      </w:r>
    </w:p>
    <w:p w14:paraId="63F75FBD">
      <w:pPr>
        <w:rPr>
          <w:rFonts w:hint="eastAsia"/>
          <w:highlight w:val="none"/>
        </w:rPr>
      </w:pPr>
    </w:p>
    <w:p w14:paraId="1DF55E24">
      <w:pPr>
        <w:pStyle w:val="3"/>
        <w:pageBreakBefore/>
        <w:widowControl/>
        <w:numPr>
          <w:ilvl w:val="0"/>
          <w:numId w:val="5"/>
        </w:numPr>
        <w:tabs>
          <w:tab w:val="left" w:pos="2127"/>
        </w:tabs>
        <w:kinsoku/>
        <w:overflowPunct/>
        <w:bidi w:val="0"/>
        <w:spacing w:before="0" w:after="0" w:line="360" w:lineRule="auto"/>
        <w:jc w:val="center"/>
        <w:textAlignment w:val="auto"/>
        <w:rPr>
          <w:rFonts w:ascii="宋体" w:hAnsi="宋体"/>
          <w:color w:val="auto"/>
          <w:kern w:val="0"/>
          <w:sz w:val="32"/>
          <w:szCs w:val="32"/>
          <w:highlight w:val="none"/>
        </w:rPr>
      </w:pPr>
      <w:bookmarkStart w:id="2204" w:name="_Toc465866198"/>
      <w:bookmarkEnd w:id="2204"/>
      <w:bookmarkStart w:id="2205" w:name="_Toc10542"/>
      <w:bookmarkStart w:id="2206" w:name="_Toc384914928"/>
      <w:bookmarkStart w:id="2207" w:name="_Toc4124"/>
      <w:bookmarkStart w:id="2208" w:name="_Toc11822"/>
      <w:r>
        <w:rPr>
          <w:rFonts w:hint="eastAsia" w:ascii="宋体" w:hAnsi="宋体"/>
          <w:color w:val="auto"/>
          <w:kern w:val="0"/>
          <w:sz w:val="32"/>
          <w:szCs w:val="32"/>
          <w:highlight w:val="none"/>
        </w:rPr>
        <w:t>合同条款及格式</w:t>
      </w:r>
      <w:bookmarkEnd w:id="2205"/>
      <w:bookmarkEnd w:id="2206"/>
      <w:bookmarkEnd w:id="2207"/>
      <w:bookmarkEnd w:id="2208"/>
    </w:p>
    <w:p w14:paraId="5023984E">
      <w:pPr>
        <w:kinsoku/>
        <w:overflowPunct/>
        <w:bidi w:val="0"/>
        <w:spacing w:line="360" w:lineRule="auto"/>
        <w:jc w:val="right"/>
        <w:textAlignment w:val="auto"/>
        <w:rPr>
          <w:color w:val="auto"/>
          <w:highlight w:val="none"/>
        </w:rPr>
      </w:pPr>
    </w:p>
    <w:p w14:paraId="57A0C4F8">
      <w:pPr>
        <w:kinsoku/>
        <w:overflowPunct/>
        <w:bidi w:val="0"/>
        <w:snapToGrid/>
        <w:spacing w:line="312" w:lineRule="auto"/>
        <w:jc w:val="center"/>
        <w:rPr>
          <w:rFonts w:hint="eastAsia" w:ascii="宋体" w:hAnsi="宋体" w:eastAsia="宋体" w:cs="宋体"/>
          <w:b/>
          <w:color w:val="auto"/>
          <w:sz w:val="30"/>
          <w:szCs w:val="30"/>
          <w:highlight w:val="none"/>
          <w:lang w:val="en-US" w:eastAsia="zh-CN"/>
        </w:rPr>
      </w:pPr>
      <w:r>
        <w:rPr>
          <w:rFonts w:hint="eastAsia" w:ascii="宋体" w:hAnsi="宋体" w:eastAsia="宋体" w:cs="宋体"/>
          <w:b/>
          <w:bCs/>
          <w:snapToGrid w:val="0"/>
          <w:color w:val="auto"/>
          <w:sz w:val="30"/>
          <w:szCs w:val="30"/>
          <w:highlight w:val="none"/>
        </w:rPr>
        <w:t>详见</w:t>
      </w:r>
      <w:r>
        <w:rPr>
          <w:rFonts w:hint="eastAsia" w:ascii="宋体" w:hAnsi="宋体" w:cs="宋体"/>
          <w:b/>
          <w:bCs/>
          <w:snapToGrid w:val="0"/>
          <w:color w:val="auto"/>
          <w:sz w:val="30"/>
          <w:szCs w:val="30"/>
          <w:highlight w:val="none"/>
          <w:lang w:val="en-US" w:eastAsia="zh-CN"/>
        </w:rPr>
        <w:t>招标</w:t>
      </w:r>
      <w:r>
        <w:rPr>
          <w:rFonts w:hint="eastAsia" w:ascii="宋体" w:hAnsi="宋体" w:eastAsia="宋体" w:cs="宋体"/>
          <w:b/>
          <w:bCs/>
          <w:snapToGrid w:val="0"/>
          <w:color w:val="auto"/>
          <w:sz w:val="30"/>
          <w:szCs w:val="30"/>
          <w:highlight w:val="none"/>
        </w:rPr>
        <w:t>文件附件</w:t>
      </w:r>
      <w:r>
        <w:rPr>
          <w:rFonts w:hint="eastAsia" w:ascii="宋体" w:hAnsi="宋体" w:cs="宋体"/>
          <w:b/>
          <w:bCs/>
          <w:snapToGrid w:val="0"/>
          <w:color w:val="auto"/>
          <w:sz w:val="30"/>
          <w:szCs w:val="30"/>
          <w:highlight w:val="none"/>
          <w:lang w:val="en-US" w:eastAsia="zh-CN"/>
        </w:rPr>
        <w:t>1-合同条款及格式</w:t>
      </w:r>
    </w:p>
    <w:p w14:paraId="0AA72D48">
      <w:pPr>
        <w:rPr>
          <w:color w:val="auto"/>
          <w:highlight w:val="none"/>
        </w:rPr>
      </w:pPr>
      <w:r>
        <w:rPr>
          <w:color w:val="auto"/>
          <w:highlight w:val="none"/>
        </w:rPr>
        <w:br w:type="page"/>
      </w:r>
    </w:p>
    <w:p w14:paraId="1EF72A1B">
      <w:pPr>
        <w:pStyle w:val="3"/>
        <w:pageBreakBefore/>
        <w:widowControl/>
        <w:kinsoku/>
        <w:overflowPunct/>
        <w:bidi w:val="0"/>
        <w:spacing w:before="0" w:beforeLines="0" w:after="0" w:afterLines="0" w:line="360" w:lineRule="auto"/>
        <w:ind w:firstLine="4417" w:firstLineChars="1000"/>
        <w:jc w:val="both"/>
        <w:textAlignment w:val="auto"/>
        <w:rPr>
          <w:rFonts w:ascii="宋体" w:hAnsi="宋体"/>
          <w:color w:val="auto"/>
          <w:kern w:val="0"/>
          <w:highlight w:val="none"/>
        </w:rPr>
      </w:pPr>
      <w:bookmarkStart w:id="2209" w:name="_Toc27062"/>
      <w:bookmarkStart w:id="2210" w:name="_Toc31657"/>
      <w:bookmarkStart w:id="2211" w:name="_Toc17340"/>
      <w:r>
        <w:rPr>
          <w:rFonts w:hint="eastAsia" w:ascii="宋体" w:hAnsi="宋体"/>
          <w:color w:val="auto"/>
          <w:kern w:val="0"/>
          <w:highlight w:val="none"/>
        </w:rPr>
        <w:t>第二卷</w:t>
      </w:r>
      <w:bookmarkEnd w:id="2209"/>
      <w:bookmarkEnd w:id="2210"/>
      <w:bookmarkEnd w:id="2211"/>
    </w:p>
    <w:p w14:paraId="06818287">
      <w:pPr>
        <w:rPr>
          <w:rFonts w:ascii="宋体" w:hAnsi="宋体" w:cs="黑体"/>
          <w:color w:val="auto"/>
          <w:kern w:val="0"/>
          <w:sz w:val="28"/>
          <w:szCs w:val="28"/>
          <w:highlight w:val="none"/>
        </w:rPr>
      </w:pPr>
      <w:r>
        <w:rPr>
          <w:rFonts w:ascii="宋体" w:hAnsi="宋体" w:cs="黑体"/>
          <w:color w:val="auto"/>
          <w:kern w:val="0"/>
          <w:sz w:val="28"/>
          <w:szCs w:val="28"/>
          <w:highlight w:val="none"/>
        </w:rPr>
        <w:br w:type="page"/>
      </w:r>
    </w:p>
    <w:p w14:paraId="7C6DCCE0">
      <w:pPr>
        <w:pStyle w:val="3"/>
        <w:pageBreakBefore/>
        <w:widowControl/>
        <w:numPr>
          <w:ilvl w:val="0"/>
          <w:numId w:val="5"/>
        </w:numPr>
        <w:tabs>
          <w:tab w:val="left" w:pos="2127"/>
        </w:tabs>
        <w:kinsoku/>
        <w:overflowPunct/>
        <w:bidi w:val="0"/>
        <w:spacing w:before="0" w:after="0" w:line="360" w:lineRule="auto"/>
        <w:jc w:val="center"/>
        <w:textAlignment w:val="auto"/>
        <w:rPr>
          <w:rFonts w:hint="eastAsia" w:eastAsia="宋体"/>
          <w:color w:val="auto"/>
          <w:sz w:val="32"/>
          <w:szCs w:val="32"/>
          <w:highlight w:val="none"/>
          <w:lang w:eastAsia="zh-CN"/>
        </w:rPr>
      </w:pPr>
      <w:bookmarkStart w:id="2212" w:name="_Toc30133"/>
      <w:bookmarkStart w:id="2213" w:name="_Toc26747"/>
      <w:r>
        <w:rPr>
          <w:rFonts w:hint="eastAsia"/>
          <w:color w:val="auto"/>
          <w:sz w:val="32"/>
          <w:szCs w:val="32"/>
          <w:highlight w:val="none"/>
        </w:rPr>
        <w:t>技术标准、要求</w:t>
      </w:r>
      <w:bookmarkEnd w:id="2212"/>
      <w:bookmarkEnd w:id="2213"/>
    </w:p>
    <w:p w14:paraId="4D2A5FAC">
      <w:pPr>
        <w:pStyle w:val="23"/>
        <w:tabs>
          <w:tab w:val="left" w:pos="2127"/>
        </w:tabs>
        <w:kinsoku/>
        <w:overflowPunct/>
        <w:bidi w:val="0"/>
        <w:spacing w:line="360" w:lineRule="auto"/>
        <w:textAlignment w:val="auto"/>
        <w:rPr>
          <w:rFonts w:hint="eastAsia" w:hAnsi="宋体"/>
          <w:color w:val="auto"/>
          <w:highlight w:val="none"/>
        </w:rPr>
      </w:pPr>
    </w:p>
    <w:p w14:paraId="0551EED1">
      <w:pPr>
        <w:pStyle w:val="4"/>
        <w:tabs>
          <w:tab w:val="left" w:pos="2127"/>
        </w:tabs>
        <w:kinsoku/>
        <w:wordWrap/>
        <w:overflowPunct/>
        <w:topLinePunct w:val="0"/>
        <w:autoSpaceDE/>
        <w:autoSpaceDN/>
        <w:bidi w:val="0"/>
        <w:adjustRightInd/>
        <w:snapToGrid/>
        <w:spacing w:before="0" w:beforeLines="0" w:after="0" w:afterLines="0" w:line="312" w:lineRule="auto"/>
        <w:textAlignment w:val="auto"/>
        <w:outlineLvl w:val="1"/>
        <w:rPr>
          <w:rFonts w:hint="eastAsia" w:ascii="宋体" w:hAnsi="宋体" w:eastAsia="宋体" w:cs="宋体"/>
          <w:color w:val="auto"/>
          <w:sz w:val="24"/>
          <w:szCs w:val="24"/>
          <w:highlight w:val="none"/>
          <w:lang w:eastAsia="zh-CN"/>
        </w:rPr>
      </w:pPr>
      <w:bookmarkStart w:id="2214" w:name="_Toc1252"/>
      <w:bookmarkStart w:id="2215" w:name="_Toc3016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管理规范和技术（规范）标准</w:t>
      </w:r>
      <w:bookmarkEnd w:id="2214"/>
      <w:bookmarkEnd w:id="2215"/>
    </w:p>
    <w:p w14:paraId="5D4D15DB">
      <w:p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本项目须达到现行中华人民共和国以及省、自治区、直辖市或行业的有关法律法规、标准、规范的要求</w:t>
      </w:r>
      <w:r>
        <w:rPr>
          <w:rFonts w:hint="eastAsia" w:ascii="宋体" w:hAnsi="宋体" w:eastAsia="宋体" w:cs="宋体"/>
          <w:color w:val="auto"/>
          <w:sz w:val="24"/>
          <w:szCs w:val="24"/>
          <w:highlight w:val="none"/>
          <w:u w:val="none"/>
        </w:rPr>
        <w:t>，满足中国南方电网公司有限责任公司的管理制度和规定。</w:t>
      </w:r>
    </w:p>
    <w:p w14:paraId="0CED7FE5">
      <w:p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主要技术标准和规范，如未能达到国际和国内最新标准时，</w:t>
      </w:r>
      <w:r>
        <w:rPr>
          <w:rFonts w:hint="eastAsia" w:ascii="宋体" w:hAnsi="宋体" w:cs="宋体"/>
          <w:color w:val="auto"/>
          <w:sz w:val="24"/>
          <w:szCs w:val="24"/>
          <w:highlight w:val="none"/>
          <w:lang w:val="en-US" w:eastAsia="zh-CN"/>
        </w:rPr>
        <w:t>投标人</w:t>
      </w:r>
      <w:r>
        <w:rPr>
          <w:rFonts w:hint="eastAsia" w:ascii="宋体" w:hAnsi="宋体" w:eastAsia="宋体" w:cs="宋体"/>
          <w:color w:val="auto"/>
          <w:sz w:val="24"/>
          <w:szCs w:val="24"/>
          <w:highlight w:val="none"/>
        </w:rPr>
        <w:t>应使用符合最近的国际、国内标准，并提供采用的标准、规范和所应用的最新版本的有关技术依据资料。</w:t>
      </w:r>
    </w:p>
    <w:p w14:paraId="7ADBD098">
      <w:pPr>
        <w:pStyle w:val="4"/>
        <w:tabs>
          <w:tab w:val="left" w:pos="2127"/>
        </w:tabs>
        <w:kinsoku/>
        <w:wordWrap/>
        <w:overflowPunct/>
        <w:topLinePunct w:val="0"/>
        <w:autoSpaceDE/>
        <w:autoSpaceDN/>
        <w:bidi w:val="0"/>
        <w:adjustRightInd/>
        <w:snapToGrid/>
        <w:spacing w:before="0" w:beforeLines="0" w:after="0" w:afterLines="0" w:line="312" w:lineRule="auto"/>
        <w:textAlignment w:val="auto"/>
        <w:outlineLvl w:val="1"/>
        <w:rPr>
          <w:rFonts w:hint="eastAsia" w:ascii="宋体" w:hAnsi="宋体" w:eastAsia="宋体" w:cs="宋体"/>
          <w:color w:val="auto"/>
          <w:sz w:val="24"/>
          <w:szCs w:val="24"/>
          <w:highlight w:val="none"/>
          <w:lang w:eastAsia="zh-CN"/>
        </w:rPr>
      </w:pPr>
      <w:bookmarkStart w:id="2216" w:name="_Toc17661"/>
      <w:bookmarkStart w:id="2217" w:name="_Toc32124"/>
      <w:r>
        <w:rPr>
          <w:rFonts w:hint="eastAsia" w:ascii="宋体" w:hAnsi="宋体" w:eastAsia="宋体" w:cs="宋体"/>
          <w:color w:val="auto"/>
          <w:sz w:val="24"/>
          <w:szCs w:val="24"/>
          <w:highlight w:val="none"/>
          <w:lang w:val="en-US" w:eastAsia="zh-CN"/>
        </w:rPr>
        <w:t xml:space="preserve">2. </w:t>
      </w:r>
      <w:bookmarkEnd w:id="2216"/>
      <w:bookmarkEnd w:id="2217"/>
      <w:r>
        <w:rPr>
          <w:rFonts w:hint="eastAsia" w:ascii="宋体" w:hAnsi="宋体" w:eastAsia="宋体" w:cs="宋体"/>
          <w:color w:val="auto"/>
          <w:sz w:val="24"/>
          <w:szCs w:val="24"/>
          <w:highlight w:val="none"/>
          <w:lang w:val="en-US" w:eastAsia="zh-CN"/>
        </w:rPr>
        <w:t>技术规范书</w:t>
      </w:r>
    </w:p>
    <w:p w14:paraId="72C8A318">
      <w:pPr>
        <w:kinsoku/>
        <w:wordWrap/>
        <w:overflowPunct/>
        <w:topLinePunct w:val="0"/>
        <w:autoSpaceDE/>
        <w:autoSpaceDN/>
        <w:bidi w:val="0"/>
        <w:adjustRightInd/>
        <w:snapToGrid/>
        <w:spacing w:line="312" w:lineRule="auto"/>
        <w:ind w:firstLine="480" w:firstLineChars="200"/>
        <w:textAlignment w:val="auto"/>
        <w:rPr>
          <w:rFonts w:hint="eastAsia" w:ascii="宋体" w:hAnsi="宋体" w:cs="宋体"/>
          <w:color w:val="auto"/>
          <w:sz w:val="24"/>
          <w:szCs w:val="24"/>
          <w:highlight w:val="none"/>
          <w:lang w:val="en-US" w:eastAsia="zh-CN"/>
        </w:rPr>
      </w:pPr>
      <w:bookmarkStart w:id="2218" w:name="_Toc28068"/>
      <w:r>
        <w:rPr>
          <w:rFonts w:hint="eastAsia" w:ascii="宋体" w:hAnsi="宋体" w:cs="宋体"/>
          <w:color w:val="auto"/>
          <w:sz w:val="24"/>
          <w:szCs w:val="24"/>
          <w:highlight w:val="none"/>
          <w:lang w:val="en-US" w:eastAsia="zh-CN"/>
        </w:rPr>
        <w:t>详见</w:t>
      </w:r>
      <w:bookmarkEnd w:id="2218"/>
      <w:r>
        <w:rPr>
          <w:rFonts w:hint="eastAsia" w:ascii="宋体" w:hAnsi="宋体" w:cs="宋体"/>
          <w:color w:val="auto"/>
          <w:sz w:val="24"/>
          <w:szCs w:val="24"/>
          <w:highlight w:val="none"/>
          <w:lang w:val="en-US" w:eastAsia="zh-CN"/>
        </w:rPr>
        <w:t>附件2-技术规范书</w:t>
      </w:r>
    </w:p>
    <w:p w14:paraId="6CC0ADB8">
      <w:pPr>
        <w:pStyle w:val="4"/>
        <w:numPr>
          <w:ilvl w:val="0"/>
          <w:numId w:val="6"/>
        </w:numPr>
        <w:tabs>
          <w:tab w:val="left" w:pos="2127"/>
        </w:tabs>
        <w:kinsoku/>
        <w:wordWrap/>
        <w:overflowPunct/>
        <w:topLinePunct w:val="0"/>
        <w:autoSpaceDE/>
        <w:autoSpaceDN/>
        <w:bidi w:val="0"/>
        <w:adjustRightInd/>
        <w:snapToGrid/>
        <w:spacing w:before="0" w:beforeLines="0" w:after="0" w:afterLines="0" w:line="312" w:lineRule="auto"/>
        <w:textAlignment w:val="auto"/>
        <w:outlineLvl w:val="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物资清单</w:t>
      </w:r>
    </w:p>
    <w:tbl>
      <w:tblPr>
        <w:tblStyle w:val="46"/>
        <w:tblW w:w="4995" w:type="pct"/>
        <w:jc w:val="center"/>
        <w:tblLayout w:type="autofit"/>
        <w:tblCellMar>
          <w:top w:w="15" w:type="dxa"/>
          <w:left w:w="15" w:type="dxa"/>
          <w:bottom w:w="15" w:type="dxa"/>
          <w:right w:w="15" w:type="dxa"/>
        </w:tblCellMar>
      </w:tblPr>
      <w:tblGrid>
        <w:gridCol w:w="608"/>
        <w:gridCol w:w="1671"/>
        <w:gridCol w:w="2201"/>
        <w:gridCol w:w="1866"/>
        <w:gridCol w:w="1425"/>
        <w:gridCol w:w="1995"/>
      </w:tblGrid>
      <w:tr w14:paraId="31BA9505">
        <w:tblPrEx>
          <w:tblCellMar>
            <w:top w:w="15" w:type="dxa"/>
            <w:left w:w="15" w:type="dxa"/>
            <w:bottom w:w="15" w:type="dxa"/>
            <w:right w:w="15" w:type="dxa"/>
          </w:tblCellMar>
        </w:tblPrEx>
        <w:trPr>
          <w:trHeight w:val="816" w:hRule="atLeast"/>
          <w:jc w:val="center"/>
        </w:trPr>
        <w:tc>
          <w:tcPr>
            <w:tcW w:w="311" w:type="pct"/>
            <w:tcBorders>
              <w:top w:val="single" w:color="000000" w:sz="4" w:space="0"/>
              <w:left w:val="single" w:color="000000" w:sz="4" w:space="0"/>
              <w:bottom w:val="single" w:color="000000" w:sz="4" w:space="0"/>
              <w:right w:val="single" w:color="000000" w:sz="4" w:space="0"/>
            </w:tcBorders>
            <w:vAlign w:val="center"/>
          </w:tcPr>
          <w:p w14:paraId="6794EB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color w:val="000000"/>
                <w:kern w:val="0"/>
                <w:sz w:val="21"/>
                <w:szCs w:val="21"/>
                <w:highlight w:val="none"/>
                <w:u w:val="none"/>
                <w:lang w:val="en-US" w:eastAsia="zh-CN" w:bidi="ar"/>
              </w:rPr>
              <w:t>序号</w:t>
            </w:r>
          </w:p>
        </w:tc>
        <w:tc>
          <w:tcPr>
            <w:tcW w:w="855" w:type="pct"/>
            <w:tcBorders>
              <w:top w:val="single" w:color="000000" w:sz="4" w:space="0"/>
              <w:left w:val="single" w:color="000000" w:sz="4" w:space="0"/>
              <w:bottom w:val="single" w:color="000000" w:sz="4" w:space="0"/>
              <w:right w:val="single" w:color="000000" w:sz="4" w:space="0"/>
            </w:tcBorders>
            <w:vAlign w:val="center"/>
          </w:tcPr>
          <w:p w14:paraId="13DA81A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物料名称</w:t>
            </w:r>
          </w:p>
        </w:tc>
        <w:tc>
          <w:tcPr>
            <w:tcW w:w="1126" w:type="pct"/>
            <w:tcBorders>
              <w:top w:val="single" w:color="000000" w:sz="4" w:space="0"/>
              <w:left w:val="single" w:color="000000" w:sz="4" w:space="0"/>
              <w:bottom w:val="single" w:color="000000" w:sz="4" w:space="0"/>
              <w:right w:val="single" w:color="000000" w:sz="4" w:space="0"/>
            </w:tcBorders>
            <w:vAlign w:val="center"/>
          </w:tcPr>
          <w:p w14:paraId="7950968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default" w:ascii="宋体" w:hAnsi="宋体" w:eastAsia="宋体" w:cs="宋体"/>
                <w:i w:val="0"/>
                <w:color w:val="000000"/>
                <w:kern w:val="0"/>
                <w:sz w:val="21"/>
                <w:szCs w:val="21"/>
                <w:highlight w:val="none"/>
                <w:u w:val="none"/>
                <w:lang w:val="en-US" w:eastAsia="zh-CN" w:bidi="ar"/>
              </w:rPr>
              <w:t>规格型号</w:t>
            </w:r>
          </w:p>
        </w:tc>
        <w:tc>
          <w:tcPr>
            <w:tcW w:w="955" w:type="pct"/>
            <w:tcBorders>
              <w:top w:val="single" w:color="000000" w:sz="4" w:space="0"/>
              <w:left w:val="single" w:color="000000" w:sz="4" w:space="0"/>
              <w:bottom w:val="single" w:color="000000" w:sz="4" w:space="0"/>
              <w:right w:val="single" w:color="000000" w:sz="4" w:space="0"/>
            </w:tcBorders>
            <w:vAlign w:val="center"/>
          </w:tcPr>
          <w:p w14:paraId="2537B6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单位</w:t>
            </w:r>
          </w:p>
        </w:tc>
        <w:tc>
          <w:tcPr>
            <w:tcW w:w="729" w:type="pct"/>
            <w:tcBorders>
              <w:top w:val="single" w:color="000000" w:sz="4" w:space="0"/>
              <w:left w:val="single" w:color="000000" w:sz="4" w:space="0"/>
              <w:bottom w:val="single" w:color="000000" w:sz="4" w:space="0"/>
              <w:right w:val="single" w:color="000000" w:sz="4" w:space="0"/>
            </w:tcBorders>
            <w:vAlign w:val="center"/>
          </w:tcPr>
          <w:p w14:paraId="17E331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含税预算单价（元/瓦）</w:t>
            </w:r>
          </w:p>
        </w:tc>
        <w:tc>
          <w:tcPr>
            <w:tcW w:w="1021" w:type="pct"/>
            <w:tcBorders>
              <w:top w:val="single" w:color="000000" w:sz="4" w:space="0"/>
              <w:left w:val="single" w:color="000000" w:sz="4" w:space="0"/>
              <w:bottom w:val="single" w:color="000000" w:sz="4" w:space="0"/>
              <w:right w:val="single" w:color="000000" w:sz="4" w:space="0"/>
            </w:tcBorders>
            <w:vAlign w:val="center"/>
          </w:tcPr>
          <w:p w14:paraId="7FB1116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备注</w:t>
            </w:r>
          </w:p>
        </w:tc>
      </w:tr>
      <w:tr w14:paraId="42CB67B0">
        <w:tblPrEx>
          <w:tblCellMar>
            <w:top w:w="15" w:type="dxa"/>
            <w:left w:w="15" w:type="dxa"/>
            <w:bottom w:w="15" w:type="dxa"/>
            <w:right w:w="15" w:type="dxa"/>
          </w:tblCellMar>
        </w:tblPrEx>
        <w:trPr>
          <w:trHeight w:val="779" w:hRule="atLeast"/>
          <w:jc w:val="center"/>
        </w:trPr>
        <w:tc>
          <w:tcPr>
            <w:tcW w:w="311" w:type="pct"/>
            <w:tcBorders>
              <w:top w:val="single" w:color="000000" w:sz="4" w:space="0"/>
              <w:left w:val="single" w:color="000000" w:sz="4" w:space="0"/>
              <w:bottom w:val="single" w:color="000000" w:sz="4" w:space="0"/>
              <w:right w:val="single" w:color="000000" w:sz="4" w:space="0"/>
            </w:tcBorders>
            <w:vAlign w:val="center"/>
          </w:tcPr>
          <w:p w14:paraId="29D614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855" w:type="pct"/>
            <w:tcBorders>
              <w:top w:val="single" w:color="000000" w:sz="4" w:space="0"/>
              <w:left w:val="single" w:color="000000" w:sz="4" w:space="0"/>
              <w:bottom w:val="single" w:color="000000" w:sz="4" w:space="0"/>
              <w:right w:val="single" w:color="000000" w:sz="4" w:space="0"/>
            </w:tcBorders>
            <w:vAlign w:val="center"/>
          </w:tcPr>
          <w:p w14:paraId="11EED43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光伏组件</w:t>
            </w:r>
          </w:p>
        </w:tc>
        <w:tc>
          <w:tcPr>
            <w:tcW w:w="1126" w:type="pct"/>
            <w:tcBorders>
              <w:top w:val="single" w:color="000000" w:sz="4" w:space="0"/>
              <w:left w:val="single" w:color="000000" w:sz="4" w:space="0"/>
              <w:bottom w:val="single" w:color="000000" w:sz="4" w:space="0"/>
              <w:right w:val="single" w:color="000000" w:sz="4" w:space="0"/>
            </w:tcBorders>
            <w:vAlign w:val="center"/>
          </w:tcPr>
          <w:p w14:paraId="4EE58A2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default" w:ascii="宋体" w:hAnsi="宋体" w:eastAsia="宋体" w:cs="宋体"/>
                <w:i w:val="0"/>
                <w:color w:val="000000"/>
                <w:kern w:val="0"/>
                <w:sz w:val="21"/>
                <w:szCs w:val="21"/>
                <w:highlight w:val="none"/>
                <w:u w:val="none"/>
                <w:lang w:val="en-US" w:eastAsia="zh-CN" w:bidi="ar"/>
              </w:rPr>
              <w:t>N型/双面双玻/单晶硅及电池片不低于620Wp/组件效率≥22.8%）</w:t>
            </w:r>
          </w:p>
        </w:tc>
        <w:tc>
          <w:tcPr>
            <w:tcW w:w="955" w:type="pct"/>
            <w:tcBorders>
              <w:top w:val="single" w:color="000000" w:sz="4" w:space="0"/>
              <w:left w:val="single" w:color="000000" w:sz="4" w:space="0"/>
              <w:bottom w:val="single" w:color="000000" w:sz="4" w:space="0"/>
              <w:right w:val="single" w:color="000000" w:sz="4" w:space="0"/>
            </w:tcBorders>
            <w:vAlign w:val="center"/>
          </w:tcPr>
          <w:p w14:paraId="6A756F2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瓦</w:t>
            </w:r>
          </w:p>
        </w:tc>
        <w:tc>
          <w:tcPr>
            <w:tcW w:w="729" w:type="pct"/>
            <w:tcBorders>
              <w:top w:val="single" w:color="000000" w:sz="4" w:space="0"/>
              <w:left w:val="single" w:color="000000" w:sz="4" w:space="0"/>
              <w:bottom w:val="single" w:color="000000" w:sz="4" w:space="0"/>
              <w:right w:val="single" w:color="000000" w:sz="4" w:space="0"/>
            </w:tcBorders>
            <w:vAlign w:val="center"/>
          </w:tcPr>
          <w:p w14:paraId="2C5F068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0.</w:t>
            </w:r>
            <w:r>
              <w:rPr>
                <w:rFonts w:hint="eastAsia" w:ascii="宋体" w:hAnsi="宋体" w:cs="宋体"/>
                <w:i w:val="0"/>
                <w:color w:val="000000"/>
                <w:kern w:val="0"/>
                <w:sz w:val="21"/>
                <w:szCs w:val="21"/>
                <w:highlight w:val="none"/>
                <w:u w:val="none"/>
                <w:lang w:val="en-US" w:eastAsia="zh-CN" w:bidi="ar"/>
              </w:rPr>
              <w:t>8</w:t>
            </w:r>
            <w:r>
              <w:rPr>
                <w:rFonts w:hint="eastAsia" w:ascii="宋体" w:hAnsi="宋体" w:eastAsia="宋体" w:cs="宋体"/>
                <w:i w:val="0"/>
                <w:color w:val="000000"/>
                <w:kern w:val="0"/>
                <w:sz w:val="21"/>
                <w:szCs w:val="21"/>
                <w:highlight w:val="none"/>
                <w:u w:val="none"/>
                <w:lang w:val="en-US" w:eastAsia="zh-CN" w:bidi="ar"/>
              </w:rPr>
              <w:t>0</w:t>
            </w:r>
          </w:p>
        </w:tc>
        <w:tc>
          <w:tcPr>
            <w:tcW w:w="1021" w:type="pct"/>
            <w:tcBorders>
              <w:top w:val="single" w:color="000000" w:sz="4" w:space="0"/>
              <w:left w:val="single" w:color="000000" w:sz="4" w:space="0"/>
              <w:bottom w:val="single" w:color="000000" w:sz="4" w:space="0"/>
              <w:right w:val="single" w:color="000000" w:sz="4" w:space="0"/>
            </w:tcBorders>
            <w:vAlign w:val="center"/>
          </w:tcPr>
          <w:p w14:paraId="42DF274E">
            <w:pPr>
              <w:pStyle w:val="15"/>
              <w:jc w:val="left"/>
              <w:rPr>
                <w:rFonts w:hint="eastAsia" w:ascii="宋体" w:hAnsi="宋体" w:cs="宋体"/>
                <w:i w:val="0"/>
                <w:iCs w:val="0"/>
                <w:color w:val="000000"/>
                <w:sz w:val="20"/>
                <w:szCs w:val="20"/>
                <w:highlight w:val="none"/>
                <w:u w:val="none"/>
                <w:lang w:val="en-US" w:eastAsia="zh-CN"/>
              </w:rPr>
            </w:pPr>
            <w:r>
              <w:rPr>
                <w:rFonts w:hint="eastAsia" w:ascii="宋体" w:hAnsi="宋体" w:cs="宋体"/>
                <w:i w:val="0"/>
                <w:iCs w:val="0"/>
                <w:color w:val="000000"/>
                <w:sz w:val="20"/>
                <w:szCs w:val="20"/>
                <w:highlight w:val="none"/>
                <w:u w:val="none"/>
                <w:lang w:val="en-US" w:eastAsia="zh-CN"/>
              </w:rPr>
              <w:t>一、182/210电池组件（可选择板型及功率档位，采用TOPcon或HJT或IBC技术，最低功率不低于620Wp，效率≥22.8%，最终供货以双方确认的产品为准。）</w:t>
            </w:r>
          </w:p>
          <w:p w14:paraId="08F27C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cs="宋体"/>
                <w:i w:val="0"/>
                <w:iCs w:val="0"/>
                <w:color w:val="000000"/>
                <w:sz w:val="20"/>
                <w:szCs w:val="20"/>
                <w:highlight w:val="none"/>
                <w:u w:val="none"/>
                <w:lang w:val="en-US" w:eastAsia="zh-CN"/>
              </w:rPr>
              <w:t>二、组件需配组件连接器（原厂）。</w:t>
            </w:r>
          </w:p>
        </w:tc>
      </w:tr>
    </w:tbl>
    <w:p w14:paraId="1149A1B9">
      <w:pPr>
        <w:pStyle w:val="17"/>
        <w:rPr>
          <w:rFonts w:hint="default"/>
          <w:highlight w:val="none"/>
          <w:lang w:val="en-US" w:eastAsia="zh-CN"/>
        </w:rPr>
      </w:pPr>
    </w:p>
    <w:p w14:paraId="4507ED86">
      <w:pPr>
        <w:kinsoku/>
        <w:wordWrap/>
        <w:overflowPunct/>
        <w:topLinePunct w:val="0"/>
        <w:autoSpaceDE/>
        <w:autoSpaceDN/>
        <w:bidi w:val="0"/>
        <w:adjustRightInd/>
        <w:snapToGrid/>
        <w:spacing w:line="312" w:lineRule="auto"/>
        <w:ind w:firstLine="420" w:firstLineChars="200"/>
        <w:textAlignment w:val="auto"/>
        <w:rPr>
          <w:highlight w:val="none"/>
        </w:rPr>
      </w:pPr>
      <w:r>
        <w:rPr>
          <w:highlight w:val="none"/>
        </w:rPr>
        <w:br w:type="page"/>
      </w:r>
    </w:p>
    <w:p w14:paraId="5B45CDD8">
      <w:pPr>
        <w:pStyle w:val="3"/>
        <w:pageBreakBefore/>
        <w:widowControl/>
        <w:kinsoku/>
        <w:overflowPunct/>
        <w:bidi w:val="0"/>
        <w:spacing w:before="0" w:beforeLines="0" w:after="0" w:afterLines="0" w:line="360" w:lineRule="auto"/>
        <w:jc w:val="center"/>
        <w:textAlignment w:val="auto"/>
        <w:rPr>
          <w:rFonts w:ascii="宋体" w:hAnsi="宋体"/>
          <w:color w:val="auto"/>
          <w:kern w:val="0"/>
          <w:highlight w:val="none"/>
        </w:rPr>
      </w:pPr>
      <w:bookmarkStart w:id="2219" w:name="_Toc1620"/>
      <w:bookmarkStart w:id="2220" w:name="_Toc15440"/>
      <w:bookmarkStart w:id="2221" w:name="_Toc17456"/>
      <w:r>
        <w:rPr>
          <w:rFonts w:hint="eastAsia" w:ascii="宋体" w:hAnsi="宋体"/>
          <w:color w:val="auto"/>
          <w:kern w:val="0"/>
          <w:highlight w:val="none"/>
        </w:rPr>
        <w:t>第三卷</w:t>
      </w:r>
      <w:bookmarkEnd w:id="2219"/>
      <w:bookmarkEnd w:id="2220"/>
      <w:bookmarkEnd w:id="2221"/>
    </w:p>
    <w:p w14:paraId="74C4E40C">
      <w:pPr>
        <w:rPr>
          <w:highlight w:val="none"/>
        </w:rPr>
      </w:pPr>
      <w:r>
        <w:rPr>
          <w:highlight w:val="none"/>
        </w:rPr>
        <w:br w:type="page"/>
      </w:r>
    </w:p>
    <w:p w14:paraId="4A8B2F0D">
      <w:pPr>
        <w:pStyle w:val="3"/>
        <w:pageBreakBefore/>
        <w:widowControl/>
        <w:tabs>
          <w:tab w:val="left" w:pos="2127"/>
        </w:tabs>
        <w:kinsoku/>
        <w:overflowPunct/>
        <w:bidi w:val="0"/>
        <w:spacing w:before="0" w:beforeLines="0" w:after="0" w:afterLines="0" w:line="360" w:lineRule="auto"/>
        <w:jc w:val="center"/>
        <w:textAlignment w:val="auto"/>
        <w:outlineLvl w:val="0"/>
        <w:rPr>
          <w:rFonts w:hint="eastAsia" w:ascii="宋体" w:hAnsi="宋体"/>
          <w:color w:val="auto"/>
          <w:kern w:val="0"/>
          <w:sz w:val="32"/>
          <w:szCs w:val="32"/>
          <w:highlight w:val="none"/>
        </w:rPr>
      </w:pPr>
      <w:bookmarkStart w:id="2222" w:name="_Toc18906"/>
      <w:bookmarkStart w:id="2223" w:name="_Toc15579"/>
      <w:bookmarkStart w:id="2224" w:name="_Toc4535"/>
      <w:r>
        <w:rPr>
          <w:rFonts w:hint="eastAsia" w:ascii="宋体" w:hAnsi="宋体"/>
          <w:color w:val="auto"/>
          <w:kern w:val="0"/>
          <w:sz w:val="32"/>
          <w:szCs w:val="32"/>
          <w:highlight w:val="none"/>
        </w:rPr>
        <w:t xml:space="preserve">第六章 </w:t>
      </w:r>
      <w:r>
        <w:rPr>
          <w:rFonts w:hint="eastAsia" w:ascii="宋体" w:hAnsi="宋体"/>
          <w:color w:val="auto"/>
          <w:kern w:val="0"/>
          <w:sz w:val="32"/>
          <w:szCs w:val="32"/>
          <w:highlight w:val="none"/>
          <w:lang w:val="en-US" w:eastAsia="zh-CN"/>
        </w:rPr>
        <w:t>投标</w:t>
      </w:r>
      <w:r>
        <w:rPr>
          <w:rFonts w:hint="eastAsia" w:ascii="宋体" w:hAnsi="宋体"/>
          <w:color w:val="auto"/>
          <w:kern w:val="0"/>
          <w:sz w:val="32"/>
          <w:szCs w:val="32"/>
          <w:highlight w:val="none"/>
          <w:lang w:eastAsia="zh-CN"/>
        </w:rPr>
        <w:t>文件</w:t>
      </w:r>
      <w:r>
        <w:rPr>
          <w:rFonts w:hint="eastAsia" w:ascii="宋体" w:hAnsi="宋体"/>
          <w:color w:val="auto"/>
          <w:kern w:val="0"/>
          <w:sz w:val="32"/>
          <w:szCs w:val="32"/>
          <w:highlight w:val="none"/>
        </w:rPr>
        <w:t>格式</w:t>
      </w:r>
      <w:bookmarkEnd w:id="2222"/>
      <w:bookmarkEnd w:id="2223"/>
      <w:bookmarkEnd w:id="2224"/>
    </w:p>
    <w:p w14:paraId="668B9B06">
      <w:pPr>
        <w:rPr>
          <w:highlight w:val="none"/>
        </w:rPr>
      </w:pPr>
      <w:r>
        <w:rPr>
          <w:highlight w:val="none"/>
        </w:rPr>
        <w:br w:type="page"/>
      </w:r>
    </w:p>
    <w:p w14:paraId="7F622F66">
      <w:pPr>
        <w:pStyle w:val="17"/>
        <w:rPr>
          <w:highlight w:val="none"/>
        </w:rPr>
      </w:pPr>
    </w:p>
    <w:p w14:paraId="44E3F89E">
      <w:pPr>
        <w:pStyle w:val="18"/>
        <w:keepNext w:val="0"/>
        <w:keepLines w:val="0"/>
        <w:pageBreakBefore w:val="0"/>
        <w:widowControl w:val="0"/>
        <w:kinsoku/>
        <w:wordWrap/>
        <w:overflowPunct/>
        <w:topLinePunct w:val="0"/>
        <w:autoSpaceDE/>
        <w:autoSpaceDN/>
        <w:bidi w:val="0"/>
        <w:adjustRightInd/>
        <w:snapToGrid/>
        <w:textAlignment w:val="auto"/>
        <w:outlineLvl w:val="9"/>
        <w:rPr>
          <w:highlight w:val="none"/>
        </w:rPr>
      </w:pPr>
    </w:p>
    <w:p w14:paraId="06F65731">
      <w:pPr>
        <w:rPr>
          <w:highlight w:val="none"/>
        </w:rPr>
      </w:pPr>
    </w:p>
    <w:p w14:paraId="458A20BE">
      <w:pPr>
        <w:kinsoku/>
        <w:overflowPunct/>
        <w:bidi w:val="0"/>
        <w:snapToGrid/>
        <w:spacing w:line="312" w:lineRule="auto"/>
        <w:jc w:val="center"/>
        <w:rPr>
          <w:rFonts w:hint="eastAsia" w:ascii="宋体" w:hAnsi="宋体" w:eastAsia="宋体" w:cs="宋体"/>
          <w:color w:val="auto"/>
          <w:sz w:val="28"/>
          <w:szCs w:val="28"/>
          <w:highlight w:val="none"/>
          <w:lang w:val="en-US" w:eastAsia="zh-CN"/>
        </w:rPr>
      </w:pPr>
      <w:r>
        <w:rPr>
          <w:rFonts w:hint="eastAsia" w:ascii="宋体" w:hAnsi="宋体" w:cs="黑体"/>
          <w:b/>
          <w:bCs/>
          <w:color w:val="auto"/>
          <w:kern w:val="0"/>
          <w:sz w:val="44"/>
          <w:szCs w:val="44"/>
          <w:highlight w:val="none"/>
          <w:lang w:val="en-US" w:eastAsia="zh-CN"/>
        </w:rPr>
        <w:t>科技公司2025-2026年第一批光伏组件采购框架（二次招标）</w:t>
      </w:r>
    </w:p>
    <w:p w14:paraId="217E85FF">
      <w:pPr>
        <w:tabs>
          <w:tab w:val="left" w:pos="2127"/>
        </w:tabs>
        <w:kinsoku/>
        <w:overflowPunct/>
        <w:autoSpaceDE w:val="0"/>
        <w:autoSpaceDN w:val="0"/>
        <w:bidi w:val="0"/>
        <w:adjustRightInd w:val="0"/>
        <w:spacing w:line="360" w:lineRule="auto"/>
        <w:jc w:val="center"/>
        <w:textAlignment w:val="auto"/>
        <w:rPr>
          <w:rFonts w:hint="eastAsia" w:ascii="宋体" w:hAnsi="宋体" w:cs="黑体"/>
          <w:color w:val="auto"/>
          <w:kern w:val="0"/>
          <w:sz w:val="28"/>
          <w:szCs w:val="28"/>
          <w:highlight w:val="none"/>
          <w:u w:val="single"/>
        </w:rPr>
      </w:pPr>
    </w:p>
    <w:p w14:paraId="100D70C3">
      <w:pPr>
        <w:tabs>
          <w:tab w:val="left" w:pos="2127"/>
        </w:tabs>
        <w:kinsoku/>
        <w:overflowPunct/>
        <w:autoSpaceDE w:val="0"/>
        <w:autoSpaceDN w:val="0"/>
        <w:bidi w:val="0"/>
        <w:adjustRightInd w:val="0"/>
        <w:spacing w:line="360" w:lineRule="auto"/>
        <w:jc w:val="both"/>
        <w:textAlignment w:val="auto"/>
        <w:rPr>
          <w:rFonts w:ascii="宋体" w:hAnsi="宋体" w:cs="黑体"/>
          <w:color w:val="auto"/>
          <w:kern w:val="0"/>
          <w:sz w:val="28"/>
          <w:szCs w:val="28"/>
          <w:highlight w:val="none"/>
        </w:rPr>
      </w:pPr>
    </w:p>
    <w:p w14:paraId="4C711978">
      <w:pPr>
        <w:tabs>
          <w:tab w:val="left" w:pos="2127"/>
        </w:tabs>
        <w:kinsoku/>
        <w:overflowPunct/>
        <w:autoSpaceDE w:val="0"/>
        <w:autoSpaceDN w:val="0"/>
        <w:bidi w:val="0"/>
        <w:adjustRightInd w:val="0"/>
        <w:spacing w:line="360" w:lineRule="auto"/>
        <w:jc w:val="center"/>
        <w:textAlignment w:val="auto"/>
        <w:outlineLvl w:val="9"/>
        <w:rPr>
          <w:rFonts w:hint="eastAsia" w:ascii="宋体" w:hAnsi="宋体" w:cs="黑体"/>
          <w:b/>
          <w:bCs/>
          <w:color w:val="auto"/>
          <w:kern w:val="0"/>
          <w:sz w:val="44"/>
          <w:szCs w:val="44"/>
          <w:highlight w:val="none"/>
        </w:rPr>
      </w:pPr>
      <w:bookmarkStart w:id="2225" w:name="_Toc16992"/>
      <w:r>
        <w:rPr>
          <w:rFonts w:hint="eastAsia" w:ascii="宋体" w:hAnsi="宋体" w:cs="黑体"/>
          <w:b/>
          <w:bCs/>
          <w:color w:val="auto"/>
          <w:kern w:val="0"/>
          <w:sz w:val="44"/>
          <w:szCs w:val="44"/>
          <w:highlight w:val="none"/>
          <w:lang w:val="en-US" w:eastAsia="zh-CN"/>
        </w:rPr>
        <w:t>投标</w:t>
      </w:r>
      <w:r>
        <w:rPr>
          <w:rFonts w:hint="eastAsia" w:ascii="宋体" w:hAnsi="宋体" w:cs="黑体"/>
          <w:b/>
          <w:bCs/>
          <w:color w:val="auto"/>
          <w:kern w:val="0"/>
          <w:sz w:val="44"/>
          <w:szCs w:val="44"/>
          <w:highlight w:val="none"/>
        </w:rPr>
        <w:t>文件</w:t>
      </w:r>
      <w:bookmarkEnd w:id="2225"/>
    </w:p>
    <w:p w14:paraId="543FF4FB">
      <w:pPr>
        <w:tabs>
          <w:tab w:val="left" w:pos="2127"/>
        </w:tabs>
        <w:kinsoku/>
        <w:overflowPunct/>
        <w:autoSpaceDE w:val="0"/>
        <w:autoSpaceDN w:val="0"/>
        <w:bidi w:val="0"/>
        <w:adjustRightInd w:val="0"/>
        <w:spacing w:line="360" w:lineRule="auto"/>
        <w:jc w:val="center"/>
        <w:textAlignment w:val="auto"/>
        <w:rPr>
          <w:rFonts w:ascii="宋体" w:hAnsi="宋体" w:cs="黑体"/>
          <w:color w:val="auto"/>
          <w:kern w:val="0"/>
          <w:sz w:val="44"/>
          <w:szCs w:val="44"/>
          <w:highlight w:val="none"/>
        </w:rPr>
      </w:pPr>
    </w:p>
    <w:p w14:paraId="53167E39">
      <w:pPr>
        <w:tabs>
          <w:tab w:val="left" w:pos="2127"/>
        </w:tabs>
        <w:kinsoku/>
        <w:overflowPunct/>
        <w:autoSpaceDE w:val="0"/>
        <w:autoSpaceDN w:val="0"/>
        <w:bidi w:val="0"/>
        <w:adjustRightInd w:val="0"/>
        <w:spacing w:line="360" w:lineRule="auto"/>
        <w:jc w:val="center"/>
        <w:textAlignment w:val="auto"/>
        <w:outlineLvl w:val="1"/>
        <w:rPr>
          <w:rFonts w:ascii="宋体" w:hAnsi="宋体" w:cs="黑体"/>
          <w:color w:val="auto"/>
          <w:kern w:val="0"/>
          <w:sz w:val="44"/>
          <w:szCs w:val="44"/>
          <w:highlight w:val="none"/>
        </w:rPr>
      </w:pPr>
      <w:bookmarkStart w:id="2226" w:name="_Toc20105"/>
      <w:bookmarkStart w:id="2227" w:name="_Toc18083"/>
      <w:bookmarkStart w:id="2228" w:name="_Toc20041"/>
      <w:r>
        <w:rPr>
          <w:rFonts w:hint="eastAsia" w:ascii="宋体" w:hAnsi="宋体" w:cs="黑体"/>
          <w:color w:val="auto"/>
          <w:kern w:val="0"/>
          <w:sz w:val="44"/>
          <w:szCs w:val="44"/>
          <w:highlight w:val="none"/>
        </w:rPr>
        <w:t>商务投标文件</w:t>
      </w:r>
      <w:bookmarkEnd w:id="2226"/>
      <w:bookmarkEnd w:id="2227"/>
      <w:bookmarkEnd w:id="2228"/>
    </w:p>
    <w:p w14:paraId="6504FB60">
      <w:pPr>
        <w:tabs>
          <w:tab w:val="left" w:pos="2127"/>
        </w:tabs>
        <w:kinsoku/>
        <w:overflowPunct/>
        <w:autoSpaceDE w:val="0"/>
        <w:autoSpaceDN w:val="0"/>
        <w:bidi w:val="0"/>
        <w:adjustRightInd w:val="0"/>
        <w:spacing w:line="360" w:lineRule="auto"/>
        <w:textAlignment w:val="auto"/>
        <w:rPr>
          <w:rFonts w:ascii="宋体" w:hAnsi="宋体" w:cs="黑体"/>
          <w:color w:val="auto"/>
          <w:kern w:val="0"/>
          <w:sz w:val="44"/>
          <w:szCs w:val="44"/>
          <w:highlight w:val="none"/>
        </w:rPr>
      </w:pPr>
    </w:p>
    <w:p w14:paraId="43094B2C">
      <w:pPr>
        <w:tabs>
          <w:tab w:val="left" w:pos="2127"/>
        </w:tabs>
        <w:kinsoku/>
        <w:overflowPunct/>
        <w:autoSpaceDE w:val="0"/>
        <w:autoSpaceDN w:val="0"/>
        <w:bidi w:val="0"/>
        <w:adjustRightInd w:val="0"/>
        <w:spacing w:line="360" w:lineRule="auto"/>
        <w:jc w:val="center"/>
        <w:textAlignment w:val="auto"/>
        <w:rPr>
          <w:rFonts w:ascii="宋体" w:hAnsi="宋体" w:cs="黑体"/>
          <w:color w:val="auto"/>
          <w:kern w:val="0"/>
          <w:sz w:val="44"/>
          <w:szCs w:val="44"/>
          <w:highlight w:val="none"/>
        </w:rPr>
      </w:pPr>
    </w:p>
    <w:p w14:paraId="5406AC50">
      <w:pPr>
        <w:pStyle w:val="17"/>
        <w:kinsoku/>
        <w:overflowPunct/>
        <w:bidi w:val="0"/>
        <w:spacing w:after="0" w:line="360" w:lineRule="auto"/>
        <w:textAlignment w:val="auto"/>
        <w:rPr>
          <w:color w:val="auto"/>
          <w:highlight w:val="none"/>
        </w:rPr>
      </w:pPr>
    </w:p>
    <w:p w14:paraId="7CBAADAC">
      <w:pPr>
        <w:tabs>
          <w:tab w:val="left" w:pos="2127"/>
        </w:tabs>
        <w:kinsoku/>
        <w:overflowPunct/>
        <w:autoSpaceDE w:val="0"/>
        <w:autoSpaceDN w:val="0"/>
        <w:bidi w:val="0"/>
        <w:adjustRightInd w:val="0"/>
        <w:spacing w:line="360" w:lineRule="auto"/>
        <w:jc w:val="both"/>
        <w:textAlignment w:val="auto"/>
        <w:rPr>
          <w:rFonts w:ascii="宋体" w:hAnsi="宋体" w:cs="黑体"/>
          <w:color w:val="auto"/>
          <w:kern w:val="0"/>
          <w:sz w:val="44"/>
          <w:szCs w:val="44"/>
          <w:highlight w:val="none"/>
        </w:rPr>
      </w:pPr>
    </w:p>
    <w:p w14:paraId="61D35AF8">
      <w:pPr>
        <w:tabs>
          <w:tab w:val="left" w:pos="2127"/>
        </w:tabs>
        <w:kinsoku/>
        <w:overflowPunct/>
        <w:autoSpaceDE w:val="0"/>
        <w:autoSpaceDN w:val="0"/>
        <w:bidi w:val="0"/>
        <w:adjustRightInd w:val="0"/>
        <w:spacing w:line="360" w:lineRule="auto"/>
        <w:jc w:val="center"/>
        <w:textAlignment w:val="auto"/>
        <w:rPr>
          <w:rFonts w:hint="eastAsia" w:ascii="宋体" w:hAnsi="宋体" w:cs="黑体"/>
          <w:color w:val="auto"/>
          <w:kern w:val="0"/>
          <w:sz w:val="28"/>
          <w:szCs w:val="28"/>
          <w:highlight w:val="none"/>
        </w:rPr>
      </w:pPr>
    </w:p>
    <w:p w14:paraId="322899F8">
      <w:pPr>
        <w:tabs>
          <w:tab w:val="left" w:pos="2127"/>
        </w:tabs>
        <w:kinsoku/>
        <w:overflowPunct/>
        <w:autoSpaceDE w:val="0"/>
        <w:autoSpaceDN w:val="0"/>
        <w:bidi w:val="0"/>
        <w:adjustRightInd w:val="0"/>
        <w:spacing w:line="360" w:lineRule="auto"/>
        <w:jc w:val="center"/>
        <w:textAlignment w:val="auto"/>
        <w:rPr>
          <w:rFonts w:hint="eastAsia" w:ascii="宋体" w:hAnsi="宋体" w:cs="黑体"/>
          <w:color w:val="auto"/>
          <w:kern w:val="0"/>
          <w:sz w:val="28"/>
          <w:szCs w:val="28"/>
          <w:highlight w:val="none"/>
        </w:rPr>
      </w:pPr>
    </w:p>
    <w:p w14:paraId="6B3430A9">
      <w:pPr>
        <w:tabs>
          <w:tab w:val="left" w:pos="2127"/>
        </w:tabs>
        <w:kinsoku/>
        <w:overflowPunct/>
        <w:autoSpaceDE w:val="0"/>
        <w:autoSpaceDN w:val="0"/>
        <w:bidi w:val="0"/>
        <w:adjustRightInd w:val="0"/>
        <w:spacing w:line="360" w:lineRule="auto"/>
        <w:jc w:val="center"/>
        <w:textAlignment w:val="auto"/>
        <w:rPr>
          <w:rFonts w:ascii="宋体" w:hAnsi="宋体" w:cs="黑体"/>
          <w:color w:val="auto"/>
          <w:kern w:val="0"/>
          <w:sz w:val="28"/>
          <w:szCs w:val="28"/>
          <w:highlight w:val="none"/>
        </w:rPr>
      </w:pPr>
      <w:r>
        <w:rPr>
          <w:rFonts w:hint="eastAsia" w:ascii="宋体" w:hAnsi="宋体" w:cs="黑体"/>
          <w:color w:val="auto"/>
          <w:kern w:val="0"/>
          <w:sz w:val="28"/>
          <w:szCs w:val="28"/>
          <w:highlight w:val="none"/>
        </w:rPr>
        <w:t>投标人</w:t>
      </w:r>
      <w:r>
        <w:rPr>
          <w:rFonts w:hint="eastAsia" w:ascii="宋体" w:hAnsi="宋体" w:cs="黑体"/>
          <w:color w:val="auto"/>
          <w:kern w:val="0"/>
          <w:sz w:val="28"/>
          <w:szCs w:val="28"/>
          <w:highlight w:val="none"/>
          <w:lang w:eastAsia="zh-CN"/>
        </w:rPr>
        <w:t>名称</w:t>
      </w:r>
      <w:r>
        <w:rPr>
          <w:rFonts w:hint="eastAsia" w:ascii="宋体" w:hAnsi="宋体" w:cs="黑体"/>
          <w:color w:val="auto"/>
          <w:kern w:val="0"/>
          <w:sz w:val="28"/>
          <w:szCs w:val="28"/>
          <w:highlight w:val="none"/>
        </w:rPr>
        <w:t>：</w:t>
      </w: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（公章或投标专用章或电子签章）</w:t>
      </w:r>
    </w:p>
    <w:p w14:paraId="221C76CE">
      <w:pPr>
        <w:tabs>
          <w:tab w:val="left" w:pos="2127"/>
        </w:tabs>
        <w:kinsoku/>
        <w:overflowPunct/>
        <w:autoSpaceDE w:val="0"/>
        <w:autoSpaceDN w:val="0"/>
        <w:bidi w:val="0"/>
        <w:adjustRightInd w:val="0"/>
        <w:spacing w:line="360" w:lineRule="auto"/>
        <w:jc w:val="center"/>
        <w:textAlignment w:val="auto"/>
        <w:rPr>
          <w:rFonts w:ascii="宋体" w:hAnsi="宋体" w:cs="黑体"/>
          <w:color w:val="auto"/>
          <w:kern w:val="0"/>
          <w:sz w:val="28"/>
          <w:szCs w:val="28"/>
          <w:highlight w:val="none"/>
        </w:rPr>
      </w:pP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年</w:t>
      </w: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月</w:t>
      </w: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日</w:t>
      </w:r>
    </w:p>
    <w:p w14:paraId="4CBC7FBF">
      <w:pPr>
        <w:kinsoku/>
        <w:overflowPunct/>
        <w:bidi w:val="0"/>
        <w:spacing w:before="0" w:after="0" w:line="360" w:lineRule="auto"/>
        <w:textAlignment w:val="auto"/>
        <w:outlineLvl w:val="9"/>
        <w:rPr>
          <w:rFonts w:hint="eastAsia"/>
          <w:color w:val="auto"/>
          <w:highlight w:val="none"/>
        </w:rPr>
      </w:pPr>
      <w:bookmarkStart w:id="2229" w:name="_Toc10299"/>
      <w:bookmarkStart w:id="2230" w:name="_Toc484792239"/>
      <w:bookmarkStart w:id="2231" w:name="_Toc482803126"/>
      <w:bookmarkStart w:id="2232" w:name="_Toc27945"/>
      <w:bookmarkStart w:id="2233" w:name="_Toc5040"/>
      <w:bookmarkStart w:id="2234" w:name="_Toc3431"/>
    </w:p>
    <w:p w14:paraId="099427B4">
      <w:pPr>
        <w:kinsoku/>
        <w:overflowPunct/>
        <w:bidi w:val="0"/>
        <w:spacing w:before="0" w:after="0" w:line="360" w:lineRule="auto"/>
        <w:textAlignment w:val="auto"/>
        <w:outlineLvl w:val="9"/>
        <w:rPr>
          <w:rFonts w:hint="eastAsia"/>
          <w:color w:val="auto"/>
          <w:highlight w:val="none"/>
        </w:rPr>
      </w:pPr>
      <w:r>
        <w:rPr>
          <w:rFonts w:hint="eastAsia"/>
          <w:color w:val="auto"/>
          <w:highlight w:val="none"/>
        </w:rPr>
        <w:br w:type="page"/>
      </w:r>
      <w:bookmarkStart w:id="2235" w:name="_Toc6488"/>
      <w:bookmarkStart w:id="2236" w:name="_Toc3047"/>
      <w:bookmarkStart w:id="2237" w:name="_Toc28672"/>
      <w:bookmarkStart w:id="2238" w:name="_Toc10806"/>
      <w:bookmarkStart w:id="2239" w:name="_Toc4425"/>
    </w:p>
    <w:p w14:paraId="7948595C">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b/>
          <w:bCs/>
          <w:color w:val="auto"/>
          <w:sz w:val="32"/>
          <w:szCs w:val="28"/>
          <w:highlight w:val="none"/>
          <w:lang w:eastAsia="zh-CN"/>
        </w:rPr>
      </w:pPr>
      <w:bookmarkStart w:id="2240" w:name="_Toc28901"/>
      <w:r>
        <w:rPr>
          <w:rFonts w:hint="eastAsia"/>
          <w:b/>
          <w:bCs/>
          <w:color w:val="auto"/>
          <w:sz w:val="32"/>
          <w:szCs w:val="28"/>
          <w:highlight w:val="none"/>
          <w:lang w:eastAsia="zh-CN"/>
        </w:rPr>
        <w:t>目录</w:t>
      </w:r>
    </w:p>
    <w:p w14:paraId="1D71C164">
      <w:pPr>
        <w:pStyle w:val="44"/>
        <w:ind w:left="0" w:leftChars="0" w:firstLine="0" w:firstLineChars="0"/>
        <w:jc w:val="center"/>
        <w:rPr>
          <w:rFonts w:hint="eastAsia"/>
          <w:i/>
          <w:iCs/>
          <w:sz w:val="13"/>
          <w:szCs w:val="16"/>
          <w:highlight w:val="none"/>
          <w:lang w:eastAsia="zh-CN"/>
        </w:rPr>
      </w:pPr>
      <w:r>
        <w:rPr>
          <w:rFonts w:hint="eastAsia"/>
          <w:b/>
          <w:bCs/>
          <w:i/>
          <w:iCs/>
          <w:color w:val="auto"/>
          <w:sz w:val="20"/>
          <w:szCs w:val="18"/>
          <w:highlight w:val="none"/>
          <w:lang w:eastAsia="zh-CN"/>
        </w:rPr>
        <w:t>（格式自拟）</w:t>
      </w:r>
    </w:p>
    <w:p w14:paraId="27EA09BD">
      <w:pPr>
        <w:rPr>
          <w:rFonts w:hint="eastAsia"/>
          <w:color w:val="auto"/>
          <w:highlight w:val="none"/>
        </w:rPr>
      </w:pPr>
      <w:r>
        <w:rPr>
          <w:rFonts w:hint="eastAsia"/>
          <w:color w:val="auto"/>
          <w:highlight w:val="none"/>
        </w:rPr>
        <w:br w:type="page"/>
      </w:r>
    </w:p>
    <w:p w14:paraId="1439544C">
      <w:pPr>
        <w:pStyle w:val="5"/>
        <w:kinsoku/>
        <w:overflowPunct/>
        <w:bidi w:val="0"/>
        <w:spacing w:before="0" w:after="0" w:line="360" w:lineRule="auto"/>
        <w:textAlignment w:val="auto"/>
        <w:rPr>
          <w:color w:val="auto"/>
          <w:sz w:val="21"/>
          <w:szCs w:val="20"/>
          <w:highlight w:val="none"/>
        </w:rPr>
      </w:pPr>
      <w:r>
        <w:rPr>
          <w:rFonts w:hint="eastAsia"/>
          <w:color w:val="auto"/>
          <w:highlight w:val="none"/>
        </w:rPr>
        <w:t>一、</w:t>
      </w:r>
      <w:bookmarkEnd w:id="2229"/>
      <w:bookmarkEnd w:id="2230"/>
      <w:bookmarkEnd w:id="2231"/>
      <w:bookmarkEnd w:id="2232"/>
      <w:bookmarkEnd w:id="2233"/>
      <w:bookmarkEnd w:id="2234"/>
      <w:bookmarkEnd w:id="2235"/>
      <w:bookmarkEnd w:id="2236"/>
      <w:bookmarkEnd w:id="2237"/>
      <w:bookmarkEnd w:id="2238"/>
      <w:bookmarkEnd w:id="2239"/>
      <w:r>
        <w:rPr>
          <w:rFonts w:hint="eastAsia"/>
          <w:color w:val="auto"/>
          <w:highlight w:val="none"/>
        </w:rPr>
        <w:t>法定代表人证明、授权委托书</w:t>
      </w:r>
      <w:bookmarkEnd w:id="2240"/>
    </w:p>
    <w:p w14:paraId="2F5A5CC7">
      <w:pPr>
        <w:keepNext w:val="0"/>
        <w:keepLines w:val="0"/>
        <w:pageBreakBefore w:val="0"/>
        <w:widowControl w:val="0"/>
        <w:kinsoku/>
        <w:overflowPunct/>
        <w:bidi w:val="0"/>
        <w:snapToGrid/>
        <w:spacing w:beforeAutospacing="0" w:afterAutospacing="0" w:line="312" w:lineRule="auto"/>
        <w:ind w:left="0" w:leftChars="0" w:right="0"/>
        <w:jc w:val="center"/>
        <w:textAlignment w:val="auto"/>
        <w:rPr>
          <w:rFonts w:hint="eastAsia" w:ascii="宋体" w:hAnsi="宋体" w:eastAsia="宋体" w:cs="宋体"/>
          <w:b/>
          <w:color w:val="auto"/>
          <w:sz w:val="24"/>
          <w:szCs w:val="24"/>
          <w:highlight w:val="none"/>
        </w:rPr>
      </w:pPr>
    </w:p>
    <w:p w14:paraId="1048AA33">
      <w:pPr>
        <w:keepNext w:val="0"/>
        <w:keepLines w:val="0"/>
        <w:pageBreakBefore w:val="0"/>
        <w:widowControl w:val="0"/>
        <w:kinsoku/>
        <w:overflowPunct/>
        <w:bidi w:val="0"/>
        <w:snapToGrid/>
        <w:spacing w:beforeAutospacing="0" w:afterAutospacing="0" w:line="312" w:lineRule="auto"/>
        <w:ind w:left="0" w:leftChars="0" w:right="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法定代表人证明</w:t>
      </w:r>
    </w:p>
    <w:p w14:paraId="75F1D494">
      <w:pPr>
        <w:keepNext w:val="0"/>
        <w:keepLines w:val="0"/>
        <w:pageBreakBefore w:val="0"/>
        <w:widowControl w:val="0"/>
        <w:kinsoku/>
        <w:overflowPunct/>
        <w:bidi w:val="0"/>
        <w:snapToGrid/>
        <w:spacing w:beforeAutospacing="0" w:afterAutospacing="0" w:line="312" w:lineRule="auto"/>
        <w:ind w:left="0" w:leftChars="0" w:right="0"/>
        <w:textAlignment w:val="auto"/>
        <w:outlineLvl w:val="9"/>
        <w:rPr>
          <w:rFonts w:hint="eastAsia" w:ascii="宋体" w:hAnsi="宋体" w:eastAsia="宋体" w:cs="宋体"/>
          <w:color w:val="auto"/>
          <w:highlight w:val="none"/>
        </w:rPr>
      </w:pPr>
    </w:p>
    <w:p w14:paraId="13D04EE8">
      <w:pPr>
        <w:keepNext w:val="0"/>
        <w:keepLines w:val="0"/>
        <w:pageBreakBefore w:val="0"/>
        <w:widowControl w:val="0"/>
        <w:kinsoku/>
        <w:overflowPunct/>
        <w:bidi w:val="0"/>
        <w:snapToGrid/>
        <w:spacing w:beforeAutospacing="0" w:afterAutospacing="0" w:line="312" w:lineRule="auto"/>
        <w:ind w:left="0" w:leftChars="0" w:right="0"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lang w:val="en-US" w:eastAsia="zh-CN"/>
        </w:rPr>
        <w:t>投标人</w:t>
      </w:r>
      <w:r>
        <w:rPr>
          <w:rFonts w:hint="eastAsia" w:ascii="宋体" w:hAnsi="宋体" w:eastAsia="宋体" w:cs="宋体"/>
          <w:color w:val="auto"/>
          <w:szCs w:val="21"/>
          <w:highlight w:val="none"/>
        </w:rPr>
        <w:t>名称：</w:t>
      </w:r>
      <w:r>
        <w:rPr>
          <w:rFonts w:hint="eastAsia" w:ascii="宋体" w:hAnsi="宋体" w:eastAsia="宋体" w:cs="宋体"/>
          <w:color w:val="auto"/>
          <w:szCs w:val="21"/>
          <w:highlight w:val="none"/>
          <w:u w:val="single"/>
        </w:rPr>
        <w:t xml:space="preserve">                          </w:t>
      </w:r>
    </w:p>
    <w:p w14:paraId="1ABDD08B">
      <w:pPr>
        <w:keepNext w:val="0"/>
        <w:keepLines w:val="0"/>
        <w:pageBreakBefore w:val="0"/>
        <w:widowControl w:val="0"/>
        <w:kinsoku/>
        <w:overflowPunct/>
        <w:bidi w:val="0"/>
        <w:snapToGrid/>
        <w:spacing w:beforeAutospacing="0" w:afterAutospacing="0" w:line="312" w:lineRule="auto"/>
        <w:ind w:left="0" w:leftChars="0" w:right="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u w:val="single"/>
        </w:rPr>
        <w:t xml:space="preserve">                          </w:t>
      </w:r>
    </w:p>
    <w:p w14:paraId="020B73E9">
      <w:pPr>
        <w:keepNext w:val="0"/>
        <w:keepLines w:val="0"/>
        <w:pageBreakBefore w:val="0"/>
        <w:widowControl w:val="0"/>
        <w:kinsoku/>
        <w:overflowPunct/>
        <w:bidi w:val="0"/>
        <w:snapToGrid/>
        <w:spacing w:beforeAutospacing="0" w:afterAutospacing="0" w:line="312" w:lineRule="auto"/>
        <w:ind w:left="0" w:leftChars="0" w:right="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（身份证号码：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，性别：</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，年龄：</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，职务：</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，系</w:t>
      </w:r>
      <w:r>
        <w:rPr>
          <w:rFonts w:hint="eastAsia" w:ascii="宋体" w:hAnsi="宋体" w:eastAsia="宋体" w:cs="宋体"/>
          <w:color w:val="auto"/>
          <w:szCs w:val="21"/>
          <w:highlight w:val="none"/>
          <w:u w:val="single"/>
        </w:rPr>
        <w:t xml:space="preserve">  （投标人名称）</w:t>
      </w:r>
      <w:r>
        <w:rPr>
          <w:rFonts w:hint="eastAsia" w:ascii="宋体" w:hAnsi="宋体" w:eastAsia="宋体" w:cs="宋体"/>
          <w:color w:val="auto"/>
          <w:szCs w:val="21"/>
          <w:highlight w:val="none"/>
        </w:rPr>
        <w:t>的法定代表人。</w:t>
      </w:r>
    </w:p>
    <w:p w14:paraId="2D938B40">
      <w:pPr>
        <w:keepNext w:val="0"/>
        <w:keepLines w:val="0"/>
        <w:pageBreakBefore w:val="0"/>
        <w:widowControl w:val="0"/>
        <w:kinsoku/>
        <w:overflowPunct/>
        <w:bidi w:val="0"/>
        <w:snapToGrid/>
        <w:spacing w:beforeAutospacing="0" w:afterAutospacing="0" w:line="312" w:lineRule="auto"/>
        <w:ind w:left="0" w:leftChars="0" w:right="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特此证明。</w:t>
      </w:r>
    </w:p>
    <w:p w14:paraId="451089E1">
      <w:pPr>
        <w:keepNext w:val="0"/>
        <w:keepLines w:val="0"/>
        <w:pageBreakBefore w:val="0"/>
        <w:widowControl w:val="0"/>
        <w:kinsoku/>
        <w:overflowPunct/>
        <w:bidi w:val="0"/>
        <w:snapToGrid/>
        <w:spacing w:beforeAutospacing="0" w:afterAutospacing="0" w:line="312" w:lineRule="auto"/>
        <w:ind w:left="0" w:leftChars="0" w:right="0"/>
        <w:textAlignment w:val="auto"/>
        <w:rPr>
          <w:rFonts w:hint="eastAsia" w:ascii="宋体" w:hAnsi="宋体" w:eastAsia="宋体" w:cs="宋体"/>
          <w:color w:val="auto"/>
          <w:highlight w:val="none"/>
        </w:rPr>
      </w:pPr>
    </w:p>
    <w:p w14:paraId="07C40F80">
      <w:pPr>
        <w:keepNext w:val="0"/>
        <w:keepLines w:val="0"/>
        <w:pageBreakBefore w:val="0"/>
        <w:widowControl w:val="0"/>
        <w:kinsoku/>
        <w:overflowPunct/>
        <w:bidi w:val="0"/>
        <w:snapToGrid/>
        <w:spacing w:beforeAutospacing="0" w:afterAutospacing="0" w:line="312" w:lineRule="auto"/>
        <w:ind w:left="0" w:leftChars="0" w:right="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附：法定代表人身份证复印件。</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3"/>
      </w:tblGrid>
      <w:tr w14:paraId="1103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4" w:hRule="atLeast"/>
          <w:jc w:val="center"/>
        </w:trPr>
        <w:tc>
          <w:tcPr>
            <w:tcW w:w="4643" w:type="dxa"/>
            <w:noWrap w:val="0"/>
            <w:vAlign w:val="top"/>
          </w:tcPr>
          <w:p w14:paraId="152EFABD">
            <w:pPr>
              <w:pStyle w:val="18"/>
              <w:keepNext w:val="0"/>
              <w:keepLines w:val="0"/>
              <w:pageBreakBefore w:val="0"/>
              <w:widowControl w:val="0"/>
              <w:suppressLineNumbers w:val="0"/>
              <w:kinsoku/>
              <w:overflowPunct/>
              <w:bidi w:val="0"/>
              <w:snapToGrid/>
              <w:spacing w:before="0" w:beforeAutospacing="0" w:after="0" w:afterAutospacing="0" w:line="312" w:lineRule="auto"/>
              <w:ind w:left="0" w:leftChars="0" w:right="0"/>
              <w:textAlignment w:val="auto"/>
              <w:outlineLvl w:val="9"/>
              <w:rPr>
                <w:rFonts w:hint="eastAsia" w:ascii="宋体" w:hAnsi="宋体" w:eastAsia="宋体" w:cs="宋体"/>
                <w:color w:val="auto"/>
                <w:highlight w:val="none"/>
                <w:vertAlign w:val="baseline"/>
              </w:rPr>
            </w:pPr>
          </w:p>
        </w:tc>
        <w:tc>
          <w:tcPr>
            <w:tcW w:w="4643" w:type="dxa"/>
            <w:noWrap w:val="0"/>
            <w:vAlign w:val="top"/>
          </w:tcPr>
          <w:p w14:paraId="4EB55BDA">
            <w:pPr>
              <w:pStyle w:val="18"/>
              <w:keepNext w:val="0"/>
              <w:keepLines w:val="0"/>
              <w:pageBreakBefore w:val="0"/>
              <w:widowControl w:val="0"/>
              <w:suppressLineNumbers w:val="0"/>
              <w:kinsoku/>
              <w:overflowPunct/>
              <w:bidi w:val="0"/>
              <w:snapToGrid/>
              <w:spacing w:before="0" w:beforeAutospacing="0" w:after="0" w:afterAutospacing="0" w:line="312" w:lineRule="auto"/>
              <w:ind w:left="0" w:leftChars="0" w:right="0"/>
              <w:textAlignment w:val="auto"/>
              <w:outlineLvl w:val="9"/>
              <w:rPr>
                <w:rFonts w:hint="eastAsia" w:ascii="宋体" w:hAnsi="宋体" w:eastAsia="宋体" w:cs="宋体"/>
                <w:color w:val="auto"/>
                <w:highlight w:val="none"/>
                <w:vertAlign w:val="baseline"/>
              </w:rPr>
            </w:pPr>
          </w:p>
        </w:tc>
      </w:tr>
    </w:tbl>
    <w:p w14:paraId="39C3019E">
      <w:pPr>
        <w:keepNext w:val="0"/>
        <w:keepLines w:val="0"/>
        <w:pageBreakBefore w:val="0"/>
        <w:widowControl w:val="0"/>
        <w:kinsoku/>
        <w:overflowPunct/>
        <w:bidi w:val="0"/>
        <w:snapToGrid/>
        <w:spacing w:beforeAutospacing="0" w:afterAutospacing="0" w:line="312" w:lineRule="auto"/>
        <w:ind w:left="0" w:leftChars="0" w:right="0"/>
        <w:textAlignment w:val="auto"/>
        <w:rPr>
          <w:rFonts w:hint="eastAsia" w:ascii="宋体" w:hAnsi="宋体" w:eastAsia="宋体" w:cs="宋体"/>
          <w:color w:val="auto"/>
          <w:highlight w:val="none"/>
        </w:rPr>
      </w:pPr>
    </w:p>
    <w:p w14:paraId="2C1919D6">
      <w:pPr>
        <w:keepNext w:val="0"/>
        <w:keepLines w:val="0"/>
        <w:pageBreakBefore w:val="0"/>
        <w:widowControl w:val="0"/>
        <w:kinsoku/>
        <w:wordWrap w:val="0"/>
        <w:overflowPunct/>
        <w:bidi w:val="0"/>
        <w:snapToGrid/>
        <w:spacing w:beforeAutospacing="0" w:afterAutospacing="0" w:line="312" w:lineRule="auto"/>
        <w:ind w:left="0" w:leftChars="0" w:right="0"/>
        <w:jc w:val="righ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投标人</w:t>
      </w:r>
      <w:r>
        <w:rPr>
          <w:rFonts w:hint="eastAsia" w:ascii="宋体" w:hAnsi="宋体" w:eastAsia="宋体" w:cs="宋体"/>
          <w:color w:val="auto"/>
          <w:szCs w:val="21"/>
          <w:highlight w:val="none"/>
        </w:rPr>
        <w:t>：（</w:t>
      </w:r>
      <w:r>
        <w:rPr>
          <w:rFonts w:hint="eastAsia" w:ascii="宋体" w:hAnsi="宋体" w:eastAsia="宋体" w:cs="宋体"/>
          <w:color w:val="auto"/>
          <w:highlight w:val="none"/>
          <w:u w:val="none"/>
          <w:lang w:val="en-US" w:eastAsia="zh-CN"/>
        </w:rPr>
        <w:t>公章或投标专用章或电子签章</w:t>
      </w:r>
      <w:r>
        <w:rPr>
          <w:rFonts w:hint="eastAsia" w:ascii="宋体" w:hAnsi="宋体" w:eastAsia="宋体" w:cs="宋体"/>
          <w:color w:val="auto"/>
          <w:szCs w:val="21"/>
          <w:highlight w:val="none"/>
        </w:rPr>
        <w:t>）</w:t>
      </w:r>
    </w:p>
    <w:p w14:paraId="355F7F5D">
      <w:pPr>
        <w:keepNext w:val="0"/>
        <w:keepLines w:val="0"/>
        <w:pageBreakBefore w:val="0"/>
        <w:widowControl w:val="0"/>
        <w:kinsoku/>
        <w:wordWrap w:val="0"/>
        <w:overflowPunct/>
        <w:bidi w:val="0"/>
        <w:snapToGrid/>
        <w:spacing w:beforeAutospacing="0" w:afterAutospacing="0" w:line="312" w:lineRule="auto"/>
        <w:ind w:left="0" w:leftChars="0" w:right="0"/>
        <w:jc w:val="righ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4873B6C2">
      <w:pPr>
        <w:rPr>
          <w:rFonts w:ascii="宋体" w:hAnsi="宋体"/>
          <w:b/>
          <w:vanish/>
          <w:color w:val="auto"/>
          <w:highlight w:val="none"/>
        </w:rPr>
      </w:pPr>
    </w:p>
    <w:p w14:paraId="011CCFCE">
      <w:pPr>
        <w:rPr>
          <w:rFonts w:hint="eastAsia" w:ascii="宋体" w:hAnsi="宋体" w:cs="宋体"/>
          <w:b/>
          <w:color w:val="auto"/>
          <w:highlight w:val="none"/>
          <w:lang w:val="en-US" w:eastAsia="zh-CN"/>
        </w:rPr>
      </w:pPr>
      <w:r>
        <w:rPr>
          <w:rFonts w:hint="eastAsia" w:ascii="宋体" w:hAnsi="宋体" w:cs="宋体"/>
          <w:b/>
          <w:color w:val="auto"/>
          <w:highlight w:val="none"/>
          <w:lang w:val="en-US" w:eastAsia="zh-CN"/>
        </w:rPr>
        <w:br w:type="page"/>
      </w:r>
    </w:p>
    <w:p w14:paraId="3F655027">
      <w:pPr>
        <w:pStyle w:val="17"/>
        <w:rPr>
          <w:highlight w:val="none"/>
        </w:rPr>
      </w:pPr>
    </w:p>
    <w:p w14:paraId="5C2721EE">
      <w:pPr>
        <w:rPr>
          <w:rFonts w:ascii="宋体" w:hAnsi="宋体"/>
          <w:b/>
          <w:vanish/>
          <w:color w:val="auto"/>
          <w:highlight w:val="none"/>
        </w:rPr>
      </w:pPr>
      <w:r>
        <w:rPr>
          <w:rFonts w:ascii="宋体" w:hAnsi="宋体"/>
          <w:b/>
          <w:vanish/>
          <w:color w:val="auto"/>
          <w:highlight w:val="none"/>
        </w:rPr>
        <w:br w:type="page"/>
      </w:r>
    </w:p>
    <w:p w14:paraId="7EBA7B31">
      <w:pPr>
        <w:keepNext w:val="0"/>
        <w:keepLines w:val="0"/>
        <w:pageBreakBefore w:val="0"/>
        <w:widowControl w:val="0"/>
        <w:kinsoku/>
        <w:overflowPunct/>
        <w:topLinePunct/>
        <w:bidi w:val="0"/>
        <w:snapToGrid/>
        <w:spacing w:beforeAutospacing="0" w:afterAutospacing="0" w:line="312" w:lineRule="auto"/>
        <w:ind w:left="0" w:leftChars="0" w:right="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授权委托书</w:t>
      </w:r>
    </w:p>
    <w:p w14:paraId="4538AB15">
      <w:pPr>
        <w:keepNext w:val="0"/>
        <w:keepLines w:val="0"/>
        <w:pageBreakBefore w:val="0"/>
        <w:widowControl w:val="0"/>
        <w:kinsoku/>
        <w:overflowPunct/>
        <w:bidi w:val="0"/>
        <w:snapToGrid/>
        <w:spacing w:beforeAutospacing="0" w:afterAutospacing="0" w:line="312" w:lineRule="auto"/>
        <w:ind w:left="0" w:leftChars="0" w:right="0"/>
        <w:textAlignment w:val="auto"/>
        <w:outlineLvl w:val="9"/>
        <w:rPr>
          <w:rFonts w:hint="eastAsia" w:ascii="宋体" w:hAnsi="宋体" w:eastAsia="宋体" w:cs="宋体"/>
          <w:color w:val="auto"/>
          <w:highlight w:val="none"/>
        </w:rPr>
      </w:pPr>
    </w:p>
    <w:p w14:paraId="3A30FB47">
      <w:pPr>
        <w:topLinePunct/>
        <w:spacing w:line="360" w:lineRule="auto"/>
        <w:ind w:firstLine="420" w:firstLineChars="200"/>
        <w:jc w:val="left"/>
        <w:outlineLvl w:val="9"/>
        <w:rPr>
          <w:rFonts w:hint="eastAsia" w:ascii="宋体" w:hAnsi="宋体" w:cs="宋体"/>
          <w:color w:val="auto"/>
          <w:szCs w:val="21"/>
          <w:highlight w:val="none"/>
        </w:rPr>
      </w:pPr>
      <w:r>
        <w:rPr>
          <w:rFonts w:hint="eastAsia" w:ascii="宋体" w:hAnsi="宋体" w:cs="宋体"/>
          <w:color w:val="auto"/>
          <w:szCs w:val="21"/>
          <w:highlight w:val="none"/>
        </w:rPr>
        <w:t>本人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名称）的法定代表人，现委托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（姓名）为我方代理人。代理人根据授权，以我方名义签署、澄清、说明、补正、递交、撤回、修改</w:t>
      </w:r>
      <w:r>
        <w:rPr>
          <w:rFonts w:hint="eastAsia" w:ascii="宋体" w:hAnsi="宋体" w:cs="宋体"/>
          <w:color w:val="auto"/>
          <w:kern w:val="0"/>
          <w:sz w:val="21"/>
          <w:szCs w:val="21"/>
          <w:highlight w:val="none"/>
          <w:u w:val="single"/>
          <w:shd w:val="clear" w:color="auto" w:fill="FFFFFF"/>
          <w:lang w:bidi="ar"/>
        </w:rPr>
        <w:t>项目名称：</w:t>
      </w:r>
      <w:r>
        <w:rPr>
          <w:rFonts w:hint="eastAsia" w:ascii="宋体" w:hAnsi="宋体" w:cs="宋体"/>
          <w:color w:val="auto"/>
          <w:kern w:val="0"/>
          <w:sz w:val="21"/>
          <w:szCs w:val="21"/>
          <w:highlight w:val="none"/>
          <w:u w:val="single"/>
          <w:shd w:val="clear" w:color="auto" w:fill="FFFFFF"/>
          <w:lang w:eastAsia="zh-CN" w:bidi="ar"/>
        </w:rPr>
        <w:t>科技公司2025-2026年第一批光伏组件采购框架（二次招标）</w:t>
      </w:r>
      <w:r>
        <w:rPr>
          <w:rFonts w:hint="eastAsia" w:ascii="宋体" w:hAnsi="宋体" w:cs="宋体"/>
          <w:color w:val="auto"/>
          <w:kern w:val="0"/>
          <w:sz w:val="21"/>
          <w:szCs w:val="21"/>
          <w:highlight w:val="none"/>
          <w:u w:val="single"/>
          <w:shd w:val="clear" w:color="auto" w:fill="FFFFFF"/>
          <w:lang w:val="en-US" w:eastAsia="zh-CN" w:bidi="ar"/>
        </w:rPr>
        <w:t>，标段名称：科技公司2025-2026年第一批光伏组件采购框架（二次招标）</w:t>
      </w:r>
      <w:r>
        <w:rPr>
          <w:rFonts w:hint="eastAsia" w:ascii="宋体" w:hAnsi="宋体"/>
          <w:color w:val="auto"/>
          <w:highlight w:val="none"/>
          <w:lang w:val="en-US" w:eastAsia="zh-CN"/>
        </w:rPr>
        <w:t>投标</w:t>
      </w:r>
      <w:r>
        <w:rPr>
          <w:rFonts w:hint="eastAsia" w:ascii="宋体" w:hAnsi="宋体"/>
          <w:color w:val="auto"/>
          <w:highlight w:val="none"/>
        </w:rPr>
        <w:t>文件</w:t>
      </w:r>
      <w:r>
        <w:rPr>
          <w:rFonts w:hint="eastAsia" w:ascii="宋体" w:hAnsi="宋体" w:cs="宋体"/>
          <w:color w:val="auto"/>
          <w:szCs w:val="21"/>
          <w:highlight w:val="none"/>
        </w:rPr>
        <w:t>、签订合同和处理有关事宜，其法律后果由我方承担。</w:t>
      </w:r>
    </w:p>
    <w:p w14:paraId="2D95EEA9">
      <w:pPr>
        <w:spacing w:line="360" w:lineRule="auto"/>
        <w:outlineLvl w:val="9"/>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eastAsia="宋体" w:cs="宋体"/>
          <w:color w:val="auto"/>
          <w:szCs w:val="21"/>
          <w:highlight w:val="none"/>
          <w:u w:val="none"/>
        </w:rPr>
        <w:t>委托期限：</w:t>
      </w:r>
      <w:r>
        <w:rPr>
          <w:rFonts w:hint="eastAsia" w:ascii="宋体" w:hAnsi="宋体" w:eastAsia="宋体" w:cs="宋体"/>
          <w:color w:val="auto"/>
          <w:szCs w:val="21"/>
          <w:highlight w:val="none"/>
          <w:u w:val="single"/>
        </w:rPr>
        <w:t>自本委托签署之日起至项目签订采购合同之日止</w:t>
      </w:r>
      <w:r>
        <w:rPr>
          <w:rFonts w:hint="eastAsia" w:ascii="宋体" w:hAnsi="宋体" w:cs="宋体"/>
          <w:color w:val="auto"/>
          <w:szCs w:val="21"/>
          <w:highlight w:val="none"/>
        </w:rPr>
        <w:t>。</w:t>
      </w:r>
    </w:p>
    <w:p w14:paraId="09C06664">
      <w:pPr>
        <w:spacing w:line="360" w:lineRule="auto"/>
        <w:ind w:firstLine="420" w:firstLineChars="200"/>
        <w:outlineLvl w:val="9"/>
        <w:rPr>
          <w:rFonts w:hint="eastAsia" w:ascii="宋体" w:hAnsi="宋体" w:cs="宋体"/>
          <w:color w:val="auto"/>
          <w:szCs w:val="21"/>
          <w:highlight w:val="none"/>
        </w:rPr>
      </w:pPr>
      <w:r>
        <w:rPr>
          <w:rFonts w:hint="eastAsia" w:ascii="宋体" w:hAnsi="宋体" w:cs="宋体"/>
          <w:color w:val="auto"/>
          <w:szCs w:val="21"/>
          <w:highlight w:val="none"/>
        </w:rPr>
        <w:t>代理人无转委托权。</w:t>
      </w:r>
    </w:p>
    <w:p w14:paraId="1EC7E93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2"/>
          <w:sz w:val="21"/>
          <w:szCs w:val="21"/>
          <w:highlight w:val="none"/>
          <w:lang w:val="en-US" w:eastAsia="zh-CN" w:bidi="ar-SA"/>
        </w:rPr>
      </w:pPr>
      <w:bookmarkStart w:id="2241" w:name="_Toc28894"/>
    </w:p>
    <w:p w14:paraId="45D22A5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附：</w:t>
      </w:r>
      <w:bookmarkEnd w:id="2241"/>
      <w:bookmarkStart w:id="2242" w:name="_Toc11979"/>
      <w:r>
        <w:rPr>
          <w:rFonts w:hint="eastAsia" w:ascii="宋体" w:hAnsi="宋体" w:eastAsia="宋体" w:cs="宋体"/>
          <w:b w:val="0"/>
          <w:bCs w:val="0"/>
          <w:color w:val="auto"/>
          <w:kern w:val="2"/>
          <w:sz w:val="21"/>
          <w:szCs w:val="21"/>
          <w:highlight w:val="none"/>
          <w:lang w:val="en-US" w:eastAsia="zh-CN" w:bidi="ar-SA"/>
        </w:rPr>
        <w:t>委托代理人身份证复印件。</w:t>
      </w:r>
      <w:bookmarkEnd w:id="2242"/>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3"/>
      </w:tblGrid>
      <w:tr w14:paraId="33DA3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4" w:hRule="atLeast"/>
        </w:trPr>
        <w:tc>
          <w:tcPr>
            <w:tcW w:w="4643" w:type="dxa"/>
            <w:noWrap w:val="0"/>
            <w:vAlign w:val="top"/>
          </w:tcPr>
          <w:p w14:paraId="2DB76395">
            <w:pPr>
              <w:pStyle w:val="18"/>
              <w:spacing w:line="360" w:lineRule="auto"/>
              <w:outlineLvl w:val="9"/>
              <w:rPr>
                <w:rFonts w:hint="eastAsia" w:ascii="宋体" w:hAnsi="宋体" w:cs="宋体"/>
                <w:color w:val="auto"/>
                <w:highlight w:val="none"/>
              </w:rPr>
            </w:pPr>
          </w:p>
        </w:tc>
        <w:tc>
          <w:tcPr>
            <w:tcW w:w="4643" w:type="dxa"/>
            <w:noWrap w:val="0"/>
            <w:vAlign w:val="top"/>
          </w:tcPr>
          <w:p w14:paraId="48DD349C">
            <w:pPr>
              <w:pStyle w:val="18"/>
              <w:spacing w:line="360" w:lineRule="auto"/>
              <w:outlineLvl w:val="9"/>
              <w:rPr>
                <w:rFonts w:hint="eastAsia" w:ascii="宋体" w:hAnsi="宋体" w:cs="宋体"/>
                <w:color w:val="auto"/>
                <w:highlight w:val="none"/>
              </w:rPr>
            </w:pPr>
          </w:p>
        </w:tc>
      </w:tr>
    </w:tbl>
    <w:p w14:paraId="163AE775">
      <w:pPr>
        <w:spacing w:line="360" w:lineRule="auto"/>
        <w:outlineLvl w:val="9"/>
        <w:rPr>
          <w:rFonts w:hint="eastAsia" w:ascii="宋体" w:hAnsi="宋体" w:cs="宋体"/>
          <w:color w:val="auto"/>
          <w:highlight w:val="none"/>
        </w:rPr>
      </w:pPr>
    </w:p>
    <w:p w14:paraId="5A711C27">
      <w:pPr>
        <w:spacing w:line="360" w:lineRule="auto"/>
        <w:outlineLvl w:val="9"/>
        <w:rPr>
          <w:rFonts w:hint="eastAsia" w:ascii="宋体" w:hAnsi="宋体" w:cs="宋体"/>
          <w:color w:val="auto"/>
          <w:szCs w:val="21"/>
          <w:highlight w:val="none"/>
        </w:rPr>
      </w:pPr>
    </w:p>
    <w:p w14:paraId="4156829D">
      <w:pPr>
        <w:kinsoku/>
        <w:overflowPunct/>
        <w:bidi w:val="0"/>
        <w:spacing w:line="360" w:lineRule="auto"/>
        <w:ind w:firstLine="4725" w:firstLineChars="2250"/>
        <w:textAlignment w:val="auto"/>
        <w:outlineLvl w:val="9"/>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投标人</w:t>
      </w:r>
      <w:r>
        <w:rPr>
          <w:rFonts w:hint="eastAsia" w:ascii="宋体" w:hAnsi="宋体" w:eastAsia="宋体" w:cs="宋体"/>
          <w:color w:val="auto"/>
          <w:szCs w:val="21"/>
          <w:highlight w:val="none"/>
          <w:lang w:val="en-US" w:eastAsia="zh-CN"/>
        </w:rPr>
        <w:t>名称</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（公章或投标专用章或电子签章）</w:t>
      </w:r>
    </w:p>
    <w:p w14:paraId="5C86A9A0">
      <w:pPr>
        <w:kinsoku/>
        <w:overflowPunct/>
        <w:bidi w:val="0"/>
        <w:spacing w:line="360" w:lineRule="auto"/>
        <w:ind w:firstLine="4725" w:firstLineChars="225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none"/>
        </w:rPr>
        <w:t>（签字或签章）</w:t>
      </w:r>
    </w:p>
    <w:p w14:paraId="38388E14">
      <w:pPr>
        <w:kinsoku/>
        <w:overflowPunct/>
        <w:bidi w:val="0"/>
        <w:spacing w:line="360" w:lineRule="auto"/>
        <w:ind w:firstLine="4725" w:firstLineChars="225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0CC6DE71">
      <w:pPr>
        <w:kinsoku/>
        <w:overflowPunct/>
        <w:bidi w:val="0"/>
        <w:spacing w:line="360" w:lineRule="auto"/>
        <w:ind w:firstLine="4725" w:firstLineChars="225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（签字或签章） </w:t>
      </w:r>
    </w:p>
    <w:p w14:paraId="4541F5D3">
      <w:pPr>
        <w:kinsoku/>
        <w:overflowPunct/>
        <w:bidi w:val="0"/>
        <w:spacing w:line="360" w:lineRule="auto"/>
        <w:ind w:firstLine="4725" w:firstLineChars="225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06DC0EA9">
      <w:pPr>
        <w:kinsoku/>
        <w:overflowPunct/>
        <w:bidi w:val="0"/>
        <w:spacing w:line="360" w:lineRule="auto"/>
        <w:jc w:val="right"/>
        <w:outlineLvl w:val="9"/>
        <w:rPr>
          <w:rFonts w:hint="eastAsia" w:ascii="宋体" w:hAnsi="宋体" w:cs="宋体"/>
          <w:color w:val="auto"/>
          <w:szCs w:val="21"/>
          <w:highlight w:val="none"/>
        </w:rPr>
      </w:pPr>
      <w:r>
        <w:rPr>
          <w:rFonts w:hint="eastAsia" w:ascii="宋体" w:hAnsi="宋体" w:cs="宋体"/>
          <w:color w:val="auto"/>
          <w:szCs w:val="21"/>
          <w:highlight w:val="none"/>
          <w:u w:val="none"/>
        </w:rPr>
        <w:t>日</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u w:val="none"/>
        </w:rPr>
        <w:t>期</w:t>
      </w:r>
      <w:r>
        <w:rPr>
          <w:rFonts w:hint="eastAsia" w:ascii="宋体" w:hAnsi="宋体" w:cs="宋体"/>
          <w:color w:val="auto"/>
          <w:szCs w:val="21"/>
          <w:highlight w:val="none"/>
          <w:u w:val="none"/>
          <w:lang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rPr>
        <w:t>日</w:t>
      </w:r>
    </w:p>
    <w:p w14:paraId="156A1CCE">
      <w:pPr>
        <w:kinsoku/>
        <w:overflowPunct/>
        <w:bidi w:val="0"/>
        <w:spacing w:line="360" w:lineRule="auto"/>
        <w:textAlignment w:val="auto"/>
        <w:rPr>
          <w:color w:val="auto"/>
          <w:highlight w:val="none"/>
        </w:rPr>
      </w:pPr>
      <w:r>
        <w:rPr>
          <w:color w:val="auto"/>
          <w:highlight w:val="none"/>
        </w:rPr>
        <w:br w:type="page"/>
      </w:r>
    </w:p>
    <w:p w14:paraId="2B52D634">
      <w:pPr>
        <w:pStyle w:val="5"/>
        <w:numPr>
          <w:ilvl w:val="0"/>
          <w:numId w:val="7"/>
        </w:numPr>
        <w:kinsoku/>
        <w:overflowPunct/>
        <w:bidi w:val="0"/>
        <w:spacing w:before="0" w:after="0" w:line="360" w:lineRule="auto"/>
        <w:textAlignment w:val="auto"/>
        <w:rPr>
          <w:rFonts w:hint="eastAsia"/>
          <w:color w:val="auto"/>
          <w:highlight w:val="none"/>
          <w:lang w:val="en-US" w:eastAsia="zh-CN"/>
        </w:rPr>
      </w:pPr>
      <w:bookmarkStart w:id="2243" w:name="_Toc30497"/>
      <w:bookmarkStart w:id="2244" w:name="_Toc25224"/>
      <w:bookmarkStart w:id="2245" w:name="_Toc13568"/>
      <w:bookmarkStart w:id="2246" w:name="_Toc9210"/>
      <w:bookmarkStart w:id="2247" w:name="_Toc17980"/>
      <w:bookmarkStart w:id="2248" w:name="_Toc27255"/>
      <w:bookmarkStart w:id="2249" w:name="_Toc20005"/>
      <w:bookmarkStart w:id="2250" w:name="_Toc21499"/>
      <w:bookmarkStart w:id="2251" w:name="_Toc8333"/>
      <w:bookmarkStart w:id="2252" w:name="_Toc31200"/>
      <w:r>
        <w:rPr>
          <w:rFonts w:hint="eastAsia"/>
          <w:color w:val="auto"/>
          <w:highlight w:val="none"/>
          <w:lang w:val="en-US" w:eastAsia="zh-CN"/>
        </w:rPr>
        <w:t>投标人廉洁承诺书</w:t>
      </w:r>
      <w:bookmarkEnd w:id="2243"/>
      <w:bookmarkEnd w:id="2244"/>
    </w:p>
    <w:p w14:paraId="18CF7712">
      <w:pPr>
        <w:pStyle w:val="23"/>
        <w:kinsoku/>
        <w:overflowPunct/>
        <w:bidi w:val="0"/>
        <w:spacing w:line="360" w:lineRule="auto"/>
        <w:rPr>
          <w:rFonts w:hint="eastAsia" w:hAnsi="宋体" w:cs="宋体"/>
          <w:color w:val="auto"/>
          <w:szCs w:val="21"/>
          <w:highlight w:val="none"/>
          <w:u w:val="none"/>
        </w:rPr>
      </w:pPr>
      <w:r>
        <w:rPr>
          <w:rFonts w:hint="eastAsia" w:hAnsi="宋体" w:cs="宋体"/>
          <w:color w:val="auto"/>
          <w:szCs w:val="21"/>
          <w:highlight w:val="none"/>
          <w:u w:val="none"/>
        </w:rPr>
        <w:t>致</w:t>
      </w:r>
      <w:r>
        <w:rPr>
          <w:rFonts w:hint="eastAsia" w:hAnsi="宋体" w:cs="宋体"/>
          <w:color w:val="auto"/>
          <w:szCs w:val="21"/>
          <w:highlight w:val="none"/>
          <w:u w:val="none"/>
          <w:lang w:val="en-US" w:eastAsia="zh-CN"/>
        </w:rPr>
        <w:t>招标</w:t>
      </w:r>
      <w:r>
        <w:rPr>
          <w:rFonts w:hint="eastAsia" w:hAnsi="宋体" w:cs="宋体"/>
          <w:color w:val="auto"/>
          <w:szCs w:val="21"/>
          <w:highlight w:val="none"/>
          <w:u w:val="none"/>
        </w:rPr>
        <w:t>人：</w:t>
      </w:r>
      <w:r>
        <w:rPr>
          <w:rFonts w:hint="eastAsia" w:hAnsi="宋体" w:cs="宋体"/>
          <w:color w:val="auto"/>
          <w:szCs w:val="21"/>
          <w:highlight w:val="none"/>
          <w:u w:val="single"/>
          <w:lang w:val="en-US" w:eastAsia="zh-CN"/>
        </w:rPr>
        <w:t>广州南方电力集团科技发展有限公司</w:t>
      </w:r>
    </w:p>
    <w:p w14:paraId="12A144A1">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为了积极配合贵单位进行的</w:t>
      </w:r>
      <w:r>
        <w:rPr>
          <w:rFonts w:hint="eastAsia" w:ascii="宋体" w:hAnsi="宋体" w:cs="宋体"/>
          <w:color w:val="auto"/>
          <w:kern w:val="0"/>
          <w:sz w:val="21"/>
          <w:szCs w:val="21"/>
          <w:highlight w:val="none"/>
          <w:u w:val="single"/>
          <w:shd w:val="clear" w:color="auto" w:fill="FFFFFF"/>
          <w:lang w:bidi="ar"/>
        </w:rPr>
        <w:t>项目名称：</w:t>
      </w:r>
      <w:r>
        <w:rPr>
          <w:rFonts w:hint="eastAsia" w:ascii="宋体" w:hAnsi="宋体" w:cs="宋体"/>
          <w:color w:val="auto"/>
          <w:kern w:val="0"/>
          <w:sz w:val="21"/>
          <w:szCs w:val="21"/>
          <w:highlight w:val="none"/>
          <w:u w:val="single"/>
          <w:shd w:val="clear" w:color="auto" w:fill="FFFFFF"/>
          <w:lang w:eastAsia="zh-CN" w:bidi="ar"/>
        </w:rPr>
        <w:t>科技公司2025-2026年第一批光伏组件采购框架（二次招标）</w:t>
      </w:r>
      <w:r>
        <w:rPr>
          <w:rFonts w:hint="eastAsia" w:ascii="宋体" w:hAnsi="宋体" w:cs="宋体"/>
          <w:color w:val="auto"/>
          <w:kern w:val="0"/>
          <w:sz w:val="21"/>
          <w:szCs w:val="21"/>
          <w:highlight w:val="none"/>
          <w:u w:val="single"/>
          <w:shd w:val="clear" w:color="auto" w:fill="FFFFFF"/>
          <w:lang w:val="en-US" w:eastAsia="zh-CN" w:bidi="ar"/>
        </w:rPr>
        <w:t>，标段名称：科技公司2025-2026年第一批光伏组件采购框架（二次招标）</w:t>
      </w:r>
      <w:r>
        <w:rPr>
          <w:rFonts w:hint="eastAsia" w:ascii="宋体" w:hAnsi="宋体" w:cs="宋体"/>
          <w:color w:val="auto"/>
          <w:szCs w:val="21"/>
          <w:highlight w:val="none"/>
        </w:rPr>
        <w:t>采购工作，有效遏制不公平竞争和违规违纪行为的发生，确保采购工作的公平、公正、公开、有序进行，我们保证认真贯彻执行</w:t>
      </w:r>
      <w:r>
        <w:rPr>
          <w:rFonts w:hint="eastAsia" w:ascii="宋体" w:hAnsi="宋体" w:eastAsia="宋体" w:cs="宋体"/>
          <w:color w:val="auto"/>
          <w:kern w:val="0"/>
          <w:szCs w:val="21"/>
          <w:highlight w:val="none"/>
        </w:rPr>
        <w:t>广州南方投资集团有限公司</w:t>
      </w:r>
      <w:r>
        <w:rPr>
          <w:rFonts w:hint="eastAsia" w:ascii="宋体" w:hAnsi="宋体" w:cs="宋体"/>
          <w:color w:val="auto"/>
          <w:kern w:val="0"/>
          <w:szCs w:val="21"/>
          <w:highlight w:val="none"/>
        </w:rPr>
        <w:t>采购相关规定</w:t>
      </w:r>
      <w:r>
        <w:rPr>
          <w:rFonts w:hint="eastAsia" w:ascii="宋体" w:hAnsi="宋体" w:cs="宋体"/>
          <w:color w:val="auto"/>
          <w:szCs w:val="21"/>
          <w:highlight w:val="none"/>
        </w:rPr>
        <w:t>以及与廉洁有关的规章制度，特向贵单位承诺如下事项：</w:t>
      </w:r>
    </w:p>
    <w:p w14:paraId="6CB1B04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一、自觉遵守国家有关法律法规及廉洁规定。</w:t>
      </w:r>
    </w:p>
    <w:p w14:paraId="7695FA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二、不与采购单位工作人员串通采购，损害国家利益、企业利益以及他人的合法利益；不与其他</w:t>
      </w: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相互串通采购报价，不排挤其他</w:t>
      </w: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，不损害</w:t>
      </w:r>
      <w:r>
        <w:rPr>
          <w:rFonts w:hint="eastAsia" w:ascii="宋体" w:hAnsi="宋体" w:cs="宋体"/>
          <w:color w:val="auto"/>
          <w:szCs w:val="21"/>
          <w:highlight w:val="none"/>
          <w:lang w:eastAsia="zh-CN"/>
        </w:rPr>
        <w:t>招标人</w:t>
      </w:r>
      <w:r>
        <w:rPr>
          <w:rFonts w:hint="eastAsia" w:ascii="宋体" w:hAnsi="宋体" w:cs="宋体"/>
          <w:color w:val="auto"/>
          <w:szCs w:val="21"/>
          <w:highlight w:val="none"/>
        </w:rPr>
        <w:t>或其他</w:t>
      </w: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的合法权益。</w:t>
      </w:r>
    </w:p>
    <w:p w14:paraId="78D374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三、不以任何名义为参与采购、评审工作的有关人员报销应由参与采购、评审工作的有关人员支付的任何费用；</w:t>
      </w:r>
    </w:p>
    <w:p w14:paraId="49CE597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四、不以任何名义向参与采购、评审工作的有关人员赠送回扣、红包、礼金、购物卡、有价证券、贵重物品和好处费、感谢费等；</w:t>
      </w:r>
    </w:p>
    <w:p w14:paraId="2B5D65B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五、不以任何名义向参与采购、评审工作的有关人员提供高消费宴请及娱乐活动；</w:t>
      </w:r>
    </w:p>
    <w:p w14:paraId="006B6F4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六、不以谋取非正当利益为目的，擅自与参与采购、评审工作的有关人员就业务问题进行私下商谈或者达成利益默契；</w:t>
      </w:r>
    </w:p>
    <w:p w14:paraId="5CC180B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七、不以任何名义接受或暗示为参与采购、评审工作的有关人员装修住房、婚丧嫁取、配偶子女的工作安排以及境内外旅游等提供方便；</w:t>
      </w:r>
    </w:p>
    <w:p w14:paraId="1F7B42A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贵单位既可根据国家有关单位的判决、裁定等有效文书认定我单位是否违反承诺，也有权通过对贵单位相关人员的调查来认定我单位是否违反承诺（我单位不会以任何理由否定贵单位的调查结果）。如违反以上承诺，我单位自愿接受</w:t>
      </w:r>
      <w:r>
        <w:rPr>
          <w:rFonts w:hint="eastAsia" w:ascii="宋体" w:hAnsi="宋体" w:cs="宋体"/>
          <w:color w:val="auto"/>
          <w:szCs w:val="21"/>
          <w:highlight w:val="none"/>
          <w:lang w:eastAsia="zh-CN"/>
        </w:rPr>
        <w:t>招标人</w:t>
      </w:r>
      <w:r>
        <w:rPr>
          <w:rFonts w:hint="eastAsia" w:ascii="宋体" w:hAnsi="宋体" w:cs="宋体"/>
          <w:color w:val="auto"/>
          <w:szCs w:val="21"/>
          <w:highlight w:val="none"/>
        </w:rPr>
        <w:t>依据有关规定对我单位进行严肃处理（包括但不限于实施市场禁入、取消投、中标、成交资格以及终止合同等），给贵单位造成损失的，予以赔偿。</w:t>
      </w:r>
    </w:p>
    <w:p w14:paraId="3B6D7E3D">
      <w:pPr>
        <w:spacing w:line="360" w:lineRule="auto"/>
        <w:ind w:firstLine="420" w:firstLineChars="200"/>
        <w:rPr>
          <w:rFonts w:hint="eastAsia" w:ascii="宋体" w:hAnsi="宋体" w:cs="宋体"/>
          <w:color w:val="auto"/>
          <w:szCs w:val="21"/>
          <w:highlight w:val="none"/>
        </w:rPr>
      </w:pPr>
      <w:r>
        <w:rPr>
          <w:rFonts w:hint="eastAsia" w:ascii="宋体" w:hAnsi="宋体" w:eastAsia="宋体" w:cs="宋体"/>
          <w:color w:val="auto"/>
          <w:szCs w:val="21"/>
          <w:highlight w:val="none"/>
        </w:rPr>
        <w:t>本廉洁承诺书为我单位应答此次</w:t>
      </w:r>
      <w:r>
        <w:rPr>
          <w:rFonts w:hint="eastAsia" w:ascii="宋体" w:hAnsi="宋体" w:cs="宋体"/>
          <w:color w:val="auto"/>
          <w:szCs w:val="21"/>
          <w:highlight w:val="none"/>
          <w:lang w:val="en-US" w:eastAsia="zh-CN"/>
        </w:rPr>
        <w:t>招标</w:t>
      </w:r>
      <w:r>
        <w:rPr>
          <w:rFonts w:hint="eastAsia" w:ascii="宋体" w:hAnsi="宋体" w:eastAsia="宋体" w:cs="宋体"/>
          <w:color w:val="auto"/>
          <w:szCs w:val="21"/>
          <w:highlight w:val="none"/>
        </w:rPr>
        <w:t>项目正式文件的附件，与其他</w:t>
      </w:r>
      <w:r>
        <w:rPr>
          <w:rFonts w:hint="eastAsia" w:ascii="宋体" w:hAnsi="宋体"/>
          <w:color w:val="auto"/>
          <w:highlight w:val="none"/>
          <w:lang w:val="en-US" w:eastAsia="zh-CN"/>
        </w:rPr>
        <w:t>投标</w:t>
      </w:r>
      <w:r>
        <w:rPr>
          <w:rFonts w:hint="eastAsia" w:ascii="宋体" w:hAnsi="宋体"/>
          <w:color w:val="auto"/>
          <w:highlight w:val="none"/>
        </w:rPr>
        <w:t>文件</w:t>
      </w:r>
      <w:r>
        <w:rPr>
          <w:rFonts w:hint="eastAsia" w:ascii="宋体" w:hAnsi="宋体" w:eastAsia="宋体" w:cs="宋体"/>
          <w:color w:val="auto"/>
          <w:szCs w:val="21"/>
          <w:highlight w:val="none"/>
        </w:rPr>
        <w:t>具有同等法律效力，经我单位盖章后立即生效</w:t>
      </w:r>
      <w:r>
        <w:rPr>
          <w:rFonts w:hint="eastAsia" w:ascii="宋体" w:hAnsi="宋体" w:cs="宋体"/>
          <w:color w:val="auto"/>
          <w:szCs w:val="21"/>
          <w:highlight w:val="none"/>
        </w:rPr>
        <w:t>。</w:t>
      </w:r>
    </w:p>
    <w:p w14:paraId="287E2C44">
      <w:pPr>
        <w:spacing w:line="360" w:lineRule="auto"/>
        <w:rPr>
          <w:rFonts w:hint="eastAsia" w:ascii="宋体" w:hAnsi="宋体" w:cs="宋体"/>
          <w:color w:val="auto"/>
          <w:szCs w:val="21"/>
          <w:highlight w:val="none"/>
        </w:rPr>
      </w:pPr>
    </w:p>
    <w:p w14:paraId="2E8D062E">
      <w:pPr>
        <w:spacing w:line="360" w:lineRule="auto"/>
        <w:ind w:firstLine="3307" w:firstLineChars="1575"/>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名称（公章或投标专用章或电子签章）：</w:t>
      </w:r>
      <w:r>
        <w:rPr>
          <w:rFonts w:hint="eastAsia" w:ascii="宋体" w:hAnsi="宋体" w:cs="宋体"/>
          <w:color w:val="auto"/>
          <w:szCs w:val="21"/>
          <w:highlight w:val="none"/>
          <w:u w:val="single"/>
          <w:lang w:val="en-US" w:eastAsia="zh-CN"/>
        </w:rPr>
        <w:t xml:space="preserve">                 </w:t>
      </w:r>
    </w:p>
    <w:p w14:paraId="51B568FD">
      <w:pPr>
        <w:tabs>
          <w:tab w:val="left" w:pos="7560"/>
        </w:tabs>
        <w:adjustRightInd w:val="0"/>
        <w:snapToGrid w:val="0"/>
        <w:spacing w:line="360" w:lineRule="auto"/>
        <w:ind w:right="420"/>
        <w:jc w:val="right"/>
        <w:rPr>
          <w:rFonts w:hint="eastAsia" w:ascii="宋体" w:hAnsi="宋体" w:cs="宋体"/>
          <w:color w:val="auto"/>
          <w:szCs w:val="21"/>
          <w:highlight w:val="none"/>
          <w:lang w:val="en-US" w:eastAsia="zh-CN"/>
        </w:rPr>
      </w:pPr>
      <w:r>
        <w:rPr>
          <w:rFonts w:hint="eastAsia" w:ascii="宋体" w:hAnsi="宋体" w:cs="宋体"/>
          <w:color w:val="auto"/>
          <w:szCs w:val="21"/>
          <w:highlight w:val="none"/>
          <w:u w:val="none"/>
        </w:rPr>
        <w:t>日</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u w:val="none"/>
        </w:rPr>
        <w:t>期</w:t>
      </w:r>
      <w:r>
        <w:rPr>
          <w:rFonts w:hint="eastAsia" w:ascii="宋体" w:hAnsi="宋体" w:cs="宋体"/>
          <w:color w:val="auto"/>
          <w:szCs w:val="21"/>
          <w:highlight w:val="none"/>
          <w:u w:val="none"/>
          <w:lang w:eastAsia="zh-CN"/>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lang w:val="en-US" w:eastAsia="zh-CN"/>
        </w:rPr>
        <w:t>日</w:t>
      </w:r>
    </w:p>
    <w:p w14:paraId="260EA2C9">
      <w:pPr>
        <w:rPr>
          <w:rFonts w:hint="eastAsia" w:ascii="宋体" w:hAnsi="宋体" w:eastAsia="宋体" w:cs="宋体"/>
          <w:color w:val="auto"/>
          <w:highlight w:val="none"/>
        </w:rPr>
      </w:pPr>
      <w:r>
        <w:rPr>
          <w:rFonts w:hint="eastAsia" w:ascii="宋体" w:hAnsi="宋体" w:eastAsia="宋体" w:cs="宋体"/>
          <w:color w:val="auto"/>
          <w:highlight w:val="none"/>
        </w:rPr>
        <w:br w:type="page"/>
      </w:r>
    </w:p>
    <w:bookmarkEnd w:id="2245"/>
    <w:bookmarkEnd w:id="2246"/>
    <w:bookmarkEnd w:id="2247"/>
    <w:bookmarkEnd w:id="2248"/>
    <w:bookmarkEnd w:id="2249"/>
    <w:bookmarkEnd w:id="2250"/>
    <w:bookmarkEnd w:id="2251"/>
    <w:bookmarkEnd w:id="2252"/>
    <w:p w14:paraId="605CA480">
      <w:pPr>
        <w:pStyle w:val="5"/>
        <w:numPr>
          <w:ilvl w:val="0"/>
          <w:numId w:val="7"/>
        </w:numPr>
        <w:kinsoku/>
        <w:overflowPunct/>
        <w:bidi w:val="0"/>
        <w:spacing w:before="0" w:after="0" w:line="360" w:lineRule="auto"/>
        <w:ind w:left="0" w:leftChars="0" w:firstLine="0" w:firstLineChars="0"/>
        <w:textAlignment w:val="auto"/>
        <w:rPr>
          <w:rFonts w:hint="eastAsia"/>
          <w:highlight w:val="none"/>
        </w:rPr>
      </w:pPr>
      <w:bookmarkStart w:id="2253" w:name="_Toc1452"/>
      <w:bookmarkStart w:id="2254" w:name="_Toc28962"/>
      <w:bookmarkStart w:id="2255" w:name="_Toc3332"/>
      <w:bookmarkStart w:id="2256" w:name="_Toc8788"/>
      <w:bookmarkStart w:id="2257" w:name="_Toc430261280"/>
      <w:r>
        <w:rPr>
          <w:rFonts w:hint="eastAsia"/>
          <w:color w:val="auto"/>
          <w:highlight w:val="none"/>
          <w:lang w:val="en-US" w:eastAsia="zh-CN"/>
        </w:rPr>
        <w:t>投标人</w:t>
      </w:r>
      <w:r>
        <w:rPr>
          <w:rFonts w:hint="eastAsia"/>
          <w:color w:val="auto"/>
          <w:highlight w:val="none"/>
        </w:rPr>
        <w:t>关联企业情况声明</w:t>
      </w:r>
      <w:bookmarkEnd w:id="2253"/>
    </w:p>
    <w:p w14:paraId="7894B630">
      <w:pPr>
        <w:spacing w:line="360" w:lineRule="auto"/>
        <w:outlineLvl w:val="9"/>
        <w:rPr>
          <w:rFonts w:hint="eastAsia"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lang w:val="en-US" w:eastAsia="zh-CN"/>
        </w:rPr>
        <w:t>招标</w:t>
      </w:r>
      <w:r>
        <w:rPr>
          <w:rFonts w:hint="eastAsia" w:ascii="宋体" w:hAnsi="宋体" w:cs="宋体"/>
          <w:color w:val="auto"/>
          <w:szCs w:val="21"/>
          <w:highlight w:val="none"/>
        </w:rPr>
        <w:t>人：</w:t>
      </w:r>
      <w:r>
        <w:rPr>
          <w:rFonts w:hint="eastAsia" w:ascii="宋体" w:hAnsi="宋体" w:cs="宋体"/>
          <w:color w:val="auto"/>
          <w:szCs w:val="21"/>
          <w:highlight w:val="none"/>
          <w:u w:val="single"/>
          <w:lang w:val="en-US" w:eastAsia="zh-CN"/>
        </w:rPr>
        <w:t>广州南方电力集团科技发展有限公司</w:t>
      </w:r>
    </w:p>
    <w:p w14:paraId="0685119C">
      <w:pPr>
        <w:spacing w:line="360" w:lineRule="auto"/>
        <w:ind w:firstLine="420" w:firstLineChars="200"/>
        <w:outlineLvl w:val="9"/>
        <w:rPr>
          <w:rFonts w:hint="eastAsia" w:ascii="宋体" w:hAnsi="宋体" w:cs="宋体"/>
          <w:color w:val="auto"/>
          <w:szCs w:val="21"/>
          <w:highlight w:val="none"/>
        </w:rPr>
      </w:pPr>
      <w:r>
        <w:rPr>
          <w:rFonts w:hint="eastAsia" w:ascii="宋体" w:hAnsi="宋体" w:cs="宋体"/>
          <w:color w:val="auto"/>
          <w:szCs w:val="21"/>
          <w:highlight w:val="none"/>
        </w:rPr>
        <w:t>我公司郑重声明如下：</w:t>
      </w:r>
    </w:p>
    <w:p w14:paraId="583098CC">
      <w:pPr>
        <w:spacing w:line="360" w:lineRule="auto"/>
        <w:ind w:left="0" w:leftChars="0" w:firstLine="420" w:firstLineChars="200"/>
        <w:outlineLvl w:val="9"/>
        <w:rPr>
          <w:rFonts w:hint="eastAsia" w:ascii="宋体" w:hAnsi="宋体" w:cs="宋体"/>
          <w:color w:val="auto"/>
          <w:szCs w:val="21"/>
          <w:highlight w:val="none"/>
        </w:rPr>
      </w:pPr>
      <w:bookmarkStart w:id="2258" w:name="_Toc29982"/>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名称（按营业执照的全称填写）：</w:t>
      </w:r>
      <w:bookmarkEnd w:id="2258"/>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37248B3F">
      <w:pPr>
        <w:kinsoku/>
        <w:overflowPunct/>
        <w:bidi w:val="0"/>
        <w:spacing w:line="360" w:lineRule="auto"/>
        <w:ind w:left="0" w:leftChars="0" w:firstLine="420" w:firstLineChars="200"/>
        <w:outlineLvl w:val="9"/>
        <w:rPr>
          <w:rFonts w:hint="eastAsia" w:ascii="宋体" w:hAnsi="宋体" w:cs="宋体"/>
          <w:color w:val="auto"/>
          <w:szCs w:val="21"/>
          <w:highlight w:val="none"/>
        </w:rPr>
      </w:pPr>
      <w:bookmarkStart w:id="2259" w:name="_Toc19521"/>
      <w:r>
        <w:rPr>
          <w:rFonts w:hint="eastAsia" w:ascii="宋体" w:hAnsi="宋体" w:cs="宋体"/>
          <w:color w:val="auto"/>
          <w:szCs w:val="21"/>
          <w:highlight w:val="none"/>
        </w:rPr>
        <w:t>2．本公司的直接上级控股/管理单位和直接下级控股/管理单位情况：</w:t>
      </w:r>
      <w:bookmarkEnd w:id="2259"/>
    </w:p>
    <w:tbl>
      <w:tblPr>
        <w:tblStyle w:val="46"/>
        <w:tblW w:w="99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8"/>
        <w:gridCol w:w="1762"/>
        <w:gridCol w:w="1713"/>
        <w:gridCol w:w="1600"/>
        <w:gridCol w:w="1817"/>
      </w:tblGrid>
      <w:tr w14:paraId="20FC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3008" w:type="dxa"/>
            <w:noWrap w:val="0"/>
            <w:vAlign w:val="center"/>
          </w:tcPr>
          <w:p w14:paraId="20CCC867">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直接上级控股/管理单位名称</w:t>
            </w:r>
          </w:p>
        </w:tc>
        <w:tc>
          <w:tcPr>
            <w:tcW w:w="1762" w:type="dxa"/>
            <w:noWrap w:val="0"/>
            <w:vAlign w:val="center"/>
          </w:tcPr>
          <w:p w14:paraId="0997149A">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对本单位的控股（出资）比例(%)</w:t>
            </w:r>
          </w:p>
        </w:tc>
        <w:tc>
          <w:tcPr>
            <w:tcW w:w="1713" w:type="dxa"/>
            <w:noWrap w:val="0"/>
            <w:vAlign w:val="center"/>
          </w:tcPr>
          <w:p w14:paraId="1A657A2F">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单位负责人</w:t>
            </w:r>
          </w:p>
        </w:tc>
        <w:tc>
          <w:tcPr>
            <w:tcW w:w="1600" w:type="dxa"/>
            <w:noWrap w:val="0"/>
            <w:vAlign w:val="center"/>
          </w:tcPr>
          <w:p w14:paraId="1AD8CEAB">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联系人及电话</w:t>
            </w:r>
          </w:p>
        </w:tc>
        <w:tc>
          <w:tcPr>
            <w:tcW w:w="1817" w:type="dxa"/>
            <w:noWrap w:val="0"/>
            <w:vAlign w:val="center"/>
          </w:tcPr>
          <w:p w14:paraId="43614B88">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单位地址</w:t>
            </w:r>
          </w:p>
        </w:tc>
      </w:tr>
      <w:tr w14:paraId="2EF2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top"/>
          </w:tcPr>
          <w:p w14:paraId="7BA8EE3C">
            <w:pPr>
              <w:kinsoku/>
              <w:overflowPunct/>
              <w:bidi w:val="0"/>
              <w:spacing w:line="360" w:lineRule="auto"/>
              <w:outlineLvl w:val="9"/>
              <w:rPr>
                <w:rFonts w:hint="eastAsia" w:ascii="宋体" w:hAnsi="宋体" w:cs="宋体"/>
                <w:color w:val="auto"/>
                <w:szCs w:val="21"/>
                <w:highlight w:val="none"/>
              </w:rPr>
            </w:pPr>
          </w:p>
        </w:tc>
        <w:tc>
          <w:tcPr>
            <w:tcW w:w="1762" w:type="dxa"/>
            <w:noWrap w:val="0"/>
            <w:vAlign w:val="top"/>
          </w:tcPr>
          <w:p w14:paraId="76C2D89B">
            <w:pPr>
              <w:kinsoku/>
              <w:overflowPunct/>
              <w:bidi w:val="0"/>
              <w:spacing w:line="360" w:lineRule="auto"/>
              <w:outlineLvl w:val="9"/>
              <w:rPr>
                <w:rFonts w:hint="eastAsia" w:ascii="宋体" w:hAnsi="宋体" w:cs="宋体"/>
                <w:color w:val="auto"/>
                <w:szCs w:val="21"/>
                <w:highlight w:val="none"/>
              </w:rPr>
            </w:pPr>
          </w:p>
        </w:tc>
        <w:tc>
          <w:tcPr>
            <w:tcW w:w="1713" w:type="dxa"/>
            <w:noWrap w:val="0"/>
            <w:vAlign w:val="top"/>
          </w:tcPr>
          <w:p w14:paraId="4750B384">
            <w:pPr>
              <w:kinsoku/>
              <w:overflowPunct/>
              <w:bidi w:val="0"/>
              <w:spacing w:line="360" w:lineRule="auto"/>
              <w:outlineLvl w:val="9"/>
              <w:rPr>
                <w:rFonts w:hint="eastAsia" w:ascii="宋体" w:hAnsi="宋体" w:cs="宋体"/>
                <w:color w:val="auto"/>
                <w:szCs w:val="21"/>
                <w:highlight w:val="none"/>
              </w:rPr>
            </w:pPr>
          </w:p>
        </w:tc>
        <w:tc>
          <w:tcPr>
            <w:tcW w:w="1600" w:type="dxa"/>
            <w:noWrap w:val="0"/>
            <w:vAlign w:val="top"/>
          </w:tcPr>
          <w:p w14:paraId="557DC020">
            <w:pPr>
              <w:kinsoku/>
              <w:overflowPunct/>
              <w:bidi w:val="0"/>
              <w:spacing w:line="360" w:lineRule="auto"/>
              <w:outlineLvl w:val="9"/>
              <w:rPr>
                <w:rFonts w:hint="eastAsia" w:ascii="宋体" w:hAnsi="宋体" w:cs="宋体"/>
                <w:color w:val="auto"/>
                <w:szCs w:val="21"/>
                <w:highlight w:val="none"/>
              </w:rPr>
            </w:pPr>
          </w:p>
        </w:tc>
        <w:tc>
          <w:tcPr>
            <w:tcW w:w="1817" w:type="dxa"/>
            <w:noWrap w:val="0"/>
            <w:vAlign w:val="top"/>
          </w:tcPr>
          <w:p w14:paraId="30C7948A">
            <w:pPr>
              <w:kinsoku/>
              <w:overflowPunct/>
              <w:bidi w:val="0"/>
              <w:spacing w:line="360" w:lineRule="auto"/>
              <w:outlineLvl w:val="9"/>
              <w:rPr>
                <w:rFonts w:hint="eastAsia" w:ascii="宋体" w:hAnsi="宋体" w:cs="宋体"/>
                <w:color w:val="auto"/>
                <w:szCs w:val="21"/>
                <w:highlight w:val="none"/>
              </w:rPr>
            </w:pPr>
          </w:p>
        </w:tc>
      </w:tr>
      <w:tr w14:paraId="0D2D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top"/>
          </w:tcPr>
          <w:p w14:paraId="6037DC06">
            <w:pPr>
              <w:kinsoku/>
              <w:overflowPunct/>
              <w:bidi w:val="0"/>
              <w:spacing w:line="360" w:lineRule="auto"/>
              <w:outlineLvl w:val="9"/>
              <w:rPr>
                <w:rFonts w:hint="eastAsia" w:ascii="宋体" w:hAnsi="宋体" w:cs="宋体"/>
                <w:color w:val="auto"/>
                <w:szCs w:val="21"/>
                <w:highlight w:val="none"/>
              </w:rPr>
            </w:pPr>
            <w:r>
              <w:rPr>
                <w:rFonts w:hint="eastAsia" w:ascii="宋体" w:hAnsi="宋体" w:cs="宋体"/>
                <w:color w:val="auto"/>
                <w:szCs w:val="21"/>
                <w:highlight w:val="none"/>
              </w:rPr>
              <w:t>……</w:t>
            </w:r>
          </w:p>
        </w:tc>
        <w:tc>
          <w:tcPr>
            <w:tcW w:w="1762" w:type="dxa"/>
            <w:noWrap w:val="0"/>
            <w:vAlign w:val="top"/>
          </w:tcPr>
          <w:p w14:paraId="644E7254">
            <w:pPr>
              <w:kinsoku/>
              <w:overflowPunct/>
              <w:bidi w:val="0"/>
              <w:spacing w:line="360" w:lineRule="auto"/>
              <w:outlineLvl w:val="9"/>
              <w:rPr>
                <w:rFonts w:hint="eastAsia" w:ascii="宋体" w:hAnsi="宋体" w:cs="宋体"/>
                <w:color w:val="auto"/>
                <w:szCs w:val="21"/>
                <w:highlight w:val="none"/>
              </w:rPr>
            </w:pPr>
          </w:p>
        </w:tc>
        <w:tc>
          <w:tcPr>
            <w:tcW w:w="1713" w:type="dxa"/>
            <w:noWrap w:val="0"/>
            <w:vAlign w:val="top"/>
          </w:tcPr>
          <w:p w14:paraId="1DB9DE75">
            <w:pPr>
              <w:kinsoku/>
              <w:overflowPunct/>
              <w:bidi w:val="0"/>
              <w:spacing w:line="360" w:lineRule="auto"/>
              <w:outlineLvl w:val="9"/>
              <w:rPr>
                <w:rFonts w:hint="eastAsia" w:ascii="宋体" w:hAnsi="宋体" w:cs="宋体"/>
                <w:color w:val="auto"/>
                <w:szCs w:val="21"/>
                <w:highlight w:val="none"/>
              </w:rPr>
            </w:pPr>
          </w:p>
        </w:tc>
        <w:tc>
          <w:tcPr>
            <w:tcW w:w="1600" w:type="dxa"/>
            <w:noWrap w:val="0"/>
            <w:vAlign w:val="top"/>
          </w:tcPr>
          <w:p w14:paraId="34E76BD3">
            <w:pPr>
              <w:kinsoku/>
              <w:overflowPunct/>
              <w:bidi w:val="0"/>
              <w:spacing w:line="360" w:lineRule="auto"/>
              <w:outlineLvl w:val="9"/>
              <w:rPr>
                <w:rFonts w:hint="eastAsia" w:ascii="宋体" w:hAnsi="宋体" w:cs="宋体"/>
                <w:color w:val="auto"/>
                <w:szCs w:val="21"/>
                <w:highlight w:val="none"/>
              </w:rPr>
            </w:pPr>
          </w:p>
        </w:tc>
        <w:tc>
          <w:tcPr>
            <w:tcW w:w="1817" w:type="dxa"/>
            <w:noWrap w:val="0"/>
            <w:vAlign w:val="top"/>
          </w:tcPr>
          <w:p w14:paraId="10121716">
            <w:pPr>
              <w:kinsoku/>
              <w:overflowPunct/>
              <w:bidi w:val="0"/>
              <w:spacing w:line="360" w:lineRule="auto"/>
              <w:outlineLvl w:val="9"/>
              <w:rPr>
                <w:rFonts w:hint="eastAsia" w:ascii="宋体" w:hAnsi="宋体" w:cs="宋体"/>
                <w:color w:val="auto"/>
                <w:szCs w:val="21"/>
                <w:highlight w:val="none"/>
              </w:rPr>
            </w:pPr>
          </w:p>
        </w:tc>
      </w:tr>
      <w:tr w14:paraId="40C3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900" w:type="dxa"/>
            <w:gridSpan w:val="5"/>
            <w:noWrap w:val="0"/>
            <w:vAlign w:val="top"/>
          </w:tcPr>
          <w:p w14:paraId="0C60AEA3">
            <w:pPr>
              <w:kinsoku/>
              <w:overflowPunct/>
              <w:bidi w:val="0"/>
              <w:spacing w:line="360" w:lineRule="auto"/>
              <w:outlineLvl w:val="9"/>
              <w:rPr>
                <w:rFonts w:hint="eastAsia" w:ascii="宋体" w:hAnsi="宋体" w:cs="宋体"/>
                <w:color w:val="auto"/>
                <w:szCs w:val="21"/>
                <w:highlight w:val="none"/>
              </w:rPr>
            </w:pPr>
          </w:p>
        </w:tc>
      </w:tr>
      <w:tr w14:paraId="1AAF2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3008" w:type="dxa"/>
            <w:noWrap w:val="0"/>
            <w:vAlign w:val="center"/>
          </w:tcPr>
          <w:p w14:paraId="5BD19F2F">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直接下级控股/管理单位名称</w:t>
            </w:r>
          </w:p>
        </w:tc>
        <w:tc>
          <w:tcPr>
            <w:tcW w:w="1762" w:type="dxa"/>
            <w:noWrap w:val="0"/>
            <w:vAlign w:val="center"/>
          </w:tcPr>
          <w:p w14:paraId="117FE2A3">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本单位控股（出资）比例(%)</w:t>
            </w:r>
          </w:p>
        </w:tc>
        <w:tc>
          <w:tcPr>
            <w:tcW w:w="1713" w:type="dxa"/>
            <w:noWrap w:val="0"/>
            <w:vAlign w:val="center"/>
          </w:tcPr>
          <w:p w14:paraId="3258A2D7">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单位负责人</w:t>
            </w:r>
          </w:p>
        </w:tc>
        <w:tc>
          <w:tcPr>
            <w:tcW w:w="1600" w:type="dxa"/>
            <w:noWrap w:val="0"/>
            <w:vAlign w:val="center"/>
          </w:tcPr>
          <w:p w14:paraId="08BD6242">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联系人及电话</w:t>
            </w:r>
          </w:p>
        </w:tc>
        <w:tc>
          <w:tcPr>
            <w:tcW w:w="1817" w:type="dxa"/>
            <w:noWrap w:val="0"/>
            <w:vAlign w:val="center"/>
          </w:tcPr>
          <w:p w14:paraId="3C4B03DE">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单位地址</w:t>
            </w:r>
          </w:p>
        </w:tc>
      </w:tr>
      <w:tr w14:paraId="4474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top"/>
          </w:tcPr>
          <w:p w14:paraId="22727214">
            <w:pPr>
              <w:kinsoku/>
              <w:overflowPunct/>
              <w:bidi w:val="0"/>
              <w:spacing w:line="360" w:lineRule="auto"/>
              <w:outlineLvl w:val="9"/>
              <w:rPr>
                <w:rFonts w:hint="eastAsia" w:ascii="宋体" w:hAnsi="宋体" w:cs="宋体"/>
                <w:color w:val="auto"/>
                <w:szCs w:val="21"/>
                <w:highlight w:val="none"/>
              </w:rPr>
            </w:pPr>
          </w:p>
        </w:tc>
        <w:tc>
          <w:tcPr>
            <w:tcW w:w="1762" w:type="dxa"/>
            <w:noWrap w:val="0"/>
            <w:vAlign w:val="top"/>
          </w:tcPr>
          <w:p w14:paraId="0A9571B5">
            <w:pPr>
              <w:kinsoku/>
              <w:overflowPunct/>
              <w:bidi w:val="0"/>
              <w:spacing w:line="360" w:lineRule="auto"/>
              <w:outlineLvl w:val="9"/>
              <w:rPr>
                <w:rFonts w:hint="eastAsia" w:ascii="宋体" w:hAnsi="宋体" w:cs="宋体"/>
                <w:color w:val="auto"/>
                <w:szCs w:val="21"/>
                <w:highlight w:val="none"/>
              </w:rPr>
            </w:pPr>
          </w:p>
        </w:tc>
        <w:tc>
          <w:tcPr>
            <w:tcW w:w="1713" w:type="dxa"/>
            <w:noWrap w:val="0"/>
            <w:vAlign w:val="top"/>
          </w:tcPr>
          <w:p w14:paraId="72299997">
            <w:pPr>
              <w:kinsoku/>
              <w:overflowPunct/>
              <w:bidi w:val="0"/>
              <w:spacing w:line="360" w:lineRule="auto"/>
              <w:outlineLvl w:val="9"/>
              <w:rPr>
                <w:rFonts w:hint="eastAsia" w:ascii="宋体" w:hAnsi="宋体" w:cs="宋体"/>
                <w:color w:val="auto"/>
                <w:szCs w:val="21"/>
                <w:highlight w:val="none"/>
              </w:rPr>
            </w:pPr>
          </w:p>
        </w:tc>
        <w:tc>
          <w:tcPr>
            <w:tcW w:w="1600" w:type="dxa"/>
            <w:noWrap w:val="0"/>
            <w:vAlign w:val="top"/>
          </w:tcPr>
          <w:p w14:paraId="42DFC235">
            <w:pPr>
              <w:kinsoku/>
              <w:overflowPunct/>
              <w:bidi w:val="0"/>
              <w:spacing w:line="360" w:lineRule="auto"/>
              <w:outlineLvl w:val="9"/>
              <w:rPr>
                <w:rFonts w:hint="eastAsia" w:ascii="宋体" w:hAnsi="宋体" w:cs="宋体"/>
                <w:color w:val="auto"/>
                <w:szCs w:val="21"/>
                <w:highlight w:val="none"/>
              </w:rPr>
            </w:pPr>
          </w:p>
        </w:tc>
        <w:tc>
          <w:tcPr>
            <w:tcW w:w="1817" w:type="dxa"/>
            <w:noWrap w:val="0"/>
            <w:vAlign w:val="top"/>
          </w:tcPr>
          <w:p w14:paraId="2BFA5A6C">
            <w:pPr>
              <w:kinsoku/>
              <w:overflowPunct/>
              <w:bidi w:val="0"/>
              <w:spacing w:line="360" w:lineRule="auto"/>
              <w:outlineLvl w:val="9"/>
              <w:rPr>
                <w:rFonts w:hint="eastAsia" w:ascii="宋体" w:hAnsi="宋体" w:cs="宋体"/>
                <w:color w:val="auto"/>
                <w:szCs w:val="21"/>
                <w:highlight w:val="none"/>
              </w:rPr>
            </w:pPr>
          </w:p>
        </w:tc>
      </w:tr>
      <w:tr w14:paraId="151B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top"/>
          </w:tcPr>
          <w:p w14:paraId="6FBF388A">
            <w:pPr>
              <w:kinsoku/>
              <w:overflowPunct/>
              <w:bidi w:val="0"/>
              <w:spacing w:line="360" w:lineRule="auto"/>
              <w:outlineLvl w:val="9"/>
              <w:rPr>
                <w:rFonts w:hint="eastAsia" w:ascii="宋体" w:hAnsi="宋体" w:cs="宋体"/>
                <w:color w:val="auto"/>
                <w:szCs w:val="21"/>
                <w:highlight w:val="none"/>
              </w:rPr>
            </w:pPr>
            <w:r>
              <w:rPr>
                <w:rFonts w:hint="eastAsia" w:ascii="宋体" w:hAnsi="宋体" w:cs="宋体"/>
                <w:color w:val="auto"/>
                <w:szCs w:val="21"/>
                <w:highlight w:val="none"/>
              </w:rPr>
              <w:t>……</w:t>
            </w:r>
          </w:p>
        </w:tc>
        <w:tc>
          <w:tcPr>
            <w:tcW w:w="1762" w:type="dxa"/>
            <w:noWrap w:val="0"/>
            <w:vAlign w:val="top"/>
          </w:tcPr>
          <w:p w14:paraId="69EEB083">
            <w:pPr>
              <w:kinsoku/>
              <w:overflowPunct/>
              <w:bidi w:val="0"/>
              <w:spacing w:line="360" w:lineRule="auto"/>
              <w:outlineLvl w:val="9"/>
              <w:rPr>
                <w:rFonts w:hint="eastAsia" w:ascii="宋体" w:hAnsi="宋体" w:cs="宋体"/>
                <w:color w:val="auto"/>
                <w:szCs w:val="21"/>
                <w:highlight w:val="none"/>
              </w:rPr>
            </w:pPr>
          </w:p>
        </w:tc>
        <w:tc>
          <w:tcPr>
            <w:tcW w:w="1713" w:type="dxa"/>
            <w:noWrap w:val="0"/>
            <w:vAlign w:val="top"/>
          </w:tcPr>
          <w:p w14:paraId="19087D0D">
            <w:pPr>
              <w:kinsoku/>
              <w:overflowPunct/>
              <w:bidi w:val="0"/>
              <w:spacing w:line="360" w:lineRule="auto"/>
              <w:outlineLvl w:val="9"/>
              <w:rPr>
                <w:rFonts w:hint="eastAsia" w:ascii="宋体" w:hAnsi="宋体" w:cs="宋体"/>
                <w:color w:val="auto"/>
                <w:szCs w:val="21"/>
                <w:highlight w:val="none"/>
              </w:rPr>
            </w:pPr>
          </w:p>
        </w:tc>
        <w:tc>
          <w:tcPr>
            <w:tcW w:w="1600" w:type="dxa"/>
            <w:noWrap w:val="0"/>
            <w:vAlign w:val="top"/>
          </w:tcPr>
          <w:p w14:paraId="2582C491">
            <w:pPr>
              <w:kinsoku/>
              <w:overflowPunct/>
              <w:bidi w:val="0"/>
              <w:spacing w:line="360" w:lineRule="auto"/>
              <w:outlineLvl w:val="9"/>
              <w:rPr>
                <w:rFonts w:hint="eastAsia" w:ascii="宋体" w:hAnsi="宋体" w:cs="宋体"/>
                <w:color w:val="auto"/>
                <w:szCs w:val="21"/>
                <w:highlight w:val="none"/>
              </w:rPr>
            </w:pPr>
          </w:p>
        </w:tc>
        <w:tc>
          <w:tcPr>
            <w:tcW w:w="1817" w:type="dxa"/>
            <w:noWrap w:val="0"/>
            <w:vAlign w:val="top"/>
          </w:tcPr>
          <w:p w14:paraId="7F3A913B">
            <w:pPr>
              <w:kinsoku/>
              <w:overflowPunct/>
              <w:bidi w:val="0"/>
              <w:spacing w:line="360" w:lineRule="auto"/>
              <w:outlineLvl w:val="9"/>
              <w:rPr>
                <w:rFonts w:hint="eastAsia" w:ascii="宋体" w:hAnsi="宋体" w:cs="宋体"/>
                <w:color w:val="auto"/>
                <w:szCs w:val="21"/>
                <w:highlight w:val="none"/>
              </w:rPr>
            </w:pPr>
          </w:p>
        </w:tc>
      </w:tr>
    </w:tbl>
    <w:p w14:paraId="6217A4A8">
      <w:pPr>
        <w:kinsoku/>
        <w:overflowPunct/>
        <w:bidi w:val="0"/>
        <w:spacing w:line="360" w:lineRule="auto"/>
        <w:ind w:firstLine="420" w:firstLineChars="200"/>
        <w:outlineLvl w:val="9"/>
        <w:rPr>
          <w:rFonts w:hint="eastAsia" w:ascii="宋体" w:hAnsi="宋体" w:cs="宋体"/>
          <w:color w:val="auto"/>
          <w:szCs w:val="21"/>
          <w:highlight w:val="none"/>
        </w:rPr>
      </w:pPr>
      <w:bookmarkStart w:id="2260" w:name="_Toc18031"/>
      <w:r>
        <w:rPr>
          <w:rFonts w:hint="eastAsia" w:ascii="宋体" w:hAnsi="宋体" w:cs="宋体"/>
          <w:color w:val="auto"/>
          <w:szCs w:val="21"/>
          <w:highlight w:val="none"/>
        </w:rPr>
        <w:t>3．属于同一直接上级控股/管理单位的其他兄弟单位情况：</w:t>
      </w:r>
      <w:bookmarkEnd w:id="2260"/>
    </w:p>
    <w:tbl>
      <w:tblPr>
        <w:tblStyle w:val="46"/>
        <w:tblW w:w="99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8"/>
        <w:gridCol w:w="1750"/>
        <w:gridCol w:w="1737"/>
        <w:gridCol w:w="1600"/>
        <w:gridCol w:w="1805"/>
      </w:tblGrid>
      <w:tr w14:paraId="6D3E5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4" w:hRule="atLeast"/>
        </w:trPr>
        <w:tc>
          <w:tcPr>
            <w:tcW w:w="3008" w:type="dxa"/>
            <w:noWrap w:val="0"/>
            <w:vAlign w:val="center"/>
          </w:tcPr>
          <w:p w14:paraId="723BAF9F">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直接上级控股/管理单位名称</w:t>
            </w:r>
          </w:p>
        </w:tc>
        <w:tc>
          <w:tcPr>
            <w:tcW w:w="1750" w:type="dxa"/>
            <w:noWrap w:val="0"/>
            <w:vAlign w:val="center"/>
          </w:tcPr>
          <w:p w14:paraId="134F16FD">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对本单位控股（出资）比例(%)</w:t>
            </w:r>
          </w:p>
        </w:tc>
        <w:tc>
          <w:tcPr>
            <w:tcW w:w="1737" w:type="dxa"/>
            <w:noWrap w:val="0"/>
            <w:vAlign w:val="center"/>
          </w:tcPr>
          <w:p w14:paraId="26FEDE7E">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单位负责人</w:t>
            </w:r>
          </w:p>
        </w:tc>
        <w:tc>
          <w:tcPr>
            <w:tcW w:w="1600" w:type="dxa"/>
            <w:noWrap w:val="0"/>
            <w:vAlign w:val="center"/>
          </w:tcPr>
          <w:p w14:paraId="3BBA38C9">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联系人及电话</w:t>
            </w:r>
          </w:p>
        </w:tc>
        <w:tc>
          <w:tcPr>
            <w:tcW w:w="1805" w:type="dxa"/>
            <w:noWrap w:val="0"/>
            <w:vAlign w:val="center"/>
          </w:tcPr>
          <w:p w14:paraId="1A10F169">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单位地址</w:t>
            </w:r>
          </w:p>
        </w:tc>
      </w:tr>
      <w:tr w14:paraId="3172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top"/>
          </w:tcPr>
          <w:p w14:paraId="5808174F">
            <w:pPr>
              <w:kinsoku/>
              <w:overflowPunct/>
              <w:bidi w:val="0"/>
              <w:spacing w:line="360" w:lineRule="auto"/>
              <w:outlineLvl w:val="9"/>
              <w:rPr>
                <w:rFonts w:hint="eastAsia" w:ascii="宋体" w:hAnsi="宋体" w:cs="宋体"/>
                <w:color w:val="auto"/>
                <w:szCs w:val="21"/>
                <w:highlight w:val="none"/>
              </w:rPr>
            </w:pPr>
          </w:p>
        </w:tc>
        <w:tc>
          <w:tcPr>
            <w:tcW w:w="1750" w:type="dxa"/>
            <w:noWrap w:val="0"/>
            <w:vAlign w:val="top"/>
          </w:tcPr>
          <w:p w14:paraId="632A394A">
            <w:pPr>
              <w:kinsoku/>
              <w:overflowPunct/>
              <w:bidi w:val="0"/>
              <w:spacing w:line="360" w:lineRule="auto"/>
              <w:outlineLvl w:val="9"/>
              <w:rPr>
                <w:rFonts w:hint="eastAsia" w:ascii="宋体" w:hAnsi="宋体" w:cs="宋体"/>
                <w:color w:val="auto"/>
                <w:szCs w:val="21"/>
                <w:highlight w:val="none"/>
              </w:rPr>
            </w:pPr>
          </w:p>
        </w:tc>
        <w:tc>
          <w:tcPr>
            <w:tcW w:w="1737" w:type="dxa"/>
            <w:noWrap w:val="0"/>
            <w:vAlign w:val="top"/>
          </w:tcPr>
          <w:p w14:paraId="24A88814">
            <w:pPr>
              <w:kinsoku/>
              <w:overflowPunct/>
              <w:bidi w:val="0"/>
              <w:spacing w:line="360" w:lineRule="auto"/>
              <w:outlineLvl w:val="9"/>
              <w:rPr>
                <w:rFonts w:hint="eastAsia" w:ascii="宋体" w:hAnsi="宋体" w:cs="宋体"/>
                <w:color w:val="auto"/>
                <w:szCs w:val="21"/>
                <w:highlight w:val="none"/>
              </w:rPr>
            </w:pPr>
          </w:p>
        </w:tc>
        <w:tc>
          <w:tcPr>
            <w:tcW w:w="1600" w:type="dxa"/>
            <w:noWrap w:val="0"/>
            <w:vAlign w:val="top"/>
          </w:tcPr>
          <w:p w14:paraId="7621D50B">
            <w:pPr>
              <w:kinsoku/>
              <w:overflowPunct/>
              <w:bidi w:val="0"/>
              <w:spacing w:line="360" w:lineRule="auto"/>
              <w:outlineLvl w:val="9"/>
              <w:rPr>
                <w:rFonts w:hint="eastAsia" w:ascii="宋体" w:hAnsi="宋体" w:cs="宋体"/>
                <w:color w:val="auto"/>
                <w:szCs w:val="21"/>
                <w:highlight w:val="none"/>
              </w:rPr>
            </w:pPr>
          </w:p>
        </w:tc>
        <w:tc>
          <w:tcPr>
            <w:tcW w:w="1805" w:type="dxa"/>
            <w:noWrap w:val="0"/>
            <w:vAlign w:val="top"/>
          </w:tcPr>
          <w:p w14:paraId="03348E9E">
            <w:pPr>
              <w:kinsoku/>
              <w:overflowPunct/>
              <w:bidi w:val="0"/>
              <w:spacing w:line="360" w:lineRule="auto"/>
              <w:outlineLvl w:val="9"/>
              <w:rPr>
                <w:rFonts w:hint="eastAsia" w:ascii="宋体" w:hAnsi="宋体" w:cs="宋体"/>
                <w:color w:val="auto"/>
                <w:szCs w:val="21"/>
                <w:highlight w:val="none"/>
              </w:rPr>
            </w:pPr>
          </w:p>
        </w:tc>
      </w:tr>
      <w:tr w14:paraId="480E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top"/>
          </w:tcPr>
          <w:p w14:paraId="4EA71E52">
            <w:pPr>
              <w:kinsoku/>
              <w:overflowPunct/>
              <w:bidi w:val="0"/>
              <w:spacing w:line="360" w:lineRule="auto"/>
              <w:outlineLvl w:val="9"/>
              <w:rPr>
                <w:rFonts w:hint="eastAsia" w:ascii="宋体" w:hAnsi="宋体" w:cs="宋体"/>
                <w:color w:val="auto"/>
                <w:szCs w:val="21"/>
                <w:highlight w:val="none"/>
              </w:rPr>
            </w:pPr>
            <w:r>
              <w:rPr>
                <w:rFonts w:hint="eastAsia" w:ascii="宋体" w:hAnsi="宋体" w:cs="宋体"/>
                <w:color w:val="auto"/>
                <w:szCs w:val="21"/>
                <w:highlight w:val="none"/>
              </w:rPr>
              <w:t>……</w:t>
            </w:r>
          </w:p>
        </w:tc>
        <w:tc>
          <w:tcPr>
            <w:tcW w:w="1750" w:type="dxa"/>
            <w:noWrap w:val="0"/>
            <w:vAlign w:val="top"/>
          </w:tcPr>
          <w:p w14:paraId="3A25B0E5">
            <w:pPr>
              <w:kinsoku/>
              <w:overflowPunct/>
              <w:bidi w:val="0"/>
              <w:spacing w:line="360" w:lineRule="auto"/>
              <w:outlineLvl w:val="9"/>
              <w:rPr>
                <w:rFonts w:hint="eastAsia" w:ascii="宋体" w:hAnsi="宋体" w:cs="宋体"/>
                <w:color w:val="auto"/>
                <w:szCs w:val="21"/>
                <w:highlight w:val="none"/>
              </w:rPr>
            </w:pPr>
          </w:p>
        </w:tc>
        <w:tc>
          <w:tcPr>
            <w:tcW w:w="1737" w:type="dxa"/>
            <w:noWrap w:val="0"/>
            <w:vAlign w:val="top"/>
          </w:tcPr>
          <w:p w14:paraId="72B8E084">
            <w:pPr>
              <w:kinsoku/>
              <w:overflowPunct/>
              <w:bidi w:val="0"/>
              <w:spacing w:line="360" w:lineRule="auto"/>
              <w:outlineLvl w:val="9"/>
              <w:rPr>
                <w:rFonts w:hint="eastAsia" w:ascii="宋体" w:hAnsi="宋体" w:cs="宋体"/>
                <w:color w:val="auto"/>
                <w:szCs w:val="21"/>
                <w:highlight w:val="none"/>
              </w:rPr>
            </w:pPr>
          </w:p>
        </w:tc>
        <w:tc>
          <w:tcPr>
            <w:tcW w:w="1600" w:type="dxa"/>
            <w:noWrap w:val="0"/>
            <w:vAlign w:val="top"/>
          </w:tcPr>
          <w:p w14:paraId="6F6509ED">
            <w:pPr>
              <w:kinsoku/>
              <w:overflowPunct/>
              <w:bidi w:val="0"/>
              <w:spacing w:line="360" w:lineRule="auto"/>
              <w:outlineLvl w:val="9"/>
              <w:rPr>
                <w:rFonts w:hint="eastAsia" w:ascii="宋体" w:hAnsi="宋体" w:cs="宋体"/>
                <w:color w:val="auto"/>
                <w:szCs w:val="21"/>
                <w:highlight w:val="none"/>
              </w:rPr>
            </w:pPr>
          </w:p>
        </w:tc>
        <w:tc>
          <w:tcPr>
            <w:tcW w:w="1805" w:type="dxa"/>
            <w:noWrap w:val="0"/>
            <w:vAlign w:val="top"/>
          </w:tcPr>
          <w:p w14:paraId="29048BD3">
            <w:pPr>
              <w:kinsoku/>
              <w:overflowPunct/>
              <w:bidi w:val="0"/>
              <w:spacing w:line="360" w:lineRule="auto"/>
              <w:outlineLvl w:val="9"/>
              <w:rPr>
                <w:rFonts w:hint="eastAsia" w:ascii="宋体" w:hAnsi="宋体" w:cs="宋体"/>
                <w:color w:val="auto"/>
                <w:szCs w:val="21"/>
                <w:highlight w:val="none"/>
              </w:rPr>
            </w:pPr>
          </w:p>
        </w:tc>
      </w:tr>
      <w:tr w14:paraId="0E5B5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9900" w:type="dxa"/>
            <w:gridSpan w:val="5"/>
            <w:noWrap w:val="0"/>
            <w:vAlign w:val="top"/>
          </w:tcPr>
          <w:p w14:paraId="27C02019">
            <w:pPr>
              <w:kinsoku/>
              <w:overflowPunct/>
              <w:bidi w:val="0"/>
              <w:spacing w:line="360" w:lineRule="auto"/>
              <w:outlineLvl w:val="9"/>
              <w:rPr>
                <w:rFonts w:hint="eastAsia" w:ascii="宋体" w:hAnsi="宋体" w:cs="宋体"/>
                <w:color w:val="auto"/>
                <w:szCs w:val="21"/>
                <w:highlight w:val="none"/>
              </w:rPr>
            </w:pPr>
          </w:p>
        </w:tc>
      </w:tr>
      <w:tr w14:paraId="6A3D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center"/>
          </w:tcPr>
          <w:p w14:paraId="67185A8C">
            <w:pPr>
              <w:kinsoku/>
              <w:overflowPunct/>
              <w:bidi w:val="0"/>
              <w:spacing w:line="360" w:lineRule="auto"/>
              <w:outlineLvl w:val="9"/>
              <w:rPr>
                <w:rFonts w:hint="eastAsia" w:ascii="宋体" w:hAnsi="宋体" w:cs="宋体"/>
                <w:color w:val="auto"/>
                <w:szCs w:val="21"/>
                <w:highlight w:val="none"/>
              </w:rPr>
            </w:pPr>
            <w:r>
              <w:rPr>
                <w:rFonts w:hint="eastAsia" w:ascii="宋体" w:hAnsi="宋体" w:cs="宋体"/>
                <w:color w:val="auto"/>
                <w:szCs w:val="21"/>
                <w:highlight w:val="none"/>
              </w:rPr>
              <w:t>其他兄弟单位名称</w:t>
            </w:r>
          </w:p>
        </w:tc>
        <w:tc>
          <w:tcPr>
            <w:tcW w:w="1750" w:type="dxa"/>
            <w:noWrap w:val="0"/>
            <w:vAlign w:val="center"/>
          </w:tcPr>
          <w:p w14:paraId="11B6234F">
            <w:pPr>
              <w:kinsoku/>
              <w:overflowPunct/>
              <w:bidi w:val="0"/>
              <w:spacing w:line="360" w:lineRule="auto"/>
              <w:outlineLvl w:val="9"/>
              <w:rPr>
                <w:rFonts w:hint="eastAsia" w:ascii="宋体" w:hAnsi="宋体" w:cs="宋体"/>
                <w:color w:val="auto"/>
                <w:szCs w:val="21"/>
                <w:highlight w:val="none"/>
              </w:rPr>
            </w:pPr>
            <w:r>
              <w:rPr>
                <w:rFonts w:hint="eastAsia" w:ascii="宋体" w:hAnsi="宋体" w:cs="宋体"/>
                <w:color w:val="auto"/>
                <w:szCs w:val="21"/>
                <w:highlight w:val="none"/>
              </w:rPr>
              <w:t>对该单位控股（出资）比例(%)</w:t>
            </w:r>
          </w:p>
        </w:tc>
        <w:tc>
          <w:tcPr>
            <w:tcW w:w="1737" w:type="dxa"/>
            <w:noWrap w:val="0"/>
            <w:vAlign w:val="center"/>
          </w:tcPr>
          <w:p w14:paraId="44F7A1F0">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单位负责人</w:t>
            </w:r>
          </w:p>
        </w:tc>
        <w:tc>
          <w:tcPr>
            <w:tcW w:w="1600" w:type="dxa"/>
            <w:noWrap w:val="0"/>
            <w:vAlign w:val="center"/>
          </w:tcPr>
          <w:p w14:paraId="03E07AEB">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联系人及电话</w:t>
            </w:r>
          </w:p>
        </w:tc>
        <w:tc>
          <w:tcPr>
            <w:tcW w:w="1805" w:type="dxa"/>
            <w:noWrap w:val="0"/>
            <w:vAlign w:val="center"/>
          </w:tcPr>
          <w:p w14:paraId="756681EB">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单位地址</w:t>
            </w:r>
          </w:p>
        </w:tc>
      </w:tr>
      <w:tr w14:paraId="37ED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3008" w:type="dxa"/>
            <w:noWrap w:val="0"/>
            <w:vAlign w:val="top"/>
          </w:tcPr>
          <w:p w14:paraId="5134CE8E">
            <w:pPr>
              <w:kinsoku/>
              <w:overflowPunct/>
              <w:bidi w:val="0"/>
              <w:spacing w:line="360" w:lineRule="auto"/>
              <w:outlineLvl w:val="9"/>
              <w:rPr>
                <w:rFonts w:hint="eastAsia" w:ascii="宋体" w:hAnsi="宋体" w:cs="宋体"/>
                <w:color w:val="auto"/>
                <w:szCs w:val="21"/>
                <w:highlight w:val="none"/>
              </w:rPr>
            </w:pPr>
          </w:p>
        </w:tc>
        <w:tc>
          <w:tcPr>
            <w:tcW w:w="1750" w:type="dxa"/>
            <w:noWrap w:val="0"/>
            <w:vAlign w:val="top"/>
          </w:tcPr>
          <w:p w14:paraId="7470E568">
            <w:pPr>
              <w:kinsoku/>
              <w:overflowPunct/>
              <w:bidi w:val="0"/>
              <w:spacing w:line="360" w:lineRule="auto"/>
              <w:outlineLvl w:val="9"/>
              <w:rPr>
                <w:rFonts w:hint="eastAsia" w:ascii="宋体" w:hAnsi="宋体" w:cs="宋体"/>
                <w:color w:val="auto"/>
                <w:szCs w:val="21"/>
                <w:highlight w:val="none"/>
              </w:rPr>
            </w:pPr>
          </w:p>
        </w:tc>
        <w:tc>
          <w:tcPr>
            <w:tcW w:w="1737" w:type="dxa"/>
            <w:noWrap w:val="0"/>
            <w:vAlign w:val="top"/>
          </w:tcPr>
          <w:p w14:paraId="21697261">
            <w:pPr>
              <w:kinsoku/>
              <w:overflowPunct/>
              <w:bidi w:val="0"/>
              <w:spacing w:line="360" w:lineRule="auto"/>
              <w:outlineLvl w:val="9"/>
              <w:rPr>
                <w:rFonts w:hint="eastAsia" w:ascii="宋体" w:hAnsi="宋体" w:cs="宋体"/>
                <w:color w:val="auto"/>
                <w:szCs w:val="21"/>
                <w:highlight w:val="none"/>
              </w:rPr>
            </w:pPr>
          </w:p>
        </w:tc>
        <w:tc>
          <w:tcPr>
            <w:tcW w:w="1600" w:type="dxa"/>
            <w:noWrap w:val="0"/>
            <w:vAlign w:val="top"/>
          </w:tcPr>
          <w:p w14:paraId="2B4907EB">
            <w:pPr>
              <w:kinsoku/>
              <w:overflowPunct/>
              <w:bidi w:val="0"/>
              <w:spacing w:line="360" w:lineRule="auto"/>
              <w:outlineLvl w:val="9"/>
              <w:rPr>
                <w:rFonts w:hint="eastAsia" w:ascii="宋体" w:hAnsi="宋体" w:cs="宋体"/>
                <w:color w:val="auto"/>
                <w:szCs w:val="21"/>
                <w:highlight w:val="none"/>
              </w:rPr>
            </w:pPr>
          </w:p>
        </w:tc>
        <w:tc>
          <w:tcPr>
            <w:tcW w:w="1805" w:type="dxa"/>
            <w:noWrap w:val="0"/>
            <w:vAlign w:val="top"/>
          </w:tcPr>
          <w:p w14:paraId="640F744D">
            <w:pPr>
              <w:kinsoku/>
              <w:overflowPunct/>
              <w:bidi w:val="0"/>
              <w:spacing w:line="360" w:lineRule="auto"/>
              <w:outlineLvl w:val="9"/>
              <w:rPr>
                <w:rFonts w:hint="eastAsia" w:ascii="宋体" w:hAnsi="宋体" w:cs="宋体"/>
                <w:color w:val="auto"/>
                <w:szCs w:val="21"/>
                <w:highlight w:val="none"/>
              </w:rPr>
            </w:pPr>
          </w:p>
        </w:tc>
      </w:tr>
      <w:tr w14:paraId="540F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top"/>
          </w:tcPr>
          <w:p w14:paraId="12D3739A">
            <w:pPr>
              <w:kinsoku/>
              <w:overflowPunct/>
              <w:bidi w:val="0"/>
              <w:spacing w:line="360" w:lineRule="auto"/>
              <w:outlineLvl w:val="9"/>
              <w:rPr>
                <w:rFonts w:hint="eastAsia" w:ascii="宋体" w:hAnsi="宋体" w:cs="宋体"/>
                <w:color w:val="auto"/>
                <w:szCs w:val="21"/>
                <w:highlight w:val="none"/>
              </w:rPr>
            </w:pPr>
            <w:r>
              <w:rPr>
                <w:rFonts w:hint="eastAsia" w:ascii="宋体" w:hAnsi="宋体" w:cs="宋体"/>
                <w:color w:val="auto"/>
                <w:szCs w:val="21"/>
                <w:highlight w:val="none"/>
              </w:rPr>
              <w:t>……</w:t>
            </w:r>
          </w:p>
        </w:tc>
        <w:tc>
          <w:tcPr>
            <w:tcW w:w="1750" w:type="dxa"/>
            <w:noWrap w:val="0"/>
            <w:vAlign w:val="top"/>
          </w:tcPr>
          <w:p w14:paraId="40581B6D">
            <w:pPr>
              <w:kinsoku/>
              <w:overflowPunct/>
              <w:bidi w:val="0"/>
              <w:spacing w:line="360" w:lineRule="auto"/>
              <w:outlineLvl w:val="9"/>
              <w:rPr>
                <w:rFonts w:hint="eastAsia" w:ascii="宋体" w:hAnsi="宋体" w:cs="宋体"/>
                <w:color w:val="auto"/>
                <w:szCs w:val="21"/>
                <w:highlight w:val="none"/>
              </w:rPr>
            </w:pPr>
          </w:p>
        </w:tc>
        <w:tc>
          <w:tcPr>
            <w:tcW w:w="1737" w:type="dxa"/>
            <w:noWrap w:val="0"/>
            <w:vAlign w:val="top"/>
          </w:tcPr>
          <w:p w14:paraId="75A13F51">
            <w:pPr>
              <w:kinsoku/>
              <w:overflowPunct/>
              <w:bidi w:val="0"/>
              <w:spacing w:line="360" w:lineRule="auto"/>
              <w:outlineLvl w:val="9"/>
              <w:rPr>
                <w:rFonts w:hint="eastAsia" w:ascii="宋体" w:hAnsi="宋体" w:cs="宋体"/>
                <w:color w:val="auto"/>
                <w:szCs w:val="21"/>
                <w:highlight w:val="none"/>
              </w:rPr>
            </w:pPr>
          </w:p>
        </w:tc>
        <w:tc>
          <w:tcPr>
            <w:tcW w:w="1600" w:type="dxa"/>
            <w:noWrap w:val="0"/>
            <w:vAlign w:val="top"/>
          </w:tcPr>
          <w:p w14:paraId="40419F10">
            <w:pPr>
              <w:kinsoku/>
              <w:overflowPunct/>
              <w:bidi w:val="0"/>
              <w:spacing w:line="360" w:lineRule="auto"/>
              <w:outlineLvl w:val="9"/>
              <w:rPr>
                <w:rFonts w:hint="eastAsia" w:ascii="宋体" w:hAnsi="宋体" w:cs="宋体"/>
                <w:color w:val="auto"/>
                <w:szCs w:val="21"/>
                <w:highlight w:val="none"/>
              </w:rPr>
            </w:pPr>
          </w:p>
        </w:tc>
        <w:tc>
          <w:tcPr>
            <w:tcW w:w="1805" w:type="dxa"/>
            <w:noWrap w:val="0"/>
            <w:vAlign w:val="top"/>
          </w:tcPr>
          <w:p w14:paraId="3CED0100">
            <w:pPr>
              <w:kinsoku/>
              <w:overflowPunct/>
              <w:bidi w:val="0"/>
              <w:spacing w:line="360" w:lineRule="auto"/>
              <w:outlineLvl w:val="9"/>
              <w:rPr>
                <w:rFonts w:hint="eastAsia" w:ascii="宋体" w:hAnsi="宋体" w:cs="宋体"/>
                <w:color w:val="auto"/>
                <w:szCs w:val="21"/>
                <w:highlight w:val="none"/>
              </w:rPr>
            </w:pPr>
          </w:p>
        </w:tc>
      </w:tr>
    </w:tbl>
    <w:p w14:paraId="46C2D666">
      <w:pPr>
        <w:kinsoku/>
        <w:overflowPunct/>
        <w:bidi w:val="0"/>
        <w:spacing w:line="360" w:lineRule="auto"/>
        <w:ind w:firstLine="420" w:firstLineChars="200"/>
        <w:outlineLvl w:val="9"/>
        <w:rPr>
          <w:rFonts w:hint="eastAsia" w:ascii="宋体" w:hAnsi="宋体" w:cs="宋体"/>
          <w:color w:val="auto"/>
          <w:szCs w:val="21"/>
          <w:highlight w:val="none"/>
        </w:rPr>
      </w:pPr>
      <w:r>
        <w:rPr>
          <w:rFonts w:hint="eastAsia" w:ascii="宋体" w:hAnsi="宋体" w:cs="宋体"/>
          <w:color w:val="auto"/>
          <w:szCs w:val="21"/>
          <w:highlight w:val="none"/>
        </w:rPr>
        <w:t>4．南方电网公司系统职工持有本公司股份情况：</w:t>
      </w:r>
    </w:p>
    <w:tbl>
      <w:tblPr>
        <w:tblStyle w:val="46"/>
        <w:tblW w:w="9858"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8"/>
        <w:gridCol w:w="1787"/>
        <w:gridCol w:w="1750"/>
        <w:gridCol w:w="3363"/>
      </w:tblGrid>
      <w:tr w14:paraId="3A940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958" w:type="dxa"/>
            <w:noWrap w:val="0"/>
            <w:vAlign w:val="center"/>
          </w:tcPr>
          <w:p w14:paraId="2FCA29DE">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职工持股企业主体单位名称</w:t>
            </w:r>
          </w:p>
        </w:tc>
        <w:tc>
          <w:tcPr>
            <w:tcW w:w="1787" w:type="dxa"/>
            <w:noWrap w:val="0"/>
            <w:vAlign w:val="center"/>
          </w:tcPr>
          <w:p w14:paraId="59478763">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单位负责人</w:t>
            </w:r>
          </w:p>
        </w:tc>
        <w:tc>
          <w:tcPr>
            <w:tcW w:w="1750" w:type="dxa"/>
            <w:noWrap w:val="0"/>
            <w:vAlign w:val="center"/>
          </w:tcPr>
          <w:p w14:paraId="6697B851">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联系人及电话</w:t>
            </w:r>
          </w:p>
        </w:tc>
        <w:tc>
          <w:tcPr>
            <w:tcW w:w="3363" w:type="dxa"/>
            <w:noWrap w:val="0"/>
            <w:vAlign w:val="center"/>
          </w:tcPr>
          <w:p w14:paraId="4D283A4A">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单位地址</w:t>
            </w:r>
          </w:p>
        </w:tc>
      </w:tr>
      <w:tr w14:paraId="4E23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noWrap w:val="0"/>
            <w:vAlign w:val="top"/>
          </w:tcPr>
          <w:p w14:paraId="4AE283CC">
            <w:pPr>
              <w:kinsoku/>
              <w:overflowPunct/>
              <w:bidi w:val="0"/>
              <w:spacing w:line="360" w:lineRule="auto"/>
              <w:outlineLvl w:val="9"/>
              <w:rPr>
                <w:rFonts w:hint="eastAsia" w:ascii="宋体" w:hAnsi="宋体" w:cs="宋体"/>
                <w:color w:val="auto"/>
                <w:szCs w:val="21"/>
                <w:highlight w:val="none"/>
              </w:rPr>
            </w:pPr>
          </w:p>
        </w:tc>
        <w:tc>
          <w:tcPr>
            <w:tcW w:w="1787" w:type="dxa"/>
            <w:noWrap w:val="0"/>
            <w:vAlign w:val="top"/>
          </w:tcPr>
          <w:p w14:paraId="504DA92D">
            <w:pPr>
              <w:kinsoku/>
              <w:overflowPunct/>
              <w:bidi w:val="0"/>
              <w:spacing w:line="360" w:lineRule="auto"/>
              <w:outlineLvl w:val="9"/>
              <w:rPr>
                <w:rFonts w:hint="eastAsia" w:ascii="宋体" w:hAnsi="宋体" w:cs="宋体"/>
                <w:color w:val="auto"/>
                <w:szCs w:val="21"/>
                <w:highlight w:val="none"/>
              </w:rPr>
            </w:pPr>
          </w:p>
        </w:tc>
        <w:tc>
          <w:tcPr>
            <w:tcW w:w="1750" w:type="dxa"/>
            <w:noWrap w:val="0"/>
            <w:vAlign w:val="top"/>
          </w:tcPr>
          <w:p w14:paraId="6F49047E">
            <w:pPr>
              <w:kinsoku/>
              <w:overflowPunct/>
              <w:bidi w:val="0"/>
              <w:spacing w:line="360" w:lineRule="auto"/>
              <w:outlineLvl w:val="9"/>
              <w:rPr>
                <w:rFonts w:hint="eastAsia" w:ascii="宋体" w:hAnsi="宋体" w:cs="宋体"/>
                <w:color w:val="auto"/>
                <w:szCs w:val="21"/>
                <w:highlight w:val="none"/>
              </w:rPr>
            </w:pPr>
          </w:p>
        </w:tc>
        <w:tc>
          <w:tcPr>
            <w:tcW w:w="3363" w:type="dxa"/>
            <w:noWrap w:val="0"/>
            <w:vAlign w:val="top"/>
          </w:tcPr>
          <w:p w14:paraId="5B48CDEB">
            <w:pPr>
              <w:kinsoku/>
              <w:overflowPunct/>
              <w:bidi w:val="0"/>
              <w:spacing w:line="360" w:lineRule="auto"/>
              <w:outlineLvl w:val="9"/>
              <w:rPr>
                <w:rFonts w:hint="eastAsia" w:ascii="宋体" w:hAnsi="宋体" w:cs="宋体"/>
                <w:color w:val="auto"/>
                <w:szCs w:val="21"/>
                <w:highlight w:val="none"/>
              </w:rPr>
            </w:pPr>
          </w:p>
        </w:tc>
      </w:tr>
      <w:tr w14:paraId="7106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noWrap w:val="0"/>
            <w:vAlign w:val="top"/>
          </w:tcPr>
          <w:p w14:paraId="367CE40B">
            <w:pPr>
              <w:kinsoku/>
              <w:overflowPunct/>
              <w:bidi w:val="0"/>
              <w:spacing w:line="360" w:lineRule="auto"/>
              <w:outlineLvl w:val="9"/>
              <w:rPr>
                <w:rFonts w:hint="eastAsia" w:ascii="宋体" w:hAnsi="宋体" w:cs="宋体"/>
                <w:color w:val="auto"/>
                <w:szCs w:val="21"/>
                <w:highlight w:val="none"/>
              </w:rPr>
            </w:pPr>
          </w:p>
        </w:tc>
        <w:tc>
          <w:tcPr>
            <w:tcW w:w="1787" w:type="dxa"/>
            <w:noWrap w:val="0"/>
            <w:vAlign w:val="top"/>
          </w:tcPr>
          <w:p w14:paraId="4840EC39">
            <w:pPr>
              <w:kinsoku/>
              <w:overflowPunct/>
              <w:bidi w:val="0"/>
              <w:spacing w:line="360" w:lineRule="auto"/>
              <w:outlineLvl w:val="9"/>
              <w:rPr>
                <w:rFonts w:hint="eastAsia" w:ascii="宋体" w:hAnsi="宋体" w:cs="宋体"/>
                <w:color w:val="auto"/>
                <w:szCs w:val="21"/>
                <w:highlight w:val="none"/>
              </w:rPr>
            </w:pPr>
          </w:p>
        </w:tc>
        <w:tc>
          <w:tcPr>
            <w:tcW w:w="1750" w:type="dxa"/>
            <w:noWrap w:val="0"/>
            <w:vAlign w:val="top"/>
          </w:tcPr>
          <w:p w14:paraId="27A91786">
            <w:pPr>
              <w:kinsoku/>
              <w:overflowPunct/>
              <w:bidi w:val="0"/>
              <w:spacing w:line="360" w:lineRule="auto"/>
              <w:outlineLvl w:val="9"/>
              <w:rPr>
                <w:rFonts w:hint="eastAsia" w:ascii="宋体" w:hAnsi="宋体" w:cs="宋体"/>
                <w:color w:val="auto"/>
                <w:szCs w:val="21"/>
                <w:highlight w:val="none"/>
              </w:rPr>
            </w:pPr>
          </w:p>
        </w:tc>
        <w:tc>
          <w:tcPr>
            <w:tcW w:w="3363" w:type="dxa"/>
            <w:noWrap w:val="0"/>
            <w:vAlign w:val="top"/>
          </w:tcPr>
          <w:p w14:paraId="048A2D5F">
            <w:pPr>
              <w:kinsoku/>
              <w:overflowPunct/>
              <w:bidi w:val="0"/>
              <w:spacing w:line="360" w:lineRule="auto"/>
              <w:outlineLvl w:val="9"/>
              <w:rPr>
                <w:rFonts w:hint="eastAsia" w:ascii="宋体" w:hAnsi="宋体" w:cs="宋体"/>
                <w:color w:val="auto"/>
                <w:szCs w:val="21"/>
                <w:highlight w:val="none"/>
              </w:rPr>
            </w:pPr>
          </w:p>
        </w:tc>
      </w:tr>
    </w:tbl>
    <w:p w14:paraId="62458BDF">
      <w:pPr>
        <w:kinsoku/>
        <w:overflowPunct/>
        <w:bidi w:val="0"/>
        <w:spacing w:line="360" w:lineRule="auto"/>
        <w:ind w:firstLine="420" w:firstLineChars="200"/>
        <w:outlineLvl w:val="9"/>
        <w:rPr>
          <w:rFonts w:hint="eastAsia" w:ascii="宋体" w:hAnsi="宋体" w:cs="宋体"/>
          <w:color w:val="auto"/>
          <w:szCs w:val="21"/>
          <w:highlight w:val="none"/>
        </w:rPr>
      </w:pPr>
      <w:r>
        <w:rPr>
          <w:rFonts w:hint="eastAsia" w:ascii="宋体" w:hAnsi="宋体" w:cs="宋体"/>
          <w:color w:val="auto"/>
          <w:szCs w:val="21"/>
          <w:highlight w:val="none"/>
        </w:rPr>
        <w:t>我公司承诺：如未提供或未如实填写直接上级控股/管理单位和直接下级控股/管理单位，以及南方电网公司系统职工持股情况，接受本次投标作为否决投标处理和按照南方电网公司供应商管理相关规定进行的相应处罚。</w:t>
      </w:r>
    </w:p>
    <w:p w14:paraId="4BBA237A">
      <w:pPr>
        <w:spacing w:line="360" w:lineRule="auto"/>
        <w:ind w:firstLine="420" w:firstLineChars="200"/>
        <w:outlineLvl w:val="9"/>
        <w:rPr>
          <w:rFonts w:hint="default" w:ascii="宋体" w:hAnsi="宋体" w:eastAsia="宋体" w:cs="宋体"/>
          <w:color w:val="auto"/>
          <w:szCs w:val="21"/>
          <w:highlight w:val="none"/>
          <w:lang w:val="en-US" w:eastAsia="zh-CN"/>
        </w:rPr>
      </w:pPr>
      <w:bookmarkStart w:id="2261" w:name="_Toc9754"/>
      <w:bookmarkStart w:id="2262" w:name="_Toc18934"/>
      <w:r>
        <w:rPr>
          <w:rFonts w:hint="eastAsia" w:ascii="宋体" w:hAnsi="宋体" w:cs="宋体"/>
          <w:color w:val="auto"/>
          <w:szCs w:val="21"/>
          <w:highlight w:val="none"/>
          <w:lang w:val="en-US" w:eastAsia="zh-CN"/>
        </w:rPr>
        <w:t>投标人名称</w:t>
      </w:r>
      <w:r>
        <w:rPr>
          <w:rFonts w:hint="eastAsia" w:ascii="宋体" w:hAnsi="宋体" w:cs="宋体"/>
          <w:color w:val="auto"/>
          <w:szCs w:val="21"/>
          <w:highlight w:val="none"/>
        </w:rPr>
        <w:t>：</w:t>
      </w:r>
      <w:r>
        <w:rPr>
          <w:rFonts w:hint="eastAsia" w:ascii="宋体" w:hAnsi="宋体" w:cs="宋体"/>
          <w:color w:val="auto"/>
          <w:szCs w:val="21"/>
          <w:highlight w:val="none"/>
          <w:u w:val="single"/>
          <w:lang w:val="en-US" w:eastAsia="zh-CN"/>
        </w:rPr>
        <w:t xml:space="preserve">                       </w:t>
      </w:r>
    </w:p>
    <w:p w14:paraId="5FF98C24">
      <w:pPr>
        <w:spacing w:line="360" w:lineRule="auto"/>
        <w:ind w:firstLine="420" w:firstLineChars="200"/>
        <w:outlineLvl w:val="9"/>
        <w:rPr>
          <w:rFonts w:hint="eastAsia" w:ascii="宋体" w:hAnsi="宋体" w:cs="宋体"/>
          <w:color w:val="auto"/>
          <w:szCs w:val="21"/>
          <w:highlight w:val="none"/>
        </w:rPr>
      </w:pPr>
      <w:r>
        <w:rPr>
          <w:rFonts w:hint="eastAsia" w:ascii="宋体" w:hAnsi="宋体" w:cs="宋体"/>
          <w:color w:val="auto"/>
          <w:szCs w:val="21"/>
          <w:highlight w:val="none"/>
          <w:lang w:val="en-US" w:eastAsia="zh-CN"/>
        </w:rPr>
        <w:t>盖</w:t>
      </w:r>
      <w:r>
        <w:rPr>
          <w:rFonts w:hint="eastAsia" w:ascii="宋体" w:hAnsi="宋体" w:cs="宋体"/>
          <w:color w:val="auto"/>
          <w:szCs w:val="21"/>
          <w:highlight w:val="none"/>
        </w:rPr>
        <w:t>章（</w:t>
      </w:r>
      <w:r>
        <w:rPr>
          <w:rFonts w:hint="eastAsia" w:ascii="宋体" w:hAnsi="宋体" w:eastAsia="宋体" w:cs="宋体"/>
          <w:color w:val="auto"/>
          <w:szCs w:val="21"/>
          <w:highlight w:val="none"/>
        </w:rPr>
        <w:t>公章或投标专用章或电子签章</w:t>
      </w:r>
      <w:r>
        <w:rPr>
          <w:rFonts w:hint="eastAsia" w:ascii="宋体" w:hAnsi="宋体" w:cs="宋体"/>
          <w:color w:val="auto"/>
          <w:szCs w:val="21"/>
          <w:highlight w:val="none"/>
        </w:rPr>
        <w:t>）：</w:t>
      </w:r>
    </w:p>
    <w:p w14:paraId="24F11441">
      <w:pPr>
        <w:spacing w:line="360" w:lineRule="auto"/>
        <w:ind w:firstLine="420" w:firstLineChars="200"/>
        <w:outlineLvl w:val="9"/>
        <w:rPr>
          <w:rFonts w:hint="eastAsia" w:ascii="宋体" w:hAnsi="宋体" w:cs="宋体"/>
          <w:color w:val="auto"/>
          <w:szCs w:val="21"/>
          <w:highlight w:val="none"/>
        </w:rPr>
      </w:pPr>
      <w:r>
        <w:rPr>
          <w:rFonts w:hint="eastAsia" w:ascii="宋体" w:hAnsi="宋体" w:cs="宋体"/>
          <w:color w:val="auto"/>
          <w:szCs w:val="21"/>
          <w:highlight w:val="none"/>
        </w:rPr>
        <w:t>日期：</w:t>
      </w:r>
    </w:p>
    <w:p w14:paraId="6AD9A890">
      <w:pPr>
        <w:spacing w:line="360" w:lineRule="auto"/>
        <w:ind w:firstLine="420" w:firstLineChars="200"/>
        <w:outlineLvl w:val="9"/>
        <w:rPr>
          <w:rFonts w:hint="eastAsia" w:ascii="宋体" w:hAnsi="宋体" w:cs="宋体"/>
          <w:color w:val="auto"/>
          <w:szCs w:val="21"/>
          <w:highlight w:val="none"/>
        </w:rPr>
      </w:pPr>
    </w:p>
    <w:p w14:paraId="639FAF8C">
      <w:pPr>
        <w:rPr>
          <w:rFonts w:hint="eastAsia" w:ascii="宋体" w:hAnsi="宋体" w:cs="宋体"/>
          <w:b/>
          <w:bCs/>
          <w:color w:val="auto"/>
          <w:szCs w:val="21"/>
          <w:highlight w:val="none"/>
        </w:rPr>
      </w:pPr>
      <w:r>
        <w:rPr>
          <w:rFonts w:hint="eastAsia" w:ascii="宋体" w:hAnsi="宋体" w:cs="宋体"/>
          <w:b/>
          <w:bCs/>
          <w:color w:val="auto"/>
          <w:szCs w:val="21"/>
          <w:highlight w:val="none"/>
        </w:rPr>
        <w:t>说明：若无关联企业或南方电网公司系统职工持股，则在上述表格相关名称栏中填写“无</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w:t>
      </w:r>
      <w:bookmarkEnd w:id="2261"/>
      <w:bookmarkEnd w:id="2262"/>
    </w:p>
    <w:p w14:paraId="00A39747">
      <w:pPr>
        <w:rPr>
          <w:rFonts w:hint="eastAsia"/>
          <w:highlight w:val="none"/>
        </w:rPr>
      </w:pPr>
    </w:p>
    <w:p w14:paraId="6E355D84">
      <w:pPr>
        <w:rPr>
          <w:rFonts w:hint="eastAsia"/>
          <w:highlight w:val="none"/>
        </w:rPr>
      </w:pPr>
      <w:r>
        <w:rPr>
          <w:rFonts w:hint="eastAsia"/>
          <w:highlight w:val="none"/>
        </w:rPr>
        <w:br w:type="page"/>
      </w:r>
    </w:p>
    <w:p w14:paraId="62384E02">
      <w:pPr>
        <w:pStyle w:val="5"/>
        <w:numPr>
          <w:ilvl w:val="0"/>
          <w:numId w:val="7"/>
        </w:numPr>
        <w:kinsoku/>
        <w:overflowPunct/>
        <w:bidi w:val="0"/>
        <w:spacing w:before="0" w:after="0" w:line="360" w:lineRule="auto"/>
        <w:ind w:left="0" w:leftChars="0" w:firstLine="0" w:firstLineChars="0"/>
        <w:textAlignment w:val="auto"/>
        <w:rPr>
          <w:rFonts w:hint="eastAsia"/>
          <w:color w:val="auto"/>
          <w:highlight w:val="none"/>
        </w:rPr>
      </w:pPr>
      <w:bookmarkStart w:id="2263" w:name="_Toc26313"/>
      <w:r>
        <w:rPr>
          <w:rFonts w:hint="eastAsia"/>
          <w:color w:val="auto"/>
          <w:highlight w:val="none"/>
        </w:rPr>
        <w:t>交纳</w:t>
      </w:r>
      <w:r>
        <w:rPr>
          <w:rFonts w:hint="eastAsia"/>
          <w:color w:val="auto"/>
          <w:highlight w:val="none"/>
          <w:lang w:val="en-US" w:eastAsia="zh-CN"/>
        </w:rPr>
        <w:t>招标</w:t>
      </w:r>
      <w:r>
        <w:rPr>
          <w:rFonts w:hint="eastAsia"/>
          <w:color w:val="auto"/>
          <w:highlight w:val="none"/>
        </w:rPr>
        <w:t>代理服务费承诺书</w:t>
      </w:r>
      <w:bookmarkEnd w:id="2263"/>
    </w:p>
    <w:p w14:paraId="4C40B277">
      <w:pPr>
        <w:kinsoku/>
        <w:overflowPunct/>
        <w:bidi w:val="0"/>
        <w:spacing w:line="360" w:lineRule="auto"/>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 xml:space="preserve"> </w:t>
      </w:r>
    </w:p>
    <w:p w14:paraId="1035AB6F">
      <w:pPr>
        <w:kinsoku/>
        <w:overflowPunct/>
        <w:bidi w:val="0"/>
        <w:spacing w:line="360" w:lineRule="auto"/>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交纳</w:t>
      </w:r>
      <w:r>
        <w:rPr>
          <w:rFonts w:hint="eastAsia" w:ascii="宋体" w:hAnsi="宋体" w:cs="宋体"/>
          <w:b/>
          <w:color w:val="auto"/>
          <w:sz w:val="30"/>
          <w:szCs w:val="30"/>
          <w:highlight w:val="none"/>
          <w:lang w:val="en-US" w:eastAsia="zh-CN"/>
        </w:rPr>
        <w:t>招标</w:t>
      </w:r>
      <w:r>
        <w:rPr>
          <w:rFonts w:hint="eastAsia" w:ascii="宋体" w:hAnsi="宋体" w:cs="宋体"/>
          <w:b/>
          <w:color w:val="auto"/>
          <w:sz w:val="30"/>
          <w:szCs w:val="30"/>
          <w:highlight w:val="none"/>
        </w:rPr>
        <w:t>代理服务费承诺书</w:t>
      </w:r>
    </w:p>
    <w:p w14:paraId="4A58DEE4">
      <w:pPr>
        <w:widowControl/>
        <w:kinsoku/>
        <w:overflowPunct/>
        <w:bidi w:val="0"/>
        <w:spacing w:line="360" w:lineRule="auto"/>
        <w:jc w:val="left"/>
        <w:rPr>
          <w:rFonts w:hint="eastAsia" w:ascii="宋体" w:hAnsi="宋体" w:cs="宋体"/>
          <w:color w:val="auto"/>
          <w:kern w:val="0"/>
          <w:sz w:val="24"/>
          <w:szCs w:val="24"/>
          <w:highlight w:val="none"/>
          <w:u w:val="single"/>
          <w:shd w:val="clear" w:color="auto" w:fill="FFFFFF"/>
          <w:lang w:bidi="ar"/>
        </w:rPr>
      </w:pPr>
    </w:p>
    <w:p w14:paraId="7BE18E8A">
      <w:pPr>
        <w:keepNext w:val="0"/>
        <w:keepLines w:val="0"/>
        <w:pageBreakBefore w:val="0"/>
        <w:widowControl/>
        <w:kinsoku/>
        <w:wordWrap/>
        <w:overflowPunct/>
        <w:topLinePunct w:val="0"/>
        <w:autoSpaceDE/>
        <w:autoSpaceDN/>
        <w:bidi w:val="0"/>
        <w:adjustRightInd/>
        <w:snapToGrid/>
        <w:spacing w:line="360" w:lineRule="auto"/>
        <w:ind w:right="567"/>
        <w:jc w:val="left"/>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u w:val="single"/>
          <w:shd w:val="clear" w:color="auto" w:fill="FFFFFF"/>
          <w:lang w:val="en-US" w:eastAsia="zh-CN" w:bidi="ar"/>
        </w:rPr>
        <w:t>广州竣盛工程造价咨询有限公司</w:t>
      </w:r>
      <w:r>
        <w:rPr>
          <w:rFonts w:hint="eastAsia" w:ascii="宋体" w:hAnsi="宋体" w:cs="宋体"/>
          <w:color w:val="auto"/>
          <w:kern w:val="0"/>
          <w:sz w:val="24"/>
          <w:szCs w:val="24"/>
          <w:highlight w:val="none"/>
          <w:shd w:val="clear" w:color="auto" w:fill="FFFFFF"/>
          <w:lang w:bidi="ar"/>
        </w:rPr>
        <w:t>：</w:t>
      </w:r>
    </w:p>
    <w:p w14:paraId="63BFF35B">
      <w:pPr>
        <w:keepNext w:val="0"/>
        <w:keepLines w:val="0"/>
        <w:pageBreakBefore w:val="0"/>
        <w:widowControl/>
        <w:kinsoku/>
        <w:wordWrap/>
        <w:overflowPunct/>
        <w:topLinePunct w:val="0"/>
        <w:autoSpaceDE/>
        <w:autoSpaceDN/>
        <w:bidi w:val="0"/>
        <w:adjustRightInd/>
        <w:snapToGrid/>
        <w:spacing w:line="360" w:lineRule="auto"/>
        <w:ind w:right="567" w:firstLine="560"/>
        <w:jc w:val="left"/>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shd w:val="clear" w:color="auto" w:fill="FFFFFF"/>
          <w:lang w:bidi="ar"/>
        </w:rPr>
        <w:t>我司自愿参与贵司代理</w:t>
      </w:r>
      <w:r>
        <w:rPr>
          <w:rFonts w:hint="eastAsia" w:ascii="宋体" w:hAnsi="宋体" w:cs="宋体"/>
          <w:color w:val="auto"/>
          <w:kern w:val="0"/>
          <w:sz w:val="24"/>
          <w:szCs w:val="24"/>
          <w:highlight w:val="none"/>
          <w:u w:val="single"/>
          <w:shd w:val="clear" w:color="auto" w:fill="FFFFFF"/>
          <w:lang w:bidi="ar"/>
        </w:rPr>
        <w:t>项目名称：</w:t>
      </w:r>
      <w:r>
        <w:rPr>
          <w:rFonts w:hint="eastAsia" w:ascii="宋体" w:hAnsi="宋体" w:cs="宋体"/>
          <w:color w:val="auto"/>
          <w:kern w:val="0"/>
          <w:sz w:val="24"/>
          <w:szCs w:val="24"/>
          <w:highlight w:val="none"/>
          <w:u w:val="single"/>
          <w:shd w:val="clear" w:color="auto" w:fill="FFFFFF"/>
          <w:lang w:eastAsia="zh-CN" w:bidi="ar"/>
        </w:rPr>
        <w:t>科技公司2025-2026年第一批光伏组件采购框架（二次招标）</w:t>
      </w:r>
      <w:r>
        <w:rPr>
          <w:rFonts w:hint="eastAsia" w:ascii="宋体" w:hAnsi="宋体" w:cs="宋体"/>
          <w:color w:val="auto"/>
          <w:kern w:val="0"/>
          <w:sz w:val="24"/>
          <w:szCs w:val="24"/>
          <w:highlight w:val="none"/>
          <w:u w:val="single"/>
          <w:shd w:val="clear" w:color="auto" w:fill="FFFFFF"/>
          <w:lang w:val="en-US" w:eastAsia="zh-CN" w:bidi="ar"/>
        </w:rPr>
        <w:t xml:space="preserve">，标段名称：科技公司2025-2026年第一批光伏组件采购框架（二次招标） </w:t>
      </w:r>
      <w:r>
        <w:rPr>
          <w:rFonts w:hint="eastAsia" w:ascii="宋体" w:hAnsi="宋体" w:cs="宋体"/>
          <w:color w:val="auto"/>
          <w:kern w:val="0"/>
          <w:sz w:val="24"/>
          <w:szCs w:val="24"/>
          <w:highlight w:val="none"/>
          <w:shd w:val="clear" w:color="auto" w:fill="FFFFFF"/>
          <w:lang w:bidi="ar"/>
        </w:rPr>
        <w:t>的采购活动，若贵司发出本项目的中标通知书或成交通知书，则视为贵司已完成本项目的全部采购代理工作，我司承诺将按照</w:t>
      </w:r>
      <w:r>
        <w:rPr>
          <w:rFonts w:hint="eastAsia" w:ascii="宋体" w:hAnsi="宋体" w:cs="宋体"/>
          <w:color w:val="auto"/>
          <w:kern w:val="0"/>
          <w:sz w:val="24"/>
          <w:szCs w:val="24"/>
          <w:highlight w:val="none"/>
          <w:shd w:val="clear" w:color="auto" w:fill="FFFFFF"/>
          <w:lang w:eastAsia="zh-CN" w:bidi="ar"/>
        </w:rPr>
        <w:t>招标文件</w:t>
      </w:r>
      <w:r>
        <w:rPr>
          <w:rFonts w:hint="eastAsia" w:ascii="宋体" w:hAnsi="宋体" w:cs="宋体"/>
          <w:color w:val="auto"/>
          <w:kern w:val="0"/>
          <w:sz w:val="24"/>
          <w:szCs w:val="24"/>
          <w:highlight w:val="none"/>
          <w:shd w:val="clear" w:color="auto" w:fill="FFFFFF"/>
          <w:lang w:bidi="ar"/>
        </w:rPr>
        <w:t>约定的标准及时、足额交纳</w:t>
      </w:r>
      <w:r>
        <w:rPr>
          <w:rFonts w:hint="eastAsia" w:ascii="宋体" w:hAnsi="宋体" w:cs="宋体"/>
          <w:color w:val="auto"/>
          <w:kern w:val="0"/>
          <w:sz w:val="24"/>
          <w:szCs w:val="24"/>
          <w:highlight w:val="none"/>
          <w:shd w:val="clear" w:color="auto" w:fill="FFFFFF"/>
          <w:lang w:val="en-US" w:eastAsia="zh-CN" w:bidi="ar"/>
        </w:rPr>
        <w:t>招标</w:t>
      </w:r>
      <w:r>
        <w:rPr>
          <w:rFonts w:hint="eastAsia" w:ascii="宋体" w:hAnsi="宋体" w:cs="宋体"/>
          <w:color w:val="auto"/>
          <w:kern w:val="0"/>
          <w:sz w:val="24"/>
          <w:szCs w:val="24"/>
          <w:highlight w:val="none"/>
          <w:shd w:val="clear" w:color="auto" w:fill="FFFFFF"/>
          <w:lang w:bidi="ar"/>
        </w:rPr>
        <w:t>代理服务费且贵司的收费不因我司中标（成交）或签约资格被取消等情形受影响。</w:t>
      </w:r>
    </w:p>
    <w:p w14:paraId="0E73275A">
      <w:pPr>
        <w:keepNext w:val="0"/>
        <w:keepLines w:val="0"/>
        <w:pageBreakBefore w:val="0"/>
        <w:widowControl/>
        <w:kinsoku/>
        <w:wordWrap/>
        <w:overflowPunct/>
        <w:topLinePunct w:val="0"/>
        <w:autoSpaceDE/>
        <w:autoSpaceDN/>
        <w:bidi w:val="0"/>
        <w:adjustRightInd/>
        <w:snapToGrid/>
        <w:spacing w:line="360" w:lineRule="auto"/>
        <w:ind w:right="567" w:firstLine="560"/>
        <w:jc w:val="left"/>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shd w:val="clear" w:color="auto" w:fill="FFFFFF"/>
          <w:lang w:bidi="ar"/>
        </w:rPr>
        <w:t>若违反本承诺，我司同意贵司从投标保证金中扣减相应的金额（如因其他原因导致无法扣减的，则另行支付）且愿承担由此导致的不利信用评价风险。</w:t>
      </w:r>
    </w:p>
    <w:p w14:paraId="17AF947D">
      <w:pPr>
        <w:keepNext w:val="0"/>
        <w:keepLines w:val="0"/>
        <w:pageBreakBefore w:val="0"/>
        <w:widowControl/>
        <w:kinsoku/>
        <w:wordWrap/>
        <w:overflowPunct/>
        <w:topLinePunct w:val="0"/>
        <w:autoSpaceDE/>
        <w:autoSpaceDN/>
        <w:bidi w:val="0"/>
        <w:adjustRightInd/>
        <w:snapToGrid/>
        <w:spacing w:line="360" w:lineRule="auto"/>
        <w:ind w:right="567" w:firstLine="560"/>
        <w:jc w:val="left"/>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shd w:val="clear" w:color="auto" w:fill="FFFFFF"/>
          <w:lang w:bidi="ar"/>
        </w:rPr>
        <w:t>特此承诺！</w:t>
      </w:r>
    </w:p>
    <w:p w14:paraId="53E5666B">
      <w:pPr>
        <w:pStyle w:val="224"/>
        <w:keepNext w:val="0"/>
        <w:keepLines w:val="0"/>
        <w:pageBreakBefore w:val="0"/>
        <w:kinsoku/>
        <w:wordWrap/>
        <w:overflowPunct/>
        <w:topLinePunct w:val="0"/>
        <w:autoSpaceDE/>
        <w:autoSpaceDN/>
        <w:bidi w:val="0"/>
        <w:adjustRightInd/>
        <w:snapToGrid/>
        <w:spacing w:before="0" w:line="360" w:lineRule="auto"/>
        <w:ind w:right="567"/>
        <w:jc w:val="right"/>
        <w:textAlignment w:val="auto"/>
        <w:rPr>
          <w:rFonts w:hint="eastAsia" w:cs="宋体"/>
          <w:snapToGrid w:val="0"/>
          <w:color w:val="auto"/>
          <w:kern w:val="24"/>
          <w:szCs w:val="24"/>
          <w:highlight w:val="none"/>
          <w:lang w:val="en-US"/>
        </w:rPr>
      </w:pPr>
    </w:p>
    <w:p w14:paraId="05BF14F7">
      <w:pPr>
        <w:keepNext w:val="0"/>
        <w:keepLines w:val="0"/>
        <w:pageBreakBefore w:val="0"/>
        <w:kinsoku/>
        <w:wordWrap/>
        <w:overflowPunct/>
        <w:topLinePunct w:val="0"/>
        <w:autoSpaceDE/>
        <w:autoSpaceDN/>
        <w:bidi w:val="0"/>
        <w:adjustRightInd/>
        <w:snapToGrid/>
        <w:spacing w:line="360" w:lineRule="auto"/>
        <w:ind w:right="567" w:firstLine="3465" w:firstLineChars="1575"/>
        <w:textAlignment w:val="auto"/>
        <w:rPr>
          <w:rFonts w:hint="eastAsia" w:ascii="宋体" w:hAnsi="宋体" w:cs="宋体"/>
          <w:color w:val="auto"/>
          <w:sz w:val="22"/>
          <w:szCs w:val="22"/>
          <w:highlight w:val="none"/>
          <w:u w:val="single"/>
        </w:rPr>
      </w:pPr>
      <w:r>
        <w:rPr>
          <w:rFonts w:hint="eastAsia" w:ascii="宋体" w:hAnsi="宋体" w:cs="宋体"/>
          <w:color w:val="auto"/>
          <w:sz w:val="22"/>
          <w:szCs w:val="22"/>
          <w:highlight w:val="none"/>
          <w:lang w:val="en-US" w:eastAsia="zh-CN"/>
        </w:rPr>
        <w:t>投标人</w:t>
      </w:r>
      <w:r>
        <w:rPr>
          <w:rFonts w:hint="eastAsia" w:ascii="宋体" w:hAnsi="宋体" w:cs="宋体"/>
          <w:color w:val="auto"/>
          <w:sz w:val="22"/>
          <w:szCs w:val="22"/>
          <w:highlight w:val="none"/>
        </w:rPr>
        <w:t>名称（公章或投标专用章或电子签章）：</w:t>
      </w:r>
      <w:r>
        <w:rPr>
          <w:rFonts w:hint="eastAsia" w:ascii="宋体" w:hAnsi="宋体" w:cs="宋体"/>
          <w:color w:val="auto"/>
          <w:sz w:val="22"/>
          <w:szCs w:val="22"/>
          <w:highlight w:val="none"/>
          <w:u w:val="single"/>
        </w:rPr>
        <w:t xml:space="preserve">               </w:t>
      </w:r>
    </w:p>
    <w:p w14:paraId="1831F3AA">
      <w:pPr>
        <w:pStyle w:val="17"/>
        <w:rPr>
          <w:b/>
          <w:color w:val="auto"/>
          <w:szCs w:val="21"/>
          <w:highlight w:val="none"/>
          <w:shd w:val="clear" w:color="auto" w:fill="FFFFFF"/>
        </w:rPr>
      </w:pPr>
    </w:p>
    <w:p w14:paraId="580A91EC">
      <w:pPr>
        <w:pStyle w:val="17"/>
        <w:rPr>
          <w:b/>
          <w:color w:val="auto"/>
          <w:szCs w:val="21"/>
          <w:highlight w:val="none"/>
          <w:shd w:val="clear" w:color="auto" w:fill="FFFFFF"/>
        </w:rPr>
      </w:pPr>
    </w:p>
    <w:p w14:paraId="2C3BFA71">
      <w:pPr>
        <w:pStyle w:val="43"/>
        <w:rPr>
          <w:rFonts w:hint="eastAsia"/>
          <w:color w:val="auto"/>
          <w:sz w:val="36"/>
          <w:szCs w:val="36"/>
          <w:highlight w:val="none"/>
        </w:rPr>
        <w:sectPr>
          <w:pgSz w:w="11906" w:h="16838"/>
          <w:pgMar w:top="1440" w:right="1080" w:bottom="1440" w:left="1080" w:header="964" w:footer="992" w:gutter="0"/>
          <w:pgNumType w:fmt="decimal"/>
          <w:cols w:space="720" w:num="1"/>
          <w:docGrid w:type="lines" w:linePitch="312" w:charSpace="0"/>
        </w:sectPr>
      </w:pPr>
    </w:p>
    <w:p w14:paraId="32FA60A8">
      <w:pPr>
        <w:pStyle w:val="5"/>
        <w:kinsoku/>
        <w:overflowPunct/>
        <w:bidi w:val="0"/>
        <w:spacing w:before="0" w:after="0" w:line="360" w:lineRule="auto"/>
        <w:textAlignment w:val="auto"/>
        <w:rPr>
          <w:rFonts w:hint="eastAsia" w:eastAsia="宋体"/>
          <w:color w:val="auto"/>
          <w:highlight w:val="none"/>
          <w:lang w:eastAsia="zh-CN"/>
        </w:rPr>
      </w:pPr>
      <w:bookmarkStart w:id="2264" w:name="_Toc3015"/>
      <w:r>
        <w:rPr>
          <w:rFonts w:hint="eastAsia"/>
          <w:color w:val="auto"/>
          <w:highlight w:val="none"/>
          <w:lang w:val="en-US" w:eastAsia="zh-CN"/>
        </w:rPr>
        <w:t>五、投标</w:t>
      </w:r>
      <w:r>
        <w:rPr>
          <w:rFonts w:hint="eastAsia"/>
          <w:color w:val="auto"/>
          <w:highlight w:val="none"/>
        </w:rPr>
        <w:t>偏差表</w:t>
      </w:r>
      <w:r>
        <w:rPr>
          <w:rFonts w:hint="eastAsia"/>
          <w:color w:val="auto"/>
          <w:highlight w:val="none"/>
          <w:lang w:eastAsia="zh-CN"/>
        </w:rPr>
        <w:t>（</w:t>
      </w:r>
      <w:r>
        <w:rPr>
          <w:rFonts w:hint="eastAsia"/>
          <w:color w:val="auto"/>
          <w:highlight w:val="none"/>
          <w:lang w:val="en-US" w:eastAsia="zh-CN"/>
        </w:rPr>
        <w:t>商务</w:t>
      </w:r>
      <w:r>
        <w:rPr>
          <w:rFonts w:hint="eastAsia"/>
          <w:color w:val="auto"/>
          <w:highlight w:val="none"/>
          <w:lang w:eastAsia="zh-CN"/>
        </w:rPr>
        <w:t>）</w:t>
      </w:r>
      <w:bookmarkEnd w:id="2264"/>
    </w:p>
    <w:p w14:paraId="5EA6E64C">
      <w:pPr>
        <w:kinsoku/>
        <w:overflowPunct/>
        <w:bidi w:val="0"/>
        <w:spacing w:line="360" w:lineRule="auto"/>
        <w:rPr>
          <w:rFonts w:hint="eastAsia" w:ascii="宋体" w:hAnsi="宋体" w:cs="宋体"/>
          <w:color w:val="auto"/>
          <w:szCs w:val="21"/>
          <w:highlight w:val="none"/>
        </w:rPr>
      </w:pPr>
    </w:p>
    <w:p w14:paraId="4330E175">
      <w:pPr>
        <w:kinsoku/>
        <w:overflowPunct/>
        <w:bidi w:val="0"/>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lang w:eastAsia="zh-CN"/>
        </w:rPr>
        <w:t>科技公司2025-2026年第一批光伏组件采购框架（二次招标）</w:t>
      </w:r>
    </w:p>
    <w:p w14:paraId="02428771">
      <w:pPr>
        <w:kinsoku/>
        <w:overflowPunct/>
        <w:bidi w:val="0"/>
        <w:spacing w:line="360" w:lineRule="auto"/>
        <w:rPr>
          <w:rFonts w:hint="eastAsia" w:ascii="宋体" w:hAnsi="宋体" w:eastAsia="宋体" w:cs="宋体"/>
          <w:color w:val="auto"/>
          <w:szCs w:val="21"/>
          <w:highlight w:val="none"/>
          <w:lang w:val="en-US" w:eastAsia="zh-CN"/>
        </w:rPr>
      </w:pPr>
      <w:r>
        <w:rPr>
          <w:rFonts w:hint="eastAsia" w:hAnsi="宋体"/>
          <w:color w:val="auto"/>
          <w:highlight w:val="none"/>
          <w:u w:val="none"/>
          <w:lang w:eastAsia="zh-CN"/>
        </w:rPr>
        <w:t>标段名称：科技公司2025-2026年第一批光伏组件采购框架（二次招标）</w:t>
      </w:r>
    </w:p>
    <w:tbl>
      <w:tblPr>
        <w:tblStyle w:val="46"/>
        <w:tblW w:w="107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917"/>
        <w:gridCol w:w="1929"/>
        <w:gridCol w:w="2180"/>
        <w:gridCol w:w="1983"/>
        <w:gridCol w:w="1822"/>
      </w:tblGrid>
      <w:tr w14:paraId="6F73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exact"/>
          <w:jc w:val="center"/>
        </w:trPr>
        <w:tc>
          <w:tcPr>
            <w:tcW w:w="898" w:type="dxa"/>
            <w:tcBorders>
              <w:top w:val="single" w:color="auto" w:sz="4" w:space="0"/>
              <w:left w:val="single" w:color="auto" w:sz="4" w:space="0"/>
              <w:bottom w:val="single" w:color="auto" w:sz="4" w:space="0"/>
              <w:right w:val="single" w:color="auto" w:sz="4" w:space="0"/>
            </w:tcBorders>
            <w:noWrap w:val="0"/>
            <w:vAlign w:val="center"/>
          </w:tcPr>
          <w:p w14:paraId="1FF97329">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51498AD">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lang w:val="en-US" w:eastAsia="zh-CN"/>
              </w:rPr>
              <w:t>招标</w:t>
            </w:r>
            <w:r>
              <w:rPr>
                <w:rFonts w:hint="eastAsia" w:ascii="宋体" w:hAnsi="宋体" w:cs="宋体"/>
                <w:color w:val="auto"/>
                <w:szCs w:val="21"/>
                <w:highlight w:val="none"/>
              </w:rPr>
              <w:t>文件条目号</w:t>
            </w:r>
          </w:p>
        </w:tc>
        <w:tc>
          <w:tcPr>
            <w:tcW w:w="1929" w:type="dxa"/>
            <w:tcBorders>
              <w:top w:val="single" w:color="auto" w:sz="4" w:space="0"/>
              <w:left w:val="single" w:color="auto" w:sz="4" w:space="0"/>
              <w:bottom w:val="single" w:color="auto" w:sz="4" w:space="0"/>
              <w:right w:val="single" w:color="auto" w:sz="4" w:space="0"/>
            </w:tcBorders>
            <w:noWrap w:val="0"/>
            <w:vAlign w:val="center"/>
          </w:tcPr>
          <w:p w14:paraId="53F875D8">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lang w:val="en-US" w:eastAsia="zh-CN"/>
              </w:rPr>
              <w:t>招标</w:t>
            </w:r>
            <w:r>
              <w:rPr>
                <w:rFonts w:hint="eastAsia" w:ascii="宋体" w:hAnsi="宋体" w:cs="宋体"/>
                <w:color w:val="auto"/>
                <w:szCs w:val="21"/>
                <w:highlight w:val="none"/>
              </w:rPr>
              <w:t>文件条款</w:t>
            </w:r>
          </w:p>
        </w:tc>
        <w:tc>
          <w:tcPr>
            <w:tcW w:w="2180" w:type="dxa"/>
            <w:tcBorders>
              <w:top w:val="single" w:color="auto" w:sz="4" w:space="0"/>
              <w:left w:val="single" w:color="auto" w:sz="4" w:space="0"/>
              <w:bottom w:val="single" w:color="auto" w:sz="4" w:space="0"/>
              <w:right w:val="single" w:color="auto" w:sz="4" w:space="0"/>
            </w:tcBorders>
            <w:noWrap w:val="0"/>
            <w:vAlign w:val="center"/>
          </w:tcPr>
          <w:p w14:paraId="6F0A4A28">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olor w:val="auto"/>
                <w:highlight w:val="none"/>
                <w:lang w:val="en-US" w:eastAsia="zh-CN"/>
              </w:rPr>
              <w:t>投标</w:t>
            </w:r>
            <w:r>
              <w:rPr>
                <w:rFonts w:hint="eastAsia" w:ascii="宋体" w:hAnsi="宋体"/>
                <w:color w:val="auto"/>
                <w:highlight w:val="none"/>
              </w:rPr>
              <w:t>文件</w:t>
            </w:r>
            <w:r>
              <w:rPr>
                <w:rFonts w:hint="eastAsia" w:ascii="宋体" w:hAnsi="宋体" w:cs="宋体"/>
                <w:color w:val="auto"/>
                <w:szCs w:val="21"/>
                <w:highlight w:val="none"/>
              </w:rPr>
              <w:t>条目号</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295586FB">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olor w:val="auto"/>
                <w:highlight w:val="none"/>
                <w:lang w:val="en-US" w:eastAsia="zh-CN"/>
              </w:rPr>
              <w:t>投标</w:t>
            </w:r>
            <w:r>
              <w:rPr>
                <w:rFonts w:hint="eastAsia" w:ascii="宋体" w:hAnsi="宋体"/>
                <w:color w:val="auto"/>
                <w:highlight w:val="none"/>
              </w:rPr>
              <w:t>文件</w:t>
            </w:r>
            <w:r>
              <w:rPr>
                <w:rFonts w:hint="eastAsia" w:ascii="宋体" w:hAnsi="宋体" w:cs="宋体"/>
                <w:color w:val="auto"/>
                <w:szCs w:val="21"/>
                <w:highlight w:val="none"/>
              </w:rPr>
              <w:t>条款</w:t>
            </w:r>
          </w:p>
        </w:tc>
        <w:tc>
          <w:tcPr>
            <w:tcW w:w="1822" w:type="dxa"/>
            <w:tcBorders>
              <w:top w:val="single" w:color="auto" w:sz="4" w:space="0"/>
              <w:left w:val="single" w:color="auto" w:sz="4" w:space="0"/>
              <w:bottom w:val="single" w:color="auto" w:sz="4" w:space="0"/>
              <w:right w:val="single" w:color="auto" w:sz="4" w:space="0"/>
            </w:tcBorders>
            <w:noWrap w:val="0"/>
            <w:vAlign w:val="center"/>
          </w:tcPr>
          <w:p w14:paraId="4313D649">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偏差说明</w:t>
            </w:r>
          </w:p>
        </w:tc>
      </w:tr>
      <w:tr w14:paraId="326BA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8" w:type="dxa"/>
            <w:tcBorders>
              <w:top w:val="single" w:color="auto" w:sz="4" w:space="0"/>
              <w:left w:val="single" w:color="auto" w:sz="4" w:space="0"/>
              <w:bottom w:val="single" w:color="auto" w:sz="4" w:space="0"/>
              <w:right w:val="single" w:color="auto" w:sz="4" w:space="0"/>
            </w:tcBorders>
            <w:noWrap w:val="0"/>
            <w:vAlign w:val="center"/>
          </w:tcPr>
          <w:p w14:paraId="72DF9EB9">
            <w:pPr>
              <w:kinsoku/>
              <w:overflowPunct/>
              <w:autoSpaceDE w:val="0"/>
              <w:autoSpaceDN w:val="0"/>
              <w:bidi w:val="0"/>
              <w:adjustRightIn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A838C5B">
            <w:pPr>
              <w:kinsoku/>
              <w:overflowPunct/>
              <w:autoSpaceDE w:val="0"/>
              <w:autoSpaceDN w:val="0"/>
              <w:bidi w:val="0"/>
              <w:adjustRightInd w:val="0"/>
              <w:spacing w:line="360" w:lineRule="auto"/>
              <w:jc w:val="center"/>
              <w:rPr>
                <w:rFonts w:ascii="宋体" w:hAnsi="宋体" w:cs="宋体"/>
                <w:color w:val="auto"/>
                <w:szCs w:val="21"/>
                <w:highlight w:val="none"/>
              </w:rPr>
            </w:pPr>
          </w:p>
        </w:tc>
        <w:tc>
          <w:tcPr>
            <w:tcW w:w="1929" w:type="dxa"/>
            <w:tcBorders>
              <w:top w:val="single" w:color="auto" w:sz="4" w:space="0"/>
              <w:left w:val="single" w:color="auto" w:sz="4" w:space="0"/>
              <w:bottom w:val="single" w:color="auto" w:sz="4" w:space="0"/>
              <w:right w:val="single" w:color="auto" w:sz="4" w:space="0"/>
            </w:tcBorders>
            <w:noWrap w:val="0"/>
            <w:vAlign w:val="center"/>
          </w:tcPr>
          <w:p w14:paraId="5BE9A1BB">
            <w:pPr>
              <w:kinsoku/>
              <w:overflowPunct/>
              <w:autoSpaceDE w:val="0"/>
              <w:autoSpaceDN w:val="0"/>
              <w:bidi w:val="0"/>
              <w:adjustRightInd w:val="0"/>
              <w:spacing w:line="360" w:lineRule="auto"/>
              <w:jc w:val="center"/>
              <w:rPr>
                <w:rFonts w:ascii="宋体" w:hAnsi="宋体" w:cs="宋体"/>
                <w:color w:val="auto"/>
                <w:szCs w:val="21"/>
                <w:highlight w:val="none"/>
              </w:rPr>
            </w:pPr>
          </w:p>
        </w:tc>
        <w:tc>
          <w:tcPr>
            <w:tcW w:w="2180" w:type="dxa"/>
            <w:tcBorders>
              <w:top w:val="single" w:color="auto" w:sz="4" w:space="0"/>
              <w:left w:val="single" w:color="auto" w:sz="4" w:space="0"/>
              <w:bottom w:val="single" w:color="auto" w:sz="4" w:space="0"/>
              <w:right w:val="single" w:color="auto" w:sz="4" w:space="0"/>
            </w:tcBorders>
            <w:noWrap w:val="0"/>
            <w:vAlign w:val="center"/>
          </w:tcPr>
          <w:p w14:paraId="3162F209">
            <w:pPr>
              <w:kinsoku/>
              <w:overflowPunct/>
              <w:autoSpaceDE w:val="0"/>
              <w:autoSpaceDN w:val="0"/>
              <w:bidi w:val="0"/>
              <w:adjustRightInd w:val="0"/>
              <w:spacing w:line="360" w:lineRule="auto"/>
              <w:jc w:val="center"/>
              <w:rPr>
                <w:rFonts w:ascii="宋体" w:hAnsi="宋体" w:cs="宋体"/>
                <w:color w:val="auto"/>
                <w:szCs w:val="21"/>
                <w:highlight w:val="none"/>
              </w:rPr>
            </w:pPr>
          </w:p>
        </w:tc>
        <w:tc>
          <w:tcPr>
            <w:tcW w:w="1983" w:type="dxa"/>
            <w:tcBorders>
              <w:top w:val="single" w:color="auto" w:sz="4" w:space="0"/>
              <w:left w:val="single" w:color="auto" w:sz="4" w:space="0"/>
              <w:bottom w:val="single" w:color="auto" w:sz="4" w:space="0"/>
              <w:right w:val="single" w:color="auto" w:sz="4" w:space="0"/>
            </w:tcBorders>
            <w:noWrap w:val="0"/>
            <w:vAlign w:val="center"/>
          </w:tcPr>
          <w:p w14:paraId="5B88FC6F">
            <w:pPr>
              <w:kinsoku/>
              <w:overflowPunct/>
              <w:autoSpaceDE w:val="0"/>
              <w:autoSpaceDN w:val="0"/>
              <w:bidi w:val="0"/>
              <w:adjustRightInd w:val="0"/>
              <w:spacing w:line="360" w:lineRule="auto"/>
              <w:jc w:val="center"/>
              <w:rPr>
                <w:rFonts w:ascii="宋体" w:hAnsi="宋体" w:cs="宋体"/>
                <w:color w:val="auto"/>
                <w:szCs w:val="21"/>
                <w:highlight w:val="none"/>
              </w:rPr>
            </w:pPr>
          </w:p>
        </w:tc>
        <w:tc>
          <w:tcPr>
            <w:tcW w:w="1822" w:type="dxa"/>
            <w:tcBorders>
              <w:top w:val="single" w:color="auto" w:sz="4" w:space="0"/>
              <w:left w:val="single" w:color="auto" w:sz="4" w:space="0"/>
              <w:bottom w:val="single" w:color="auto" w:sz="4" w:space="0"/>
              <w:right w:val="single" w:color="auto" w:sz="4" w:space="0"/>
            </w:tcBorders>
            <w:noWrap w:val="0"/>
            <w:vAlign w:val="center"/>
          </w:tcPr>
          <w:p w14:paraId="6E6DC8DA">
            <w:pPr>
              <w:kinsoku/>
              <w:overflowPunct/>
              <w:autoSpaceDE w:val="0"/>
              <w:autoSpaceDN w:val="0"/>
              <w:bidi w:val="0"/>
              <w:adjustRightInd w:val="0"/>
              <w:spacing w:line="360" w:lineRule="auto"/>
              <w:jc w:val="center"/>
              <w:rPr>
                <w:rFonts w:ascii="宋体" w:hAnsi="宋体" w:cs="宋体"/>
                <w:color w:val="auto"/>
                <w:szCs w:val="21"/>
                <w:highlight w:val="none"/>
              </w:rPr>
            </w:pPr>
          </w:p>
        </w:tc>
      </w:tr>
      <w:tr w14:paraId="0878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8" w:type="dxa"/>
            <w:tcBorders>
              <w:top w:val="single" w:color="auto" w:sz="4" w:space="0"/>
              <w:left w:val="single" w:color="auto" w:sz="4" w:space="0"/>
              <w:bottom w:val="single" w:color="auto" w:sz="4" w:space="0"/>
              <w:right w:val="single" w:color="auto" w:sz="4" w:space="0"/>
            </w:tcBorders>
            <w:noWrap w:val="0"/>
            <w:vAlign w:val="center"/>
          </w:tcPr>
          <w:p w14:paraId="27E977FC">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2160F3B">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929" w:type="dxa"/>
            <w:tcBorders>
              <w:top w:val="single" w:color="auto" w:sz="4" w:space="0"/>
              <w:left w:val="single" w:color="auto" w:sz="4" w:space="0"/>
              <w:bottom w:val="single" w:color="auto" w:sz="4" w:space="0"/>
              <w:right w:val="single" w:color="auto" w:sz="4" w:space="0"/>
            </w:tcBorders>
            <w:noWrap w:val="0"/>
            <w:vAlign w:val="center"/>
          </w:tcPr>
          <w:p w14:paraId="469CAB07">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2180" w:type="dxa"/>
            <w:tcBorders>
              <w:top w:val="single" w:color="auto" w:sz="4" w:space="0"/>
              <w:left w:val="single" w:color="auto" w:sz="4" w:space="0"/>
              <w:bottom w:val="single" w:color="auto" w:sz="4" w:space="0"/>
              <w:right w:val="single" w:color="auto" w:sz="4" w:space="0"/>
            </w:tcBorders>
            <w:noWrap w:val="0"/>
            <w:vAlign w:val="center"/>
          </w:tcPr>
          <w:p w14:paraId="0AA2E21A">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3F23EBFA">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822" w:type="dxa"/>
            <w:tcBorders>
              <w:top w:val="single" w:color="auto" w:sz="4" w:space="0"/>
              <w:left w:val="single" w:color="auto" w:sz="4" w:space="0"/>
              <w:bottom w:val="single" w:color="auto" w:sz="4" w:space="0"/>
              <w:right w:val="single" w:color="auto" w:sz="4" w:space="0"/>
            </w:tcBorders>
            <w:noWrap w:val="0"/>
            <w:vAlign w:val="center"/>
          </w:tcPr>
          <w:p w14:paraId="3DC0426B">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r>
    </w:tbl>
    <w:p w14:paraId="03AA12B5">
      <w:pPr>
        <w:kinsoku/>
        <w:overflowPunct/>
        <w:autoSpaceDE w:val="0"/>
        <w:autoSpaceDN w:val="0"/>
        <w:bidi w:val="0"/>
        <w:adjustRightInd w:val="0"/>
        <w:spacing w:line="360" w:lineRule="auto"/>
        <w:rPr>
          <w:rFonts w:ascii="宋体" w:hAnsi="宋体" w:cs="宋体"/>
          <w:color w:val="auto"/>
          <w:szCs w:val="21"/>
          <w:highlight w:val="none"/>
        </w:rPr>
      </w:pPr>
      <w:r>
        <w:rPr>
          <w:rFonts w:hint="eastAsia" w:ascii="宋体" w:hAnsi="宋体" w:cs="宋体"/>
          <w:color w:val="auto"/>
          <w:szCs w:val="21"/>
          <w:highlight w:val="none"/>
        </w:rPr>
        <w:t>注：差异无论多么微小，均须填写在此表上。对于</w:t>
      </w: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提出的但未在</w:t>
      </w:r>
      <w:r>
        <w:rPr>
          <w:rFonts w:hint="eastAsia"/>
          <w:color w:val="auto"/>
          <w:highlight w:val="none"/>
          <w:lang w:val="en-US" w:eastAsia="zh-CN"/>
        </w:rPr>
        <w:t>投标</w:t>
      </w:r>
      <w:r>
        <w:rPr>
          <w:rFonts w:hint="eastAsia"/>
          <w:color w:val="auto"/>
          <w:highlight w:val="none"/>
        </w:rPr>
        <w:t>偏差表</w:t>
      </w:r>
      <w:r>
        <w:rPr>
          <w:rFonts w:hint="eastAsia" w:ascii="宋体" w:hAnsi="宋体" w:cs="宋体"/>
          <w:color w:val="auto"/>
          <w:szCs w:val="21"/>
          <w:highlight w:val="none"/>
        </w:rPr>
        <w:t>列明的偏差部分，</w:t>
      </w:r>
      <w:r>
        <w:rPr>
          <w:rFonts w:hint="eastAsia" w:ascii="宋体" w:hAnsi="宋体" w:cs="宋体"/>
          <w:color w:val="auto"/>
          <w:szCs w:val="21"/>
          <w:highlight w:val="none"/>
          <w:lang w:val="en-US" w:eastAsia="zh-CN"/>
        </w:rPr>
        <w:t>招标人</w:t>
      </w:r>
      <w:r>
        <w:rPr>
          <w:rFonts w:hint="eastAsia" w:ascii="宋体" w:hAnsi="宋体" w:cs="宋体"/>
          <w:color w:val="auto"/>
          <w:szCs w:val="21"/>
          <w:highlight w:val="none"/>
        </w:rPr>
        <w:t>将视为</w:t>
      </w: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未提出该偏差。</w:t>
      </w:r>
    </w:p>
    <w:p w14:paraId="48D1C8B3">
      <w:pPr>
        <w:kinsoku/>
        <w:overflowPunct/>
        <w:bidi w:val="0"/>
        <w:spacing w:line="360" w:lineRule="auto"/>
        <w:ind w:firstLine="3885" w:firstLineChars="1850"/>
        <w:rPr>
          <w:rFonts w:hint="eastAsia" w:ascii="宋体" w:hAnsi="宋体" w:cs="宋体"/>
          <w:color w:val="auto"/>
          <w:szCs w:val="21"/>
          <w:highlight w:val="none"/>
        </w:rPr>
      </w:pPr>
    </w:p>
    <w:p w14:paraId="215B42E8">
      <w:pPr>
        <w:ind w:firstLine="3885" w:firstLineChars="1850"/>
        <w:outlineLvl w:val="9"/>
        <w:rPr>
          <w:rFonts w:ascii="宋体" w:hAnsi="宋体" w:cs="宋体"/>
          <w:color w:val="auto"/>
          <w:szCs w:val="21"/>
          <w:highlight w:val="none"/>
          <w:u w:val="single"/>
        </w:rPr>
      </w:pPr>
      <w:bookmarkStart w:id="2265" w:name="_Toc1585"/>
      <w:bookmarkStart w:id="2266" w:name="_Toc14850"/>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名称（公章或投标专用章或电子签章）：</w:t>
      </w:r>
      <w:r>
        <w:rPr>
          <w:rFonts w:hint="eastAsia" w:ascii="宋体" w:hAnsi="宋体" w:cs="宋体"/>
          <w:color w:val="auto"/>
          <w:szCs w:val="21"/>
          <w:highlight w:val="none"/>
          <w:u w:val="single"/>
        </w:rPr>
        <w:t xml:space="preserve">                                   </w:t>
      </w:r>
    </w:p>
    <w:p w14:paraId="594F1C14">
      <w:pPr>
        <w:ind w:firstLine="3885" w:firstLineChars="1850"/>
        <w:outlineLvl w:val="9"/>
        <w:rPr>
          <w:rFonts w:ascii="宋体" w:hAnsi="宋体" w:cs="宋体"/>
          <w:color w:val="auto"/>
          <w:szCs w:val="21"/>
          <w:highlight w:val="none"/>
          <w:u w:val="single"/>
        </w:rPr>
      </w:pPr>
    </w:p>
    <w:p w14:paraId="67091C98">
      <w:pPr>
        <w:kinsoku/>
        <w:overflowPunct/>
        <w:bidi w:val="0"/>
        <w:spacing w:line="360" w:lineRule="auto"/>
        <w:jc w:val="right"/>
        <w:outlineLvl w:val="9"/>
        <w:rPr>
          <w:rFonts w:hint="eastAsia" w:ascii="宋体" w:hAnsi="宋体" w:cs="宋体"/>
          <w:color w:val="auto"/>
          <w:szCs w:val="21"/>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bookmarkEnd w:id="2265"/>
      <w:bookmarkEnd w:id="2266"/>
    </w:p>
    <w:p w14:paraId="40446825">
      <w:pPr>
        <w:rPr>
          <w:b/>
          <w:color w:val="auto"/>
          <w:szCs w:val="21"/>
          <w:highlight w:val="none"/>
          <w:shd w:val="clear" w:color="auto" w:fill="FFFFFF"/>
        </w:rPr>
      </w:pPr>
    </w:p>
    <w:p w14:paraId="2E78D8DB">
      <w:pPr>
        <w:rPr>
          <w:b/>
          <w:color w:val="auto"/>
          <w:szCs w:val="21"/>
          <w:highlight w:val="none"/>
          <w:shd w:val="clear" w:color="auto" w:fill="FFFFFF"/>
        </w:rPr>
      </w:pPr>
    </w:p>
    <w:p w14:paraId="54A8D81E">
      <w:pPr>
        <w:rPr>
          <w:rFonts w:hint="eastAsia" w:ascii="宋体" w:hAnsi="宋体" w:cs="宋体"/>
          <w:color w:val="auto"/>
          <w:szCs w:val="21"/>
          <w:highlight w:val="none"/>
        </w:rPr>
      </w:pPr>
      <w:r>
        <w:rPr>
          <w:rFonts w:hint="eastAsia" w:ascii="宋体" w:hAnsi="宋体" w:cs="宋体"/>
          <w:color w:val="auto"/>
          <w:szCs w:val="21"/>
          <w:highlight w:val="none"/>
        </w:rPr>
        <w:br w:type="page"/>
      </w:r>
    </w:p>
    <w:p w14:paraId="05C42CC7">
      <w:pPr>
        <w:pStyle w:val="5"/>
        <w:kinsoku/>
        <w:overflowPunct/>
        <w:bidi w:val="0"/>
        <w:spacing w:before="0" w:after="0" w:line="360" w:lineRule="auto"/>
        <w:textAlignment w:val="auto"/>
        <w:rPr>
          <w:rFonts w:hint="eastAsia"/>
          <w:color w:val="auto"/>
          <w:highlight w:val="none"/>
          <w:lang w:val="en-US" w:eastAsia="zh-CN"/>
        </w:rPr>
      </w:pPr>
      <w:bookmarkStart w:id="2267" w:name="_Toc3071"/>
      <w:r>
        <w:rPr>
          <w:rFonts w:hint="eastAsia"/>
          <w:color w:val="auto"/>
          <w:highlight w:val="none"/>
          <w:lang w:val="en-US" w:eastAsia="zh-CN"/>
        </w:rPr>
        <w:t>六、企业基本情况</w:t>
      </w:r>
      <w:bookmarkEnd w:id="2267"/>
    </w:p>
    <w:p w14:paraId="0F2EE313">
      <w:pPr>
        <w:kinsoku/>
        <w:overflowPunct/>
        <w:bidi w:val="0"/>
        <w:spacing w:line="360" w:lineRule="auto"/>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附表：</w:t>
      </w:r>
      <w:r>
        <w:rPr>
          <w:rFonts w:hint="eastAsia" w:ascii="宋体" w:hAnsi="宋体" w:cs="宋体"/>
          <w:b/>
          <w:color w:val="auto"/>
          <w:sz w:val="24"/>
          <w:szCs w:val="24"/>
          <w:highlight w:val="none"/>
          <w:lang w:val="en-US" w:eastAsia="zh-CN"/>
        </w:rPr>
        <w:t>投标人</w:t>
      </w:r>
      <w:r>
        <w:rPr>
          <w:rFonts w:hint="eastAsia" w:ascii="宋体" w:hAnsi="宋体" w:cs="宋体"/>
          <w:b/>
          <w:color w:val="auto"/>
          <w:sz w:val="24"/>
          <w:szCs w:val="24"/>
          <w:highlight w:val="none"/>
        </w:rPr>
        <w:t>基本情况表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982"/>
        <w:gridCol w:w="1265"/>
        <w:gridCol w:w="1265"/>
        <w:gridCol w:w="1265"/>
        <w:gridCol w:w="1265"/>
        <w:gridCol w:w="1968"/>
      </w:tblGrid>
      <w:tr w14:paraId="19C4294E">
        <w:tblPrEx>
          <w:tblCellMar>
            <w:top w:w="0" w:type="dxa"/>
            <w:left w:w="108" w:type="dxa"/>
            <w:bottom w:w="0" w:type="dxa"/>
            <w:right w:w="108" w:type="dxa"/>
          </w:tblCellMar>
        </w:tblPrEx>
        <w:trPr>
          <w:trHeight w:val="567" w:hRule="atLeast"/>
          <w:jc w:val="center"/>
        </w:trPr>
        <w:tc>
          <w:tcPr>
            <w:tcW w:w="1548" w:type="dxa"/>
            <w:noWrap w:val="0"/>
            <w:vAlign w:val="center"/>
          </w:tcPr>
          <w:p w14:paraId="31C0AC17">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投标人名称</w:t>
            </w:r>
          </w:p>
        </w:tc>
        <w:tc>
          <w:tcPr>
            <w:tcW w:w="8010" w:type="dxa"/>
            <w:gridSpan w:val="6"/>
            <w:noWrap w:val="0"/>
            <w:vAlign w:val="center"/>
          </w:tcPr>
          <w:p w14:paraId="40C5B169">
            <w:pPr>
              <w:pStyle w:val="105"/>
              <w:kinsoku/>
              <w:overflowPunct/>
              <w:bidi w:val="0"/>
              <w:spacing w:line="360" w:lineRule="auto"/>
              <w:jc w:val="center"/>
              <w:rPr>
                <w:rFonts w:hint="eastAsia" w:hAnsi="宋体"/>
                <w:color w:val="auto"/>
                <w:sz w:val="21"/>
                <w:szCs w:val="21"/>
                <w:highlight w:val="none"/>
              </w:rPr>
            </w:pPr>
          </w:p>
        </w:tc>
      </w:tr>
      <w:tr w14:paraId="4617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449ACFF9">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注册地址</w:t>
            </w:r>
          </w:p>
        </w:tc>
        <w:tc>
          <w:tcPr>
            <w:tcW w:w="3512" w:type="dxa"/>
            <w:gridSpan w:val="3"/>
            <w:noWrap w:val="0"/>
            <w:vAlign w:val="center"/>
          </w:tcPr>
          <w:p w14:paraId="626B14AC">
            <w:pPr>
              <w:pStyle w:val="105"/>
              <w:kinsoku/>
              <w:overflowPunct/>
              <w:bidi w:val="0"/>
              <w:spacing w:line="360" w:lineRule="auto"/>
              <w:jc w:val="center"/>
              <w:rPr>
                <w:rFonts w:hint="eastAsia" w:hAnsi="宋体"/>
                <w:color w:val="auto"/>
                <w:sz w:val="21"/>
                <w:szCs w:val="21"/>
                <w:highlight w:val="none"/>
              </w:rPr>
            </w:pPr>
          </w:p>
        </w:tc>
        <w:tc>
          <w:tcPr>
            <w:tcW w:w="1265" w:type="dxa"/>
            <w:noWrap w:val="0"/>
            <w:vAlign w:val="center"/>
          </w:tcPr>
          <w:p w14:paraId="11ED4675">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邮政编码</w:t>
            </w:r>
          </w:p>
        </w:tc>
        <w:tc>
          <w:tcPr>
            <w:tcW w:w="3233" w:type="dxa"/>
            <w:gridSpan w:val="2"/>
            <w:noWrap w:val="0"/>
            <w:vAlign w:val="center"/>
          </w:tcPr>
          <w:p w14:paraId="3E4713A9">
            <w:pPr>
              <w:pStyle w:val="105"/>
              <w:kinsoku/>
              <w:overflowPunct/>
              <w:bidi w:val="0"/>
              <w:spacing w:line="360" w:lineRule="auto"/>
              <w:jc w:val="center"/>
              <w:rPr>
                <w:rFonts w:hint="eastAsia" w:hAnsi="宋体"/>
                <w:color w:val="auto"/>
                <w:sz w:val="21"/>
                <w:szCs w:val="21"/>
                <w:highlight w:val="none"/>
              </w:rPr>
            </w:pPr>
          </w:p>
        </w:tc>
      </w:tr>
      <w:tr w14:paraId="3B7E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vMerge w:val="restart"/>
            <w:noWrap w:val="0"/>
            <w:vAlign w:val="center"/>
          </w:tcPr>
          <w:p w14:paraId="68352CC0">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联系方式</w:t>
            </w:r>
          </w:p>
        </w:tc>
        <w:tc>
          <w:tcPr>
            <w:tcW w:w="982" w:type="dxa"/>
            <w:noWrap w:val="0"/>
            <w:vAlign w:val="center"/>
          </w:tcPr>
          <w:p w14:paraId="2B476189">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联系人</w:t>
            </w:r>
          </w:p>
        </w:tc>
        <w:tc>
          <w:tcPr>
            <w:tcW w:w="2530" w:type="dxa"/>
            <w:gridSpan w:val="2"/>
            <w:noWrap w:val="0"/>
            <w:vAlign w:val="center"/>
          </w:tcPr>
          <w:p w14:paraId="2120E393">
            <w:pPr>
              <w:pStyle w:val="105"/>
              <w:kinsoku/>
              <w:overflowPunct/>
              <w:bidi w:val="0"/>
              <w:spacing w:line="360" w:lineRule="auto"/>
              <w:jc w:val="center"/>
              <w:rPr>
                <w:rFonts w:hint="eastAsia" w:hAnsi="宋体"/>
                <w:color w:val="auto"/>
                <w:sz w:val="21"/>
                <w:szCs w:val="21"/>
                <w:highlight w:val="none"/>
              </w:rPr>
            </w:pPr>
          </w:p>
        </w:tc>
        <w:tc>
          <w:tcPr>
            <w:tcW w:w="1265" w:type="dxa"/>
            <w:noWrap w:val="0"/>
            <w:vAlign w:val="center"/>
          </w:tcPr>
          <w:p w14:paraId="5AFA49C7">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电话</w:t>
            </w:r>
          </w:p>
        </w:tc>
        <w:tc>
          <w:tcPr>
            <w:tcW w:w="3233" w:type="dxa"/>
            <w:gridSpan w:val="2"/>
            <w:noWrap w:val="0"/>
            <w:vAlign w:val="center"/>
          </w:tcPr>
          <w:p w14:paraId="7050088F">
            <w:pPr>
              <w:pStyle w:val="105"/>
              <w:kinsoku/>
              <w:overflowPunct/>
              <w:bidi w:val="0"/>
              <w:spacing w:line="360" w:lineRule="auto"/>
              <w:jc w:val="center"/>
              <w:rPr>
                <w:rFonts w:hint="eastAsia" w:hAnsi="宋体"/>
                <w:color w:val="auto"/>
                <w:sz w:val="21"/>
                <w:szCs w:val="21"/>
                <w:highlight w:val="none"/>
              </w:rPr>
            </w:pPr>
          </w:p>
        </w:tc>
      </w:tr>
      <w:tr w14:paraId="288E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vMerge w:val="continue"/>
            <w:noWrap w:val="0"/>
            <w:vAlign w:val="center"/>
          </w:tcPr>
          <w:p w14:paraId="3CEC226B">
            <w:pPr>
              <w:pStyle w:val="105"/>
              <w:kinsoku/>
              <w:overflowPunct/>
              <w:bidi w:val="0"/>
              <w:spacing w:line="360" w:lineRule="auto"/>
              <w:jc w:val="center"/>
              <w:rPr>
                <w:rFonts w:hint="eastAsia" w:hAnsi="宋体"/>
                <w:color w:val="auto"/>
                <w:sz w:val="21"/>
                <w:szCs w:val="21"/>
                <w:highlight w:val="none"/>
              </w:rPr>
            </w:pPr>
          </w:p>
        </w:tc>
        <w:tc>
          <w:tcPr>
            <w:tcW w:w="982" w:type="dxa"/>
            <w:noWrap w:val="0"/>
            <w:vAlign w:val="center"/>
          </w:tcPr>
          <w:p w14:paraId="49536CC1">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传真</w:t>
            </w:r>
          </w:p>
        </w:tc>
        <w:tc>
          <w:tcPr>
            <w:tcW w:w="2530" w:type="dxa"/>
            <w:gridSpan w:val="2"/>
            <w:noWrap w:val="0"/>
            <w:vAlign w:val="center"/>
          </w:tcPr>
          <w:p w14:paraId="7CB66010">
            <w:pPr>
              <w:pStyle w:val="105"/>
              <w:kinsoku/>
              <w:overflowPunct/>
              <w:bidi w:val="0"/>
              <w:spacing w:line="360" w:lineRule="auto"/>
              <w:jc w:val="center"/>
              <w:rPr>
                <w:rFonts w:hint="eastAsia" w:hAnsi="宋体"/>
                <w:color w:val="auto"/>
                <w:sz w:val="21"/>
                <w:szCs w:val="21"/>
                <w:highlight w:val="none"/>
              </w:rPr>
            </w:pPr>
          </w:p>
        </w:tc>
        <w:tc>
          <w:tcPr>
            <w:tcW w:w="1265" w:type="dxa"/>
            <w:noWrap w:val="0"/>
            <w:vAlign w:val="center"/>
          </w:tcPr>
          <w:p w14:paraId="09BE741E">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网址</w:t>
            </w:r>
          </w:p>
        </w:tc>
        <w:tc>
          <w:tcPr>
            <w:tcW w:w="3233" w:type="dxa"/>
            <w:gridSpan w:val="2"/>
            <w:noWrap w:val="0"/>
            <w:vAlign w:val="center"/>
          </w:tcPr>
          <w:p w14:paraId="60314EAD">
            <w:pPr>
              <w:pStyle w:val="105"/>
              <w:kinsoku/>
              <w:overflowPunct/>
              <w:bidi w:val="0"/>
              <w:spacing w:line="360" w:lineRule="auto"/>
              <w:jc w:val="center"/>
              <w:rPr>
                <w:rFonts w:hint="eastAsia" w:hAnsi="宋体"/>
                <w:color w:val="auto"/>
                <w:sz w:val="21"/>
                <w:szCs w:val="21"/>
                <w:highlight w:val="none"/>
              </w:rPr>
            </w:pPr>
          </w:p>
        </w:tc>
      </w:tr>
      <w:tr w14:paraId="12601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610BE25A">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组织结构</w:t>
            </w:r>
          </w:p>
        </w:tc>
        <w:tc>
          <w:tcPr>
            <w:tcW w:w="8010" w:type="dxa"/>
            <w:gridSpan w:val="6"/>
            <w:noWrap w:val="0"/>
            <w:vAlign w:val="center"/>
          </w:tcPr>
          <w:p w14:paraId="1676CAA4">
            <w:pPr>
              <w:pStyle w:val="105"/>
              <w:kinsoku/>
              <w:overflowPunct/>
              <w:bidi w:val="0"/>
              <w:spacing w:line="360" w:lineRule="auto"/>
              <w:jc w:val="center"/>
              <w:rPr>
                <w:rFonts w:hint="eastAsia" w:hAnsi="宋体"/>
                <w:color w:val="auto"/>
                <w:sz w:val="21"/>
                <w:szCs w:val="21"/>
                <w:highlight w:val="none"/>
              </w:rPr>
            </w:pPr>
          </w:p>
        </w:tc>
      </w:tr>
      <w:tr w14:paraId="06CD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6C40DC31">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法定代表人</w:t>
            </w:r>
          </w:p>
        </w:tc>
        <w:tc>
          <w:tcPr>
            <w:tcW w:w="982" w:type="dxa"/>
            <w:noWrap w:val="0"/>
            <w:vAlign w:val="center"/>
          </w:tcPr>
          <w:p w14:paraId="2B2AA1FD">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姓名</w:t>
            </w:r>
          </w:p>
        </w:tc>
        <w:tc>
          <w:tcPr>
            <w:tcW w:w="1265" w:type="dxa"/>
            <w:noWrap w:val="0"/>
            <w:vAlign w:val="center"/>
          </w:tcPr>
          <w:p w14:paraId="784F13BF">
            <w:pPr>
              <w:pStyle w:val="105"/>
              <w:kinsoku/>
              <w:overflowPunct/>
              <w:bidi w:val="0"/>
              <w:spacing w:line="360" w:lineRule="auto"/>
              <w:jc w:val="center"/>
              <w:rPr>
                <w:rFonts w:hint="eastAsia" w:hAnsi="宋体"/>
                <w:color w:val="auto"/>
                <w:sz w:val="21"/>
                <w:szCs w:val="21"/>
                <w:highlight w:val="none"/>
              </w:rPr>
            </w:pPr>
          </w:p>
        </w:tc>
        <w:tc>
          <w:tcPr>
            <w:tcW w:w="1265" w:type="dxa"/>
            <w:noWrap w:val="0"/>
            <w:vAlign w:val="center"/>
          </w:tcPr>
          <w:p w14:paraId="2C08B5AB">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技术职称</w:t>
            </w:r>
          </w:p>
        </w:tc>
        <w:tc>
          <w:tcPr>
            <w:tcW w:w="1265" w:type="dxa"/>
            <w:noWrap w:val="0"/>
            <w:vAlign w:val="center"/>
          </w:tcPr>
          <w:p w14:paraId="0D01543B">
            <w:pPr>
              <w:pStyle w:val="105"/>
              <w:kinsoku/>
              <w:overflowPunct/>
              <w:bidi w:val="0"/>
              <w:spacing w:line="360" w:lineRule="auto"/>
              <w:jc w:val="center"/>
              <w:rPr>
                <w:rFonts w:hint="eastAsia" w:hAnsi="宋体"/>
                <w:color w:val="auto"/>
                <w:sz w:val="21"/>
                <w:szCs w:val="21"/>
                <w:highlight w:val="none"/>
              </w:rPr>
            </w:pPr>
          </w:p>
        </w:tc>
        <w:tc>
          <w:tcPr>
            <w:tcW w:w="1265" w:type="dxa"/>
            <w:noWrap w:val="0"/>
            <w:vAlign w:val="center"/>
          </w:tcPr>
          <w:p w14:paraId="563BC815">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电话</w:t>
            </w:r>
          </w:p>
        </w:tc>
        <w:tc>
          <w:tcPr>
            <w:tcW w:w="1968" w:type="dxa"/>
            <w:noWrap w:val="0"/>
            <w:vAlign w:val="center"/>
          </w:tcPr>
          <w:p w14:paraId="7BEEB1E7">
            <w:pPr>
              <w:pStyle w:val="105"/>
              <w:kinsoku/>
              <w:overflowPunct/>
              <w:bidi w:val="0"/>
              <w:spacing w:line="360" w:lineRule="auto"/>
              <w:jc w:val="center"/>
              <w:rPr>
                <w:rFonts w:hint="eastAsia" w:hAnsi="宋体"/>
                <w:color w:val="auto"/>
                <w:sz w:val="21"/>
                <w:szCs w:val="21"/>
                <w:highlight w:val="none"/>
              </w:rPr>
            </w:pPr>
          </w:p>
        </w:tc>
      </w:tr>
      <w:tr w14:paraId="0D034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48EFA29B">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技术负责人</w:t>
            </w:r>
          </w:p>
        </w:tc>
        <w:tc>
          <w:tcPr>
            <w:tcW w:w="982" w:type="dxa"/>
            <w:noWrap w:val="0"/>
            <w:vAlign w:val="center"/>
          </w:tcPr>
          <w:p w14:paraId="24B85105">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姓名</w:t>
            </w:r>
          </w:p>
        </w:tc>
        <w:tc>
          <w:tcPr>
            <w:tcW w:w="1265" w:type="dxa"/>
            <w:noWrap w:val="0"/>
            <w:vAlign w:val="center"/>
          </w:tcPr>
          <w:p w14:paraId="2B695206">
            <w:pPr>
              <w:pStyle w:val="105"/>
              <w:kinsoku/>
              <w:overflowPunct/>
              <w:bidi w:val="0"/>
              <w:spacing w:line="360" w:lineRule="auto"/>
              <w:jc w:val="center"/>
              <w:rPr>
                <w:rFonts w:hint="eastAsia" w:hAnsi="宋体"/>
                <w:color w:val="auto"/>
                <w:sz w:val="21"/>
                <w:szCs w:val="21"/>
                <w:highlight w:val="none"/>
              </w:rPr>
            </w:pPr>
          </w:p>
        </w:tc>
        <w:tc>
          <w:tcPr>
            <w:tcW w:w="1265" w:type="dxa"/>
            <w:noWrap w:val="0"/>
            <w:vAlign w:val="center"/>
          </w:tcPr>
          <w:p w14:paraId="15DB10FC">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技术职称</w:t>
            </w:r>
          </w:p>
        </w:tc>
        <w:tc>
          <w:tcPr>
            <w:tcW w:w="1265" w:type="dxa"/>
            <w:noWrap w:val="0"/>
            <w:vAlign w:val="center"/>
          </w:tcPr>
          <w:p w14:paraId="6240CAA8">
            <w:pPr>
              <w:pStyle w:val="105"/>
              <w:kinsoku/>
              <w:overflowPunct/>
              <w:bidi w:val="0"/>
              <w:spacing w:line="360" w:lineRule="auto"/>
              <w:jc w:val="center"/>
              <w:rPr>
                <w:rFonts w:hint="eastAsia" w:hAnsi="宋体"/>
                <w:color w:val="auto"/>
                <w:sz w:val="21"/>
                <w:szCs w:val="21"/>
                <w:highlight w:val="none"/>
              </w:rPr>
            </w:pPr>
          </w:p>
        </w:tc>
        <w:tc>
          <w:tcPr>
            <w:tcW w:w="1265" w:type="dxa"/>
            <w:noWrap w:val="0"/>
            <w:vAlign w:val="center"/>
          </w:tcPr>
          <w:p w14:paraId="28DB5C7C">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电话</w:t>
            </w:r>
          </w:p>
        </w:tc>
        <w:tc>
          <w:tcPr>
            <w:tcW w:w="1968" w:type="dxa"/>
            <w:noWrap w:val="0"/>
            <w:vAlign w:val="center"/>
          </w:tcPr>
          <w:p w14:paraId="499F8DC0">
            <w:pPr>
              <w:pStyle w:val="105"/>
              <w:kinsoku/>
              <w:overflowPunct/>
              <w:bidi w:val="0"/>
              <w:spacing w:line="360" w:lineRule="auto"/>
              <w:jc w:val="center"/>
              <w:rPr>
                <w:rFonts w:hint="eastAsia" w:hAnsi="宋体"/>
                <w:color w:val="auto"/>
                <w:sz w:val="21"/>
                <w:szCs w:val="21"/>
                <w:highlight w:val="none"/>
              </w:rPr>
            </w:pPr>
          </w:p>
        </w:tc>
      </w:tr>
      <w:tr w14:paraId="2793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6207893C">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成立时间</w:t>
            </w:r>
          </w:p>
        </w:tc>
        <w:tc>
          <w:tcPr>
            <w:tcW w:w="2247" w:type="dxa"/>
            <w:gridSpan w:val="2"/>
            <w:noWrap w:val="0"/>
            <w:vAlign w:val="center"/>
          </w:tcPr>
          <w:p w14:paraId="0DA6B306">
            <w:pPr>
              <w:pStyle w:val="105"/>
              <w:kinsoku/>
              <w:overflowPunct/>
              <w:bidi w:val="0"/>
              <w:spacing w:line="360" w:lineRule="auto"/>
              <w:jc w:val="center"/>
              <w:rPr>
                <w:rFonts w:hint="eastAsia" w:hAnsi="宋体"/>
                <w:color w:val="auto"/>
                <w:sz w:val="21"/>
                <w:szCs w:val="21"/>
                <w:highlight w:val="none"/>
              </w:rPr>
            </w:pPr>
          </w:p>
        </w:tc>
        <w:tc>
          <w:tcPr>
            <w:tcW w:w="5763" w:type="dxa"/>
            <w:gridSpan w:val="4"/>
            <w:noWrap w:val="0"/>
            <w:vAlign w:val="center"/>
          </w:tcPr>
          <w:p w14:paraId="21FBA634">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员工总人数：</w:t>
            </w:r>
          </w:p>
        </w:tc>
      </w:tr>
      <w:tr w14:paraId="77EB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347A4E14">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企业资质等级</w:t>
            </w:r>
          </w:p>
        </w:tc>
        <w:tc>
          <w:tcPr>
            <w:tcW w:w="2247" w:type="dxa"/>
            <w:gridSpan w:val="2"/>
            <w:noWrap w:val="0"/>
            <w:vAlign w:val="center"/>
          </w:tcPr>
          <w:p w14:paraId="4D90B7CA">
            <w:pPr>
              <w:pStyle w:val="105"/>
              <w:kinsoku/>
              <w:overflowPunct/>
              <w:bidi w:val="0"/>
              <w:spacing w:line="360" w:lineRule="auto"/>
              <w:jc w:val="center"/>
              <w:rPr>
                <w:rFonts w:hint="eastAsia" w:hAnsi="宋体"/>
                <w:color w:val="auto"/>
                <w:sz w:val="21"/>
                <w:szCs w:val="21"/>
                <w:highlight w:val="none"/>
              </w:rPr>
            </w:pPr>
          </w:p>
        </w:tc>
        <w:tc>
          <w:tcPr>
            <w:tcW w:w="1265" w:type="dxa"/>
            <w:vMerge w:val="restart"/>
            <w:noWrap w:val="0"/>
            <w:vAlign w:val="center"/>
          </w:tcPr>
          <w:p w14:paraId="66BD6905">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其中</w:t>
            </w:r>
          </w:p>
        </w:tc>
        <w:tc>
          <w:tcPr>
            <w:tcW w:w="2530" w:type="dxa"/>
            <w:gridSpan w:val="2"/>
            <w:noWrap w:val="0"/>
            <w:vAlign w:val="center"/>
          </w:tcPr>
          <w:p w14:paraId="1B4F6E12">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高级职称人员</w:t>
            </w:r>
          </w:p>
        </w:tc>
        <w:tc>
          <w:tcPr>
            <w:tcW w:w="1968" w:type="dxa"/>
            <w:noWrap w:val="0"/>
            <w:vAlign w:val="center"/>
          </w:tcPr>
          <w:p w14:paraId="239ECA16">
            <w:pPr>
              <w:pStyle w:val="105"/>
              <w:kinsoku/>
              <w:overflowPunct/>
              <w:bidi w:val="0"/>
              <w:spacing w:line="360" w:lineRule="auto"/>
              <w:jc w:val="center"/>
              <w:rPr>
                <w:rFonts w:hint="eastAsia" w:hAnsi="宋体"/>
                <w:color w:val="auto"/>
                <w:sz w:val="21"/>
                <w:szCs w:val="21"/>
                <w:highlight w:val="none"/>
              </w:rPr>
            </w:pPr>
          </w:p>
        </w:tc>
      </w:tr>
      <w:tr w14:paraId="011D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062CD1B5">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营业执照号</w:t>
            </w:r>
          </w:p>
        </w:tc>
        <w:tc>
          <w:tcPr>
            <w:tcW w:w="2247" w:type="dxa"/>
            <w:gridSpan w:val="2"/>
            <w:noWrap w:val="0"/>
            <w:vAlign w:val="center"/>
          </w:tcPr>
          <w:p w14:paraId="480F56A1">
            <w:pPr>
              <w:pStyle w:val="105"/>
              <w:kinsoku/>
              <w:overflowPunct/>
              <w:bidi w:val="0"/>
              <w:spacing w:line="360" w:lineRule="auto"/>
              <w:jc w:val="center"/>
              <w:rPr>
                <w:rFonts w:hint="eastAsia" w:hAnsi="宋体"/>
                <w:color w:val="auto"/>
                <w:sz w:val="21"/>
                <w:szCs w:val="21"/>
                <w:highlight w:val="none"/>
              </w:rPr>
            </w:pPr>
          </w:p>
        </w:tc>
        <w:tc>
          <w:tcPr>
            <w:tcW w:w="1265" w:type="dxa"/>
            <w:vMerge w:val="continue"/>
            <w:noWrap w:val="0"/>
            <w:vAlign w:val="center"/>
          </w:tcPr>
          <w:p w14:paraId="2B83C207">
            <w:pPr>
              <w:pStyle w:val="105"/>
              <w:kinsoku/>
              <w:overflowPunct/>
              <w:bidi w:val="0"/>
              <w:spacing w:line="360" w:lineRule="auto"/>
              <w:jc w:val="center"/>
              <w:rPr>
                <w:rFonts w:hint="eastAsia" w:hAnsi="宋体"/>
                <w:color w:val="auto"/>
                <w:sz w:val="21"/>
                <w:szCs w:val="21"/>
                <w:highlight w:val="none"/>
              </w:rPr>
            </w:pPr>
          </w:p>
        </w:tc>
        <w:tc>
          <w:tcPr>
            <w:tcW w:w="2530" w:type="dxa"/>
            <w:gridSpan w:val="2"/>
            <w:noWrap w:val="0"/>
            <w:vAlign w:val="center"/>
          </w:tcPr>
          <w:p w14:paraId="767C4273">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中级职称人员</w:t>
            </w:r>
          </w:p>
        </w:tc>
        <w:tc>
          <w:tcPr>
            <w:tcW w:w="1968" w:type="dxa"/>
            <w:noWrap w:val="0"/>
            <w:vAlign w:val="center"/>
          </w:tcPr>
          <w:p w14:paraId="56104973">
            <w:pPr>
              <w:pStyle w:val="105"/>
              <w:kinsoku/>
              <w:overflowPunct/>
              <w:bidi w:val="0"/>
              <w:spacing w:line="360" w:lineRule="auto"/>
              <w:jc w:val="center"/>
              <w:rPr>
                <w:rFonts w:hint="eastAsia" w:hAnsi="宋体"/>
                <w:color w:val="auto"/>
                <w:sz w:val="21"/>
                <w:szCs w:val="21"/>
                <w:highlight w:val="none"/>
              </w:rPr>
            </w:pPr>
          </w:p>
        </w:tc>
      </w:tr>
      <w:tr w14:paraId="05F9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50C952DA">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注册资金</w:t>
            </w:r>
          </w:p>
        </w:tc>
        <w:tc>
          <w:tcPr>
            <w:tcW w:w="2247" w:type="dxa"/>
            <w:gridSpan w:val="2"/>
            <w:noWrap w:val="0"/>
            <w:vAlign w:val="center"/>
          </w:tcPr>
          <w:p w14:paraId="0142DE7B">
            <w:pPr>
              <w:pStyle w:val="105"/>
              <w:kinsoku/>
              <w:overflowPunct/>
              <w:bidi w:val="0"/>
              <w:spacing w:line="360" w:lineRule="auto"/>
              <w:jc w:val="center"/>
              <w:rPr>
                <w:rFonts w:hint="eastAsia" w:hAnsi="宋体"/>
                <w:color w:val="auto"/>
                <w:sz w:val="21"/>
                <w:szCs w:val="21"/>
                <w:highlight w:val="none"/>
              </w:rPr>
            </w:pPr>
          </w:p>
        </w:tc>
        <w:tc>
          <w:tcPr>
            <w:tcW w:w="1265" w:type="dxa"/>
            <w:vMerge w:val="continue"/>
            <w:noWrap w:val="0"/>
            <w:vAlign w:val="center"/>
          </w:tcPr>
          <w:p w14:paraId="591E29F0">
            <w:pPr>
              <w:pStyle w:val="105"/>
              <w:kinsoku/>
              <w:overflowPunct/>
              <w:bidi w:val="0"/>
              <w:spacing w:line="360" w:lineRule="auto"/>
              <w:jc w:val="center"/>
              <w:rPr>
                <w:rFonts w:hint="eastAsia" w:hAnsi="宋体"/>
                <w:color w:val="auto"/>
                <w:sz w:val="21"/>
                <w:szCs w:val="21"/>
                <w:highlight w:val="none"/>
              </w:rPr>
            </w:pPr>
          </w:p>
        </w:tc>
        <w:tc>
          <w:tcPr>
            <w:tcW w:w="2530" w:type="dxa"/>
            <w:gridSpan w:val="2"/>
            <w:noWrap w:val="0"/>
            <w:vAlign w:val="center"/>
          </w:tcPr>
          <w:p w14:paraId="6F5305F0">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初级职称人员</w:t>
            </w:r>
          </w:p>
        </w:tc>
        <w:tc>
          <w:tcPr>
            <w:tcW w:w="1968" w:type="dxa"/>
            <w:noWrap w:val="0"/>
            <w:vAlign w:val="center"/>
          </w:tcPr>
          <w:p w14:paraId="7E5DD863">
            <w:pPr>
              <w:pStyle w:val="105"/>
              <w:kinsoku/>
              <w:overflowPunct/>
              <w:bidi w:val="0"/>
              <w:spacing w:line="360" w:lineRule="auto"/>
              <w:jc w:val="center"/>
              <w:rPr>
                <w:rFonts w:hint="eastAsia" w:hAnsi="宋体"/>
                <w:color w:val="auto"/>
                <w:sz w:val="21"/>
                <w:szCs w:val="21"/>
                <w:highlight w:val="none"/>
              </w:rPr>
            </w:pPr>
          </w:p>
        </w:tc>
      </w:tr>
      <w:tr w14:paraId="4DA0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30FBBAA1">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开户银行</w:t>
            </w:r>
          </w:p>
        </w:tc>
        <w:tc>
          <w:tcPr>
            <w:tcW w:w="2247" w:type="dxa"/>
            <w:gridSpan w:val="2"/>
            <w:noWrap w:val="0"/>
            <w:vAlign w:val="center"/>
          </w:tcPr>
          <w:p w14:paraId="7B9B387E">
            <w:pPr>
              <w:pStyle w:val="105"/>
              <w:kinsoku/>
              <w:overflowPunct/>
              <w:bidi w:val="0"/>
              <w:spacing w:line="360" w:lineRule="auto"/>
              <w:jc w:val="center"/>
              <w:rPr>
                <w:rFonts w:hint="eastAsia" w:hAnsi="宋体"/>
                <w:color w:val="auto"/>
                <w:sz w:val="21"/>
                <w:szCs w:val="21"/>
                <w:highlight w:val="none"/>
              </w:rPr>
            </w:pPr>
          </w:p>
        </w:tc>
        <w:tc>
          <w:tcPr>
            <w:tcW w:w="1265" w:type="dxa"/>
            <w:vMerge w:val="continue"/>
            <w:noWrap w:val="0"/>
            <w:vAlign w:val="center"/>
          </w:tcPr>
          <w:p w14:paraId="32103BDC">
            <w:pPr>
              <w:pStyle w:val="105"/>
              <w:kinsoku/>
              <w:overflowPunct/>
              <w:bidi w:val="0"/>
              <w:spacing w:line="360" w:lineRule="auto"/>
              <w:jc w:val="center"/>
              <w:rPr>
                <w:rFonts w:hint="eastAsia" w:hAnsi="宋体"/>
                <w:color w:val="auto"/>
                <w:sz w:val="21"/>
                <w:szCs w:val="21"/>
                <w:highlight w:val="none"/>
              </w:rPr>
            </w:pPr>
          </w:p>
        </w:tc>
        <w:tc>
          <w:tcPr>
            <w:tcW w:w="2530" w:type="dxa"/>
            <w:gridSpan w:val="2"/>
            <w:noWrap w:val="0"/>
            <w:vAlign w:val="center"/>
          </w:tcPr>
          <w:p w14:paraId="06D8672D">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技工</w:t>
            </w:r>
          </w:p>
        </w:tc>
        <w:tc>
          <w:tcPr>
            <w:tcW w:w="1968" w:type="dxa"/>
            <w:noWrap w:val="0"/>
            <w:vAlign w:val="center"/>
          </w:tcPr>
          <w:p w14:paraId="300C873F">
            <w:pPr>
              <w:pStyle w:val="105"/>
              <w:kinsoku/>
              <w:overflowPunct/>
              <w:bidi w:val="0"/>
              <w:spacing w:line="360" w:lineRule="auto"/>
              <w:jc w:val="center"/>
              <w:rPr>
                <w:rFonts w:hint="eastAsia" w:hAnsi="宋体"/>
                <w:color w:val="auto"/>
                <w:sz w:val="21"/>
                <w:szCs w:val="21"/>
                <w:highlight w:val="none"/>
              </w:rPr>
            </w:pPr>
          </w:p>
        </w:tc>
      </w:tr>
      <w:tr w14:paraId="5E93F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7BC31F6F">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账号</w:t>
            </w:r>
          </w:p>
        </w:tc>
        <w:tc>
          <w:tcPr>
            <w:tcW w:w="2247" w:type="dxa"/>
            <w:gridSpan w:val="2"/>
            <w:noWrap w:val="0"/>
            <w:vAlign w:val="center"/>
          </w:tcPr>
          <w:p w14:paraId="76B93A2C">
            <w:pPr>
              <w:pStyle w:val="105"/>
              <w:kinsoku/>
              <w:overflowPunct/>
              <w:bidi w:val="0"/>
              <w:spacing w:line="360" w:lineRule="auto"/>
              <w:jc w:val="center"/>
              <w:rPr>
                <w:rFonts w:hint="eastAsia" w:hAnsi="宋体"/>
                <w:color w:val="auto"/>
                <w:sz w:val="21"/>
                <w:szCs w:val="21"/>
                <w:highlight w:val="none"/>
              </w:rPr>
            </w:pPr>
          </w:p>
        </w:tc>
        <w:tc>
          <w:tcPr>
            <w:tcW w:w="1265" w:type="dxa"/>
            <w:vMerge w:val="continue"/>
            <w:noWrap w:val="0"/>
            <w:vAlign w:val="center"/>
          </w:tcPr>
          <w:p w14:paraId="6B2DF145">
            <w:pPr>
              <w:pStyle w:val="105"/>
              <w:kinsoku/>
              <w:overflowPunct/>
              <w:bidi w:val="0"/>
              <w:spacing w:line="360" w:lineRule="auto"/>
              <w:jc w:val="center"/>
              <w:rPr>
                <w:rFonts w:hint="eastAsia" w:hAnsi="宋体"/>
                <w:color w:val="auto"/>
                <w:sz w:val="21"/>
                <w:szCs w:val="21"/>
                <w:highlight w:val="none"/>
              </w:rPr>
            </w:pPr>
          </w:p>
        </w:tc>
        <w:tc>
          <w:tcPr>
            <w:tcW w:w="2530" w:type="dxa"/>
            <w:gridSpan w:val="2"/>
            <w:noWrap w:val="0"/>
            <w:vAlign w:val="center"/>
          </w:tcPr>
          <w:p w14:paraId="336301A8">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其他</w:t>
            </w:r>
          </w:p>
        </w:tc>
        <w:tc>
          <w:tcPr>
            <w:tcW w:w="1968" w:type="dxa"/>
            <w:noWrap w:val="0"/>
            <w:vAlign w:val="center"/>
          </w:tcPr>
          <w:p w14:paraId="2ED4C5D1">
            <w:pPr>
              <w:pStyle w:val="105"/>
              <w:kinsoku/>
              <w:overflowPunct/>
              <w:bidi w:val="0"/>
              <w:spacing w:line="360" w:lineRule="auto"/>
              <w:jc w:val="center"/>
              <w:rPr>
                <w:rFonts w:hint="eastAsia" w:hAnsi="宋体"/>
                <w:color w:val="auto"/>
                <w:sz w:val="21"/>
                <w:szCs w:val="21"/>
                <w:highlight w:val="none"/>
              </w:rPr>
            </w:pPr>
          </w:p>
        </w:tc>
      </w:tr>
      <w:tr w14:paraId="77EA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29BF33EE">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经营范围</w:t>
            </w:r>
          </w:p>
        </w:tc>
        <w:tc>
          <w:tcPr>
            <w:tcW w:w="8010" w:type="dxa"/>
            <w:gridSpan w:val="6"/>
            <w:noWrap w:val="0"/>
            <w:vAlign w:val="center"/>
          </w:tcPr>
          <w:p w14:paraId="01B73747">
            <w:pPr>
              <w:pStyle w:val="105"/>
              <w:kinsoku/>
              <w:overflowPunct/>
              <w:bidi w:val="0"/>
              <w:spacing w:line="360" w:lineRule="auto"/>
              <w:jc w:val="center"/>
              <w:rPr>
                <w:rFonts w:hint="eastAsia" w:hAnsi="宋体"/>
                <w:color w:val="auto"/>
                <w:sz w:val="21"/>
                <w:szCs w:val="21"/>
                <w:highlight w:val="none"/>
              </w:rPr>
            </w:pPr>
          </w:p>
        </w:tc>
      </w:tr>
      <w:tr w14:paraId="68E1E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63DB6C7F">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备注</w:t>
            </w:r>
          </w:p>
        </w:tc>
        <w:tc>
          <w:tcPr>
            <w:tcW w:w="8010" w:type="dxa"/>
            <w:gridSpan w:val="6"/>
            <w:noWrap w:val="0"/>
            <w:vAlign w:val="center"/>
          </w:tcPr>
          <w:p w14:paraId="40E40E4B">
            <w:pPr>
              <w:pStyle w:val="105"/>
              <w:kinsoku/>
              <w:overflowPunct/>
              <w:bidi w:val="0"/>
              <w:spacing w:line="360" w:lineRule="auto"/>
              <w:jc w:val="center"/>
              <w:rPr>
                <w:rFonts w:hint="eastAsia" w:hAnsi="宋体"/>
                <w:color w:val="auto"/>
                <w:sz w:val="21"/>
                <w:szCs w:val="21"/>
                <w:highlight w:val="none"/>
              </w:rPr>
            </w:pPr>
          </w:p>
        </w:tc>
      </w:tr>
    </w:tbl>
    <w:p w14:paraId="10C924AD">
      <w:pPr>
        <w:rPr>
          <w:rFonts w:hint="eastAsia"/>
          <w:highlight w:val="none"/>
          <w:lang w:val="en-US" w:eastAsia="zh-CN"/>
        </w:rPr>
      </w:pPr>
    </w:p>
    <w:p w14:paraId="61C4E33E">
      <w:pPr>
        <w:rPr>
          <w:rFonts w:hint="eastAsia"/>
          <w:highlight w:val="none"/>
          <w:lang w:val="en-US" w:eastAsia="zh-CN"/>
        </w:rPr>
      </w:pPr>
      <w:r>
        <w:rPr>
          <w:rFonts w:hint="eastAsia"/>
          <w:highlight w:val="none"/>
          <w:lang w:val="en-US" w:eastAsia="zh-CN"/>
        </w:rPr>
        <w:br w:type="page"/>
      </w:r>
    </w:p>
    <w:p w14:paraId="6B57A4B9">
      <w:pPr>
        <w:pStyle w:val="5"/>
        <w:numPr>
          <w:ilvl w:val="0"/>
          <w:numId w:val="8"/>
        </w:numPr>
        <w:kinsoku/>
        <w:overflowPunct/>
        <w:bidi w:val="0"/>
        <w:spacing w:before="0" w:after="0" w:line="240" w:lineRule="auto"/>
        <w:textAlignment w:val="auto"/>
        <w:rPr>
          <w:rFonts w:hint="eastAsia"/>
          <w:color w:val="auto"/>
          <w:highlight w:val="none"/>
          <w:lang w:val="en-US" w:eastAsia="zh-CN"/>
        </w:rPr>
      </w:pPr>
      <w:bookmarkStart w:id="2268" w:name="_Toc9519"/>
      <w:r>
        <w:rPr>
          <w:rFonts w:hint="eastAsia"/>
          <w:color w:val="auto"/>
          <w:highlight w:val="none"/>
          <w:lang w:val="en-US" w:eastAsia="zh-CN"/>
        </w:rPr>
        <w:t>投标人资格要求相关证明材料</w:t>
      </w:r>
      <w:bookmarkEnd w:id="2268"/>
      <w:bookmarkStart w:id="2269" w:name="_Toc5577"/>
    </w:p>
    <w:p w14:paraId="27B9992E">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outlineLvl w:val="3"/>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登记设立的证明文件</w:t>
      </w:r>
      <w:bookmarkEnd w:id="2269"/>
    </w:p>
    <w:p w14:paraId="1D635CCB">
      <w:pPr>
        <w:keepNext w:val="0"/>
        <w:keepLines w:val="0"/>
        <w:pageBreakBefore w:val="0"/>
        <w:widowControl w:val="0"/>
        <w:tabs>
          <w:tab w:val="left" w:pos="2127"/>
        </w:tabs>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eastAsia" w:ascii="宋体" w:hAnsi="宋体" w:eastAsia="宋体" w:cs="宋体"/>
          <w:b w:val="0"/>
          <w:bCs w:val="0"/>
          <w:sz w:val="21"/>
          <w:szCs w:val="21"/>
          <w:highlight w:val="none"/>
          <w:u w:val="none"/>
          <w:vertAlign w:val="baseline"/>
          <w:lang w:eastAsia="zh-CN"/>
        </w:rPr>
      </w:pPr>
      <w:r>
        <w:rPr>
          <w:rFonts w:hint="eastAsia" w:ascii="宋体" w:hAnsi="宋体" w:eastAsia="宋体" w:cs="宋体"/>
          <w:b w:val="0"/>
          <w:bCs w:val="0"/>
          <w:i w:val="0"/>
          <w:iCs w:val="0"/>
          <w:sz w:val="21"/>
          <w:szCs w:val="21"/>
          <w:highlight w:val="none"/>
          <w:u w:val="none"/>
          <w:vertAlign w:val="baseline"/>
          <w:lang w:eastAsia="zh-CN"/>
        </w:rPr>
        <w:t>在</w:t>
      </w:r>
      <w:r>
        <w:rPr>
          <w:rFonts w:hint="eastAsia" w:ascii="宋体" w:hAnsi="宋体" w:eastAsia="宋体" w:cs="宋体"/>
          <w:b w:val="0"/>
          <w:bCs w:val="0"/>
          <w:sz w:val="21"/>
          <w:szCs w:val="21"/>
          <w:highlight w:val="none"/>
          <w:u w:val="none"/>
          <w:vertAlign w:val="baseline"/>
          <w:lang w:eastAsia="zh-CN"/>
        </w:rPr>
        <w:t>中华人民共和国境内依法登记的法人或其他组织</w:t>
      </w:r>
      <w:r>
        <w:rPr>
          <w:rFonts w:hint="eastAsia" w:ascii="宋体" w:hAnsi="宋体" w:eastAsia="宋体" w:cs="宋体"/>
          <w:b w:val="0"/>
          <w:bCs w:val="0"/>
          <w:sz w:val="21"/>
          <w:szCs w:val="21"/>
          <w:highlight w:val="none"/>
          <w:u w:val="none"/>
          <w:vertAlign w:val="baseline"/>
          <w:lang w:val="en-US" w:eastAsia="zh-CN"/>
        </w:rPr>
        <w:t>，具有独立承担民事责任的能力、独立承担项目的能力和独立履行合同的能力。持有合法有效的营业执照/事业单位法人证书。</w:t>
      </w:r>
    </w:p>
    <w:p w14:paraId="77D4F431">
      <w:pPr>
        <w:keepNext w:val="0"/>
        <w:keepLines w:val="0"/>
        <w:pageBreakBefore w:val="0"/>
        <w:widowControl w:val="0"/>
        <w:tabs>
          <w:tab w:val="left" w:pos="2127"/>
        </w:tabs>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rPr>
        <w:t>注：需提供相关证明文件复印件，</w:t>
      </w:r>
      <w:r>
        <w:rPr>
          <w:rFonts w:hint="eastAsia" w:ascii="宋体" w:hAnsi="宋体" w:eastAsia="宋体" w:cs="宋体"/>
          <w:b/>
          <w:bCs/>
          <w:color w:val="auto"/>
          <w:sz w:val="21"/>
          <w:szCs w:val="21"/>
          <w:highlight w:val="none"/>
          <w:lang w:val="zh-CN"/>
        </w:rPr>
        <w:t>需加盖公章或投标专用章或电子签章。</w:t>
      </w:r>
      <w:bookmarkStart w:id="2270" w:name="_Toc8652"/>
    </w:p>
    <w:p w14:paraId="6AB11C94">
      <w:pPr>
        <w:keepNext w:val="0"/>
        <w:keepLines w:val="0"/>
        <w:pageBreakBefore w:val="0"/>
        <w:widowControl w:val="0"/>
        <w:tabs>
          <w:tab w:val="left" w:pos="2127"/>
        </w:tabs>
        <w:kinsoku/>
        <w:wordWrap/>
        <w:overflowPunct/>
        <w:topLinePunct w:val="0"/>
        <w:autoSpaceDE/>
        <w:autoSpaceDN/>
        <w:bidi w:val="0"/>
        <w:adjustRightInd/>
        <w:snapToGrid/>
        <w:spacing w:line="360" w:lineRule="auto"/>
        <w:ind w:left="0" w:leftChars="0" w:firstLine="422" w:firstLineChars="200"/>
        <w:jc w:val="both"/>
        <w:textAlignment w:val="auto"/>
        <w:outlineLvl w:val="9"/>
        <w:rPr>
          <w:rFonts w:hint="eastAsia" w:ascii="宋体" w:hAnsi="宋体" w:eastAsia="宋体" w:cs="宋体"/>
          <w:b/>
          <w:bCs/>
          <w:color w:val="auto"/>
          <w:sz w:val="21"/>
          <w:szCs w:val="21"/>
          <w:highlight w:val="none"/>
          <w:lang w:val="zh-CN"/>
        </w:rPr>
      </w:pPr>
    </w:p>
    <w:p w14:paraId="6E00396E">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宋体" w:hAnsi="宋体" w:eastAsia="宋体" w:cs="宋体"/>
          <w:b/>
          <w:bCs/>
          <w:color w:val="auto"/>
          <w:sz w:val="24"/>
          <w:szCs w:val="24"/>
          <w:highlight w:val="none"/>
          <w:lang w:val="en-US" w:eastAsia="zh-CN"/>
        </w:rPr>
      </w:pPr>
      <w:bookmarkStart w:id="2271" w:name="_Toc12392"/>
      <w:bookmarkStart w:id="2272" w:name="_Toc12904"/>
      <w:r>
        <w:rPr>
          <w:rFonts w:hint="eastAsia" w:ascii="宋体" w:hAnsi="宋体" w:eastAsia="宋体" w:cs="宋体"/>
          <w:b/>
          <w:bCs/>
          <w:color w:val="auto"/>
          <w:sz w:val="24"/>
          <w:szCs w:val="24"/>
          <w:highlight w:val="none"/>
          <w:lang w:val="en-US" w:eastAsia="zh-CN"/>
        </w:rPr>
        <w:t>声明函</w:t>
      </w:r>
      <w:bookmarkEnd w:id="2270"/>
      <w:bookmarkEnd w:id="2271"/>
      <w:bookmarkEnd w:id="2272"/>
    </w:p>
    <w:p w14:paraId="53FC90C7">
      <w:pPr>
        <w:pStyle w:val="17"/>
        <w:keepNext w:val="0"/>
        <w:keepLines w:val="0"/>
        <w:pageBreakBefore w:val="0"/>
        <w:widowControl w:val="0"/>
        <w:kinsoku/>
        <w:wordWrap/>
        <w:overflowPunct/>
        <w:topLinePunct w:val="0"/>
        <w:autoSpaceDE/>
        <w:autoSpaceDN/>
        <w:bidi w:val="0"/>
        <w:adjustRightInd/>
        <w:snapToGrid/>
        <w:spacing w:before="0" w:after="0" w:afterLines="0" w:line="360" w:lineRule="auto"/>
        <w:jc w:val="left"/>
        <w:textAlignment w:val="auto"/>
        <w:outlineLvl w:val="9"/>
        <w:rPr>
          <w:rFonts w:hint="eastAsia" w:ascii="宋体" w:hAnsi="宋体" w:eastAsia="宋体" w:cs="宋体"/>
          <w:b w:val="0"/>
          <w:bCs w:val="0"/>
          <w:color w:val="auto"/>
          <w:kern w:val="2"/>
          <w:sz w:val="21"/>
          <w:szCs w:val="21"/>
          <w:highlight w:val="none"/>
          <w:lang w:val="en-US" w:eastAsia="zh-CN" w:bidi="ar-SA"/>
        </w:rPr>
      </w:pPr>
      <w:bookmarkStart w:id="2273" w:name="_Toc16474"/>
      <w:r>
        <w:rPr>
          <w:rFonts w:hint="eastAsia" w:ascii="宋体" w:hAnsi="宋体" w:eastAsia="宋体" w:cs="宋体"/>
          <w:b w:val="0"/>
          <w:bCs w:val="0"/>
          <w:color w:val="auto"/>
          <w:kern w:val="2"/>
          <w:sz w:val="21"/>
          <w:szCs w:val="21"/>
          <w:highlight w:val="none"/>
          <w:lang w:val="en-US" w:eastAsia="zh-CN" w:bidi="ar-SA"/>
        </w:rPr>
        <w:t>提供声明函，声明函应包含以下内容：</w:t>
      </w:r>
      <w:bookmarkEnd w:id="2273"/>
    </w:p>
    <w:p w14:paraId="02B3537C">
      <w:pPr>
        <w:pStyle w:val="17"/>
        <w:keepNext w:val="0"/>
        <w:keepLines w:val="0"/>
        <w:pageBreakBefore w:val="0"/>
        <w:widowControl w:val="0"/>
        <w:numPr>
          <w:ilvl w:val="0"/>
          <w:numId w:val="10"/>
        </w:numPr>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cs="宋体"/>
          <w:b w:val="0"/>
          <w:bCs w:val="0"/>
          <w:color w:val="auto"/>
          <w:sz w:val="21"/>
          <w:szCs w:val="21"/>
          <w:highlight w:val="none"/>
          <w:u w:val="none"/>
          <w:vertAlign w:val="baseline"/>
          <w:lang w:val="en-US" w:eastAsia="zh-CN"/>
        </w:rPr>
        <w:t>投标人</w:t>
      </w:r>
      <w:r>
        <w:rPr>
          <w:rFonts w:hint="eastAsia" w:ascii="宋体" w:hAnsi="宋体" w:eastAsia="宋体" w:cs="宋体"/>
          <w:b w:val="0"/>
          <w:bCs w:val="0"/>
          <w:color w:val="auto"/>
          <w:sz w:val="21"/>
          <w:szCs w:val="21"/>
          <w:highlight w:val="none"/>
          <w:u w:val="none"/>
          <w:vertAlign w:val="baseline"/>
          <w:lang w:val="en-US" w:eastAsia="zh-CN"/>
        </w:rPr>
        <w:t>没有在中国南方电网有限责任公司、广州南方投资集团有限公司及项目所在地政府暂停投标资格、取消投标资格、不接受投标、市场禁入，且未解除的</w:t>
      </w:r>
      <w:r>
        <w:rPr>
          <w:rFonts w:hint="eastAsia" w:ascii="宋体" w:hAnsi="宋体" w:eastAsia="宋体" w:cs="宋体"/>
          <w:b w:val="0"/>
          <w:bCs w:val="0"/>
          <w:highlight w:val="none"/>
          <w:lang w:eastAsia="zh-CN"/>
        </w:rPr>
        <w:t>。</w:t>
      </w:r>
    </w:p>
    <w:p w14:paraId="315EB87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宋体" w:hAnsi="宋体" w:eastAsia="宋体" w:cs="宋体"/>
          <w:b/>
          <w:bCs/>
          <w:color w:val="auto"/>
          <w:highlight w:val="none"/>
          <w:lang w:val="zh-CN"/>
        </w:rPr>
      </w:pPr>
      <w:r>
        <w:rPr>
          <w:rFonts w:hint="eastAsia" w:ascii="宋体" w:hAnsi="宋体" w:eastAsia="宋体" w:cs="宋体"/>
          <w:b/>
          <w:bCs/>
          <w:color w:val="auto"/>
          <w:highlight w:val="none"/>
          <w:lang w:val="zh-CN"/>
        </w:rPr>
        <w:t>注：需加盖公章或投标专用章或电子签章。</w:t>
      </w:r>
    </w:p>
    <w:p w14:paraId="0401468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eastAsia="宋体"/>
          <w:b/>
          <w:bCs/>
          <w:color w:val="auto"/>
          <w:highlight w:val="none"/>
          <w:lang w:val="en-US" w:eastAsia="zh-CN"/>
        </w:rPr>
      </w:pPr>
      <w:r>
        <w:rPr>
          <w:rFonts w:hint="eastAsia"/>
          <w:b/>
          <w:bCs/>
          <w:color w:val="auto"/>
          <w:highlight w:val="none"/>
          <w:lang w:val="en-US" w:eastAsia="zh-CN"/>
        </w:rPr>
        <w:t>参考格式如下：</w:t>
      </w:r>
    </w:p>
    <w:p w14:paraId="03632AD9">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outlineLvl w:val="9"/>
        <w:rPr>
          <w:rFonts w:hint="eastAsia" w:ascii="宋体" w:hAnsi="宋体" w:eastAsia="宋体" w:cs="宋体"/>
          <w:color w:val="auto"/>
          <w:sz w:val="30"/>
          <w:szCs w:val="30"/>
          <w:highlight w:val="none"/>
          <w:lang w:eastAsia="zh-CN"/>
        </w:rPr>
      </w:pPr>
      <w:bookmarkStart w:id="2274" w:name="_Toc12195"/>
      <w:r>
        <w:rPr>
          <w:rFonts w:hint="eastAsia" w:ascii="宋体" w:hAnsi="宋体" w:eastAsia="宋体" w:cs="宋体"/>
          <w:b/>
          <w:color w:val="auto"/>
          <w:sz w:val="30"/>
          <w:szCs w:val="30"/>
          <w:highlight w:val="none"/>
          <w:lang w:eastAsia="zh-CN"/>
        </w:rPr>
        <w:t>声明函</w:t>
      </w:r>
      <w:bookmarkEnd w:id="2274"/>
    </w:p>
    <w:p w14:paraId="22B01053">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60" w:lineRule="auto"/>
        <w:ind w:left="0" w:leftChars="0" w:right="0"/>
        <w:textAlignment w:val="auto"/>
        <w:rPr>
          <w:rFonts w:hint="eastAsia" w:ascii="宋体" w:hAnsi="宋体" w:eastAsia="宋体" w:cs="宋体"/>
          <w:color w:val="auto"/>
          <w:highlight w:val="none"/>
          <w:lang w:eastAsia="zh-CN"/>
        </w:rPr>
      </w:pPr>
      <w:r>
        <w:rPr>
          <w:rFonts w:hint="eastAsia" w:hAnsi="宋体"/>
          <w:color w:val="auto"/>
          <w:highlight w:val="none"/>
          <w:u w:val="single"/>
          <w:lang w:val="en-US" w:eastAsia="zh-CN"/>
        </w:rPr>
        <w:t>广州南方电力集团科技发展有限公司：</w:t>
      </w:r>
    </w:p>
    <w:p w14:paraId="77B282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我单位参与</w:t>
      </w:r>
      <w:r>
        <w:rPr>
          <w:rFonts w:hint="eastAsia" w:ascii="宋体" w:hAnsi="宋体" w:cs="宋体"/>
          <w:color w:val="auto"/>
          <w:kern w:val="0"/>
          <w:sz w:val="21"/>
          <w:szCs w:val="21"/>
          <w:highlight w:val="none"/>
          <w:u w:val="single"/>
          <w:shd w:val="clear" w:color="auto" w:fill="FFFFFF"/>
          <w:lang w:bidi="ar"/>
        </w:rPr>
        <w:t>项目名称：</w:t>
      </w:r>
      <w:r>
        <w:rPr>
          <w:rFonts w:hint="eastAsia" w:ascii="宋体" w:hAnsi="宋体" w:cs="宋体"/>
          <w:color w:val="auto"/>
          <w:kern w:val="0"/>
          <w:sz w:val="21"/>
          <w:szCs w:val="21"/>
          <w:highlight w:val="none"/>
          <w:u w:val="single"/>
          <w:shd w:val="clear" w:color="auto" w:fill="FFFFFF"/>
          <w:lang w:eastAsia="zh-CN" w:bidi="ar"/>
        </w:rPr>
        <w:t>科技公司2025-2026年第一批光伏组件采购框架（二次招标）</w:t>
      </w:r>
      <w:r>
        <w:rPr>
          <w:rFonts w:hint="eastAsia" w:ascii="宋体" w:hAnsi="宋体" w:cs="宋体"/>
          <w:color w:val="auto"/>
          <w:kern w:val="0"/>
          <w:sz w:val="21"/>
          <w:szCs w:val="21"/>
          <w:highlight w:val="none"/>
          <w:u w:val="single"/>
          <w:shd w:val="clear" w:color="auto" w:fill="FFFFFF"/>
          <w:lang w:val="en-US" w:eastAsia="zh-CN" w:bidi="ar"/>
        </w:rPr>
        <w:t>，标段名称：科技公司2025-2026年第一批光伏组件采购框架（二次招标）</w:t>
      </w:r>
      <w:r>
        <w:rPr>
          <w:rFonts w:hint="eastAsia" w:hAnsi="宋体"/>
          <w:color w:val="auto"/>
          <w:highlight w:val="none"/>
          <w:u w:val="single"/>
          <w:lang w:val="en-US" w:eastAsia="zh-CN"/>
        </w:rPr>
        <w:t xml:space="preserve"> </w:t>
      </w:r>
      <w:r>
        <w:rPr>
          <w:rFonts w:hint="eastAsia" w:ascii="宋体" w:hAnsi="宋体" w:eastAsia="宋体" w:cs="宋体"/>
          <w:color w:val="auto"/>
          <w:szCs w:val="21"/>
          <w:highlight w:val="none"/>
        </w:rPr>
        <w:t>的</w:t>
      </w:r>
      <w:r>
        <w:rPr>
          <w:rFonts w:hint="eastAsia" w:ascii="宋体" w:hAnsi="宋体" w:cs="宋体"/>
          <w:color w:val="auto"/>
          <w:szCs w:val="21"/>
          <w:highlight w:val="none"/>
          <w:lang w:val="en-US" w:eastAsia="zh-CN"/>
        </w:rPr>
        <w:t>投标</w:t>
      </w:r>
      <w:r>
        <w:rPr>
          <w:rFonts w:hint="eastAsia" w:ascii="宋体" w:hAnsi="宋体" w:eastAsia="宋体" w:cs="宋体"/>
          <w:color w:val="auto"/>
          <w:szCs w:val="21"/>
          <w:highlight w:val="none"/>
        </w:rPr>
        <w:t>，同时在此郑重</w:t>
      </w:r>
      <w:r>
        <w:rPr>
          <w:rFonts w:hint="eastAsia" w:ascii="宋体" w:hAnsi="宋体" w:eastAsia="宋体" w:cs="宋体"/>
          <w:color w:val="auto"/>
          <w:szCs w:val="21"/>
          <w:highlight w:val="none"/>
          <w:lang w:eastAsia="zh-CN"/>
        </w:rPr>
        <w:t>声明</w:t>
      </w:r>
      <w:r>
        <w:rPr>
          <w:rFonts w:hint="eastAsia" w:ascii="宋体" w:hAnsi="宋体" w:eastAsia="宋体" w:cs="宋体"/>
          <w:color w:val="auto"/>
          <w:szCs w:val="21"/>
          <w:highlight w:val="none"/>
        </w:rPr>
        <w:t>：</w:t>
      </w:r>
    </w:p>
    <w:p w14:paraId="46E223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textAlignment w:val="auto"/>
        <w:rPr>
          <w:rFonts w:hint="eastAsia"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1.</w:t>
      </w:r>
      <w:r>
        <w:rPr>
          <w:rFonts w:hint="eastAsia" w:ascii="宋体" w:hAnsi="宋体" w:eastAsia="宋体" w:cs="宋体"/>
          <w:b w:val="0"/>
          <w:bCs w:val="0"/>
          <w:color w:val="auto"/>
          <w:highlight w:val="none"/>
          <w:lang w:val="en-US" w:eastAsia="zh-CN"/>
        </w:rPr>
        <w:t>我单位</w:t>
      </w:r>
      <w:r>
        <w:rPr>
          <w:rFonts w:hint="eastAsia" w:ascii="宋体" w:hAnsi="宋体" w:eastAsia="宋体" w:cs="宋体"/>
          <w:highlight w:val="none"/>
          <w:lang w:eastAsia="zh-CN"/>
        </w:rPr>
        <w:t>没有在中国南方电网有限责任公司</w:t>
      </w:r>
      <w:r>
        <w:rPr>
          <w:rFonts w:hint="eastAsia" w:ascii="宋体" w:hAnsi="宋体" w:cs="宋体"/>
          <w:highlight w:val="none"/>
          <w:lang w:eastAsia="zh-CN"/>
        </w:rPr>
        <w:t>、</w:t>
      </w:r>
      <w:r>
        <w:rPr>
          <w:rFonts w:hint="eastAsia" w:ascii="宋体" w:hAnsi="宋体" w:eastAsia="宋体" w:cs="宋体"/>
          <w:highlight w:val="none"/>
          <w:lang w:eastAsia="zh-CN"/>
        </w:rPr>
        <w:t>广州南方投资集团有限公司</w:t>
      </w:r>
      <w:r>
        <w:rPr>
          <w:rFonts w:hint="eastAsia" w:ascii="宋体" w:hAnsi="宋体" w:cs="宋体"/>
          <w:highlight w:val="none"/>
          <w:lang w:eastAsia="zh-CN"/>
        </w:rPr>
        <w:t>及</w:t>
      </w:r>
      <w:r>
        <w:rPr>
          <w:rFonts w:hint="eastAsia" w:ascii="宋体" w:hAnsi="宋体" w:eastAsia="宋体" w:cs="宋体"/>
          <w:highlight w:val="none"/>
          <w:lang w:eastAsia="zh-CN"/>
        </w:rPr>
        <w:t>项目所在地政府暂停投标资格、取消投标资格、不接受投标、市场禁入，且未解除的。</w:t>
      </w:r>
    </w:p>
    <w:p w14:paraId="68A1C4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textAlignment w:val="auto"/>
        <w:rPr>
          <w:rFonts w:hint="eastAsia"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2.</w:t>
      </w:r>
      <w:r>
        <w:rPr>
          <w:rFonts w:hint="eastAsia" w:ascii="宋体" w:hAnsi="宋体" w:eastAsia="宋体" w:cs="宋体"/>
          <w:b w:val="0"/>
          <w:bCs w:val="0"/>
          <w:color w:val="auto"/>
          <w:highlight w:val="none"/>
          <w:lang w:val="en-US" w:eastAsia="zh-CN"/>
        </w:rPr>
        <w:t>************</w:t>
      </w:r>
      <w:r>
        <w:rPr>
          <w:rFonts w:hint="eastAsia" w:ascii="宋体" w:hAnsi="宋体" w:cs="宋体"/>
          <w:b w:val="0"/>
          <w:bCs w:val="0"/>
          <w:color w:val="auto"/>
          <w:highlight w:val="none"/>
          <w:lang w:val="en-US" w:eastAsia="zh-CN"/>
        </w:rPr>
        <w:t>。</w:t>
      </w:r>
    </w:p>
    <w:p w14:paraId="4B3DDD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textAlignment w:val="auto"/>
        <w:rPr>
          <w:rFonts w:hint="eastAsia"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3.</w:t>
      </w:r>
      <w:r>
        <w:rPr>
          <w:rFonts w:hint="eastAsia" w:ascii="宋体" w:hAnsi="宋体" w:eastAsia="宋体" w:cs="宋体"/>
          <w:b w:val="0"/>
          <w:bCs w:val="0"/>
          <w:color w:val="auto"/>
          <w:highlight w:val="none"/>
          <w:lang w:val="en-US" w:eastAsia="zh-CN"/>
        </w:rPr>
        <w:t>************。</w:t>
      </w:r>
    </w:p>
    <w:p w14:paraId="0A910B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147" w:firstLineChars="1975"/>
        <w:textAlignment w:val="auto"/>
        <w:rPr>
          <w:rFonts w:hint="eastAsia" w:ascii="宋体" w:hAnsi="宋体" w:eastAsia="宋体" w:cs="宋体"/>
          <w:color w:val="auto"/>
          <w:szCs w:val="21"/>
          <w:highlight w:val="none"/>
          <w:lang w:val="en-US" w:eastAsia="zh-CN"/>
        </w:rPr>
      </w:pPr>
    </w:p>
    <w:p w14:paraId="3BA8B777">
      <w:pPr>
        <w:ind w:firstLine="3885" w:firstLineChars="1850"/>
        <w:rPr>
          <w:rFonts w:ascii="宋体" w:hAnsi="宋体" w:cs="宋体"/>
          <w:color w:val="auto"/>
          <w:szCs w:val="21"/>
          <w:highlight w:val="none"/>
          <w:u w:val="single"/>
        </w:rPr>
      </w:pP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名称（公章或投标专用章或电子签章）：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257F8FAA">
      <w:pPr>
        <w:spacing w:before="100" w:after="100" w:line="360" w:lineRule="auto"/>
        <w:jc w:val="right"/>
        <w:outlineLvl w:val="9"/>
        <w:rPr>
          <w:rFonts w:hint="eastAsia" w:ascii="宋体" w:hAnsi="宋体" w:cs="宋体"/>
          <w:color w:val="auto"/>
          <w:szCs w:val="21"/>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AFD97AA">
      <w:pPr>
        <w:rPr>
          <w:b/>
          <w:color w:val="auto"/>
          <w:szCs w:val="21"/>
          <w:highlight w:val="none"/>
          <w:shd w:val="clear" w:color="auto" w:fill="FFFFFF"/>
        </w:rPr>
      </w:pPr>
    </w:p>
    <w:p w14:paraId="5A718387">
      <w:pPr>
        <w:rPr>
          <w:rFonts w:hint="eastAsia"/>
          <w:highlight w:val="none"/>
        </w:rPr>
      </w:pPr>
      <w:r>
        <w:rPr>
          <w:rFonts w:hint="eastAsia"/>
          <w:highlight w:val="none"/>
        </w:rPr>
        <w:br w:type="page"/>
      </w:r>
    </w:p>
    <w:p w14:paraId="63941C33">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宋体" w:hAnsi="宋体" w:eastAsia="宋体" w:cs="宋体"/>
          <w:b/>
          <w:bCs/>
          <w:color w:val="auto"/>
          <w:sz w:val="24"/>
          <w:szCs w:val="24"/>
          <w:highlight w:val="none"/>
          <w:lang w:val="en-US" w:eastAsia="zh-CN"/>
        </w:rPr>
      </w:pPr>
      <w:bookmarkStart w:id="2275" w:name="_Toc26743"/>
      <w:r>
        <w:rPr>
          <w:rFonts w:hint="eastAsia" w:ascii="宋体" w:hAnsi="宋体" w:eastAsia="宋体" w:cs="宋体"/>
          <w:b/>
          <w:bCs/>
          <w:color w:val="auto"/>
          <w:sz w:val="24"/>
          <w:szCs w:val="24"/>
          <w:highlight w:val="none"/>
          <w:lang w:val="en-US" w:eastAsia="zh-CN"/>
        </w:rPr>
        <w:t>投标行为承诺函</w:t>
      </w:r>
      <w:bookmarkEnd w:id="2275"/>
    </w:p>
    <w:p w14:paraId="66367B34">
      <w:pPr>
        <w:pStyle w:val="23"/>
        <w:kinsoku/>
        <w:overflowPunct/>
        <w:bidi w:val="0"/>
        <w:spacing w:line="360" w:lineRule="auto"/>
        <w:jc w:val="center"/>
        <w:textAlignment w:val="auto"/>
        <w:rPr>
          <w:rFonts w:hint="eastAsia" w:ascii="宋体" w:hAnsi="宋体" w:eastAsia="宋体" w:cs="宋体"/>
          <w:b/>
          <w:bCs/>
          <w:color w:val="auto"/>
          <w:sz w:val="24"/>
          <w:szCs w:val="24"/>
          <w:highlight w:val="none"/>
        </w:rPr>
      </w:pPr>
    </w:p>
    <w:p w14:paraId="51F6813D">
      <w:pPr>
        <w:kinsoku/>
        <w:overflowPunct/>
        <w:bidi w:val="0"/>
        <w:spacing w:line="360" w:lineRule="auto"/>
        <w:jc w:val="center"/>
        <w:textAlignment w:val="auto"/>
        <w:outlineLvl w:val="9"/>
        <w:rPr>
          <w:rFonts w:hint="eastAsia" w:ascii="宋体" w:hAnsi="宋体" w:eastAsia="宋体" w:cs="宋体"/>
          <w:color w:val="auto"/>
          <w:sz w:val="30"/>
          <w:szCs w:val="30"/>
          <w:highlight w:val="none"/>
          <w:lang w:eastAsia="zh-CN"/>
        </w:rPr>
      </w:pPr>
      <w:bookmarkStart w:id="2276" w:name="_Toc27866"/>
      <w:r>
        <w:rPr>
          <w:rFonts w:hint="eastAsia" w:ascii="宋体" w:hAnsi="宋体" w:eastAsia="宋体" w:cs="宋体"/>
          <w:b/>
          <w:color w:val="auto"/>
          <w:sz w:val="30"/>
          <w:szCs w:val="30"/>
          <w:highlight w:val="none"/>
          <w:lang w:eastAsia="zh-CN"/>
        </w:rPr>
        <w:t>投标行为</w:t>
      </w:r>
      <w:r>
        <w:rPr>
          <w:rFonts w:hint="eastAsia" w:ascii="宋体" w:hAnsi="宋体" w:eastAsia="宋体" w:cs="宋体"/>
          <w:b/>
          <w:color w:val="auto"/>
          <w:sz w:val="30"/>
          <w:szCs w:val="30"/>
          <w:highlight w:val="none"/>
        </w:rPr>
        <w:t>承诺</w:t>
      </w:r>
      <w:r>
        <w:rPr>
          <w:rFonts w:hint="eastAsia" w:ascii="宋体" w:hAnsi="宋体" w:eastAsia="宋体" w:cs="宋体"/>
          <w:b/>
          <w:color w:val="auto"/>
          <w:sz w:val="30"/>
          <w:szCs w:val="30"/>
          <w:highlight w:val="none"/>
          <w:lang w:eastAsia="zh-CN"/>
        </w:rPr>
        <w:t>函</w:t>
      </w:r>
      <w:bookmarkEnd w:id="2276"/>
    </w:p>
    <w:p w14:paraId="25E57BF3">
      <w:pPr>
        <w:pStyle w:val="23"/>
        <w:keepNext w:val="0"/>
        <w:keepLines w:val="0"/>
        <w:pageBreakBefore w:val="0"/>
        <w:widowControl w:val="0"/>
        <w:tabs>
          <w:tab w:val="left" w:pos="2127"/>
        </w:tabs>
        <w:kinsoku/>
        <w:wordWrap/>
        <w:overflowPunct/>
        <w:topLinePunct w:val="0"/>
        <w:autoSpaceDE/>
        <w:autoSpaceDN/>
        <w:bidi w:val="0"/>
        <w:spacing w:beforeAutospacing="0" w:afterAutospacing="0" w:line="360" w:lineRule="auto"/>
        <w:ind w:left="0" w:leftChars="0" w:right="0"/>
        <w:textAlignment w:val="auto"/>
        <w:rPr>
          <w:rFonts w:hint="eastAsia" w:ascii="宋体" w:hAnsi="宋体" w:eastAsia="宋体" w:cs="宋体"/>
          <w:color w:val="auto"/>
          <w:highlight w:val="none"/>
          <w:lang w:eastAsia="zh-CN"/>
        </w:rPr>
      </w:pPr>
      <w:r>
        <w:rPr>
          <w:rFonts w:hint="eastAsia" w:hAnsi="宋体"/>
          <w:color w:val="auto"/>
          <w:highlight w:val="none"/>
          <w:u w:val="single"/>
          <w:lang w:val="en-US" w:eastAsia="zh-CN"/>
        </w:rPr>
        <w:t>广州南方电力集团科技发展有限公司</w:t>
      </w:r>
      <w:r>
        <w:rPr>
          <w:rFonts w:hint="eastAsia" w:ascii="宋体" w:hAnsi="宋体" w:eastAsia="宋体" w:cs="宋体"/>
          <w:color w:val="auto"/>
          <w:highlight w:val="none"/>
          <w:u w:val="single"/>
          <w:lang w:eastAsia="zh-CN"/>
        </w:rPr>
        <w:t>：</w:t>
      </w:r>
    </w:p>
    <w:p w14:paraId="546776E3">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我单位参与</w:t>
      </w:r>
      <w:r>
        <w:rPr>
          <w:rFonts w:hint="eastAsia" w:ascii="宋体" w:hAnsi="宋体" w:cs="宋体"/>
          <w:color w:val="auto"/>
          <w:kern w:val="0"/>
          <w:sz w:val="21"/>
          <w:szCs w:val="21"/>
          <w:highlight w:val="none"/>
          <w:u w:val="single"/>
          <w:shd w:val="clear" w:color="auto" w:fill="FFFFFF"/>
          <w:lang w:bidi="ar"/>
        </w:rPr>
        <w:t>项目名称：</w:t>
      </w:r>
      <w:r>
        <w:rPr>
          <w:rFonts w:hint="eastAsia" w:ascii="宋体" w:hAnsi="宋体" w:cs="宋体"/>
          <w:color w:val="auto"/>
          <w:kern w:val="0"/>
          <w:sz w:val="21"/>
          <w:szCs w:val="21"/>
          <w:highlight w:val="none"/>
          <w:u w:val="single"/>
          <w:shd w:val="clear" w:color="auto" w:fill="FFFFFF"/>
          <w:lang w:eastAsia="zh-CN" w:bidi="ar"/>
        </w:rPr>
        <w:t>科技公司2025-2026年第一批光伏组件采购框架（二次招标）</w:t>
      </w:r>
      <w:r>
        <w:rPr>
          <w:rFonts w:hint="eastAsia" w:ascii="宋体" w:hAnsi="宋体" w:cs="宋体"/>
          <w:color w:val="auto"/>
          <w:kern w:val="0"/>
          <w:sz w:val="21"/>
          <w:szCs w:val="21"/>
          <w:highlight w:val="none"/>
          <w:u w:val="single"/>
          <w:shd w:val="clear" w:color="auto" w:fill="FFFFFF"/>
          <w:lang w:val="en-US" w:eastAsia="zh-CN" w:bidi="ar"/>
        </w:rPr>
        <w:t>，标段名称：科技公司2025-2026年第一批光伏组件采购框架（二次招标）</w:t>
      </w:r>
      <w:r>
        <w:rPr>
          <w:rFonts w:hint="eastAsia" w:ascii="宋体" w:hAnsi="宋体" w:eastAsia="宋体" w:cs="宋体"/>
          <w:color w:val="auto"/>
          <w:szCs w:val="21"/>
          <w:highlight w:val="none"/>
        </w:rPr>
        <w:t>的</w:t>
      </w:r>
      <w:r>
        <w:rPr>
          <w:rFonts w:hint="eastAsia" w:ascii="宋体" w:hAnsi="宋体" w:cs="宋体"/>
          <w:color w:val="auto"/>
          <w:szCs w:val="21"/>
          <w:highlight w:val="none"/>
          <w:lang w:val="en-US" w:eastAsia="zh-CN"/>
        </w:rPr>
        <w:t>投标</w:t>
      </w:r>
      <w:r>
        <w:rPr>
          <w:rFonts w:hint="eastAsia" w:ascii="宋体" w:hAnsi="宋体" w:eastAsia="宋体" w:cs="宋体"/>
          <w:color w:val="auto"/>
          <w:szCs w:val="21"/>
          <w:highlight w:val="none"/>
        </w:rPr>
        <w:t>，同时在此郑重承诺：</w:t>
      </w:r>
    </w:p>
    <w:p w14:paraId="16816632">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我单位按要求递交的有关材料【包括但不限于营业执照、资质资格证书、企业业绩、项目负责人（项目经理）业绩和证件（如有）、项目团队人员证件等】为本单位真实拥有，经确认无误，不存在伪造、变造、涂改等弄虚作假、违法违规行为。</w:t>
      </w:r>
    </w:p>
    <w:p w14:paraId="4CD5A61C">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、我单位按要求递交的有关</w:t>
      </w:r>
      <w:r>
        <w:rPr>
          <w:rFonts w:hint="eastAsia" w:ascii="宋体" w:hAnsi="宋体" w:eastAsia="宋体" w:cs="宋体"/>
          <w:color w:val="auto"/>
          <w:szCs w:val="21"/>
          <w:highlight w:val="none"/>
          <w:lang w:eastAsia="zh-CN"/>
        </w:rPr>
        <w:t>材料【包括但不限于</w:t>
      </w:r>
      <w:r>
        <w:rPr>
          <w:rFonts w:hint="eastAsia" w:ascii="宋体" w:hAnsi="宋体" w:eastAsia="宋体" w:cs="宋体"/>
          <w:color w:val="auto"/>
          <w:szCs w:val="21"/>
          <w:highlight w:val="none"/>
        </w:rPr>
        <w:t>营业执照、资质资格证书、企业业绩</w:t>
      </w:r>
      <w:r>
        <w:rPr>
          <w:rFonts w:hint="eastAsia" w:ascii="宋体" w:hAnsi="宋体" w:eastAsia="宋体" w:cs="宋体"/>
          <w:color w:val="auto"/>
          <w:szCs w:val="21"/>
          <w:highlight w:val="none"/>
          <w:lang w:eastAsia="zh-CN"/>
        </w:rPr>
        <w:t>、</w:t>
      </w:r>
      <w:r>
        <w:rPr>
          <w:rFonts w:hint="eastAsia" w:ascii="宋体" w:hAnsi="宋体" w:eastAsia="宋体" w:cs="宋体"/>
          <w:bCs/>
          <w:color w:val="auto"/>
          <w:sz w:val="21"/>
          <w:szCs w:val="21"/>
          <w:highlight w:val="none"/>
          <w:lang w:val="en-US" w:eastAsia="zh-CN"/>
        </w:rPr>
        <w:t>项目负责人（项目经理）</w:t>
      </w:r>
      <w:r>
        <w:rPr>
          <w:rFonts w:hint="eastAsia" w:ascii="宋体" w:hAnsi="宋体" w:eastAsia="宋体" w:cs="宋体"/>
          <w:color w:val="auto"/>
          <w:kern w:val="0"/>
          <w:sz w:val="21"/>
          <w:szCs w:val="21"/>
          <w:highlight w:val="none"/>
          <w:u w:val="none"/>
        </w:rPr>
        <w:t>业绩</w:t>
      </w:r>
      <w:r>
        <w:rPr>
          <w:rFonts w:hint="eastAsia" w:ascii="宋体" w:hAnsi="宋体" w:eastAsia="宋体" w:cs="宋体"/>
          <w:color w:val="auto"/>
          <w:kern w:val="0"/>
          <w:sz w:val="21"/>
          <w:szCs w:val="21"/>
          <w:highlight w:val="none"/>
          <w:u w:val="none"/>
          <w:lang w:eastAsia="zh-CN"/>
        </w:rPr>
        <w:t>和证件</w:t>
      </w:r>
      <w:r>
        <w:rPr>
          <w:rFonts w:hint="eastAsia" w:ascii="宋体" w:hAnsi="宋体" w:eastAsia="宋体" w:cs="宋体"/>
          <w:b w:val="0"/>
          <w:bCs w:val="0"/>
          <w:color w:val="auto"/>
          <w:sz w:val="21"/>
          <w:szCs w:val="21"/>
          <w:highlight w:val="none"/>
          <w:u w:val="none"/>
          <w:lang w:val="en-US" w:eastAsia="zh-CN"/>
        </w:rPr>
        <w:t>（如有）</w:t>
      </w:r>
      <w:r>
        <w:rPr>
          <w:rFonts w:hint="eastAsia" w:ascii="宋体" w:hAnsi="宋体" w:eastAsia="宋体" w:cs="宋体"/>
          <w:color w:val="auto"/>
          <w:kern w:val="0"/>
          <w:sz w:val="21"/>
          <w:szCs w:val="21"/>
          <w:highlight w:val="none"/>
          <w:u w:val="none"/>
          <w:lang w:eastAsia="zh-CN"/>
        </w:rPr>
        <w:t>、项目团队人员证件等</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如有虚假，一经查实，我单位自愿退出该项目</w:t>
      </w:r>
      <w:r>
        <w:rPr>
          <w:rFonts w:hint="eastAsia" w:ascii="宋体" w:hAnsi="宋体" w:cs="宋体"/>
          <w:color w:val="auto"/>
          <w:szCs w:val="21"/>
          <w:highlight w:val="none"/>
          <w:lang w:val="en-US" w:eastAsia="zh-CN"/>
        </w:rPr>
        <w:t>投标</w:t>
      </w:r>
      <w:r>
        <w:rPr>
          <w:rFonts w:hint="eastAsia" w:ascii="宋体" w:hAnsi="宋体" w:eastAsia="宋体" w:cs="宋体"/>
          <w:color w:val="auto"/>
          <w:szCs w:val="21"/>
          <w:highlight w:val="none"/>
        </w:rPr>
        <w:t>，并接受贵单位如下处罚及相关管理规定处罚，承担相关责任。</w:t>
      </w:r>
    </w:p>
    <w:tbl>
      <w:tblPr>
        <w:tblStyle w:val="46"/>
        <w:tblW w:w="97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3417"/>
        <w:gridCol w:w="5587"/>
      </w:tblGrid>
      <w:tr w14:paraId="5AB9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6584DD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3417" w:type="dxa"/>
            <w:tcBorders>
              <w:top w:val="single" w:color="auto" w:sz="4" w:space="0"/>
              <w:left w:val="single" w:color="auto" w:sz="4" w:space="0"/>
              <w:bottom w:val="single" w:color="auto" w:sz="4" w:space="0"/>
              <w:right w:val="single" w:color="auto" w:sz="4" w:space="0"/>
            </w:tcBorders>
            <w:noWrap w:val="0"/>
            <w:vAlign w:val="center"/>
          </w:tcPr>
          <w:p w14:paraId="2903EB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采购</w:t>
            </w:r>
            <w:r>
              <w:rPr>
                <w:rFonts w:hint="eastAsia" w:ascii="宋体" w:hAnsi="宋体" w:eastAsia="宋体" w:cs="宋体"/>
                <w:color w:val="auto"/>
                <w:szCs w:val="21"/>
                <w:highlight w:val="none"/>
              </w:rPr>
              <w:t>及项目实施各阶段</w:t>
            </w:r>
          </w:p>
        </w:tc>
        <w:tc>
          <w:tcPr>
            <w:tcW w:w="5587" w:type="dxa"/>
            <w:tcBorders>
              <w:top w:val="single" w:color="auto" w:sz="4" w:space="0"/>
              <w:left w:val="single" w:color="auto" w:sz="4" w:space="0"/>
              <w:bottom w:val="single" w:color="auto" w:sz="4" w:space="0"/>
              <w:right w:val="single" w:color="auto" w:sz="4" w:space="0"/>
            </w:tcBorders>
            <w:noWrap w:val="0"/>
            <w:vAlign w:val="center"/>
          </w:tcPr>
          <w:p w14:paraId="4AE0F6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发现伪造、变造、涂改</w:t>
            </w:r>
            <w:r>
              <w:rPr>
                <w:rFonts w:hint="eastAsia" w:ascii="宋体" w:hAnsi="宋体" w:eastAsia="宋体" w:cs="宋体"/>
                <w:color w:val="auto"/>
                <w:szCs w:val="21"/>
                <w:highlight w:val="none"/>
                <w:lang w:eastAsia="zh-CN"/>
              </w:rPr>
              <w:t>采购应答</w:t>
            </w:r>
            <w:r>
              <w:rPr>
                <w:rFonts w:hint="eastAsia" w:ascii="宋体" w:hAnsi="宋体" w:eastAsia="宋体" w:cs="宋体"/>
                <w:color w:val="auto"/>
                <w:szCs w:val="21"/>
                <w:highlight w:val="none"/>
              </w:rPr>
              <w:t>资料弄虚造假，骗取</w:t>
            </w:r>
            <w:r>
              <w:rPr>
                <w:rFonts w:hint="eastAsia" w:ascii="宋体" w:hAnsi="宋体" w:eastAsia="宋体" w:cs="宋体"/>
                <w:color w:val="auto"/>
                <w:szCs w:val="21"/>
                <w:highlight w:val="none"/>
                <w:lang w:eastAsia="zh-CN"/>
              </w:rPr>
              <w:t>成交</w:t>
            </w:r>
            <w:r>
              <w:rPr>
                <w:rFonts w:hint="eastAsia" w:ascii="宋体" w:hAnsi="宋体" w:eastAsia="宋体" w:cs="宋体"/>
                <w:color w:val="auto"/>
                <w:szCs w:val="21"/>
                <w:highlight w:val="none"/>
              </w:rPr>
              <w:t>的处罚措施</w:t>
            </w:r>
          </w:p>
        </w:tc>
      </w:tr>
      <w:tr w14:paraId="3BBA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43FAA7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417" w:type="dxa"/>
            <w:tcBorders>
              <w:top w:val="single" w:color="auto" w:sz="4" w:space="0"/>
              <w:left w:val="single" w:color="auto" w:sz="4" w:space="0"/>
              <w:bottom w:val="single" w:color="auto" w:sz="4" w:space="0"/>
              <w:right w:val="single" w:color="auto" w:sz="4" w:space="0"/>
            </w:tcBorders>
            <w:noWrap w:val="0"/>
            <w:vAlign w:val="center"/>
          </w:tcPr>
          <w:p w14:paraId="4C5065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w:t>
            </w:r>
            <w:r>
              <w:rPr>
                <w:rFonts w:hint="eastAsia" w:ascii="宋体" w:hAnsi="宋体" w:eastAsia="宋体" w:cs="宋体"/>
                <w:color w:val="auto"/>
                <w:szCs w:val="21"/>
                <w:highlight w:val="none"/>
                <w:lang w:eastAsia="zh-CN"/>
              </w:rPr>
              <w:t>审</w:t>
            </w:r>
            <w:r>
              <w:rPr>
                <w:rFonts w:hint="eastAsia" w:ascii="宋体" w:hAnsi="宋体" w:eastAsia="宋体" w:cs="宋体"/>
                <w:color w:val="auto"/>
                <w:szCs w:val="21"/>
                <w:highlight w:val="none"/>
              </w:rPr>
              <w:t>阶段</w:t>
            </w:r>
          </w:p>
        </w:tc>
        <w:tc>
          <w:tcPr>
            <w:tcW w:w="5587" w:type="dxa"/>
            <w:tcBorders>
              <w:top w:val="single" w:color="auto" w:sz="4" w:space="0"/>
              <w:left w:val="single" w:color="auto" w:sz="4" w:space="0"/>
              <w:bottom w:val="single" w:color="auto" w:sz="4" w:space="0"/>
              <w:right w:val="single" w:color="auto" w:sz="4" w:space="0"/>
            </w:tcBorders>
            <w:noWrap w:val="0"/>
            <w:vAlign w:val="center"/>
          </w:tcPr>
          <w:p w14:paraId="015D94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（1）否决该单位</w:t>
            </w:r>
            <w:r>
              <w:rPr>
                <w:rFonts w:hint="eastAsia" w:ascii="宋体" w:hAnsi="宋体" w:cs="宋体"/>
                <w:color w:val="auto"/>
                <w:szCs w:val="21"/>
                <w:highlight w:val="none"/>
                <w:lang w:val="en-US" w:eastAsia="zh-CN"/>
              </w:rPr>
              <w:t>投标</w:t>
            </w:r>
            <w:r>
              <w:rPr>
                <w:rFonts w:hint="eastAsia" w:ascii="宋体" w:hAnsi="宋体" w:eastAsia="宋体" w:cs="宋体"/>
                <w:color w:val="auto"/>
                <w:szCs w:val="21"/>
                <w:highlight w:val="none"/>
              </w:rPr>
              <w:t>；</w:t>
            </w:r>
          </w:p>
          <w:p w14:paraId="4FDF2A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）保留其他处罚权力。</w:t>
            </w:r>
          </w:p>
        </w:tc>
      </w:tr>
      <w:tr w14:paraId="7CC6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50303B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3417" w:type="dxa"/>
            <w:tcBorders>
              <w:top w:val="single" w:color="auto" w:sz="4" w:space="0"/>
              <w:left w:val="single" w:color="auto" w:sz="4" w:space="0"/>
              <w:bottom w:val="single" w:color="auto" w:sz="4" w:space="0"/>
              <w:right w:val="single" w:color="auto" w:sz="4" w:space="0"/>
            </w:tcBorders>
            <w:noWrap w:val="0"/>
            <w:vAlign w:val="center"/>
          </w:tcPr>
          <w:p w14:paraId="64BBB9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中标</w:t>
            </w:r>
            <w:r>
              <w:rPr>
                <w:rFonts w:hint="eastAsia" w:ascii="宋体" w:hAnsi="宋体" w:eastAsia="宋体" w:cs="宋体"/>
                <w:color w:val="auto"/>
                <w:szCs w:val="21"/>
                <w:highlight w:val="none"/>
              </w:rPr>
              <w:t>候选人公示至定标阶段</w:t>
            </w:r>
          </w:p>
        </w:tc>
        <w:tc>
          <w:tcPr>
            <w:tcW w:w="5587" w:type="dxa"/>
            <w:tcBorders>
              <w:top w:val="single" w:color="auto" w:sz="4" w:space="0"/>
              <w:left w:val="single" w:color="auto" w:sz="4" w:space="0"/>
              <w:bottom w:val="single" w:color="auto" w:sz="4" w:space="0"/>
              <w:right w:val="single" w:color="auto" w:sz="4" w:space="0"/>
            </w:tcBorders>
            <w:noWrap w:val="0"/>
            <w:vAlign w:val="center"/>
          </w:tcPr>
          <w:p w14:paraId="27271C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否决该单位</w:t>
            </w:r>
            <w:r>
              <w:rPr>
                <w:rFonts w:hint="eastAsia" w:ascii="宋体" w:hAnsi="宋体" w:cs="宋体"/>
                <w:color w:val="auto"/>
                <w:szCs w:val="21"/>
                <w:highlight w:val="none"/>
                <w:lang w:val="en-US" w:eastAsia="zh-CN"/>
              </w:rPr>
              <w:t>投标</w:t>
            </w:r>
            <w:r>
              <w:rPr>
                <w:rFonts w:hint="eastAsia" w:ascii="宋体" w:hAnsi="宋体" w:eastAsia="宋体" w:cs="宋体"/>
                <w:color w:val="auto"/>
                <w:szCs w:val="21"/>
                <w:highlight w:val="none"/>
              </w:rPr>
              <w:t>；</w:t>
            </w:r>
          </w:p>
          <w:p w14:paraId="43C666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）保留其他处罚权力。</w:t>
            </w:r>
          </w:p>
        </w:tc>
      </w:tr>
      <w:tr w14:paraId="331F4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4265A0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3417" w:type="dxa"/>
            <w:tcBorders>
              <w:top w:val="single" w:color="auto" w:sz="4" w:space="0"/>
              <w:left w:val="single" w:color="auto" w:sz="4" w:space="0"/>
              <w:bottom w:val="single" w:color="auto" w:sz="4" w:space="0"/>
              <w:right w:val="single" w:color="auto" w:sz="4" w:space="0"/>
            </w:tcBorders>
            <w:noWrap w:val="0"/>
            <w:vAlign w:val="center"/>
          </w:tcPr>
          <w:p w14:paraId="52E10F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发出</w:t>
            </w:r>
            <w:r>
              <w:rPr>
                <w:rFonts w:hint="eastAsia" w:ascii="宋体" w:hAnsi="宋体" w:cs="宋体"/>
                <w:color w:val="auto"/>
                <w:szCs w:val="21"/>
                <w:highlight w:val="none"/>
                <w:lang w:val="en-US" w:eastAsia="zh-CN"/>
              </w:rPr>
              <w:t>中标</w:t>
            </w:r>
            <w:r>
              <w:rPr>
                <w:rFonts w:hint="eastAsia" w:ascii="宋体" w:hAnsi="宋体" w:eastAsia="宋体" w:cs="宋体"/>
                <w:color w:val="auto"/>
                <w:szCs w:val="21"/>
                <w:highlight w:val="none"/>
                <w:lang w:eastAsia="zh-CN"/>
              </w:rPr>
              <w:t>通知书</w:t>
            </w:r>
            <w:r>
              <w:rPr>
                <w:rFonts w:hint="eastAsia" w:ascii="宋体" w:hAnsi="宋体" w:eastAsia="宋体" w:cs="宋体"/>
                <w:color w:val="auto"/>
                <w:szCs w:val="21"/>
                <w:highlight w:val="none"/>
              </w:rPr>
              <w:t>但未签订合同阶段</w:t>
            </w:r>
          </w:p>
        </w:tc>
        <w:tc>
          <w:tcPr>
            <w:tcW w:w="5587" w:type="dxa"/>
            <w:tcBorders>
              <w:top w:val="single" w:color="auto" w:sz="4" w:space="0"/>
              <w:left w:val="single" w:color="auto" w:sz="4" w:space="0"/>
              <w:bottom w:val="single" w:color="auto" w:sz="4" w:space="0"/>
              <w:right w:val="single" w:color="auto" w:sz="4" w:space="0"/>
            </w:tcBorders>
            <w:noWrap w:val="0"/>
            <w:vAlign w:val="center"/>
          </w:tcPr>
          <w:p w14:paraId="44DA76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否决该单位</w:t>
            </w:r>
            <w:r>
              <w:rPr>
                <w:rFonts w:hint="eastAsia" w:ascii="宋体" w:hAnsi="宋体" w:cs="宋体"/>
                <w:color w:val="auto"/>
                <w:szCs w:val="21"/>
                <w:highlight w:val="none"/>
                <w:lang w:val="en-US" w:eastAsia="zh-CN"/>
              </w:rPr>
              <w:t>投标</w:t>
            </w:r>
            <w:r>
              <w:rPr>
                <w:rFonts w:hint="eastAsia" w:ascii="宋体" w:hAnsi="宋体" w:eastAsia="宋体" w:cs="宋体"/>
                <w:color w:val="auto"/>
                <w:szCs w:val="21"/>
                <w:highlight w:val="none"/>
              </w:rPr>
              <w:t>；</w:t>
            </w:r>
          </w:p>
          <w:p w14:paraId="2CCABD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（2）保留其他处罚权力。</w:t>
            </w:r>
          </w:p>
        </w:tc>
      </w:tr>
      <w:tr w14:paraId="1E34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11F8E5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3417" w:type="dxa"/>
            <w:tcBorders>
              <w:top w:val="single" w:color="auto" w:sz="4" w:space="0"/>
              <w:left w:val="single" w:color="auto" w:sz="4" w:space="0"/>
              <w:bottom w:val="single" w:color="auto" w:sz="4" w:space="0"/>
              <w:right w:val="single" w:color="auto" w:sz="4" w:space="0"/>
            </w:tcBorders>
            <w:noWrap w:val="0"/>
            <w:vAlign w:val="center"/>
          </w:tcPr>
          <w:p w14:paraId="14F652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已签订合同，但项目未正式</w:t>
            </w:r>
            <w:r>
              <w:rPr>
                <w:rFonts w:hint="eastAsia" w:ascii="宋体" w:hAnsi="宋体" w:eastAsia="宋体" w:cs="宋体"/>
                <w:color w:val="auto"/>
                <w:szCs w:val="21"/>
                <w:highlight w:val="none"/>
                <w:lang w:eastAsia="zh-CN"/>
              </w:rPr>
              <w:t>实施</w:t>
            </w:r>
            <w:r>
              <w:rPr>
                <w:rFonts w:hint="eastAsia" w:ascii="宋体" w:hAnsi="宋体" w:eastAsia="宋体" w:cs="宋体"/>
                <w:color w:val="auto"/>
                <w:szCs w:val="21"/>
                <w:highlight w:val="none"/>
              </w:rPr>
              <w:t>阶段</w:t>
            </w:r>
          </w:p>
        </w:tc>
        <w:tc>
          <w:tcPr>
            <w:tcW w:w="5587" w:type="dxa"/>
            <w:tcBorders>
              <w:top w:val="single" w:color="auto" w:sz="4" w:space="0"/>
              <w:left w:val="single" w:color="auto" w:sz="4" w:space="0"/>
              <w:bottom w:val="single" w:color="auto" w:sz="4" w:space="0"/>
              <w:right w:val="single" w:color="auto" w:sz="4" w:space="0"/>
            </w:tcBorders>
            <w:noWrap w:val="0"/>
            <w:vAlign w:val="center"/>
          </w:tcPr>
          <w:p w14:paraId="0EBF1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（1）终止与该单位签订的合同； </w:t>
            </w:r>
          </w:p>
          <w:p w14:paraId="333F98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（2）保留其他处罚权力。</w:t>
            </w:r>
          </w:p>
        </w:tc>
      </w:tr>
      <w:tr w14:paraId="0609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3501E9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3417" w:type="dxa"/>
            <w:tcBorders>
              <w:top w:val="single" w:color="auto" w:sz="4" w:space="0"/>
              <w:left w:val="single" w:color="auto" w:sz="4" w:space="0"/>
              <w:bottom w:val="single" w:color="auto" w:sz="4" w:space="0"/>
              <w:right w:val="single" w:color="auto" w:sz="4" w:space="0"/>
            </w:tcBorders>
            <w:noWrap w:val="0"/>
            <w:vAlign w:val="center"/>
          </w:tcPr>
          <w:p w14:paraId="680DB0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项目正在</w:t>
            </w:r>
            <w:r>
              <w:rPr>
                <w:rFonts w:hint="eastAsia" w:ascii="宋体" w:hAnsi="宋体" w:eastAsia="宋体" w:cs="宋体"/>
                <w:color w:val="auto"/>
                <w:szCs w:val="21"/>
                <w:highlight w:val="none"/>
                <w:lang w:eastAsia="zh-CN"/>
              </w:rPr>
              <w:t>实施</w:t>
            </w:r>
            <w:r>
              <w:rPr>
                <w:rFonts w:hint="eastAsia" w:ascii="宋体" w:hAnsi="宋体" w:eastAsia="宋体" w:cs="宋体"/>
                <w:color w:val="auto"/>
                <w:szCs w:val="21"/>
                <w:highlight w:val="none"/>
              </w:rPr>
              <w:t>阶段</w:t>
            </w:r>
          </w:p>
        </w:tc>
        <w:tc>
          <w:tcPr>
            <w:tcW w:w="5587" w:type="dxa"/>
            <w:tcBorders>
              <w:top w:val="single" w:color="auto" w:sz="4" w:space="0"/>
              <w:left w:val="single" w:color="auto" w:sz="4" w:space="0"/>
              <w:bottom w:val="single" w:color="auto" w:sz="4" w:space="0"/>
              <w:right w:val="single" w:color="auto" w:sz="4" w:space="0"/>
            </w:tcBorders>
            <w:noWrap w:val="0"/>
            <w:vAlign w:val="center"/>
          </w:tcPr>
          <w:p w14:paraId="593876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（1）项目立即</w:t>
            </w:r>
            <w:r>
              <w:rPr>
                <w:rFonts w:hint="eastAsia" w:ascii="宋体" w:hAnsi="宋体" w:eastAsia="宋体" w:cs="宋体"/>
                <w:color w:val="auto"/>
                <w:szCs w:val="21"/>
                <w:highlight w:val="none"/>
                <w:lang w:eastAsia="zh-CN"/>
              </w:rPr>
              <w:t>暂停</w:t>
            </w:r>
            <w:r>
              <w:rPr>
                <w:rFonts w:hint="eastAsia" w:ascii="宋体" w:hAnsi="宋体" w:eastAsia="宋体" w:cs="宋体"/>
                <w:color w:val="auto"/>
                <w:szCs w:val="21"/>
                <w:highlight w:val="none"/>
              </w:rPr>
              <w:t>，终止相关合同，并根据相关法律法规进行处罚；</w:t>
            </w:r>
          </w:p>
          <w:p w14:paraId="68459C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（2）保留其他处罚权力。</w:t>
            </w:r>
          </w:p>
        </w:tc>
      </w:tr>
    </w:tbl>
    <w:p w14:paraId="74089DC9">
      <w:pPr>
        <w:keepNext w:val="0"/>
        <w:keepLines w:val="0"/>
        <w:pageBreakBefore w:val="0"/>
        <w:widowControl w:val="0"/>
        <w:kinsoku/>
        <w:wordWrap/>
        <w:overflowPunct/>
        <w:topLinePunct w:val="0"/>
        <w:autoSpaceDE/>
        <w:autoSpaceDN/>
        <w:bidi w:val="0"/>
        <w:spacing w:beforeAutospacing="0" w:afterAutospacing="0" w:line="360" w:lineRule="auto"/>
        <w:ind w:left="0" w:leftChars="0" w:right="0" w:firstLine="4147" w:firstLineChars="1975"/>
        <w:textAlignment w:val="auto"/>
        <w:rPr>
          <w:rFonts w:hint="eastAsia" w:ascii="宋体" w:hAnsi="宋体" w:cs="宋体"/>
          <w:color w:val="auto"/>
          <w:szCs w:val="21"/>
          <w:highlight w:val="none"/>
          <w:lang w:val="en-US" w:eastAsia="zh-CN"/>
        </w:rPr>
      </w:pPr>
    </w:p>
    <w:p w14:paraId="7F220676">
      <w:pPr>
        <w:keepNext w:val="0"/>
        <w:keepLines w:val="0"/>
        <w:pageBreakBefore w:val="0"/>
        <w:widowControl w:val="0"/>
        <w:kinsoku/>
        <w:wordWrap/>
        <w:overflowPunct/>
        <w:topLinePunct w:val="0"/>
        <w:autoSpaceDE/>
        <w:autoSpaceDN/>
        <w:bidi w:val="0"/>
        <w:adjustRightInd/>
        <w:snapToGrid/>
        <w:spacing w:line="360" w:lineRule="auto"/>
        <w:ind w:firstLine="3885" w:firstLineChars="1850"/>
        <w:textAlignment w:val="auto"/>
        <w:rPr>
          <w:rFonts w:ascii="宋体" w:hAnsi="宋体" w:cs="宋体"/>
          <w:color w:val="auto"/>
          <w:szCs w:val="21"/>
          <w:highlight w:val="none"/>
          <w:u w:val="single"/>
        </w:rPr>
      </w:pP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名称（公章或投标专用章或电子签章）：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600E8C0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right"/>
        <w:textAlignment w:val="auto"/>
        <w:rPr>
          <w:rFonts w:hint="eastAsia" w:ascii="宋体" w:hAnsi="宋体" w:eastAsia="宋体" w:cs="宋体"/>
          <w:b/>
          <w:bCs/>
          <w:color w:val="auto"/>
          <w:highlight w:val="none"/>
          <w:lang w:val="zh-CN"/>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E267F31">
      <w:pPr>
        <w:rPr>
          <w:b/>
          <w:color w:val="auto"/>
          <w:szCs w:val="21"/>
          <w:highlight w:val="none"/>
          <w:shd w:val="clear" w:color="auto" w:fill="FFFFFF"/>
        </w:rPr>
      </w:pPr>
    </w:p>
    <w:p w14:paraId="6DB002C8">
      <w:pPr>
        <w:rPr>
          <w:rFonts w:hint="eastAsia"/>
          <w:highlight w:val="none"/>
        </w:rPr>
      </w:pPr>
      <w:r>
        <w:rPr>
          <w:rFonts w:hint="eastAsia"/>
          <w:highlight w:val="none"/>
        </w:rPr>
        <w:br w:type="page"/>
      </w:r>
    </w:p>
    <w:p w14:paraId="18508C36">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宋体" w:hAnsi="宋体" w:eastAsia="宋体" w:cs="宋体"/>
          <w:b/>
          <w:bCs/>
          <w:color w:val="auto"/>
          <w:highlight w:val="none"/>
          <w:shd w:val="clear" w:color="auto" w:fill="auto"/>
          <w:lang w:val="en-US" w:eastAsia="zh-CN"/>
        </w:rPr>
      </w:pPr>
      <w:bookmarkStart w:id="2277" w:name="_Toc9869"/>
      <w:r>
        <w:rPr>
          <w:rFonts w:hint="eastAsia" w:ascii="宋体" w:hAnsi="宋体" w:eastAsia="宋体" w:cs="宋体"/>
          <w:b/>
          <w:bCs/>
          <w:color w:val="auto"/>
          <w:sz w:val="24"/>
          <w:szCs w:val="24"/>
          <w:highlight w:val="none"/>
          <w:lang w:val="en-US" w:eastAsia="zh-CN"/>
        </w:rPr>
        <w:t>失信情况查询结果</w:t>
      </w:r>
      <w:bookmarkEnd w:id="2277"/>
    </w:p>
    <w:p w14:paraId="4239EED3">
      <w:pPr>
        <w:pStyle w:val="23"/>
        <w:numPr>
          <w:ilvl w:val="0"/>
          <w:numId w:val="0"/>
        </w:numPr>
        <w:spacing w:line="360" w:lineRule="auto"/>
        <w:ind w:left="0" w:leftChars="0" w:firstLine="422" w:firstLineChars="200"/>
        <w:rPr>
          <w:rFonts w:hint="eastAsia" w:ascii="宋体" w:hAnsi="宋体" w:eastAsia="宋体" w:cs="宋体"/>
          <w:b w:val="0"/>
          <w:bCs w:val="0"/>
          <w:color w:val="auto"/>
          <w:kern w:val="2"/>
          <w:sz w:val="21"/>
          <w:szCs w:val="21"/>
          <w:highlight w:val="none"/>
          <w:u w:val="none"/>
          <w:shd w:val="clear" w:color="auto" w:fill="auto"/>
          <w:vertAlign w:val="baseline"/>
          <w:lang w:val="en-US" w:eastAsia="zh-CN" w:bidi="ar-SA"/>
        </w:rPr>
      </w:pPr>
      <w:r>
        <w:rPr>
          <w:rFonts w:hint="eastAsia" w:ascii="宋体" w:hAnsi="宋体" w:eastAsia="宋体" w:cs="宋体"/>
          <w:b/>
          <w:bCs/>
          <w:color w:val="auto"/>
          <w:highlight w:val="none"/>
          <w:shd w:val="clear" w:color="auto" w:fill="auto"/>
          <w:lang w:val="en-US" w:eastAsia="zh-CN"/>
        </w:rPr>
        <w:t>包括国家企业信用信息公示系统和信用中国的查询情况，仅需将最终查询结果截图上传</w:t>
      </w:r>
    </w:p>
    <w:p w14:paraId="6B535B3A">
      <w:pPr>
        <w:numPr>
          <w:ilvl w:val="0"/>
          <w:numId w:val="11"/>
        </w:numPr>
        <w:spacing w:line="360" w:lineRule="auto"/>
        <w:ind w:firstLine="420" w:firstLineChars="200"/>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eastAsia="宋体" w:cs="宋体"/>
          <w:b w:val="0"/>
          <w:bCs w:val="0"/>
          <w:color w:val="auto"/>
          <w:sz w:val="21"/>
          <w:szCs w:val="21"/>
          <w:highlight w:val="none"/>
          <w:shd w:val="clear" w:color="auto" w:fill="auto"/>
          <w:lang w:val="en-US" w:eastAsia="zh-CN"/>
        </w:rPr>
        <w:t>请提供“</w:t>
      </w:r>
      <w:r>
        <w:rPr>
          <w:rFonts w:hint="eastAsia" w:ascii="宋体" w:hAnsi="宋体" w:cs="宋体"/>
          <w:b w:val="0"/>
          <w:bCs w:val="0"/>
          <w:color w:val="auto"/>
          <w:sz w:val="21"/>
          <w:szCs w:val="21"/>
          <w:highlight w:val="none"/>
          <w:shd w:val="clear" w:color="auto" w:fill="auto"/>
          <w:lang w:val="en-US" w:eastAsia="zh-CN"/>
        </w:rPr>
        <w:t>投标人</w:t>
      </w:r>
      <w:r>
        <w:rPr>
          <w:rFonts w:hint="eastAsia" w:ascii="宋体" w:hAnsi="宋体" w:eastAsia="宋体" w:cs="宋体"/>
          <w:b w:val="0"/>
          <w:bCs w:val="0"/>
          <w:color w:val="auto"/>
          <w:sz w:val="21"/>
          <w:szCs w:val="21"/>
          <w:highlight w:val="none"/>
          <w:shd w:val="clear" w:color="auto" w:fill="auto"/>
          <w:lang w:val="en-US" w:eastAsia="zh-CN"/>
        </w:rPr>
        <w:t>是否在国家企业信用信息公示系统被列入严重违法失信企业名单情况”的查询情况。注：</w:t>
      </w:r>
      <w:r>
        <w:rPr>
          <w:rFonts w:hint="eastAsia" w:ascii="宋体" w:hAnsi="宋体" w:eastAsia="宋体" w:cs="宋体"/>
          <w:color w:val="auto"/>
          <w:sz w:val="21"/>
          <w:szCs w:val="21"/>
          <w:highlight w:val="none"/>
          <w:lang w:val="en-US" w:eastAsia="zh-CN"/>
        </w:rPr>
        <w:t>若</w:t>
      </w:r>
      <w:r>
        <w:rPr>
          <w:rFonts w:hint="eastAsia" w:ascii="宋体" w:hAnsi="宋体" w:cs="宋体"/>
          <w:b w:val="0"/>
          <w:bCs w:val="0"/>
          <w:color w:val="auto"/>
          <w:sz w:val="21"/>
          <w:szCs w:val="21"/>
          <w:highlight w:val="none"/>
          <w:shd w:val="clear" w:color="auto" w:fill="auto"/>
          <w:lang w:val="en-US" w:eastAsia="zh-CN"/>
        </w:rPr>
        <w:t>投标人</w:t>
      </w:r>
      <w:r>
        <w:rPr>
          <w:rFonts w:hint="eastAsia" w:cs="宋体"/>
          <w:color w:val="auto"/>
          <w:sz w:val="21"/>
          <w:szCs w:val="21"/>
          <w:highlight w:val="none"/>
          <w:lang w:val="en-US" w:eastAsia="zh-CN"/>
        </w:rPr>
        <w:t>提供的截图证明材料模糊不清、</w:t>
      </w:r>
      <w:r>
        <w:rPr>
          <w:rFonts w:hint="eastAsia" w:ascii="宋体" w:hAnsi="宋体" w:eastAsia="宋体" w:cs="宋体"/>
          <w:color w:val="auto"/>
          <w:sz w:val="21"/>
          <w:szCs w:val="21"/>
          <w:highlight w:val="none"/>
          <w:lang w:val="en-US" w:eastAsia="zh-CN"/>
        </w:rPr>
        <w:t>存在</w:t>
      </w:r>
      <w:r>
        <w:rPr>
          <w:rFonts w:hint="eastAsia" w:cs="宋体"/>
          <w:color w:val="auto"/>
          <w:sz w:val="21"/>
          <w:szCs w:val="21"/>
          <w:highlight w:val="none"/>
          <w:lang w:val="en-US" w:eastAsia="zh-CN"/>
        </w:rPr>
        <w:t>信息填写不完整或错误等情况，</w:t>
      </w:r>
      <w:r>
        <w:rPr>
          <w:rFonts w:hint="eastAsia" w:ascii="宋体" w:hAnsi="宋体" w:eastAsia="宋体" w:cs="宋体"/>
          <w:b w:val="0"/>
          <w:bCs w:val="0"/>
          <w:color w:val="auto"/>
          <w:sz w:val="21"/>
          <w:szCs w:val="21"/>
          <w:highlight w:val="none"/>
          <w:shd w:val="clear" w:color="auto" w:fill="auto"/>
          <w:lang w:val="en-US" w:eastAsia="zh-CN"/>
        </w:rPr>
        <w:t>由</w:t>
      </w:r>
      <w:r>
        <w:rPr>
          <w:rFonts w:hint="eastAsia" w:ascii="宋体" w:hAnsi="宋体" w:cs="宋体"/>
          <w:b w:val="0"/>
          <w:bCs w:val="0"/>
          <w:color w:val="auto"/>
          <w:sz w:val="21"/>
          <w:szCs w:val="21"/>
          <w:highlight w:val="none"/>
          <w:shd w:val="clear" w:color="auto" w:fill="auto"/>
          <w:lang w:val="en-US" w:eastAsia="zh-CN"/>
        </w:rPr>
        <w:t>评标委员会</w:t>
      </w:r>
      <w:r>
        <w:rPr>
          <w:rFonts w:hint="eastAsia" w:ascii="宋体" w:hAnsi="宋体" w:eastAsia="宋体" w:cs="宋体"/>
          <w:b w:val="0"/>
          <w:bCs w:val="0"/>
          <w:color w:val="auto"/>
          <w:sz w:val="21"/>
          <w:szCs w:val="21"/>
          <w:highlight w:val="none"/>
          <w:shd w:val="clear" w:color="auto" w:fill="auto"/>
          <w:lang w:val="en-US" w:eastAsia="zh-CN"/>
        </w:rPr>
        <w:t>查询相关主体是否在国家企业信用信息公示系统被列入严重违法失信企业名单。</w:t>
      </w:r>
    </w:p>
    <w:p w14:paraId="4D731FB9">
      <w:pPr>
        <w:spacing w:line="360" w:lineRule="auto"/>
        <w:ind w:firstLine="420" w:firstLineChars="200"/>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shd w:val="clear" w:color="auto" w:fill="auto"/>
          <w:lang w:val="en-US" w:eastAsia="zh-CN"/>
        </w:rPr>
        <w:t>国家企业信用信息公示系统网站：http://www.gsxt.gov.cn/，查询路径和参考示例如下</w:t>
      </w:r>
      <w:r>
        <w:rPr>
          <w:rFonts w:ascii="宋体" w:hAnsi="宋体" w:eastAsia="宋体" w:cs="宋体"/>
          <w:b w:val="0"/>
          <w:bCs w:val="0"/>
          <w:color w:val="auto"/>
          <w:sz w:val="21"/>
          <w:szCs w:val="21"/>
          <w:highlight w:val="none"/>
        </w:rPr>
        <w:t>：</w:t>
      </w:r>
    </w:p>
    <w:p w14:paraId="5F46DBB9">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（一）进入</w:t>
      </w:r>
      <w:r>
        <w:rPr>
          <w:rFonts w:ascii="宋体" w:hAnsi="宋体" w:eastAsia="宋体" w:cs="宋体"/>
          <w:color w:val="auto"/>
          <w:sz w:val="21"/>
          <w:szCs w:val="21"/>
          <w:highlight w:val="none"/>
        </w:rPr>
        <w:t>国家企业信用信息公示系统网站</w:t>
      </w:r>
      <w:r>
        <w:rPr>
          <w:rFonts w:hint="eastAsia" w:ascii="宋体" w:hAnsi="宋体" w:eastAsia="宋体" w:cs="宋体"/>
          <w:color w:val="auto"/>
          <w:sz w:val="21"/>
          <w:szCs w:val="21"/>
          <w:highlight w:val="none"/>
          <w:lang w:val="en-US" w:eastAsia="zh-CN"/>
        </w:rPr>
        <w:t>首页，在搜索框中输入企业名称并点击【查询】；</w:t>
      </w:r>
    </w:p>
    <w:p w14:paraId="686D60F5">
      <w:pPr>
        <w:spacing w:line="36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drawing>
          <wp:inline distT="0" distB="0" distL="114300" distR="114300">
            <wp:extent cx="4291330" cy="2491105"/>
            <wp:effectExtent l="0" t="0" r="13970" b="4445"/>
            <wp:docPr id="1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IMG_256"/>
                    <pic:cNvPicPr>
                      <a:picLocks noChangeAspect="1"/>
                    </pic:cNvPicPr>
                  </pic:nvPicPr>
                  <pic:blipFill>
                    <a:blip r:embed="rId10"/>
                    <a:stretch>
                      <a:fillRect/>
                    </a:stretch>
                  </pic:blipFill>
                  <pic:spPr>
                    <a:xfrm>
                      <a:off x="0" y="0"/>
                      <a:ext cx="4291330" cy="2491105"/>
                    </a:xfrm>
                    <a:prstGeom prst="rect">
                      <a:avLst/>
                    </a:prstGeom>
                    <a:noFill/>
                    <a:ln>
                      <a:noFill/>
                    </a:ln>
                  </pic:spPr>
                </pic:pic>
              </a:graphicData>
            </a:graphic>
          </wp:inline>
        </w:drawing>
      </w:r>
    </w:p>
    <w:p w14:paraId="1D3468E3">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（二）页面跳转并显示出该企业相关信息，点击此处信息；</w:t>
      </w:r>
    </w:p>
    <w:p w14:paraId="2145D45E">
      <w:pPr>
        <w:spacing w:line="36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drawing>
          <wp:inline distT="0" distB="0" distL="114300" distR="114300">
            <wp:extent cx="4072890" cy="3072765"/>
            <wp:effectExtent l="0" t="0" r="3810" b="13335"/>
            <wp:docPr id="2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6"/>
                    <pic:cNvPicPr>
                      <a:picLocks noChangeAspect="1"/>
                    </pic:cNvPicPr>
                  </pic:nvPicPr>
                  <pic:blipFill>
                    <a:blip r:embed="rId11"/>
                    <a:stretch>
                      <a:fillRect/>
                    </a:stretch>
                  </pic:blipFill>
                  <pic:spPr>
                    <a:xfrm>
                      <a:off x="0" y="0"/>
                      <a:ext cx="4072890" cy="3072765"/>
                    </a:xfrm>
                    <a:prstGeom prst="rect">
                      <a:avLst/>
                    </a:prstGeom>
                    <a:noFill/>
                    <a:ln>
                      <a:noFill/>
                    </a:ln>
                  </pic:spPr>
                </pic:pic>
              </a:graphicData>
            </a:graphic>
          </wp:inline>
        </w:drawing>
      </w:r>
    </w:p>
    <w:p w14:paraId="2B292F3E">
      <w:pPr>
        <w:spacing w:line="360" w:lineRule="auto"/>
        <w:ind w:firstLine="420" w:firstLineChars="20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（三）点击【列入严重违法失信名单（黑名单）信息】，并完整展示出查询结果。</w:t>
      </w:r>
    </w:p>
    <w:p w14:paraId="6953E611">
      <w:pPr>
        <w:spacing w:line="360" w:lineRule="auto"/>
        <w:jc w:val="center"/>
        <w:rPr>
          <w:rFonts w:hint="eastAsia" w:ascii="宋体" w:hAnsi="宋体" w:eastAsia="宋体" w:cs="宋体"/>
          <w:color w:val="auto"/>
          <w:sz w:val="21"/>
          <w:szCs w:val="21"/>
          <w:highlight w:val="none"/>
          <w:lang w:val="en-US" w:eastAsia="zh-CN"/>
        </w:rPr>
      </w:pPr>
      <w:r>
        <w:rPr>
          <w:rFonts w:ascii="宋体" w:hAnsi="宋体" w:eastAsia="宋体" w:cs="宋体"/>
          <w:color w:val="auto"/>
          <w:sz w:val="21"/>
          <w:szCs w:val="21"/>
          <w:highlight w:val="none"/>
        </w:rPr>
        <w:drawing>
          <wp:inline distT="0" distB="0" distL="114300" distR="114300">
            <wp:extent cx="4472940" cy="2731770"/>
            <wp:effectExtent l="0" t="0" r="3810" b="11430"/>
            <wp:docPr id="2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IMG_256"/>
                    <pic:cNvPicPr>
                      <a:picLocks noChangeAspect="1"/>
                    </pic:cNvPicPr>
                  </pic:nvPicPr>
                  <pic:blipFill>
                    <a:blip r:embed="rId12"/>
                    <a:stretch>
                      <a:fillRect/>
                    </a:stretch>
                  </pic:blipFill>
                  <pic:spPr>
                    <a:xfrm>
                      <a:off x="0" y="0"/>
                      <a:ext cx="4472940" cy="2731770"/>
                    </a:xfrm>
                    <a:prstGeom prst="rect">
                      <a:avLst/>
                    </a:prstGeom>
                    <a:noFill/>
                    <a:ln>
                      <a:noFill/>
                    </a:ln>
                  </pic:spPr>
                </pic:pic>
              </a:graphicData>
            </a:graphic>
          </wp:inline>
        </w:drawing>
      </w:r>
    </w:p>
    <w:p w14:paraId="6D34F958">
      <w:pPr>
        <w:rPr>
          <w:rFonts w:hint="eastAsia" w:ascii="宋体" w:hAnsi="宋体" w:eastAsia="宋体" w:cs="宋体"/>
          <w:color w:val="auto"/>
          <w:sz w:val="21"/>
          <w:szCs w:val="21"/>
          <w:highlight w:val="none"/>
          <w:lang w:val="en-US" w:eastAsia="zh-CN"/>
        </w:rPr>
      </w:pPr>
    </w:p>
    <w:p w14:paraId="24A4A21C">
      <w:pPr>
        <w:numPr>
          <w:ilvl w:val="0"/>
          <w:numId w:val="0"/>
        </w:numPr>
        <w:spacing w:line="360" w:lineRule="auto"/>
        <w:ind w:firstLine="422" w:firstLineChars="20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二、请提供“</w:t>
      </w:r>
      <w:r>
        <w:rPr>
          <w:rFonts w:hint="eastAsia" w:ascii="宋体" w:hAnsi="宋体" w:cs="宋体"/>
          <w:b/>
          <w:bCs/>
          <w:color w:val="auto"/>
          <w:sz w:val="21"/>
          <w:szCs w:val="21"/>
          <w:highlight w:val="none"/>
          <w:lang w:val="en-US" w:eastAsia="zh-CN"/>
        </w:rPr>
        <w:t>投标人</w:t>
      </w:r>
      <w:r>
        <w:rPr>
          <w:rFonts w:hint="eastAsia" w:ascii="宋体" w:hAnsi="宋体" w:eastAsia="宋体" w:cs="宋体"/>
          <w:b/>
          <w:bCs/>
          <w:color w:val="auto"/>
          <w:sz w:val="21"/>
          <w:szCs w:val="21"/>
          <w:highlight w:val="none"/>
          <w:lang w:val="en-US" w:eastAsia="zh-CN"/>
        </w:rPr>
        <w:t>是否在‘信用中国</w:t>
      </w:r>
      <w:r>
        <w:rPr>
          <w:rFonts w:hint="default"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lang w:val="en-US" w:eastAsia="zh-CN"/>
        </w:rPr>
        <w:t>网站被列入失信被执行人名单”的查询情况。</w:t>
      </w:r>
    </w:p>
    <w:p w14:paraId="3D70AED5">
      <w:pPr>
        <w:spacing w:line="360" w:lineRule="auto"/>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注：若投标人提供的截图证明材料模糊不清、存在信息填写不完整或错误等情况，由</w:t>
      </w:r>
      <w:r>
        <w:rPr>
          <w:rFonts w:hint="eastAsia" w:ascii="宋体" w:hAnsi="宋体" w:cs="宋体"/>
          <w:b w:val="0"/>
          <w:bCs w:val="0"/>
          <w:color w:val="auto"/>
          <w:sz w:val="21"/>
          <w:szCs w:val="21"/>
          <w:highlight w:val="none"/>
          <w:lang w:val="en-US" w:eastAsia="zh-CN"/>
        </w:rPr>
        <w:t>评标委员会</w:t>
      </w:r>
      <w:r>
        <w:rPr>
          <w:rFonts w:hint="eastAsia" w:ascii="宋体" w:hAnsi="宋体" w:eastAsia="宋体" w:cs="宋体"/>
          <w:b w:val="0"/>
          <w:bCs w:val="0"/>
          <w:color w:val="auto"/>
          <w:sz w:val="21"/>
          <w:szCs w:val="21"/>
          <w:highlight w:val="none"/>
          <w:lang w:val="en-US" w:eastAsia="zh-CN"/>
        </w:rPr>
        <w:t>查询相关主体是否在‘信用中国’网站被列入失信被执行人名单。</w:t>
      </w:r>
    </w:p>
    <w:p w14:paraId="79C06667">
      <w:pPr>
        <w:spacing w:line="360" w:lineRule="auto"/>
        <w:ind w:firstLine="420" w:firstLineChars="200"/>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“信用中国”网站</w:t>
      </w:r>
      <w:r>
        <w:rPr>
          <w:rFonts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www.creditchina.gov.cn</w:t>
      </w:r>
      <w:r>
        <w:rPr>
          <w:rFonts w:ascii="宋体" w:hAnsi="宋体" w:eastAsia="宋体" w:cs="宋体"/>
          <w:b w:val="0"/>
          <w:bCs w:val="0"/>
          <w:color w:val="auto"/>
          <w:sz w:val="21"/>
          <w:szCs w:val="21"/>
          <w:highlight w:val="none"/>
        </w:rPr>
        <w:t>，查询</w:t>
      </w:r>
      <w:r>
        <w:rPr>
          <w:rFonts w:hint="eastAsia" w:ascii="宋体" w:hAnsi="宋体" w:eastAsia="宋体" w:cs="宋体"/>
          <w:b w:val="0"/>
          <w:bCs w:val="0"/>
          <w:color w:val="auto"/>
          <w:sz w:val="21"/>
          <w:szCs w:val="21"/>
          <w:highlight w:val="none"/>
          <w:lang w:val="en-US" w:eastAsia="zh-CN"/>
        </w:rPr>
        <w:t>路径和</w:t>
      </w:r>
      <w:r>
        <w:rPr>
          <w:rFonts w:ascii="宋体" w:hAnsi="宋体" w:eastAsia="宋体" w:cs="宋体"/>
          <w:b w:val="0"/>
          <w:bCs w:val="0"/>
          <w:color w:val="auto"/>
          <w:sz w:val="21"/>
          <w:szCs w:val="21"/>
          <w:highlight w:val="none"/>
        </w:rPr>
        <w:t>参考示例如下：</w:t>
      </w:r>
    </w:p>
    <w:p w14:paraId="2D401E11">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（一）进入“信用中国”网站首页，点击【信用服务】；</w:t>
      </w:r>
    </w:p>
    <w:p w14:paraId="213B33CB">
      <w:pPr>
        <w:widowControl w:val="0"/>
        <w:numPr>
          <w:ilvl w:val="0"/>
          <w:numId w:val="0"/>
        </w:numPr>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drawing>
          <wp:inline distT="0" distB="0" distL="114300" distR="114300">
            <wp:extent cx="4203700" cy="1310005"/>
            <wp:effectExtent l="0" t="0" r="6350" b="4445"/>
            <wp:docPr id="2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IMG_256"/>
                    <pic:cNvPicPr>
                      <a:picLocks noChangeAspect="1"/>
                    </pic:cNvPicPr>
                  </pic:nvPicPr>
                  <pic:blipFill>
                    <a:blip r:embed="rId13"/>
                    <a:stretch>
                      <a:fillRect/>
                    </a:stretch>
                  </pic:blipFill>
                  <pic:spPr>
                    <a:xfrm>
                      <a:off x="0" y="0"/>
                      <a:ext cx="4203700" cy="1310005"/>
                    </a:xfrm>
                    <a:prstGeom prst="rect">
                      <a:avLst/>
                    </a:prstGeom>
                    <a:noFill/>
                    <a:ln>
                      <a:noFill/>
                    </a:ln>
                  </pic:spPr>
                </pic:pic>
              </a:graphicData>
            </a:graphic>
          </wp:inline>
        </w:drawing>
      </w:r>
    </w:p>
    <w:p w14:paraId="58BEDA73">
      <w:pPr>
        <w:widowControl w:val="0"/>
        <w:numPr>
          <w:ilvl w:val="0"/>
          <w:numId w:val="0"/>
        </w:numPr>
        <w:ind w:firstLine="420" w:firstLineChars="20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二）点击【失信被执行人】；</w:t>
      </w:r>
    </w:p>
    <w:p w14:paraId="2A0C3DED">
      <w:pPr>
        <w:widowControl w:val="0"/>
        <w:numPr>
          <w:ilvl w:val="0"/>
          <w:numId w:val="0"/>
        </w:numPr>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drawing>
          <wp:inline distT="0" distB="0" distL="114300" distR="114300">
            <wp:extent cx="3745865" cy="2398395"/>
            <wp:effectExtent l="0" t="0" r="6985" b="1905"/>
            <wp:docPr id="2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IMG_256"/>
                    <pic:cNvPicPr>
                      <a:picLocks noChangeAspect="1"/>
                    </pic:cNvPicPr>
                  </pic:nvPicPr>
                  <pic:blipFill>
                    <a:blip r:embed="rId14"/>
                    <a:stretch>
                      <a:fillRect/>
                    </a:stretch>
                  </pic:blipFill>
                  <pic:spPr>
                    <a:xfrm>
                      <a:off x="0" y="0"/>
                      <a:ext cx="3745865" cy="2398395"/>
                    </a:xfrm>
                    <a:prstGeom prst="rect">
                      <a:avLst/>
                    </a:prstGeom>
                    <a:noFill/>
                    <a:ln>
                      <a:noFill/>
                    </a:ln>
                  </pic:spPr>
                </pic:pic>
              </a:graphicData>
            </a:graphic>
          </wp:inline>
        </w:drawing>
      </w:r>
    </w:p>
    <w:p w14:paraId="079DC922">
      <w:pPr>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（三）弹出温馨提示页面，点击【确定】；</w:t>
      </w:r>
    </w:p>
    <w:p w14:paraId="1274D4C6">
      <w:pPr>
        <w:widowControl w:val="0"/>
        <w:numPr>
          <w:ilvl w:val="0"/>
          <w:numId w:val="0"/>
        </w:numPr>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drawing>
          <wp:inline distT="0" distB="0" distL="114300" distR="114300">
            <wp:extent cx="3580130" cy="2274570"/>
            <wp:effectExtent l="0" t="0" r="1270" b="11430"/>
            <wp:docPr id="2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IMG_256"/>
                    <pic:cNvPicPr>
                      <a:picLocks noChangeAspect="1"/>
                    </pic:cNvPicPr>
                  </pic:nvPicPr>
                  <pic:blipFill>
                    <a:blip r:embed="rId15"/>
                    <a:stretch>
                      <a:fillRect/>
                    </a:stretch>
                  </pic:blipFill>
                  <pic:spPr>
                    <a:xfrm>
                      <a:off x="0" y="0"/>
                      <a:ext cx="3580130" cy="2274570"/>
                    </a:xfrm>
                    <a:prstGeom prst="rect">
                      <a:avLst/>
                    </a:prstGeom>
                    <a:noFill/>
                    <a:ln>
                      <a:noFill/>
                    </a:ln>
                  </pic:spPr>
                </pic:pic>
              </a:graphicData>
            </a:graphic>
          </wp:inline>
        </w:drawing>
      </w:r>
    </w:p>
    <w:p w14:paraId="1B3192D5">
      <w:pPr>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（四）页面跳转至中国执行信息公开网，在【查询条件】中，输入企业名称、组织机构和验证码，点击【查询】；</w:t>
      </w:r>
    </w:p>
    <w:p w14:paraId="1A498F75">
      <w:pPr>
        <w:widowControl w:val="0"/>
        <w:numPr>
          <w:ilvl w:val="0"/>
          <w:numId w:val="0"/>
        </w:numPr>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drawing>
          <wp:inline distT="0" distB="0" distL="114300" distR="114300">
            <wp:extent cx="4305935" cy="3080385"/>
            <wp:effectExtent l="0" t="0" r="18415" b="5715"/>
            <wp:docPr id="2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IMG_256"/>
                    <pic:cNvPicPr>
                      <a:picLocks noChangeAspect="1"/>
                    </pic:cNvPicPr>
                  </pic:nvPicPr>
                  <pic:blipFill>
                    <a:blip r:embed="rId16"/>
                    <a:stretch>
                      <a:fillRect/>
                    </a:stretch>
                  </pic:blipFill>
                  <pic:spPr>
                    <a:xfrm>
                      <a:off x="0" y="0"/>
                      <a:ext cx="4305935" cy="3080385"/>
                    </a:xfrm>
                    <a:prstGeom prst="rect">
                      <a:avLst/>
                    </a:prstGeom>
                    <a:noFill/>
                    <a:ln>
                      <a:noFill/>
                    </a:ln>
                  </pic:spPr>
                </pic:pic>
              </a:graphicData>
            </a:graphic>
          </wp:inline>
        </w:drawing>
      </w:r>
    </w:p>
    <w:p w14:paraId="66FCF59C">
      <w:pPr>
        <w:numPr>
          <w:ilvl w:val="0"/>
          <w:numId w:val="0"/>
        </w:num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（五）完整展示出查询结果：</w:t>
      </w:r>
    </w:p>
    <w:p w14:paraId="1AFC2D4D">
      <w:pPr>
        <w:numPr>
          <w:ilvl w:val="0"/>
          <w:numId w:val="0"/>
        </w:num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例（1）</w:t>
      </w:r>
    </w:p>
    <w:p w14:paraId="04111858">
      <w:pPr>
        <w:widowControl w:val="0"/>
        <w:numPr>
          <w:ilvl w:val="0"/>
          <w:numId w:val="0"/>
        </w:numPr>
        <w:jc w:val="center"/>
        <w:rPr>
          <w:rFonts w:hint="eastAsia" w:ascii="宋体" w:hAnsi="宋体" w:eastAsia="宋体" w:cs="宋体"/>
          <w:color w:val="auto"/>
          <w:sz w:val="21"/>
          <w:szCs w:val="21"/>
          <w:highlight w:val="none"/>
          <w:lang w:val="en-US" w:eastAsia="zh-CN"/>
        </w:rPr>
      </w:pPr>
      <w:r>
        <w:rPr>
          <w:rFonts w:ascii="宋体" w:hAnsi="宋体" w:eastAsia="宋体" w:cs="宋体"/>
          <w:color w:val="auto"/>
          <w:sz w:val="21"/>
          <w:szCs w:val="21"/>
          <w:highlight w:val="none"/>
        </w:rPr>
        <w:drawing>
          <wp:inline distT="0" distB="0" distL="114300" distR="114300">
            <wp:extent cx="4224655" cy="1746250"/>
            <wp:effectExtent l="0" t="0" r="4445" b="6350"/>
            <wp:docPr id="3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IMG_256"/>
                    <pic:cNvPicPr>
                      <a:picLocks noChangeAspect="1"/>
                    </pic:cNvPicPr>
                  </pic:nvPicPr>
                  <pic:blipFill>
                    <a:blip r:embed="rId17"/>
                    <a:stretch>
                      <a:fillRect/>
                    </a:stretch>
                  </pic:blipFill>
                  <pic:spPr>
                    <a:xfrm>
                      <a:off x="0" y="0"/>
                      <a:ext cx="4224655" cy="1746250"/>
                    </a:xfrm>
                    <a:prstGeom prst="rect">
                      <a:avLst/>
                    </a:prstGeom>
                    <a:noFill/>
                    <a:ln>
                      <a:noFill/>
                    </a:ln>
                  </pic:spPr>
                </pic:pic>
              </a:graphicData>
            </a:graphic>
          </wp:inline>
        </w:drawing>
      </w:r>
    </w:p>
    <w:p w14:paraId="1790181D">
      <w:pPr>
        <w:widowControl w:val="0"/>
        <w:numPr>
          <w:ilvl w:val="0"/>
          <w:numId w:val="0"/>
        </w:numPr>
        <w:ind w:firstLine="420" w:firstLineChars="20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例（2）：如有被列入失信被执行人，请继续点击【查看】，并展示查看结果。</w:t>
      </w:r>
    </w:p>
    <w:p w14:paraId="2F1CA1D5">
      <w:pPr>
        <w:widowControl w:val="0"/>
        <w:numPr>
          <w:ilvl w:val="0"/>
          <w:numId w:val="0"/>
        </w:numPr>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drawing>
          <wp:inline distT="0" distB="0" distL="114300" distR="114300">
            <wp:extent cx="4231640" cy="1868805"/>
            <wp:effectExtent l="0" t="0" r="16510" b="17145"/>
            <wp:docPr id="2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IMG_256"/>
                    <pic:cNvPicPr>
                      <a:picLocks noChangeAspect="1"/>
                    </pic:cNvPicPr>
                  </pic:nvPicPr>
                  <pic:blipFill>
                    <a:blip r:embed="rId18"/>
                    <a:stretch>
                      <a:fillRect/>
                    </a:stretch>
                  </pic:blipFill>
                  <pic:spPr>
                    <a:xfrm>
                      <a:off x="0" y="0"/>
                      <a:ext cx="4231640" cy="1868805"/>
                    </a:xfrm>
                    <a:prstGeom prst="rect">
                      <a:avLst/>
                    </a:prstGeom>
                    <a:noFill/>
                    <a:ln>
                      <a:noFill/>
                    </a:ln>
                  </pic:spPr>
                </pic:pic>
              </a:graphicData>
            </a:graphic>
          </wp:inline>
        </w:drawing>
      </w:r>
    </w:p>
    <w:p w14:paraId="77D94B18">
      <w:pPr>
        <w:widowControl w:val="0"/>
        <w:numPr>
          <w:ilvl w:val="0"/>
          <w:numId w:val="0"/>
        </w:numPr>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drawing>
          <wp:inline distT="0" distB="0" distL="114300" distR="114300">
            <wp:extent cx="3744595" cy="2282825"/>
            <wp:effectExtent l="0" t="0" r="8255" b="3175"/>
            <wp:docPr id="28"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descr="IMG_256"/>
                    <pic:cNvPicPr>
                      <a:picLocks noChangeAspect="1"/>
                    </pic:cNvPicPr>
                  </pic:nvPicPr>
                  <pic:blipFill>
                    <a:blip r:embed="rId19"/>
                    <a:stretch>
                      <a:fillRect/>
                    </a:stretch>
                  </pic:blipFill>
                  <pic:spPr>
                    <a:xfrm>
                      <a:off x="0" y="0"/>
                      <a:ext cx="3744595" cy="2282825"/>
                    </a:xfrm>
                    <a:prstGeom prst="rect">
                      <a:avLst/>
                    </a:prstGeom>
                    <a:noFill/>
                    <a:ln>
                      <a:noFill/>
                    </a:ln>
                  </pic:spPr>
                </pic:pic>
              </a:graphicData>
            </a:graphic>
          </wp:inline>
        </w:drawing>
      </w:r>
    </w:p>
    <w:p w14:paraId="78932F14">
      <w:pPr>
        <w:kinsoku/>
        <w:overflowPunct/>
        <w:bidi w:val="0"/>
        <w:spacing w:line="360" w:lineRule="auto"/>
        <w:jc w:val="center"/>
        <w:outlineLvl w:val="9"/>
        <w:rPr>
          <w:rFonts w:hint="eastAsia" w:ascii="宋体" w:hAnsi="宋体" w:cs="宋体"/>
          <w:b/>
          <w:color w:val="auto"/>
          <w:sz w:val="24"/>
          <w:szCs w:val="24"/>
          <w:highlight w:val="none"/>
        </w:rPr>
        <w:sectPr>
          <w:pgSz w:w="11906" w:h="16838"/>
          <w:pgMar w:top="1440" w:right="1080" w:bottom="1440" w:left="1080" w:header="964" w:footer="992" w:gutter="0"/>
          <w:pgNumType w:fmt="decimal"/>
          <w:cols w:space="720" w:num="1"/>
          <w:docGrid w:type="lines" w:linePitch="312" w:charSpace="0"/>
        </w:sectPr>
      </w:pPr>
      <w:r>
        <w:rPr>
          <w:rFonts w:ascii="宋体" w:hAnsi="宋体" w:eastAsia="宋体" w:cs="宋体"/>
          <w:color w:val="auto"/>
          <w:sz w:val="21"/>
          <w:szCs w:val="21"/>
          <w:highlight w:val="none"/>
        </w:rPr>
        <w:drawing>
          <wp:inline distT="0" distB="0" distL="114300" distR="114300">
            <wp:extent cx="3769360" cy="2288540"/>
            <wp:effectExtent l="0" t="0" r="2540" b="16510"/>
            <wp:docPr id="3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IMG_256"/>
                    <pic:cNvPicPr>
                      <a:picLocks noChangeAspect="1"/>
                    </pic:cNvPicPr>
                  </pic:nvPicPr>
                  <pic:blipFill>
                    <a:blip r:embed="rId20"/>
                    <a:stretch>
                      <a:fillRect/>
                    </a:stretch>
                  </pic:blipFill>
                  <pic:spPr>
                    <a:xfrm>
                      <a:off x="0" y="0"/>
                      <a:ext cx="3769360" cy="2288540"/>
                    </a:xfrm>
                    <a:prstGeom prst="rect">
                      <a:avLst/>
                    </a:prstGeom>
                    <a:noFill/>
                    <a:ln>
                      <a:noFill/>
                    </a:ln>
                  </pic:spPr>
                </pic:pic>
              </a:graphicData>
            </a:graphic>
          </wp:inline>
        </w:drawing>
      </w:r>
    </w:p>
    <w:p w14:paraId="415BCBC0">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宋体" w:hAnsi="宋体" w:eastAsia="宋体" w:cs="宋体"/>
          <w:b/>
          <w:bCs/>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质量保证和服务承诺函</w:t>
      </w:r>
    </w:p>
    <w:p w14:paraId="6CFF1468">
      <w:pPr>
        <w:keepNext w:val="0"/>
        <w:keepLines w:val="0"/>
        <w:pageBreakBefore w:val="0"/>
        <w:widowControl w:val="0"/>
        <w:kinsoku/>
        <w:wordWrap/>
        <w:overflowPunct/>
        <w:topLinePunct w:val="0"/>
        <w:autoSpaceDE/>
        <w:autoSpaceDN/>
        <w:bidi w:val="0"/>
        <w:snapToGrid/>
        <w:spacing w:beforeAutospacing="0" w:afterAutospacing="0" w:line="312" w:lineRule="auto"/>
        <w:ind w:left="0" w:leftChars="0" w:right="0" w:firstLine="421"/>
        <w:jc w:val="left"/>
        <w:textAlignment w:val="auto"/>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注：按标准格式提供“质量保证和服务承诺函”，格式如下：</w:t>
      </w:r>
    </w:p>
    <w:p w14:paraId="37C51116">
      <w:pPr>
        <w:rPr>
          <w:rFonts w:hint="eastAsia"/>
          <w:color w:val="auto"/>
          <w:highlight w:val="none"/>
        </w:rPr>
      </w:pPr>
    </w:p>
    <w:p w14:paraId="31C1219F">
      <w:pPr>
        <w:keepNext w:val="0"/>
        <w:keepLines w:val="0"/>
        <w:pageBreakBefore w:val="0"/>
        <w:widowControl w:val="0"/>
        <w:kinsoku/>
        <w:wordWrap/>
        <w:overflowPunct/>
        <w:topLinePunct w:val="0"/>
        <w:autoSpaceDE/>
        <w:autoSpaceDN/>
        <w:bidi w:val="0"/>
        <w:snapToGrid/>
        <w:spacing w:beforeAutospacing="0" w:afterAutospacing="0" w:line="312" w:lineRule="auto"/>
        <w:jc w:val="center"/>
        <w:textAlignment w:val="auto"/>
        <w:rPr>
          <w:rFonts w:hint="eastAsia"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rPr>
        <w:t>质量保证和服务承诺</w:t>
      </w:r>
      <w:r>
        <w:rPr>
          <w:rFonts w:hint="eastAsia" w:ascii="宋体" w:hAnsi="宋体" w:eastAsia="宋体" w:cs="宋体"/>
          <w:b/>
          <w:bCs/>
          <w:color w:val="auto"/>
          <w:kern w:val="0"/>
          <w:sz w:val="28"/>
          <w:szCs w:val="28"/>
          <w:highlight w:val="none"/>
          <w:lang w:val="en-US" w:eastAsia="zh-CN"/>
        </w:rPr>
        <w:t>函</w:t>
      </w:r>
    </w:p>
    <w:p w14:paraId="5BE0B057">
      <w:pPr>
        <w:keepNext w:val="0"/>
        <w:keepLines w:val="0"/>
        <w:pageBreakBefore w:val="0"/>
        <w:widowControl w:val="0"/>
        <w:kinsoku/>
        <w:wordWrap/>
        <w:overflowPunct/>
        <w:topLinePunct w:val="0"/>
        <w:autoSpaceDE/>
        <w:autoSpaceDN/>
        <w:bidi w:val="0"/>
        <w:adjustRightInd/>
        <w:snapToGrid/>
        <w:spacing w:beforeAutospacing="0" w:afterAutospacing="0" w:line="312" w:lineRule="auto"/>
        <w:ind w:firstLine="420" w:firstLineChars="200"/>
        <w:jc w:val="left"/>
        <w:textAlignment w:val="auto"/>
        <w:rPr>
          <w:rFonts w:hint="eastAsia" w:ascii="宋体" w:hAnsi="宋体" w:eastAsia="宋体" w:cs="宋体"/>
          <w:color w:val="auto"/>
          <w:sz w:val="21"/>
          <w:szCs w:val="21"/>
          <w:highlight w:val="none"/>
        </w:rPr>
      </w:pPr>
    </w:p>
    <w:p w14:paraId="5343509C">
      <w:pPr>
        <w:keepNext w:val="0"/>
        <w:keepLines w:val="0"/>
        <w:pageBreakBefore w:val="0"/>
        <w:widowControl w:val="0"/>
        <w:kinsoku/>
        <w:wordWrap/>
        <w:overflowPunct/>
        <w:topLinePunct w:val="0"/>
        <w:autoSpaceDE/>
        <w:autoSpaceDN/>
        <w:bidi w:val="0"/>
        <w:adjustRightInd/>
        <w:snapToGrid/>
        <w:spacing w:beforeAutospacing="0" w:afterAutospacing="0"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采购中如</w:t>
      </w:r>
      <w:r>
        <w:rPr>
          <w:rFonts w:hint="eastAsia" w:ascii="宋体" w:hAnsi="宋体" w:eastAsia="宋体" w:cs="宋体"/>
          <w:color w:val="auto"/>
          <w:sz w:val="21"/>
          <w:szCs w:val="21"/>
          <w:highlight w:val="none"/>
          <w:lang w:val="en-US" w:eastAsia="zh-CN"/>
        </w:rPr>
        <w:t>本公司</w:t>
      </w:r>
      <w:r>
        <w:rPr>
          <w:rFonts w:hint="eastAsia" w:ascii="宋体" w:hAnsi="宋体" w:eastAsia="宋体" w:cs="宋体"/>
          <w:color w:val="auto"/>
          <w:sz w:val="21"/>
          <w:szCs w:val="21"/>
          <w:highlight w:val="none"/>
        </w:rPr>
        <w:t>成为</w:t>
      </w:r>
      <w:r>
        <w:rPr>
          <w:rFonts w:hint="eastAsia" w:ascii="宋体" w:hAnsi="宋体" w:eastAsia="宋体" w:cs="宋体"/>
          <w:color w:val="auto"/>
          <w:sz w:val="21"/>
          <w:szCs w:val="21"/>
          <w:highlight w:val="none"/>
          <w:lang w:val="en-US" w:eastAsia="zh-CN"/>
        </w:rPr>
        <w:t>中标单位</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我方</w:t>
      </w:r>
      <w:r>
        <w:rPr>
          <w:rFonts w:hint="eastAsia" w:ascii="宋体" w:hAnsi="宋体" w:eastAsia="宋体" w:cs="宋体"/>
          <w:color w:val="auto"/>
          <w:sz w:val="21"/>
          <w:szCs w:val="21"/>
          <w:highlight w:val="none"/>
        </w:rPr>
        <w:t>将积极响应贵单位提出的合同条件及</w:t>
      </w:r>
      <w:r>
        <w:rPr>
          <w:rFonts w:hint="eastAsia" w:ascii="宋体" w:hAnsi="宋体" w:eastAsia="宋体" w:cs="宋体"/>
          <w:color w:val="auto"/>
          <w:sz w:val="21"/>
          <w:szCs w:val="21"/>
          <w:highlight w:val="none"/>
          <w:lang w:val="en-US" w:eastAsia="zh-CN"/>
        </w:rPr>
        <w:t>招标文件</w:t>
      </w:r>
      <w:r>
        <w:rPr>
          <w:rFonts w:hint="eastAsia" w:ascii="宋体" w:hAnsi="宋体" w:eastAsia="宋体" w:cs="宋体"/>
          <w:color w:val="auto"/>
          <w:sz w:val="21"/>
          <w:szCs w:val="21"/>
          <w:highlight w:val="none"/>
        </w:rPr>
        <w:t>的要求，并作出如下承诺：</w:t>
      </w:r>
    </w:p>
    <w:p w14:paraId="707FFAA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12" w:lineRule="auto"/>
        <w:ind w:firstLine="420" w:firstLineChars="20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我方严格按</w:t>
      </w:r>
      <w:r>
        <w:rPr>
          <w:rFonts w:hint="eastAsia" w:ascii="宋体" w:hAnsi="宋体" w:eastAsia="宋体" w:cs="宋体"/>
          <w:color w:val="auto"/>
          <w:sz w:val="21"/>
          <w:szCs w:val="21"/>
          <w:highlight w:val="none"/>
          <w:lang w:val="en-US" w:eastAsia="zh-CN"/>
        </w:rPr>
        <w:t>招标文件</w:t>
      </w:r>
      <w:r>
        <w:rPr>
          <w:rFonts w:hint="eastAsia" w:ascii="宋体" w:hAnsi="宋体" w:eastAsia="宋体" w:cs="宋体"/>
          <w:color w:val="auto"/>
          <w:sz w:val="21"/>
          <w:szCs w:val="21"/>
          <w:highlight w:val="none"/>
        </w:rPr>
        <w:t>中</w:t>
      </w:r>
      <w:r>
        <w:rPr>
          <w:rFonts w:hint="eastAsia" w:ascii="宋体" w:hAnsi="宋体" w:eastAsia="宋体" w:cs="宋体"/>
          <w:color w:val="auto"/>
          <w:sz w:val="21"/>
          <w:szCs w:val="21"/>
          <w:highlight w:val="none"/>
          <w:lang w:val="en-US" w:eastAsia="zh-CN"/>
        </w:rPr>
        <w:t>要求的</w:t>
      </w:r>
      <w:r>
        <w:rPr>
          <w:rFonts w:hint="eastAsia" w:ascii="宋体" w:hAnsi="宋体" w:eastAsia="宋体" w:cs="宋体"/>
          <w:color w:val="auto"/>
          <w:sz w:val="21"/>
          <w:szCs w:val="21"/>
          <w:highlight w:val="none"/>
          <w:u w:val="single"/>
        </w:rPr>
        <w:t>质量</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rPr>
        <w:t>管理规范和技术（规范）标准</w:t>
      </w: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highlight w:val="none"/>
          <w:lang w:val="en-US" w:eastAsia="zh-CN"/>
        </w:rPr>
        <w:t>相关</w:t>
      </w:r>
      <w:r>
        <w:rPr>
          <w:rFonts w:hint="eastAsia" w:ascii="宋体" w:hAnsi="宋体" w:eastAsia="宋体" w:cs="宋体"/>
          <w:color w:val="auto"/>
          <w:sz w:val="21"/>
          <w:szCs w:val="21"/>
          <w:highlight w:val="none"/>
        </w:rPr>
        <w:t>产品，并承诺在收到</w:t>
      </w:r>
      <w:r>
        <w:rPr>
          <w:rFonts w:hint="eastAsia" w:ascii="宋体" w:hAnsi="宋体" w:cs="宋体"/>
          <w:color w:val="auto"/>
          <w:sz w:val="21"/>
          <w:szCs w:val="21"/>
          <w:highlight w:val="none"/>
          <w:lang w:val="en-US" w:eastAsia="zh-CN"/>
        </w:rPr>
        <w:t>发</w:t>
      </w:r>
      <w:r>
        <w:rPr>
          <w:rFonts w:hint="eastAsia" w:ascii="宋体" w:hAnsi="宋体" w:eastAsia="宋体" w:cs="宋体"/>
          <w:color w:val="auto"/>
          <w:sz w:val="21"/>
          <w:szCs w:val="21"/>
          <w:highlight w:val="none"/>
        </w:rPr>
        <w:t>货通知后</w:t>
      </w:r>
      <w:r>
        <w:rPr>
          <w:rFonts w:hint="eastAsia" w:ascii="宋体" w:hAnsi="宋体" w:eastAsia="宋体" w:cs="宋体"/>
          <w:color w:val="auto"/>
          <w:sz w:val="21"/>
          <w:szCs w:val="21"/>
          <w:highlight w:val="none"/>
          <w:u w:val="single"/>
          <w:lang w:eastAsia="zh-CN"/>
        </w:rPr>
        <w:t>按需求单位的交货时间</w:t>
      </w:r>
      <w:r>
        <w:rPr>
          <w:rFonts w:hint="eastAsia" w:ascii="宋体" w:hAnsi="宋体" w:eastAsia="宋体" w:cs="宋体"/>
          <w:color w:val="auto"/>
          <w:sz w:val="21"/>
          <w:szCs w:val="21"/>
          <w:highlight w:val="none"/>
        </w:rPr>
        <w:t>内必须确保到货（特殊情况下双方协商确定）。</w:t>
      </w:r>
    </w:p>
    <w:p w14:paraId="0145AC4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12"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我方承诺提供的产品同时符合以下标准及要求：</w:t>
      </w:r>
    </w:p>
    <w:p w14:paraId="11A854C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12"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0"/>
          <w:sz w:val="21"/>
          <w:szCs w:val="21"/>
          <w:highlight w:val="none"/>
          <w:u w:val="none"/>
          <w:lang w:val="en-US" w:eastAsia="zh-CN" w:bidi="ar-SA"/>
        </w:rPr>
        <w:t>（1）必须符合中国南方电网有限责任公司对产品的质量标准及技术要求；</w:t>
      </w:r>
      <w:r>
        <w:rPr>
          <w:rFonts w:hint="eastAsia" w:ascii="宋体" w:hAnsi="宋体" w:eastAsia="宋体" w:cs="宋体"/>
          <w:bCs/>
          <w:color w:val="auto"/>
          <w:kern w:val="0"/>
          <w:sz w:val="21"/>
          <w:szCs w:val="21"/>
          <w:highlight w:val="none"/>
          <w:u w:val="none"/>
          <w:lang w:val="en-US" w:eastAsia="zh-CN" w:bidi="ar-SA"/>
        </w:rPr>
        <w:br w:type="textWrapping"/>
      </w:r>
      <w:r>
        <w:rPr>
          <w:rFonts w:hint="eastAsia" w:ascii="宋体" w:hAnsi="宋体" w:eastAsia="宋体" w:cs="宋体"/>
          <w:bCs/>
          <w:color w:val="auto"/>
          <w:kern w:val="0"/>
          <w:sz w:val="21"/>
          <w:szCs w:val="21"/>
          <w:highlight w:val="none"/>
          <w:u w:val="none"/>
          <w:lang w:val="en-US" w:eastAsia="zh-CN" w:bidi="ar-SA"/>
        </w:rPr>
        <w:t xml:space="preserve">    （2）必须符合广东电网有限责任公司广州供电局对产品的质量标准及技术要求；</w:t>
      </w:r>
      <w:r>
        <w:rPr>
          <w:rFonts w:hint="eastAsia" w:ascii="宋体" w:hAnsi="宋体" w:eastAsia="宋体" w:cs="宋体"/>
          <w:bCs/>
          <w:color w:val="auto"/>
          <w:kern w:val="0"/>
          <w:sz w:val="21"/>
          <w:szCs w:val="21"/>
          <w:highlight w:val="none"/>
          <w:u w:val="none"/>
          <w:lang w:val="en-US" w:eastAsia="zh-CN" w:bidi="ar-SA"/>
        </w:rPr>
        <w:br w:type="textWrapping"/>
      </w:r>
      <w:r>
        <w:rPr>
          <w:rFonts w:hint="eastAsia" w:ascii="宋体" w:hAnsi="宋体" w:eastAsia="宋体" w:cs="宋体"/>
          <w:bCs/>
          <w:color w:val="auto"/>
          <w:kern w:val="0"/>
          <w:sz w:val="21"/>
          <w:szCs w:val="21"/>
          <w:highlight w:val="none"/>
          <w:u w:val="none"/>
          <w:lang w:val="en-US" w:eastAsia="zh-CN" w:bidi="ar-SA"/>
        </w:rPr>
        <w:t xml:space="preserve">    （3）必须符合行业标准；</w:t>
      </w:r>
      <w:r>
        <w:rPr>
          <w:rFonts w:hint="eastAsia" w:ascii="宋体" w:hAnsi="宋体" w:eastAsia="宋体" w:cs="宋体"/>
          <w:bCs/>
          <w:color w:val="auto"/>
          <w:kern w:val="0"/>
          <w:sz w:val="21"/>
          <w:szCs w:val="21"/>
          <w:highlight w:val="none"/>
          <w:u w:val="none"/>
          <w:lang w:val="en-US" w:eastAsia="zh-CN" w:bidi="ar-SA"/>
        </w:rPr>
        <w:br w:type="textWrapping"/>
      </w:r>
      <w:r>
        <w:rPr>
          <w:rFonts w:hint="eastAsia" w:ascii="宋体" w:hAnsi="宋体" w:eastAsia="宋体" w:cs="宋体"/>
          <w:bCs/>
          <w:color w:val="auto"/>
          <w:kern w:val="0"/>
          <w:sz w:val="21"/>
          <w:szCs w:val="21"/>
          <w:highlight w:val="none"/>
          <w:u w:val="none"/>
          <w:lang w:val="en-US" w:eastAsia="zh-CN" w:bidi="ar-SA"/>
        </w:rPr>
        <w:t xml:space="preserve">    （4）必须符合国家标准；</w:t>
      </w:r>
      <w:r>
        <w:rPr>
          <w:rFonts w:hint="eastAsia" w:ascii="宋体" w:hAnsi="宋体" w:eastAsia="宋体" w:cs="宋体"/>
          <w:bCs/>
          <w:color w:val="auto"/>
          <w:kern w:val="0"/>
          <w:sz w:val="21"/>
          <w:szCs w:val="21"/>
          <w:highlight w:val="none"/>
          <w:u w:val="none"/>
          <w:lang w:val="en-US" w:eastAsia="zh-CN" w:bidi="ar-SA"/>
        </w:rPr>
        <w:br w:type="textWrapping"/>
      </w:r>
      <w:r>
        <w:rPr>
          <w:rFonts w:hint="eastAsia" w:ascii="宋体" w:hAnsi="宋体" w:eastAsia="宋体" w:cs="宋体"/>
          <w:bCs/>
          <w:color w:val="auto"/>
          <w:kern w:val="0"/>
          <w:sz w:val="21"/>
          <w:szCs w:val="21"/>
          <w:highlight w:val="none"/>
          <w:u w:val="none"/>
          <w:lang w:val="en-US" w:eastAsia="zh-CN" w:bidi="ar-SA"/>
        </w:rPr>
        <w:t xml:space="preserve">    （5）必须符合其他相关国家法律法规对产品的质量标准及技术要求。</w:t>
      </w:r>
    </w:p>
    <w:p w14:paraId="646E2D3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我方保证</w:t>
      </w:r>
      <w:r>
        <w:rPr>
          <w:rFonts w:hint="eastAsia" w:ascii="宋体" w:hAnsi="宋体" w:eastAsia="宋体" w:cs="宋体"/>
          <w:color w:val="auto"/>
          <w:sz w:val="21"/>
          <w:szCs w:val="21"/>
          <w:highlight w:val="none"/>
          <w:lang w:val="en-US" w:eastAsia="zh-CN"/>
        </w:rPr>
        <w:t>按甲方要求提供的产品信息二维码，</w:t>
      </w:r>
      <w:r>
        <w:rPr>
          <w:rFonts w:hint="eastAsia" w:ascii="宋体" w:hAnsi="宋体" w:eastAsia="宋体" w:cs="宋体"/>
          <w:color w:val="auto"/>
          <w:sz w:val="21"/>
          <w:szCs w:val="21"/>
          <w:highlight w:val="none"/>
        </w:rPr>
        <w:t>在采购方指定时间内送货到指定地点（包装卸），不得以任何理由延迟供货或拒绝供货（不可抗力因素除外）。</w:t>
      </w:r>
    </w:p>
    <w:p w14:paraId="44EA1DF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我方提供的产品质量保证期和使用寿命符合国家标准或行业标准要求</w:t>
      </w:r>
      <w:r>
        <w:rPr>
          <w:rFonts w:hint="eastAsia" w:ascii="宋体" w:hAnsi="宋体" w:eastAsia="宋体" w:cs="宋体"/>
          <w:color w:val="auto"/>
          <w:sz w:val="21"/>
          <w:szCs w:val="21"/>
          <w:highlight w:val="none"/>
          <w:lang w:eastAsia="zh-CN"/>
        </w:rPr>
        <w:t>，</w:t>
      </w:r>
      <w:r>
        <w:rPr>
          <w:rFonts w:hint="eastAsia" w:ascii="宋体" w:hAnsi="宋体" w:cs="宋体"/>
          <w:bCs/>
          <w:kern w:val="0"/>
          <w:sz w:val="21"/>
          <w:szCs w:val="21"/>
          <w:highlight w:val="none"/>
          <w:lang w:val="en-US" w:eastAsia="zh-CN" w:bidi="ar-SA"/>
        </w:rPr>
        <w:t>组件产品的质保期不少于 144个月，寿命不低于360 个月</w:t>
      </w:r>
      <w:r>
        <w:rPr>
          <w:rFonts w:hint="eastAsia" w:ascii="宋体" w:hAnsi="宋体" w:eastAsia="宋体" w:cs="宋体"/>
          <w:color w:val="auto"/>
          <w:sz w:val="21"/>
          <w:szCs w:val="21"/>
          <w:highlight w:val="none"/>
          <w:lang w:eastAsia="zh-CN"/>
        </w:rPr>
        <w:t>。</w:t>
      </w:r>
    </w:p>
    <w:p w14:paraId="0627FB3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我方保证其提供的产品是全新的、未使用过的</w:t>
      </w:r>
      <w:r>
        <w:rPr>
          <w:rFonts w:hint="eastAsia" w:ascii="宋体" w:hAnsi="宋体" w:eastAsia="宋体" w:cs="宋体"/>
          <w:color w:val="auto"/>
          <w:sz w:val="21"/>
          <w:szCs w:val="21"/>
          <w:highlight w:val="none"/>
          <w:lang w:val="en-US" w:eastAsia="zh-CN"/>
        </w:rPr>
        <w:t>。</w:t>
      </w:r>
    </w:p>
    <w:p w14:paraId="599E0A0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我方对所供产品的质量终身负责</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质量保证期结束后2年内出现潜在性缺陷时，可对缺陷货物和同一批次的货物免费予以及时修理或更换。质量保证期结束后2年外，货物使用寿命周期内出现潜在性缺陷时，按合同价对缺陷货物和同一批次的货物予以及时修理或更换，同时供应商应能按照合同价格提供合同元器件或其代替（升级）的产品。</w:t>
      </w:r>
    </w:p>
    <w:p w14:paraId="42AFE30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我方有义务接受采购方对产品的质量检验，若存在的质量问题须送权威机构检验确认时，可由双方委托权威的第三方检验机构进行检验。检验结果对双方都有约束力，相关的检测费用由我方承担。若产品经权威机构检定核为不合格，我方承诺无条件退换</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并承担由此造成的相关费用（含工程返工的全部施工费用）</w:t>
      </w:r>
      <w:r>
        <w:rPr>
          <w:rFonts w:hint="eastAsia" w:ascii="宋体" w:hAnsi="宋体" w:eastAsia="宋体" w:cs="宋体"/>
          <w:color w:val="auto"/>
          <w:sz w:val="21"/>
          <w:szCs w:val="21"/>
          <w:highlight w:val="none"/>
          <w:lang w:eastAsia="zh-CN"/>
        </w:rPr>
        <w:t>。</w:t>
      </w:r>
    </w:p>
    <w:p w14:paraId="619B70D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我方若有违反本承诺书相关内容的行为，我方自愿接受</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人对我方作出的任何处罚</w:t>
      </w:r>
      <w:r>
        <w:rPr>
          <w:rFonts w:hint="eastAsia" w:ascii="宋体" w:hAnsi="宋体" w:eastAsia="宋体" w:cs="宋体"/>
          <w:color w:val="auto"/>
          <w:sz w:val="21"/>
          <w:szCs w:val="21"/>
          <w:highlight w:val="none"/>
          <w:lang w:eastAsia="zh-CN"/>
        </w:rPr>
        <w:t>。</w:t>
      </w:r>
    </w:p>
    <w:p w14:paraId="6FE156D9">
      <w:pPr>
        <w:keepNext w:val="0"/>
        <w:keepLines w:val="0"/>
        <w:pageBreakBefore w:val="0"/>
        <w:widowControl w:val="0"/>
        <w:kinsoku/>
        <w:wordWrap/>
        <w:overflowPunct/>
        <w:topLinePunct w:val="0"/>
        <w:autoSpaceDE/>
        <w:autoSpaceDN/>
        <w:bidi w:val="0"/>
        <w:adjustRightInd/>
        <w:snapToGrid/>
        <w:spacing w:beforeAutospacing="0" w:afterAutospacing="0" w:line="312" w:lineRule="auto"/>
        <w:ind w:left="1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5E1A278B">
      <w:pPr>
        <w:pageBreakBefore w:val="0"/>
        <w:kinsoku/>
        <w:overflowPunct/>
        <w:bidi w:val="0"/>
        <w:snapToGrid/>
        <w:spacing w:beforeAutospacing="0" w:afterAutospacing="0" w:line="312" w:lineRule="auto"/>
        <w:ind w:left="0" w:leftChars="0" w:right="0" w:firstLine="4147" w:firstLineChars="1975"/>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投标人</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盖</w:t>
      </w:r>
      <w:r>
        <w:rPr>
          <w:rFonts w:hint="eastAsia" w:ascii="宋体" w:hAnsi="宋体" w:eastAsia="宋体" w:cs="宋体"/>
          <w:color w:val="auto"/>
          <w:szCs w:val="21"/>
          <w:highlight w:val="none"/>
        </w:rPr>
        <w:t>公章或投标专用章或电子签章）：</w:t>
      </w:r>
    </w:p>
    <w:p w14:paraId="1F52B51A">
      <w:pPr>
        <w:pageBreakBefore w:val="0"/>
        <w:tabs>
          <w:tab w:val="left" w:pos="7560"/>
        </w:tabs>
        <w:kinsoku/>
        <w:overflowPunct/>
        <w:bidi w:val="0"/>
        <w:adjustRightInd w:val="0"/>
        <w:snapToGrid/>
        <w:spacing w:beforeAutospacing="0" w:afterAutospacing="0" w:line="312" w:lineRule="auto"/>
        <w:ind w:left="0" w:leftChars="0" w:right="0" w:firstLine="5859" w:firstLineChars="279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   月   日</w:t>
      </w:r>
    </w:p>
    <w:p w14:paraId="20E0E005">
      <w:pPr>
        <w:pStyle w:val="17"/>
        <w:rPr>
          <w:rFonts w:hint="eastAsia"/>
          <w:highlight w:val="none"/>
        </w:rPr>
      </w:pPr>
    </w:p>
    <w:p w14:paraId="10EA338E">
      <w:pPr>
        <w:jc w:val="left"/>
        <w:rPr>
          <w:rFonts w:ascii="宋体" w:hAnsi="宋体" w:eastAsia="宋体" w:cs="宋体"/>
          <w:i w:val="0"/>
          <w:iCs w:val="0"/>
          <w:color w:val="auto"/>
          <w:sz w:val="21"/>
          <w:szCs w:val="21"/>
          <w:highlight w:val="none"/>
        </w:rPr>
      </w:pPr>
    </w:p>
    <w:p w14:paraId="20257A31">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outlineLvl w:val="3"/>
        <w:rPr>
          <w:rFonts w:hint="default" w:ascii="宋体" w:hAnsi="宋体" w:eastAsia="宋体" w:cs="宋体"/>
          <w:b/>
          <w:bCs/>
          <w:color w:val="auto"/>
          <w:sz w:val="24"/>
          <w:szCs w:val="24"/>
          <w:highlight w:val="none"/>
          <w:lang w:val="en-US" w:eastAsia="zh-CN"/>
        </w:rPr>
      </w:pPr>
      <w:r>
        <w:rPr>
          <w:rFonts w:hint="eastAsia" w:ascii="宋体" w:hAnsi="宋体" w:eastAsia="宋体" w:cs="宋体"/>
          <w:b/>
          <w:bCs/>
          <w:i w:val="0"/>
          <w:iCs w:val="0"/>
          <w:color w:val="auto"/>
          <w:kern w:val="2"/>
          <w:sz w:val="24"/>
          <w:szCs w:val="24"/>
          <w:highlight w:val="none"/>
          <w:lang w:val="zh-CN" w:eastAsia="zh-CN" w:bidi="ar-SA"/>
        </w:rPr>
        <w:t>制造商</w:t>
      </w:r>
      <w:r>
        <w:rPr>
          <w:rFonts w:hint="eastAsia" w:ascii="宋体" w:hAnsi="宋体" w:cs="宋体"/>
          <w:b/>
          <w:bCs/>
          <w:i w:val="0"/>
          <w:iCs w:val="0"/>
          <w:color w:val="auto"/>
          <w:kern w:val="2"/>
          <w:sz w:val="24"/>
          <w:szCs w:val="24"/>
          <w:highlight w:val="none"/>
          <w:lang w:val="en-US" w:eastAsia="zh-CN" w:bidi="ar-SA"/>
        </w:rPr>
        <w:t>声明函</w:t>
      </w:r>
    </w:p>
    <w:p w14:paraId="7D3E1D87">
      <w:pPr>
        <w:spacing w:line="360" w:lineRule="auto"/>
        <w:rPr>
          <w:rFonts w:hint="eastAsia" w:ascii="Times New Roman" w:hAnsi="Times New Roman" w:eastAsia="宋体" w:cs="Times New Roman"/>
          <w:b w:val="0"/>
          <w:bCs w:val="0"/>
          <w:color w:val="auto"/>
          <w:highlight w:val="none"/>
          <w:u w:val="none"/>
        </w:rPr>
      </w:pPr>
      <w:r>
        <w:rPr>
          <w:rFonts w:hint="eastAsia" w:ascii="Times New Roman" w:hAnsi="Times New Roman" w:eastAsia="宋体" w:cs="Times New Roman"/>
          <w:b w:val="0"/>
          <w:bCs w:val="0"/>
          <w:color w:val="auto"/>
          <w:highlight w:val="none"/>
          <w:u w:val="none"/>
        </w:rPr>
        <w:t>本项目只接受制造商参与。</w:t>
      </w:r>
    </w:p>
    <w:p w14:paraId="4931FEC3">
      <w:pPr>
        <w:spacing w:line="360" w:lineRule="auto"/>
        <w:rPr>
          <w:rFonts w:hint="eastAsia" w:ascii="宋体" w:hAnsi="宋体" w:eastAsia="宋体" w:cs="宋体"/>
          <w:b/>
          <w:bCs/>
          <w:color w:val="auto"/>
          <w:highlight w:val="none"/>
          <w:lang w:val="zh-CN"/>
        </w:rPr>
      </w:pPr>
      <w:r>
        <w:rPr>
          <w:rFonts w:hint="eastAsia"/>
          <w:b/>
          <w:bCs/>
          <w:color w:val="auto"/>
          <w:highlight w:val="none"/>
        </w:rPr>
        <w:t>注：</w:t>
      </w:r>
      <w:r>
        <w:rPr>
          <w:rFonts w:hint="eastAsia" w:ascii="宋体" w:hAnsi="宋体" w:eastAsia="宋体" w:cs="宋体"/>
          <w:b/>
          <w:bCs/>
          <w:color w:val="auto"/>
          <w:sz w:val="21"/>
          <w:szCs w:val="21"/>
          <w:highlight w:val="none"/>
          <w:lang w:val="en-US" w:eastAsia="zh-CN"/>
        </w:rPr>
        <w:t>提供</w:t>
      </w:r>
      <w:r>
        <w:rPr>
          <w:rFonts w:hint="eastAsia" w:ascii="宋体" w:hAnsi="宋体" w:cs="宋体"/>
          <w:b/>
          <w:bCs/>
          <w:color w:val="auto"/>
          <w:sz w:val="21"/>
          <w:szCs w:val="21"/>
          <w:highlight w:val="none"/>
          <w:lang w:val="en-US" w:eastAsia="zh-CN"/>
        </w:rPr>
        <w:t>声明函</w:t>
      </w: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highlight w:val="none"/>
          <w:lang w:val="zh-CN"/>
        </w:rPr>
        <w:t>需加盖公章或投标专用章或电子签章。</w:t>
      </w:r>
    </w:p>
    <w:p w14:paraId="741086BE">
      <w:pPr>
        <w:pStyle w:val="17"/>
        <w:rPr>
          <w:rFonts w:hint="eastAsia"/>
          <w:highlight w:val="none"/>
        </w:rPr>
      </w:pPr>
    </w:p>
    <w:p w14:paraId="170EAAEF">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outlineLvl w:val="3"/>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相关认证及证书复印件</w:t>
      </w:r>
    </w:p>
    <w:p w14:paraId="5EDC83C7">
      <w:pPr>
        <w:spacing w:line="360" w:lineRule="auto"/>
        <w:rPr>
          <w:rFonts w:hint="eastAsia"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1、晶体硅组件按GB/T9535（或IEC61215）和GB/T20047(或IEC61730) 标准要求，通过国家批准认证机构的认证，提供相关证书复印件。</w:t>
      </w:r>
    </w:p>
    <w:p w14:paraId="41226DDE">
      <w:pPr>
        <w:spacing w:line="360" w:lineRule="auto"/>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2、供应商提供的光伏组件产品（不低于580Wp）须获得以下认证：1.IEC 61215、IEC 61730-1、IEC61730-2 标准的型式试验认证证书（CQC 、CGC、TUV、VDE、UL、CSA、JET、SGS 认证均可）,并提供相应产品型号的认证检测报告；</w:t>
      </w:r>
    </w:p>
    <w:p w14:paraId="65B88014">
      <w:pPr>
        <w:spacing w:line="360" w:lineRule="auto"/>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3、IEC61701 认证证书（盐雾腐蚀认证）,并提供相应产品型号的认证检测报告；</w:t>
      </w:r>
    </w:p>
    <w:p w14:paraId="5F5B6B5F">
      <w:pPr>
        <w:spacing w:line="360" w:lineRule="auto"/>
        <w:rPr>
          <w:rFonts w:hint="eastAsia"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4、抗PID 认证证书，并提供相应产品型号的认证检测报告。</w:t>
      </w:r>
    </w:p>
    <w:p w14:paraId="70FA26A5">
      <w:pPr>
        <w:spacing w:line="360" w:lineRule="auto"/>
        <w:rPr>
          <w:rFonts w:hint="eastAsia" w:ascii="宋体" w:hAnsi="宋体" w:eastAsia="宋体" w:cs="宋体"/>
          <w:b/>
          <w:bCs/>
          <w:color w:val="auto"/>
          <w:highlight w:val="none"/>
          <w:lang w:val="zh-CN"/>
        </w:rPr>
      </w:pPr>
      <w:r>
        <w:rPr>
          <w:rFonts w:hint="eastAsia" w:ascii="Times New Roman" w:hAnsi="Times New Roman" w:eastAsia="宋体" w:cs="Times New Roman"/>
          <w:b/>
          <w:bCs/>
          <w:color w:val="auto"/>
          <w:highlight w:val="none"/>
          <w:lang w:val="en-US" w:eastAsia="zh-CN"/>
        </w:rPr>
        <w:t>注：</w:t>
      </w:r>
      <w:r>
        <w:rPr>
          <w:rFonts w:hint="eastAsia" w:ascii="Times New Roman" w:hAnsi="Times New Roman" w:eastAsia="宋体" w:cs="Times New Roman"/>
          <w:b/>
          <w:bCs/>
          <w:color w:val="auto"/>
          <w:highlight w:val="none"/>
        </w:rPr>
        <w:t>需提供相关证明文件复印件，</w:t>
      </w:r>
      <w:r>
        <w:rPr>
          <w:rFonts w:hint="eastAsia" w:ascii="宋体" w:hAnsi="宋体" w:eastAsia="宋体" w:cs="宋体"/>
          <w:b/>
          <w:bCs/>
          <w:color w:val="auto"/>
          <w:highlight w:val="none"/>
          <w:lang w:val="zh-CN"/>
        </w:rPr>
        <w:t>需加盖公章或投标专用章或电子签章。</w:t>
      </w:r>
    </w:p>
    <w:p w14:paraId="05F9DF8D">
      <w:pPr>
        <w:pStyle w:val="17"/>
        <w:rPr>
          <w:rFonts w:hint="eastAsia"/>
          <w:highlight w:val="none"/>
        </w:rPr>
      </w:pPr>
    </w:p>
    <w:p w14:paraId="742231D4">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outlineLvl w:val="3"/>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近三年（2022年至今）晶体硅组件的供货业绩</w:t>
      </w:r>
    </w:p>
    <w:p w14:paraId="602B5486">
      <w:pPr>
        <w:widowControl/>
        <w:spacing w:line="312" w:lineRule="auto"/>
        <w:rPr>
          <w:rFonts w:hint="eastAsia"/>
          <w:color w:val="auto"/>
          <w:highlight w:val="none"/>
        </w:rPr>
      </w:pPr>
      <w:r>
        <w:rPr>
          <w:rFonts w:hint="eastAsia"/>
          <w:color w:val="auto"/>
          <w:highlight w:val="none"/>
        </w:rPr>
        <w:t>近三年（202</w:t>
      </w:r>
      <w:r>
        <w:rPr>
          <w:rFonts w:hint="eastAsia"/>
          <w:color w:val="auto"/>
          <w:highlight w:val="none"/>
          <w:lang w:val="en-US" w:eastAsia="zh-CN"/>
        </w:rPr>
        <w:t>2</w:t>
      </w:r>
      <w:r>
        <w:rPr>
          <w:rFonts w:hint="eastAsia"/>
          <w:color w:val="auto"/>
          <w:highlight w:val="none"/>
        </w:rPr>
        <w:t>年至今）</w:t>
      </w:r>
      <w:r>
        <w:rPr>
          <w:rStyle w:val="241"/>
          <w:rFonts w:hint="eastAsia" w:ascii="宋体" w:hAnsi="宋体" w:eastAsia="宋体" w:cs="宋体"/>
          <w:b w:val="0"/>
          <w:bCs w:val="0"/>
          <w:color w:val="auto"/>
          <w:sz w:val="21"/>
          <w:szCs w:val="21"/>
          <w:highlight w:val="none"/>
          <w:lang w:eastAsia="zh-CN" w:bidi="ar"/>
        </w:rPr>
        <w:t>晶体硅组件</w:t>
      </w:r>
      <w:r>
        <w:rPr>
          <w:rStyle w:val="241"/>
          <w:rFonts w:hint="eastAsia" w:ascii="宋体" w:hAnsi="宋体" w:eastAsia="宋体" w:cs="宋体"/>
          <w:b w:val="0"/>
          <w:bCs w:val="0"/>
          <w:color w:val="auto"/>
          <w:sz w:val="21"/>
          <w:szCs w:val="21"/>
          <w:highlight w:val="none"/>
          <w:lang w:val="en-US" w:eastAsia="zh-CN" w:bidi="ar"/>
        </w:rPr>
        <w:t>的供货业绩</w:t>
      </w:r>
      <w:r>
        <w:rPr>
          <w:rStyle w:val="241"/>
          <w:rFonts w:hint="eastAsia" w:ascii="宋体" w:hAnsi="宋体" w:eastAsia="宋体" w:cs="宋体"/>
          <w:b w:val="0"/>
          <w:bCs w:val="0"/>
          <w:color w:val="auto"/>
          <w:sz w:val="21"/>
          <w:szCs w:val="21"/>
          <w:highlight w:val="none"/>
          <w:lang w:eastAsia="zh-CN" w:bidi="ar"/>
        </w:rPr>
        <w:t>不低于</w:t>
      </w:r>
      <w:r>
        <w:rPr>
          <w:rStyle w:val="241"/>
          <w:rFonts w:hint="eastAsia" w:ascii="宋体" w:hAnsi="宋体" w:eastAsia="宋体" w:cs="宋体"/>
          <w:b w:val="0"/>
          <w:bCs w:val="0"/>
          <w:color w:val="auto"/>
          <w:sz w:val="21"/>
          <w:szCs w:val="21"/>
          <w:highlight w:val="none"/>
          <w:lang w:val="en-US" w:eastAsia="zh-CN" w:bidi="ar"/>
        </w:rPr>
        <w:t>500MWp</w:t>
      </w:r>
      <w:r>
        <w:rPr>
          <w:rFonts w:hint="eastAsia"/>
          <w:color w:val="auto"/>
          <w:highlight w:val="none"/>
        </w:rPr>
        <w:t>。</w:t>
      </w:r>
    </w:p>
    <w:p w14:paraId="57E9BCBE">
      <w:pPr>
        <w:spacing w:line="360" w:lineRule="auto"/>
        <w:rPr>
          <w:rFonts w:hint="eastAsia"/>
          <w:color w:val="auto"/>
          <w:highlight w:val="none"/>
        </w:rPr>
      </w:pPr>
      <w:r>
        <w:rPr>
          <w:rFonts w:hint="eastAsia"/>
          <w:color w:val="auto"/>
          <w:highlight w:val="none"/>
          <w:lang w:val="en-US" w:eastAsia="zh-CN"/>
        </w:rPr>
        <w:t>注：</w:t>
      </w:r>
      <w:r>
        <w:rPr>
          <w:rFonts w:hint="eastAsia"/>
          <w:color w:val="auto"/>
          <w:highlight w:val="none"/>
        </w:rPr>
        <w:t>须提供合同复印件。合同复印件需提供合同关键页，包括体现合同标的、合同金额、签字盖章页、合同签订时间等。业绩以合同签订时间为准。</w:t>
      </w:r>
    </w:p>
    <w:tbl>
      <w:tblPr>
        <w:tblStyle w:val="46"/>
        <w:tblW w:w="106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165"/>
        <w:gridCol w:w="1447"/>
        <w:gridCol w:w="1761"/>
        <w:gridCol w:w="1618"/>
        <w:gridCol w:w="1324"/>
        <w:gridCol w:w="1324"/>
      </w:tblGrid>
      <w:tr w14:paraId="1782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tcBorders>
              <w:top w:val="single" w:color="auto" w:sz="4" w:space="0"/>
              <w:left w:val="single" w:color="auto" w:sz="4" w:space="0"/>
              <w:bottom w:val="single" w:color="auto" w:sz="4" w:space="0"/>
              <w:right w:val="single" w:color="auto" w:sz="4" w:space="0"/>
            </w:tcBorders>
            <w:noWrap w:val="0"/>
            <w:vAlign w:val="center"/>
          </w:tcPr>
          <w:p w14:paraId="0F85304E">
            <w:pPr>
              <w:kinsoku/>
              <w:bidi w:val="0"/>
              <w:spacing w:before="10" w:after="10"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序号</w:t>
            </w:r>
          </w:p>
        </w:tc>
        <w:tc>
          <w:tcPr>
            <w:tcW w:w="2165" w:type="dxa"/>
            <w:tcBorders>
              <w:top w:val="single" w:color="auto" w:sz="4" w:space="0"/>
              <w:left w:val="single" w:color="auto" w:sz="4" w:space="0"/>
              <w:bottom w:val="single" w:color="auto" w:sz="4" w:space="0"/>
              <w:right w:val="single" w:color="auto" w:sz="4" w:space="0"/>
            </w:tcBorders>
            <w:noWrap w:val="0"/>
            <w:vAlign w:val="center"/>
          </w:tcPr>
          <w:p w14:paraId="2B870D49">
            <w:pPr>
              <w:kinsoku/>
              <w:bidi w:val="0"/>
              <w:spacing w:before="10" w:after="10"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项目名称</w:t>
            </w:r>
          </w:p>
        </w:tc>
        <w:tc>
          <w:tcPr>
            <w:tcW w:w="1447" w:type="dxa"/>
            <w:tcBorders>
              <w:top w:val="single" w:color="auto" w:sz="4" w:space="0"/>
              <w:left w:val="single" w:color="auto" w:sz="4" w:space="0"/>
              <w:bottom w:val="single" w:color="auto" w:sz="4" w:space="0"/>
              <w:right w:val="single" w:color="auto" w:sz="4" w:space="0"/>
            </w:tcBorders>
            <w:noWrap w:val="0"/>
            <w:vAlign w:val="center"/>
          </w:tcPr>
          <w:p w14:paraId="4CE03307">
            <w:pPr>
              <w:kinsoku/>
              <w:bidi w:val="0"/>
              <w:spacing w:before="10" w:after="10"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招标人</w:t>
            </w:r>
          </w:p>
        </w:tc>
        <w:tc>
          <w:tcPr>
            <w:tcW w:w="1761" w:type="dxa"/>
            <w:tcBorders>
              <w:top w:val="single" w:color="auto" w:sz="4" w:space="0"/>
              <w:left w:val="single" w:color="auto" w:sz="4" w:space="0"/>
              <w:bottom w:val="single" w:color="auto" w:sz="4" w:space="0"/>
              <w:right w:val="single" w:color="auto" w:sz="4" w:space="0"/>
            </w:tcBorders>
            <w:noWrap w:val="0"/>
            <w:vAlign w:val="center"/>
          </w:tcPr>
          <w:p w14:paraId="4DEE8FE0">
            <w:pPr>
              <w:kinsoku/>
              <w:bidi w:val="0"/>
              <w:spacing w:before="10" w:after="10"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合同金额（元）</w:t>
            </w:r>
          </w:p>
        </w:tc>
        <w:tc>
          <w:tcPr>
            <w:tcW w:w="1618" w:type="dxa"/>
            <w:tcBorders>
              <w:top w:val="single" w:color="auto" w:sz="4" w:space="0"/>
              <w:left w:val="single" w:color="auto" w:sz="4" w:space="0"/>
              <w:bottom w:val="single" w:color="auto" w:sz="4" w:space="0"/>
              <w:right w:val="single" w:color="auto" w:sz="4" w:space="0"/>
            </w:tcBorders>
            <w:noWrap w:val="0"/>
            <w:vAlign w:val="center"/>
          </w:tcPr>
          <w:p w14:paraId="59D2B807">
            <w:pPr>
              <w:kinsoku/>
              <w:bidi w:val="0"/>
              <w:spacing w:before="10" w:after="10"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合同签订时间</w:t>
            </w:r>
          </w:p>
        </w:tc>
        <w:tc>
          <w:tcPr>
            <w:tcW w:w="1324" w:type="dxa"/>
            <w:tcBorders>
              <w:top w:val="single" w:color="auto" w:sz="4" w:space="0"/>
              <w:left w:val="single" w:color="auto" w:sz="4" w:space="0"/>
              <w:bottom w:val="single" w:color="auto" w:sz="4" w:space="0"/>
              <w:right w:val="single" w:color="auto" w:sz="4" w:space="0"/>
            </w:tcBorders>
            <w:noWrap w:val="0"/>
            <w:vAlign w:val="center"/>
          </w:tcPr>
          <w:p w14:paraId="05E7E8A5">
            <w:pPr>
              <w:kinsoku/>
              <w:bidi w:val="0"/>
              <w:spacing w:before="10" w:after="10"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供货量（单位：MWp）</w:t>
            </w:r>
          </w:p>
        </w:tc>
        <w:tc>
          <w:tcPr>
            <w:tcW w:w="1324" w:type="dxa"/>
            <w:tcBorders>
              <w:top w:val="single" w:color="auto" w:sz="4" w:space="0"/>
              <w:left w:val="single" w:color="auto" w:sz="4" w:space="0"/>
              <w:bottom w:val="single" w:color="auto" w:sz="4" w:space="0"/>
              <w:right w:val="single" w:color="auto" w:sz="4" w:space="0"/>
            </w:tcBorders>
            <w:noWrap w:val="0"/>
            <w:vAlign w:val="center"/>
          </w:tcPr>
          <w:p w14:paraId="4BB33D98">
            <w:pPr>
              <w:kinsoku/>
              <w:bidi w:val="0"/>
              <w:spacing w:before="10" w:after="10"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备注</w:t>
            </w:r>
          </w:p>
        </w:tc>
      </w:tr>
      <w:tr w14:paraId="3AFF0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tcBorders>
              <w:top w:val="single" w:color="auto" w:sz="4" w:space="0"/>
              <w:left w:val="single" w:color="auto" w:sz="4" w:space="0"/>
              <w:bottom w:val="single" w:color="auto" w:sz="4" w:space="0"/>
              <w:right w:val="single" w:color="auto" w:sz="4" w:space="0"/>
            </w:tcBorders>
            <w:noWrap w:val="0"/>
            <w:vAlign w:val="center"/>
          </w:tcPr>
          <w:p w14:paraId="3E616B1C">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2165" w:type="dxa"/>
            <w:tcBorders>
              <w:top w:val="single" w:color="auto" w:sz="4" w:space="0"/>
              <w:left w:val="single" w:color="auto" w:sz="4" w:space="0"/>
              <w:bottom w:val="single" w:color="auto" w:sz="4" w:space="0"/>
              <w:right w:val="single" w:color="auto" w:sz="4" w:space="0"/>
            </w:tcBorders>
            <w:noWrap w:val="0"/>
            <w:vAlign w:val="center"/>
          </w:tcPr>
          <w:p w14:paraId="6D9A6A51">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14:paraId="58C26A0E">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761" w:type="dxa"/>
            <w:tcBorders>
              <w:top w:val="single" w:color="auto" w:sz="4" w:space="0"/>
              <w:left w:val="single" w:color="auto" w:sz="4" w:space="0"/>
              <w:bottom w:val="single" w:color="auto" w:sz="4" w:space="0"/>
              <w:right w:val="single" w:color="auto" w:sz="4" w:space="0"/>
            </w:tcBorders>
            <w:noWrap w:val="0"/>
            <w:vAlign w:val="center"/>
          </w:tcPr>
          <w:p w14:paraId="2E4F9DA9">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618" w:type="dxa"/>
            <w:tcBorders>
              <w:top w:val="single" w:color="auto" w:sz="4" w:space="0"/>
              <w:left w:val="single" w:color="auto" w:sz="4" w:space="0"/>
              <w:bottom w:val="single" w:color="auto" w:sz="4" w:space="0"/>
              <w:right w:val="single" w:color="auto" w:sz="4" w:space="0"/>
            </w:tcBorders>
            <w:noWrap w:val="0"/>
            <w:vAlign w:val="center"/>
          </w:tcPr>
          <w:p w14:paraId="0B11F1DA">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00778E5B">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5C8E6D28">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r>
      <w:tr w14:paraId="5E23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tcBorders>
              <w:top w:val="single" w:color="auto" w:sz="4" w:space="0"/>
              <w:left w:val="single" w:color="auto" w:sz="4" w:space="0"/>
              <w:bottom w:val="single" w:color="auto" w:sz="4" w:space="0"/>
              <w:right w:val="single" w:color="auto" w:sz="4" w:space="0"/>
            </w:tcBorders>
            <w:noWrap w:val="0"/>
            <w:vAlign w:val="center"/>
          </w:tcPr>
          <w:p w14:paraId="3DD64939">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2165" w:type="dxa"/>
            <w:tcBorders>
              <w:top w:val="single" w:color="auto" w:sz="4" w:space="0"/>
              <w:left w:val="single" w:color="auto" w:sz="4" w:space="0"/>
              <w:bottom w:val="single" w:color="auto" w:sz="4" w:space="0"/>
              <w:right w:val="single" w:color="auto" w:sz="4" w:space="0"/>
            </w:tcBorders>
            <w:noWrap w:val="0"/>
            <w:vAlign w:val="center"/>
          </w:tcPr>
          <w:p w14:paraId="6A01868F">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14:paraId="66480A02">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761" w:type="dxa"/>
            <w:tcBorders>
              <w:top w:val="single" w:color="auto" w:sz="4" w:space="0"/>
              <w:left w:val="single" w:color="auto" w:sz="4" w:space="0"/>
              <w:bottom w:val="single" w:color="auto" w:sz="4" w:space="0"/>
              <w:right w:val="single" w:color="auto" w:sz="4" w:space="0"/>
            </w:tcBorders>
            <w:noWrap w:val="0"/>
            <w:vAlign w:val="center"/>
          </w:tcPr>
          <w:p w14:paraId="2F9B6723">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618" w:type="dxa"/>
            <w:tcBorders>
              <w:top w:val="single" w:color="auto" w:sz="4" w:space="0"/>
              <w:left w:val="single" w:color="auto" w:sz="4" w:space="0"/>
              <w:bottom w:val="single" w:color="auto" w:sz="4" w:space="0"/>
              <w:right w:val="single" w:color="auto" w:sz="4" w:space="0"/>
            </w:tcBorders>
            <w:noWrap w:val="0"/>
            <w:vAlign w:val="center"/>
          </w:tcPr>
          <w:p w14:paraId="22B3E4BA">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7EFEC556">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4667E622">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r>
      <w:tr w14:paraId="67B8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tcBorders>
              <w:top w:val="single" w:color="auto" w:sz="4" w:space="0"/>
              <w:left w:val="single" w:color="auto" w:sz="4" w:space="0"/>
              <w:bottom w:val="single" w:color="auto" w:sz="4" w:space="0"/>
              <w:right w:val="single" w:color="auto" w:sz="4" w:space="0"/>
            </w:tcBorders>
            <w:noWrap w:val="0"/>
            <w:vAlign w:val="center"/>
          </w:tcPr>
          <w:p w14:paraId="23243C96">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2165" w:type="dxa"/>
            <w:tcBorders>
              <w:top w:val="single" w:color="auto" w:sz="4" w:space="0"/>
              <w:left w:val="single" w:color="auto" w:sz="4" w:space="0"/>
              <w:bottom w:val="single" w:color="auto" w:sz="4" w:space="0"/>
              <w:right w:val="single" w:color="auto" w:sz="4" w:space="0"/>
            </w:tcBorders>
            <w:noWrap w:val="0"/>
            <w:vAlign w:val="center"/>
          </w:tcPr>
          <w:p w14:paraId="6BD1DF24">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14:paraId="0237904C">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761" w:type="dxa"/>
            <w:tcBorders>
              <w:top w:val="single" w:color="auto" w:sz="4" w:space="0"/>
              <w:left w:val="single" w:color="auto" w:sz="4" w:space="0"/>
              <w:bottom w:val="single" w:color="auto" w:sz="4" w:space="0"/>
              <w:right w:val="single" w:color="auto" w:sz="4" w:space="0"/>
            </w:tcBorders>
            <w:noWrap w:val="0"/>
            <w:vAlign w:val="center"/>
          </w:tcPr>
          <w:p w14:paraId="0853DEFC">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618" w:type="dxa"/>
            <w:tcBorders>
              <w:top w:val="single" w:color="auto" w:sz="4" w:space="0"/>
              <w:left w:val="single" w:color="auto" w:sz="4" w:space="0"/>
              <w:bottom w:val="single" w:color="auto" w:sz="4" w:space="0"/>
              <w:right w:val="single" w:color="auto" w:sz="4" w:space="0"/>
            </w:tcBorders>
            <w:noWrap w:val="0"/>
            <w:vAlign w:val="center"/>
          </w:tcPr>
          <w:p w14:paraId="3FC41C37">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5DBA22B2">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6154BFCF">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r>
      <w:tr w14:paraId="7F78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83" w:type="dxa"/>
            <w:gridSpan w:val="3"/>
            <w:tcBorders>
              <w:top w:val="single" w:color="auto" w:sz="4" w:space="0"/>
              <w:left w:val="single" w:color="auto" w:sz="4" w:space="0"/>
              <w:bottom w:val="single" w:color="auto" w:sz="4" w:space="0"/>
              <w:right w:val="single" w:color="auto" w:sz="4" w:space="0"/>
            </w:tcBorders>
            <w:noWrap w:val="0"/>
            <w:vAlign w:val="center"/>
          </w:tcPr>
          <w:p w14:paraId="1EE5B4CE">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总金额合计（元）</w:t>
            </w:r>
          </w:p>
        </w:tc>
        <w:tc>
          <w:tcPr>
            <w:tcW w:w="1761" w:type="dxa"/>
            <w:tcBorders>
              <w:top w:val="single" w:color="auto" w:sz="4" w:space="0"/>
              <w:left w:val="single" w:color="auto" w:sz="4" w:space="0"/>
              <w:bottom w:val="single" w:color="auto" w:sz="4" w:space="0"/>
              <w:right w:val="single" w:color="auto" w:sz="4" w:space="0"/>
            </w:tcBorders>
            <w:noWrap w:val="0"/>
            <w:vAlign w:val="center"/>
          </w:tcPr>
          <w:p w14:paraId="0E55FDE0">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618" w:type="dxa"/>
            <w:tcBorders>
              <w:top w:val="single" w:color="auto" w:sz="4" w:space="0"/>
              <w:left w:val="single" w:color="auto" w:sz="4" w:space="0"/>
              <w:bottom w:val="single" w:color="auto" w:sz="4" w:space="0"/>
              <w:right w:val="single" w:color="auto" w:sz="4" w:space="0"/>
            </w:tcBorders>
            <w:noWrap w:val="0"/>
            <w:vAlign w:val="center"/>
          </w:tcPr>
          <w:p w14:paraId="1DB7FD6B">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27E4F6DE">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309670F7">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r>
    </w:tbl>
    <w:p w14:paraId="475B19F7">
      <w:pPr>
        <w:spacing w:line="360" w:lineRule="auto"/>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lang w:val="en-US" w:eastAsia="zh-CN"/>
        </w:rPr>
        <w:t>注：</w:t>
      </w:r>
      <w:r>
        <w:rPr>
          <w:rFonts w:hint="eastAsia" w:ascii="宋体" w:hAnsi="宋体" w:eastAsia="宋体" w:cs="宋体"/>
          <w:b/>
          <w:bCs/>
          <w:color w:val="auto"/>
          <w:sz w:val="21"/>
          <w:szCs w:val="21"/>
          <w:highlight w:val="none"/>
          <w:lang w:val="en-US" w:eastAsia="zh-CN"/>
        </w:rPr>
        <w:t>提供相关证明文件，</w:t>
      </w:r>
      <w:r>
        <w:rPr>
          <w:rFonts w:hint="eastAsia" w:ascii="宋体" w:hAnsi="宋体" w:cs="宋体"/>
          <w:b/>
          <w:bCs/>
          <w:color w:val="auto"/>
          <w:highlight w:val="none"/>
          <w:lang w:val="zh-CN"/>
        </w:rPr>
        <w:t>需加盖公章或投标专用章或电子签章。</w:t>
      </w:r>
    </w:p>
    <w:p w14:paraId="609B45C7">
      <w:pPr>
        <w:rPr>
          <w:highlight w:val="none"/>
        </w:rPr>
      </w:pPr>
      <w:r>
        <w:rPr>
          <w:highlight w:val="none"/>
        </w:rPr>
        <w:br w:type="page"/>
      </w:r>
    </w:p>
    <w:p w14:paraId="66255D15">
      <w:pPr>
        <w:pStyle w:val="5"/>
        <w:numPr>
          <w:ilvl w:val="0"/>
          <w:numId w:val="12"/>
        </w:numPr>
        <w:kinsoku/>
        <w:overflowPunct/>
        <w:bidi w:val="0"/>
        <w:spacing w:before="0" w:after="0" w:line="360" w:lineRule="auto"/>
        <w:textAlignment w:val="auto"/>
        <w:rPr>
          <w:rFonts w:hint="eastAsia"/>
          <w:highlight w:val="none"/>
        </w:rPr>
      </w:pPr>
      <w:bookmarkStart w:id="2278" w:name="_Toc8455"/>
      <w:r>
        <w:rPr>
          <w:rFonts w:hint="eastAsia"/>
          <w:highlight w:val="none"/>
        </w:rPr>
        <w:t>商务评分条款相关证明材料</w:t>
      </w:r>
      <w:bookmarkEnd w:id="2278"/>
    </w:p>
    <w:p w14:paraId="7257F29C">
      <w:pPr>
        <w:kinsoku/>
        <w:overflowPunct/>
        <w:bidi w:val="0"/>
        <w:spacing w:line="360" w:lineRule="auto"/>
        <w:outlineLvl w:val="3"/>
        <w:rPr>
          <w:rFonts w:hint="eastAsia" w:ascii="宋体" w:hAnsi="宋体" w:cs="宋体"/>
          <w:b/>
          <w:color w:val="auto"/>
          <w:sz w:val="24"/>
          <w:szCs w:val="24"/>
          <w:highlight w:val="none"/>
        </w:rPr>
      </w:pPr>
      <w:bookmarkStart w:id="2279" w:name="_Toc13892"/>
      <w:bookmarkStart w:id="2280" w:name="_Toc21970"/>
      <w:bookmarkStart w:id="2281" w:name="_Toc24378"/>
      <w:bookmarkStart w:id="2282" w:name="_Toc2890"/>
      <w:r>
        <w:rPr>
          <w:rFonts w:hint="eastAsia" w:ascii="宋体" w:hAnsi="宋体" w:cs="宋体"/>
          <w:b/>
          <w:color w:val="auto"/>
          <w:sz w:val="24"/>
          <w:szCs w:val="24"/>
          <w:highlight w:val="none"/>
        </w:rPr>
        <w:t>（一）结构化评审要素表（商务部分）</w:t>
      </w:r>
      <w:bookmarkEnd w:id="2279"/>
      <w:bookmarkEnd w:id="2280"/>
      <w:bookmarkEnd w:id="2281"/>
      <w:bookmarkEnd w:id="2282"/>
    </w:p>
    <w:tbl>
      <w:tblPr>
        <w:tblStyle w:val="46"/>
        <w:tblW w:w="497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89"/>
        <w:gridCol w:w="892"/>
        <w:gridCol w:w="4198"/>
        <w:gridCol w:w="1024"/>
        <w:gridCol w:w="1553"/>
        <w:gridCol w:w="1546"/>
      </w:tblGrid>
      <w:tr w14:paraId="4DFD9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48" w:type="pct"/>
            <w:tcBorders>
              <w:top w:val="single" w:color="000000" w:sz="4" w:space="0"/>
              <w:left w:val="single" w:color="000000" w:sz="4" w:space="0"/>
              <w:bottom w:val="single" w:color="auto" w:sz="4" w:space="0"/>
              <w:right w:val="single" w:color="000000" w:sz="4" w:space="0"/>
            </w:tcBorders>
            <w:noWrap w:val="0"/>
            <w:vAlign w:val="center"/>
          </w:tcPr>
          <w:p w14:paraId="0A76BC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类别</w:t>
            </w:r>
          </w:p>
        </w:tc>
        <w:tc>
          <w:tcPr>
            <w:tcW w:w="450" w:type="pct"/>
            <w:tcBorders>
              <w:top w:val="single" w:color="000000" w:sz="4" w:space="0"/>
              <w:left w:val="single" w:color="000000" w:sz="4" w:space="0"/>
              <w:bottom w:val="single" w:color="auto" w:sz="4" w:space="0"/>
              <w:right w:val="single" w:color="000000" w:sz="4" w:space="0"/>
            </w:tcBorders>
            <w:noWrap w:val="0"/>
            <w:vAlign w:val="center"/>
          </w:tcPr>
          <w:p w14:paraId="64B4DA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详细评审项</w:t>
            </w:r>
          </w:p>
        </w:tc>
        <w:tc>
          <w:tcPr>
            <w:tcW w:w="2118" w:type="pct"/>
            <w:tcBorders>
              <w:top w:val="single" w:color="000000" w:sz="4" w:space="0"/>
              <w:left w:val="single" w:color="000000" w:sz="4" w:space="0"/>
              <w:bottom w:val="single" w:color="auto" w:sz="4" w:space="0"/>
              <w:right w:val="single" w:color="000000" w:sz="4" w:space="0"/>
            </w:tcBorders>
            <w:noWrap w:val="0"/>
            <w:vAlign w:val="center"/>
          </w:tcPr>
          <w:p w14:paraId="3BCDB4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详细评审分项要素</w:t>
            </w:r>
          </w:p>
        </w:tc>
        <w:tc>
          <w:tcPr>
            <w:tcW w:w="517" w:type="pct"/>
            <w:tcBorders>
              <w:top w:val="single" w:color="000000" w:sz="4" w:space="0"/>
              <w:left w:val="single" w:color="000000" w:sz="4" w:space="0"/>
              <w:bottom w:val="single" w:color="auto" w:sz="4" w:space="0"/>
              <w:right w:val="single" w:color="000000" w:sz="4" w:space="0"/>
            </w:tcBorders>
            <w:noWrap w:val="0"/>
            <w:vAlign w:val="center"/>
          </w:tcPr>
          <w:p w14:paraId="464DA8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分值</w:t>
            </w:r>
          </w:p>
        </w:tc>
        <w:tc>
          <w:tcPr>
            <w:tcW w:w="784" w:type="pct"/>
            <w:tcBorders>
              <w:top w:val="single" w:color="000000" w:sz="4" w:space="0"/>
              <w:left w:val="single" w:color="000000" w:sz="4" w:space="0"/>
              <w:bottom w:val="single" w:color="000000" w:sz="4" w:space="0"/>
              <w:right w:val="single" w:color="000000" w:sz="4" w:space="0"/>
            </w:tcBorders>
            <w:noWrap w:val="0"/>
            <w:vAlign w:val="center"/>
          </w:tcPr>
          <w:p w14:paraId="26C3F6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投标人</w:t>
            </w:r>
            <w:r>
              <w:rPr>
                <w:rFonts w:hint="eastAsia" w:ascii="宋体" w:hAnsi="宋体" w:eastAsia="宋体" w:cs="宋体"/>
                <w:b/>
                <w:bCs/>
                <w:i w:val="0"/>
                <w:iCs w:val="0"/>
                <w:color w:val="auto"/>
                <w:kern w:val="0"/>
                <w:sz w:val="21"/>
                <w:szCs w:val="21"/>
                <w:highlight w:val="none"/>
                <w:u w:val="none"/>
                <w:lang w:val="en-US" w:eastAsia="zh-CN" w:bidi="ar"/>
              </w:rPr>
              <w:t>应答</w:t>
            </w:r>
          </w:p>
          <w:p w14:paraId="2BBA1F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要求：响应单位简要描述，字数尽量控制在100字以内</w:t>
            </w:r>
          </w:p>
        </w:tc>
        <w:tc>
          <w:tcPr>
            <w:tcW w:w="780" w:type="pct"/>
            <w:tcBorders>
              <w:top w:val="single" w:color="000000" w:sz="4" w:space="0"/>
              <w:left w:val="single" w:color="000000" w:sz="4" w:space="0"/>
              <w:bottom w:val="single" w:color="000000" w:sz="4" w:space="0"/>
              <w:right w:val="single" w:color="000000" w:sz="4" w:space="0"/>
            </w:tcBorders>
            <w:noWrap w:val="0"/>
            <w:vAlign w:val="center"/>
          </w:tcPr>
          <w:p w14:paraId="6D738E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证明材料索引</w:t>
            </w:r>
          </w:p>
          <w:p w14:paraId="67B552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要求：指出响应的证明材料具体在</w:t>
            </w:r>
            <w:r>
              <w:rPr>
                <w:rFonts w:hint="eastAsia" w:ascii="宋体" w:hAnsi="宋体" w:cs="宋体"/>
                <w:i w:val="0"/>
                <w:iCs w:val="0"/>
                <w:color w:val="auto"/>
                <w:kern w:val="0"/>
                <w:sz w:val="21"/>
                <w:szCs w:val="21"/>
                <w:highlight w:val="none"/>
                <w:u w:val="none"/>
                <w:lang w:val="en-US" w:eastAsia="zh-CN" w:bidi="ar"/>
              </w:rPr>
              <w:t>投标</w:t>
            </w:r>
            <w:r>
              <w:rPr>
                <w:rFonts w:hint="eastAsia" w:ascii="宋体" w:hAnsi="宋体" w:eastAsia="宋体" w:cs="宋体"/>
                <w:i w:val="0"/>
                <w:iCs w:val="0"/>
                <w:color w:val="auto"/>
                <w:kern w:val="0"/>
                <w:sz w:val="21"/>
                <w:szCs w:val="21"/>
                <w:highlight w:val="none"/>
                <w:u w:val="none"/>
                <w:lang w:val="en-US" w:eastAsia="zh-CN" w:bidi="ar"/>
              </w:rPr>
              <w:t>文件的哪一页</w:t>
            </w:r>
          </w:p>
        </w:tc>
      </w:tr>
      <w:tr w14:paraId="7EAC9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48" w:type="pct"/>
            <w:vMerge w:val="restart"/>
            <w:tcBorders>
              <w:top w:val="single" w:color="auto" w:sz="4" w:space="0"/>
              <w:left w:val="single" w:color="auto" w:sz="4" w:space="0"/>
              <w:right w:val="single" w:color="auto" w:sz="4" w:space="0"/>
            </w:tcBorders>
            <w:noWrap w:val="0"/>
            <w:vAlign w:val="center"/>
          </w:tcPr>
          <w:p w14:paraId="47F2ED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商务评审</w:t>
            </w:r>
          </w:p>
        </w:tc>
        <w:tc>
          <w:tcPr>
            <w:tcW w:w="892" w:type="dxa"/>
            <w:tcBorders>
              <w:top w:val="single" w:color="auto" w:sz="4" w:space="0"/>
              <w:left w:val="single" w:color="auto" w:sz="4" w:space="0"/>
              <w:bottom w:val="single" w:color="auto" w:sz="4" w:space="0"/>
              <w:right w:val="single" w:color="auto" w:sz="4" w:space="0"/>
            </w:tcBorders>
            <w:noWrap w:val="0"/>
            <w:vAlign w:val="center"/>
          </w:tcPr>
          <w:p w14:paraId="00D05A1A">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cs="宋体"/>
                <w:color w:val="auto"/>
                <w:kern w:val="0"/>
                <w:szCs w:val="21"/>
                <w:highlight w:val="none"/>
              </w:rPr>
              <w:t>同类项目业绩</w:t>
            </w:r>
          </w:p>
        </w:tc>
        <w:tc>
          <w:tcPr>
            <w:tcW w:w="4198" w:type="dxa"/>
            <w:tcBorders>
              <w:top w:val="single" w:color="auto" w:sz="4" w:space="0"/>
              <w:left w:val="single" w:color="auto" w:sz="4" w:space="0"/>
              <w:bottom w:val="single" w:color="auto" w:sz="4" w:space="0"/>
              <w:right w:val="single" w:color="auto" w:sz="4" w:space="0"/>
            </w:tcBorders>
            <w:noWrap w:val="0"/>
            <w:vAlign w:val="center"/>
          </w:tcPr>
          <w:p w14:paraId="10888A47">
            <w:pPr>
              <w:widowControl/>
              <w:spacing w:line="312" w:lineRule="auto"/>
              <w:rPr>
                <w:rFonts w:hint="eastAsia"/>
                <w:color w:val="auto"/>
                <w:highlight w:val="none"/>
              </w:rPr>
            </w:pPr>
            <w:r>
              <w:rPr>
                <w:rFonts w:hint="eastAsia"/>
                <w:color w:val="auto"/>
                <w:highlight w:val="none"/>
              </w:rPr>
              <w:t>近三年（202</w:t>
            </w:r>
            <w:r>
              <w:rPr>
                <w:rFonts w:hint="eastAsia"/>
                <w:color w:val="auto"/>
                <w:highlight w:val="none"/>
                <w:lang w:val="en-US" w:eastAsia="zh-CN"/>
              </w:rPr>
              <w:t>2</w:t>
            </w:r>
            <w:r>
              <w:rPr>
                <w:rFonts w:hint="eastAsia"/>
                <w:color w:val="auto"/>
                <w:highlight w:val="none"/>
              </w:rPr>
              <w:t>年至今）满足投标资格条件的</w:t>
            </w:r>
            <w:r>
              <w:rPr>
                <w:rFonts w:hint="eastAsia"/>
                <w:color w:val="auto"/>
                <w:highlight w:val="none"/>
                <w:lang w:val="en-US" w:eastAsia="zh-CN"/>
              </w:rPr>
              <w:t>500MWp的基础</w:t>
            </w:r>
            <w:r>
              <w:rPr>
                <w:rFonts w:hint="eastAsia"/>
                <w:color w:val="auto"/>
                <w:highlight w:val="none"/>
              </w:rPr>
              <w:t>上每增加</w:t>
            </w:r>
            <w:r>
              <w:rPr>
                <w:rFonts w:hint="eastAsia"/>
                <w:color w:val="auto"/>
                <w:highlight w:val="none"/>
                <w:lang w:val="en-US" w:eastAsia="zh-CN"/>
              </w:rPr>
              <w:t>1G</w:t>
            </w:r>
            <w:r>
              <w:rPr>
                <w:rFonts w:hint="eastAsia"/>
                <w:color w:val="auto"/>
                <w:highlight w:val="none"/>
              </w:rPr>
              <w:t>Wp 计</w:t>
            </w:r>
            <w:r>
              <w:rPr>
                <w:rFonts w:hint="eastAsia"/>
                <w:color w:val="auto"/>
                <w:highlight w:val="none"/>
                <w:lang w:val="en-US" w:eastAsia="zh-CN"/>
              </w:rPr>
              <w:t>1.5</w:t>
            </w:r>
            <w:r>
              <w:rPr>
                <w:rFonts w:hint="eastAsia"/>
                <w:color w:val="auto"/>
                <w:highlight w:val="none"/>
              </w:rPr>
              <w:t>分，差值计算。</w:t>
            </w:r>
            <w:r>
              <w:rPr>
                <w:rFonts w:hint="eastAsia"/>
                <w:color w:val="auto"/>
                <w:highlight w:val="none"/>
                <w:lang w:val="en-US" w:eastAsia="zh-CN"/>
              </w:rPr>
              <w:t>本项最高9分，</w:t>
            </w:r>
            <w:r>
              <w:rPr>
                <w:rFonts w:hint="eastAsia"/>
                <w:color w:val="auto"/>
                <w:highlight w:val="none"/>
              </w:rPr>
              <w:t>不满足或不提供不得分。</w:t>
            </w:r>
          </w:p>
          <w:p w14:paraId="5531EE3B">
            <w:pPr>
              <w:widowControl/>
              <w:spacing w:line="312" w:lineRule="auto"/>
              <w:rPr>
                <w:rFonts w:hint="eastAsia" w:ascii="宋体" w:hAnsi="宋体" w:eastAsia="宋体" w:cs="宋体"/>
                <w:color w:val="auto"/>
                <w:kern w:val="2"/>
                <w:sz w:val="21"/>
                <w:szCs w:val="21"/>
                <w:highlight w:val="none"/>
                <w:shd w:val="clear" w:color="auto" w:fill="auto"/>
                <w:lang w:val="en-US" w:eastAsia="zh-CN" w:bidi="ar-SA"/>
              </w:rPr>
            </w:pPr>
            <w:r>
              <w:rPr>
                <w:rFonts w:hint="eastAsia"/>
                <w:color w:val="auto"/>
                <w:highlight w:val="none"/>
                <w:lang w:val="en-US" w:eastAsia="zh-CN"/>
              </w:rPr>
              <w:t>注：</w:t>
            </w:r>
            <w:r>
              <w:rPr>
                <w:rFonts w:hint="eastAsia"/>
                <w:color w:val="auto"/>
                <w:highlight w:val="none"/>
              </w:rPr>
              <w:t>须提供合同复印件。合同复印件需提供合同关键页，包括体现合同标的、合同金额、签字盖章页、合同签订时间等。业绩以合同签订时间为准。</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1BC7FDB9">
            <w:pPr>
              <w:keepNext w:val="0"/>
              <w:keepLines w:val="0"/>
              <w:pageBreakBefore w:val="0"/>
              <w:kinsoku/>
              <w:wordWrap/>
              <w:overflowPunct/>
              <w:topLinePunct w:val="0"/>
              <w:autoSpaceDE/>
              <w:autoSpaceDN/>
              <w:bidi w:val="0"/>
              <w:adjustRightInd/>
              <w:snapToGrid/>
              <w:spacing w:line="312" w:lineRule="auto"/>
              <w:ind w:left="0" w:leftChars="0" w:firstLine="0" w:firstLineChars="0"/>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cs="宋体"/>
                <w:color w:val="auto"/>
                <w:szCs w:val="21"/>
                <w:highlight w:val="none"/>
              </w:rPr>
              <w:t>0-</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分</w:t>
            </w:r>
          </w:p>
        </w:tc>
        <w:tc>
          <w:tcPr>
            <w:tcW w:w="784" w:type="pct"/>
            <w:tcBorders>
              <w:top w:val="single" w:color="000000" w:sz="4" w:space="0"/>
              <w:left w:val="single" w:color="auto" w:sz="4" w:space="0"/>
              <w:bottom w:val="single" w:color="000000" w:sz="4" w:space="0"/>
              <w:right w:val="single" w:color="000000" w:sz="4" w:space="0"/>
            </w:tcBorders>
            <w:noWrap w:val="0"/>
            <w:vAlign w:val="center"/>
          </w:tcPr>
          <w:p w14:paraId="0B0832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宋体" w:hAnsi="宋体" w:eastAsia="宋体" w:cs="宋体"/>
                <w:i w:val="0"/>
                <w:iCs w:val="0"/>
                <w:color w:val="auto"/>
                <w:sz w:val="21"/>
                <w:szCs w:val="21"/>
                <w:highlight w:val="none"/>
                <w:u w:val="none"/>
              </w:rPr>
            </w:pPr>
          </w:p>
        </w:tc>
        <w:tc>
          <w:tcPr>
            <w:tcW w:w="780" w:type="pct"/>
            <w:tcBorders>
              <w:top w:val="single" w:color="000000" w:sz="4" w:space="0"/>
              <w:left w:val="single" w:color="000000" w:sz="4" w:space="0"/>
              <w:bottom w:val="single" w:color="000000" w:sz="4" w:space="0"/>
              <w:right w:val="single" w:color="000000" w:sz="4" w:space="0"/>
            </w:tcBorders>
            <w:noWrap w:val="0"/>
            <w:vAlign w:val="center"/>
          </w:tcPr>
          <w:p w14:paraId="7011C3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宋体" w:hAnsi="宋体" w:eastAsia="宋体" w:cs="宋体"/>
                <w:i w:val="0"/>
                <w:iCs w:val="0"/>
                <w:color w:val="auto"/>
                <w:sz w:val="21"/>
                <w:szCs w:val="21"/>
                <w:highlight w:val="none"/>
                <w:u w:val="none"/>
              </w:rPr>
            </w:pPr>
          </w:p>
        </w:tc>
      </w:tr>
      <w:tr w14:paraId="41D2A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48" w:type="pct"/>
            <w:vMerge w:val="continue"/>
            <w:tcBorders>
              <w:left w:val="single" w:color="auto" w:sz="4" w:space="0"/>
              <w:right w:val="single" w:color="auto" w:sz="4" w:space="0"/>
            </w:tcBorders>
            <w:noWrap w:val="0"/>
            <w:vAlign w:val="center"/>
          </w:tcPr>
          <w:p w14:paraId="22DB7C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892" w:type="dxa"/>
            <w:tcBorders>
              <w:top w:val="single" w:color="auto" w:sz="4" w:space="0"/>
              <w:left w:val="single" w:color="auto" w:sz="4" w:space="0"/>
              <w:bottom w:val="single" w:color="auto" w:sz="4" w:space="0"/>
              <w:right w:val="single" w:color="auto" w:sz="4" w:space="0"/>
            </w:tcBorders>
            <w:noWrap w:val="0"/>
            <w:vAlign w:val="center"/>
          </w:tcPr>
          <w:p w14:paraId="4398B730">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cs="宋体"/>
                <w:color w:val="auto"/>
                <w:kern w:val="0"/>
                <w:szCs w:val="21"/>
                <w:highlight w:val="none"/>
              </w:rPr>
              <w:t>管理体系认证</w:t>
            </w:r>
          </w:p>
        </w:tc>
        <w:tc>
          <w:tcPr>
            <w:tcW w:w="4198" w:type="dxa"/>
            <w:tcBorders>
              <w:top w:val="single" w:color="auto" w:sz="4" w:space="0"/>
              <w:left w:val="single" w:color="auto" w:sz="4" w:space="0"/>
              <w:bottom w:val="single" w:color="auto" w:sz="4" w:space="0"/>
              <w:right w:val="single" w:color="auto" w:sz="4" w:space="0"/>
            </w:tcBorders>
            <w:noWrap w:val="0"/>
            <w:vAlign w:val="center"/>
          </w:tcPr>
          <w:p w14:paraId="090D861C">
            <w:pPr>
              <w:widowControl/>
              <w:spacing w:line="312" w:lineRule="auto"/>
              <w:rPr>
                <w:rFonts w:hint="eastAsia"/>
                <w:color w:val="auto"/>
                <w:highlight w:val="none"/>
              </w:rPr>
            </w:pPr>
            <w:r>
              <w:rPr>
                <w:rFonts w:hint="eastAsia"/>
                <w:color w:val="auto"/>
                <w:highlight w:val="none"/>
              </w:rPr>
              <w:t>具备有效期内的</w:t>
            </w:r>
            <w:r>
              <w:rPr>
                <w:rFonts w:hint="eastAsia"/>
                <w:color w:val="auto"/>
                <w:highlight w:val="none"/>
              </w:rPr>
              <w:fldChar w:fldCharType="begin"/>
            </w:r>
            <w:r>
              <w:rPr>
                <w:rFonts w:hint="eastAsia"/>
                <w:color w:val="auto"/>
                <w:highlight w:val="none"/>
              </w:rPr>
              <w:instrText xml:space="preserve"> HYPERLINK "https://baike.so.com/doc/1709289-1807125.html" \t "https://baike.so.com/doc/_blank" </w:instrText>
            </w:r>
            <w:r>
              <w:rPr>
                <w:rFonts w:hint="eastAsia"/>
                <w:color w:val="auto"/>
                <w:highlight w:val="none"/>
              </w:rPr>
              <w:fldChar w:fldCharType="separate"/>
            </w:r>
            <w:r>
              <w:rPr>
                <w:rFonts w:hint="eastAsia"/>
                <w:color w:val="auto"/>
                <w:highlight w:val="none"/>
              </w:rPr>
              <w:t>质量管理体系</w:t>
            </w:r>
            <w:r>
              <w:rPr>
                <w:rFonts w:hint="eastAsia"/>
                <w:color w:val="auto"/>
                <w:highlight w:val="none"/>
              </w:rPr>
              <w:fldChar w:fldCharType="end"/>
            </w:r>
            <w:r>
              <w:rPr>
                <w:rFonts w:hint="eastAsia"/>
                <w:color w:val="auto"/>
                <w:highlight w:val="none"/>
              </w:rPr>
              <w:t>认证、环境管理体系认证、</w:t>
            </w:r>
            <w:r>
              <w:rPr>
                <w:rFonts w:hint="eastAsia"/>
                <w:color w:val="auto"/>
                <w:highlight w:val="none"/>
              </w:rPr>
              <w:fldChar w:fldCharType="begin"/>
            </w:r>
            <w:r>
              <w:rPr>
                <w:rFonts w:hint="eastAsia"/>
                <w:color w:val="auto"/>
                <w:highlight w:val="none"/>
              </w:rPr>
              <w:instrText xml:space="preserve"> HYPERLINK "https://baike.so.com/doc/6813629-7030596.html" \t "https://baike.so.com/doc/_blank" </w:instrText>
            </w:r>
            <w:r>
              <w:rPr>
                <w:rFonts w:hint="eastAsia"/>
                <w:color w:val="auto"/>
                <w:highlight w:val="none"/>
              </w:rPr>
              <w:fldChar w:fldCharType="separate"/>
            </w:r>
            <w:r>
              <w:rPr>
                <w:rFonts w:hint="eastAsia"/>
                <w:color w:val="auto"/>
                <w:highlight w:val="none"/>
              </w:rPr>
              <w:t>职业健康安全管理体系</w:t>
            </w:r>
            <w:r>
              <w:rPr>
                <w:rFonts w:hint="eastAsia"/>
                <w:color w:val="auto"/>
                <w:highlight w:val="none"/>
              </w:rPr>
              <w:fldChar w:fldCharType="end"/>
            </w:r>
            <w:r>
              <w:rPr>
                <w:rFonts w:hint="eastAsia"/>
                <w:color w:val="auto"/>
                <w:highlight w:val="none"/>
              </w:rPr>
              <w:t>认证得</w:t>
            </w:r>
            <w:r>
              <w:rPr>
                <w:rFonts w:hint="eastAsia"/>
                <w:color w:val="auto"/>
                <w:highlight w:val="none"/>
                <w:lang w:val="en-US" w:eastAsia="zh-CN"/>
              </w:rPr>
              <w:t>3</w:t>
            </w:r>
            <w:r>
              <w:rPr>
                <w:rFonts w:hint="eastAsia"/>
                <w:color w:val="auto"/>
                <w:highlight w:val="none"/>
              </w:rPr>
              <w:t>分，每缺少一项减</w:t>
            </w:r>
            <w:r>
              <w:rPr>
                <w:rFonts w:hint="eastAsia"/>
                <w:color w:val="auto"/>
                <w:highlight w:val="none"/>
                <w:lang w:val="en-US" w:eastAsia="zh-CN"/>
              </w:rPr>
              <w:t>1</w:t>
            </w:r>
            <w:r>
              <w:rPr>
                <w:rFonts w:hint="eastAsia"/>
                <w:color w:val="auto"/>
                <w:highlight w:val="none"/>
              </w:rPr>
              <w:t>分。</w:t>
            </w:r>
          </w:p>
          <w:p w14:paraId="622A440B">
            <w:pPr>
              <w:widowControl/>
              <w:spacing w:line="312" w:lineRule="auto"/>
              <w:rPr>
                <w:rFonts w:hint="eastAsia" w:ascii="宋体" w:hAnsi="宋体" w:eastAsia="宋体" w:cs="宋体"/>
                <w:color w:val="auto"/>
                <w:kern w:val="2"/>
                <w:sz w:val="21"/>
                <w:szCs w:val="21"/>
                <w:highlight w:val="none"/>
                <w:shd w:val="clear" w:color="auto" w:fill="auto"/>
                <w:lang w:val="en-US" w:eastAsia="zh-CN" w:bidi="ar-SA"/>
              </w:rPr>
            </w:pPr>
            <w:r>
              <w:rPr>
                <w:rFonts w:hint="eastAsia"/>
                <w:color w:val="auto"/>
                <w:highlight w:val="none"/>
                <w:lang w:val="en-US" w:eastAsia="zh-CN"/>
              </w:rPr>
              <w:t>注：提供有效证书复印件，未按要求提供证明材料的不得分。</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357F8D2C">
            <w:pPr>
              <w:keepNext w:val="0"/>
              <w:keepLines w:val="0"/>
              <w:pageBreakBefore w:val="0"/>
              <w:kinsoku/>
              <w:wordWrap/>
              <w:overflowPunct/>
              <w:topLinePunct w:val="0"/>
              <w:autoSpaceDE/>
              <w:autoSpaceDN/>
              <w:bidi w:val="0"/>
              <w:adjustRightInd/>
              <w:snapToGrid/>
              <w:spacing w:line="312" w:lineRule="auto"/>
              <w:ind w:left="0" w:leftChars="0" w:firstLine="0" w:firstLineChars="0"/>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cs="宋体"/>
                <w:color w:val="auto"/>
                <w:szCs w:val="21"/>
                <w:highlight w:val="none"/>
              </w:rPr>
              <w:t>0-</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p>
        </w:tc>
        <w:tc>
          <w:tcPr>
            <w:tcW w:w="784" w:type="pct"/>
            <w:tcBorders>
              <w:top w:val="single" w:color="000000" w:sz="4" w:space="0"/>
              <w:left w:val="single" w:color="auto" w:sz="4" w:space="0"/>
              <w:bottom w:val="single" w:color="000000" w:sz="4" w:space="0"/>
              <w:right w:val="single" w:color="000000" w:sz="4" w:space="0"/>
            </w:tcBorders>
            <w:noWrap w:val="0"/>
            <w:vAlign w:val="center"/>
          </w:tcPr>
          <w:p w14:paraId="69C7C9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宋体" w:hAnsi="宋体" w:eastAsia="宋体" w:cs="宋体"/>
                <w:i w:val="0"/>
                <w:iCs w:val="0"/>
                <w:color w:val="auto"/>
                <w:sz w:val="21"/>
                <w:szCs w:val="21"/>
                <w:highlight w:val="none"/>
                <w:u w:val="none"/>
              </w:rPr>
            </w:pPr>
          </w:p>
        </w:tc>
        <w:tc>
          <w:tcPr>
            <w:tcW w:w="780" w:type="pct"/>
            <w:tcBorders>
              <w:top w:val="single" w:color="000000" w:sz="4" w:space="0"/>
              <w:left w:val="single" w:color="000000" w:sz="4" w:space="0"/>
              <w:bottom w:val="single" w:color="000000" w:sz="4" w:space="0"/>
              <w:right w:val="single" w:color="000000" w:sz="4" w:space="0"/>
            </w:tcBorders>
            <w:noWrap w:val="0"/>
            <w:vAlign w:val="center"/>
          </w:tcPr>
          <w:p w14:paraId="5FB082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宋体" w:hAnsi="宋体" w:eastAsia="宋体" w:cs="宋体"/>
                <w:i w:val="0"/>
                <w:iCs w:val="0"/>
                <w:color w:val="auto"/>
                <w:sz w:val="21"/>
                <w:szCs w:val="21"/>
                <w:highlight w:val="none"/>
                <w:u w:val="none"/>
              </w:rPr>
            </w:pPr>
          </w:p>
        </w:tc>
      </w:tr>
      <w:tr w14:paraId="4C507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48" w:type="pct"/>
            <w:vMerge w:val="continue"/>
            <w:tcBorders>
              <w:left w:val="single" w:color="auto" w:sz="4" w:space="0"/>
              <w:right w:val="single" w:color="auto" w:sz="4" w:space="0"/>
            </w:tcBorders>
            <w:noWrap w:val="0"/>
            <w:vAlign w:val="center"/>
          </w:tcPr>
          <w:p w14:paraId="7982E5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892" w:type="dxa"/>
            <w:tcBorders>
              <w:top w:val="single" w:color="auto" w:sz="4" w:space="0"/>
              <w:left w:val="single" w:color="auto" w:sz="4" w:space="0"/>
              <w:bottom w:val="single" w:color="auto" w:sz="4" w:space="0"/>
              <w:right w:val="single" w:color="auto" w:sz="4" w:space="0"/>
            </w:tcBorders>
            <w:noWrap w:val="0"/>
            <w:vAlign w:val="center"/>
          </w:tcPr>
          <w:p w14:paraId="3B5FD1E7">
            <w:pPr>
              <w:keepNext w:val="0"/>
              <w:keepLines w:val="0"/>
              <w:pageBreakBefore w:val="0"/>
              <w:widowControl/>
              <w:kinsoku/>
              <w:wordWrap/>
              <w:overflowPunct/>
              <w:topLinePunct w:val="0"/>
              <w:autoSpaceDE/>
              <w:autoSpaceDN/>
              <w:bidi w:val="0"/>
              <w:adjustRightInd/>
              <w:snapToGrid/>
              <w:spacing w:line="312" w:lineRule="auto"/>
              <w:ind w:left="0" w:firstLine="0" w:firstLineChars="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企业纳税信用</w:t>
            </w:r>
          </w:p>
          <w:p w14:paraId="5375A308">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cs="宋体"/>
                <w:color w:val="auto"/>
                <w:kern w:val="0"/>
                <w:szCs w:val="21"/>
                <w:highlight w:val="none"/>
              </w:rPr>
              <w:t>等级</w:t>
            </w:r>
          </w:p>
        </w:tc>
        <w:tc>
          <w:tcPr>
            <w:tcW w:w="4198" w:type="dxa"/>
            <w:tcBorders>
              <w:top w:val="single" w:color="auto" w:sz="4" w:space="0"/>
              <w:left w:val="single" w:color="auto" w:sz="4" w:space="0"/>
              <w:bottom w:val="single" w:color="auto" w:sz="4" w:space="0"/>
              <w:right w:val="single" w:color="auto" w:sz="4" w:space="0"/>
            </w:tcBorders>
            <w:noWrap w:val="0"/>
            <w:vAlign w:val="center"/>
          </w:tcPr>
          <w:p w14:paraId="72A82312">
            <w:pPr>
              <w:widowControl/>
              <w:spacing w:line="312" w:lineRule="auto"/>
              <w:rPr>
                <w:rFonts w:hint="eastAsia"/>
                <w:color w:val="auto"/>
                <w:highlight w:val="none"/>
                <w:lang w:eastAsia="zh-CN"/>
              </w:rPr>
            </w:pPr>
            <w:r>
              <w:rPr>
                <w:rFonts w:hint="eastAsia"/>
                <w:color w:val="auto"/>
                <w:highlight w:val="none"/>
                <w:lang w:eastAsia="zh-CN"/>
              </w:rPr>
              <w:t>根据2021年至今获得国家税务机关等级评价评定，任意一年获得“A级纳税人”评价评定的得</w:t>
            </w:r>
            <w:r>
              <w:rPr>
                <w:rFonts w:hint="eastAsia"/>
                <w:color w:val="auto"/>
                <w:highlight w:val="none"/>
                <w:lang w:val="en-US" w:eastAsia="zh-CN"/>
              </w:rPr>
              <w:t>2</w:t>
            </w:r>
            <w:r>
              <w:rPr>
                <w:rFonts w:hint="eastAsia"/>
                <w:color w:val="auto"/>
                <w:highlight w:val="none"/>
                <w:lang w:eastAsia="zh-CN"/>
              </w:rPr>
              <w:t>分；其他情况不得分。</w:t>
            </w:r>
          </w:p>
          <w:p w14:paraId="7801D1B4">
            <w:pPr>
              <w:widowControl/>
              <w:spacing w:line="312" w:lineRule="auto"/>
              <w:rPr>
                <w:rFonts w:hint="eastAsia" w:ascii="宋体" w:hAnsi="宋体" w:eastAsia="宋体" w:cs="宋体"/>
                <w:color w:val="auto"/>
                <w:kern w:val="2"/>
                <w:sz w:val="21"/>
                <w:szCs w:val="21"/>
                <w:highlight w:val="none"/>
                <w:shd w:val="clear" w:color="auto" w:fill="auto"/>
                <w:lang w:val="en-US" w:eastAsia="zh-CN" w:bidi="ar-SA"/>
              </w:rPr>
            </w:pPr>
            <w:r>
              <w:rPr>
                <w:rFonts w:hint="eastAsia"/>
                <w:color w:val="auto"/>
                <w:highlight w:val="none"/>
                <w:lang w:eastAsia="zh-CN"/>
              </w:rPr>
              <w:t>注：提供税务机关网站的查询结果截图或者证书扫描件。税务机关每年4月确定上一年度纳税信用评价结果，若在投标前仍未公布上一年的评价结果，则将前一年度结果作为最近一年度的查询结果，以此类推。未提供有效证明材料不得分。</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75E024C2">
            <w:pPr>
              <w:keepNext w:val="0"/>
              <w:keepLines w:val="0"/>
              <w:pageBreakBefore w:val="0"/>
              <w:kinsoku/>
              <w:wordWrap/>
              <w:overflowPunct/>
              <w:topLinePunct w:val="0"/>
              <w:autoSpaceDE/>
              <w:autoSpaceDN/>
              <w:bidi w:val="0"/>
              <w:adjustRightInd/>
              <w:snapToGrid/>
              <w:spacing w:line="312" w:lineRule="auto"/>
              <w:ind w:left="0" w:leftChars="0" w:firstLine="0" w:firstLineChars="0"/>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cs="宋体"/>
                <w:color w:val="auto"/>
                <w:szCs w:val="21"/>
                <w:highlight w:val="none"/>
              </w:rPr>
              <w:t>0-</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p>
        </w:tc>
        <w:tc>
          <w:tcPr>
            <w:tcW w:w="784" w:type="pct"/>
            <w:tcBorders>
              <w:top w:val="single" w:color="000000" w:sz="4" w:space="0"/>
              <w:left w:val="single" w:color="auto" w:sz="4" w:space="0"/>
              <w:bottom w:val="single" w:color="000000" w:sz="4" w:space="0"/>
              <w:right w:val="single" w:color="000000" w:sz="4" w:space="0"/>
            </w:tcBorders>
            <w:noWrap w:val="0"/>
            <w:vAlign w:val="center"/>
          </w:tcPr>
          <w:p w14:paraId="54F26E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宋体" w:hAnsi="宋体" w:eastAsia="宋体" w:cs="宋体"/>
                <w:i w:val="0"/>
                <w:iCs w:val="0"/>
                <w:color w:val="auto"/>
                <w:sz w:val="21"/>
                <w:szCs w:val="21"/>
                <w:highlight w:val="none"/>
                <w:u w:val="none"/>
              </w:rPr>
            </w:pPr>
          </w:p>
        </w:tc>
        <w:tc>
          <w:tcPr>
            <w:tcW w:w="780" w:type="pct"/>
            <w:tcBorders>
              <w:top w:val="single" w:color="000000" w:sz="4" w:space="0"/>
              <w:left w:val="single" w:color="000000" w:sz="4" w:space="0"/>
              <w:bottom w:val="single" w:color="000000" w:sz="4" w:space="0"/>
              <w:right w:val="single" w:color="000000" w:sz="4" w:space="0"/>
            </w:tcBorders>
            <w:noWrap w:val="0"/>
            <w:vAlign w:val="center"/>
          </w:tcPr>
          <w:p w14:paraId="694ECE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宋体" w:hAnsi="宋体" w:eastAsia="宋体" w:cs="宋体"/>
                <w:i w:val="0"/>
                <w:iCs w:val="0"/>
                <w:color w:val="auto"/>
                <w:sz w:val="21"/>
                <w:szCs w:val="21"/>
                <w:highlight w:val="none"/>
                <w:u w:val="none"/>
              </w:rPr>
            </w:pPr>
          </w:p>
        </w:tc>
      </w:tr>
      <w:tr w14:paraId="0C48D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48" w:type="pct"/>
            <w:vMerge w:val="continue"/>
            <w:tcBorders>
              <w:left w:val="single" w:color="auto" w:sz="4" w:space="0"/>
              <w:right w:val="single" w:color="auto" w:sz="4" w:space="0"/>
            </w:tcBorders>
            <w:noWrap w:val="0"/>
            <w:vAlign w:val="center"/>
          </w:tcPr>
          <w:p w14:paraId="777659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892" w:type="dxa"/>
            <w:tcBorders>
              <w:top w:val="single" w:color="auto" w:sz="4" w:space="0"/>
              <w:left w:val="single" w:color="auto" w:sz="4" w:space="0"/>
              <w:bottom w:val="single" w:color="auto" w:sz="4" w:space="0"/>
              <w:right w:val="single" w:color="auto" w:sz="4" w:space="0"/>
            </w:tcBorders>
            <w:noWrap w:val="0"/>
            <w:vAlign w:val="center"/>
          </w:tcPr>
          <w:p w14:paraId="1F393646">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cs="宋体"/>
                <w:color w:val="auto"/>
                <w:kern w:val="0"/>
                <w:szCs w:val="21"/>
                <w:highlight w:val="none"/>
              </w:rPr>
              <w:t>货期要求</w:t>
            </w:r>
          </w:p>
        </w:tc>
        <w:tc>
          <w:tcPr>
            <w:tcW w:w="4198" w:type="dxa"/>
            <w:tcBorders>
              <w:top w:val="single" w:color="auto" w:sz="4" w:space="0"/>
              <w:left w:val="single" w:color="auto" w:sz="4" w:space="0"/>
              <w:bottom w:val="single" w:color="auto" w:sz="4" w:space="0"/>
              <w:right w:val="single" w:color="auto" w:sz="4" w:space="0"/>
            </w:tcBorders>
            <w:noWrap w:val="0"/>
            <w:vAlign w:val="center"/>
          </w:tcPr>
          <w:p w14:paraId="52D86DED">
            <w:pPr>
              <w:widowControl/>
              <w:spacing w:line="360" w:lineRule="auto"/>
              <w:jc w:val="left"/>
              <w:textAlignment w:val="center"/>
              <w:rPr>
                <w:rFonts w:hint="eastAsia" w:ascii="宋体" w:hAnsi="宋体" w:cs="宋体"/>
                <w:szCs w:val="21"/>
                <w:highlight w:val="none"/>
              </w:rPr>
            </w:pPr>
            <w:r>
              <w:rPr>
                <w:rFonts w:hint="eastAsia" w:ascii="宋体" w:hAnsi="宋体" w:cs="宋体"/>
                <w:szCs w:val="21"/>
                <w:highlight w:val="none"/>
              </w:rPr>
              <w:t>A（</w:t>
            </w:r>
            <w:r>
              <w:rPr>
                <w:rFonts w:hint="eastAsia" w:ascii="宋体" w:hAnsi="宋体" w:cs="宋体"/>
                <w:szCs w:val="21"/>
                <w:highlight w:val="none"/>
                <w:lang w:val="en-US" w:eastAsia="zh-CN"/>
              </w:rPr>
              <w:t>10</w:t>
            </w:r>
            <w:r>
              <w:rPr>
                <w:rFonts w:hint="eastAsia" w:ascii="宋体" w:hAnsi="宋体" w:cs="宋体"/>
                <w:szCs w:val="21"/>
                <w:highlight w:val="none"/>
              </w:rPr>
              <w:t>分）：承诺交货时间</w:t>
            </w:r>
            <w:r>
              <w:rPr>
                <w:rFonts w:hint="eastAsia" w:ascii="宋体" w:hAnsi="宋体" w:cs="宋体"/>
                <w:szCs w:val="21"/>
                <w:highlight w:val="none"/>
                <w:lang w:val="en-US" w:eastAsia="zh-CN"/>
              </w:rPr>
              <w:t>7</w:t>
            </w:r>
            <w:r>
              <w:rPr>
                <w:rFonts w:hint="eastAsia" w:ascii="宋体" w:hAnsi="宋体" w:cs="宋体"/>
                <w:szCs w:val="21"/>
                <w:highlight w:val="none"/>
              </w:rPr>
              <w:t>天内；</w:t>
            </w:r>
          </w:p>
          <w:p w14:paraId="0EF7A0DE">
            <w:pPr>
              <w:widowControl/>
              <w:spacing w:line="360" w:lineRule="auto"/>
              <w:jc w:val="left"/>
              <w:textAlignment w:val="center"/>
              <w:rPr>
                <w:rFonts w:hint="eastAsia" w:ascii="宋体" w:hAnsi="宋体" w:cs="宋体"/>
                <w:szCs w:val="21"/>
                <w:highlight w:val="none"/>
              </w:rPr>
            </w:pPr>
            <w:r>
              <w:rPr>
                <w:rFonts w:hint="eastAsia" w:ascii="宋体" w:hAnsi="宋体" w:cs="宋体"/>
                <w:szCs w:val="21"/>
                <w:highlight w:val="none"/>
              </w:rPr>
              <w:t>B（</w:t>
            </w:r>
            <w:r>
              <w:rPr>
                <w:rFonts w:hint="eastAsia" w:ascii="宋体" w:hAnsi="宋体" w:cs="宋体"/>
                <w:szCs w:val="21"/>
                <w:highlight w:val="none"/>
                <w:lang w:val="en-US" w:eastAsia="zh-CN"/>
              </w:rPr>
              <w:t>7</w:t>
            </w:r>
            <w:r>
              <w:rPr>
                <w:rFonts w:hint="eastAsia" w:ascii="宋体" w:hAnsi="宋体" w:cs="宋体"/>
                <w:szCs w:val="21"/>
                <w:highlight w:val="none"/>
              </w:rPr>
              <w:t>分）：承诺交货时间</w:t>
            </w:r>
            <w:r>
              <w:rPr>
                <w:rFonts w:hint="eastAsia" w:ascii="宋体" w:hAnsi="宋体" w:cs="宋体"/>
                <w:szCs w:val="21"/>
                <w:highlight w:val="none"/>
                <w:lang w:val="en-US" w:eastAsia="zh-CN"/>
              </w:rPr>
              <w:t>14</w:t>
            </w:r>
            <w:r>
              <w:rPr>
                <w:rFonts w:hint="eastAsia" w:ascii="宋体" w:hAnsi="宋体" w:cs="宋体"/>
                <w:szCs w:val="21"/>
                <w:highlight w:val="none"/>
              </w:rPr>
              <w:t>天内；</w:t>
            </w:r>
          </w:p>
          <w:p w14:paraId="1A0859B6">
            <w:pPr>
              <w:widowControl/>
              <w:spacing w:line="360" w:lineRule="auto"/>
              <w:jc w:val="left"/>
              <w:textAlignment w:val="center"/>
              <w:rPr>
                <w:rFonts w:hint="eastAsia" w:ascii="宋体" w:hAnsi="宋体" w:cs="宋体"/>
                <w:szCs w:val="21"/>
                <w:highlight w:val="none"/>
              </w:rPr>
            </w:pPr>
            <w:r>
              <w:rPr>
                <w:rFonts w:hint="eastAsia" w:ascii="宋体" w:hAnsi="宋体" w:cs="宋体"/>
                <w:szCs w:val="21"/>
                <w:highlight w:val="none"/>
              </w:rPr>
              <w:t>C（</w:t>
            </w:r>
            <w:r>
              <w:rPr>
                <w:rFonts w:hint="eastAsia" w:ascii="宋体" w:hAnsi="宋体" w:cs="宋体"/>
                <w:szCs w:val="21"/>
                <w:highlight w:val="none"/>
                <w:lang w:val="en-US" w:eastAsia="zh-CN"/>
              </w:rPr>
              <w:t>3</w:t>
            </w:r>
            <w:r>
              <w:rPr>
                <w:rFonts w:hint="eastAsia" w:ascii="宋体" w:hAnsi="宋体" w:cs="宋体"/>
                <w:szCs w:val="21"/>
                <w:highlight w:val="none"/>
              </w:rPr>
              <w:t>分）：承诺交货时间</w:t>
            </w:r>
            <w:r>
              <w:rPr>
                <w:rFonts w:hint="eastAsia" w:ascii="宋体" w:hAnsi="宋体" w:cs="宋体"/>
                <w:szCs w:val="21"/>
                <w:highlight w:val="none"/>
                <w:lang w:val="en-US" w:eastAsia="zh-CN"/>
              </w:rPr>
              <w:t>21</w:t>
            </w:r>
            <w:r>
              <w:rPr>
                <w:rFonts w:hint="eastAsia" w:ascii="宋体" w:hAnsi="宋体" w:cs="宋体"/>
                <w:szCs w:val="21"/>
                <w:highlight w:val="none"/>
              </w:rPr>
              <w:t>天内；</w:t>
            </w:r>
          </w:p>
          <w:p w14:paraId="78E8E17B">
            <w:pPr>
              <w:widowControl/>
              <w:spacing w:line="360" w:lineRule="auto"/>
              <w:jc w:val="left"/>
              <w:textAlignment w:val="center"/>
              <w:rPr>
                <w:rFonts w:hint="eastAsia" w:ascii="宋体" w:hAnsi="宋体" w:cs="宋体"/>
                <w:szCs w:val="21"/>
                <w:highlight w:val="none"/>
              </w:rPr>
            </w:pPr>
            <w:r>
              <w:rPr>
                <w:rFonts w:hint="eastAsia" w:ascii="宋体" w:hAnsi="宋体" w:cs="宋体"/>
                <w:szCs w:val="21"/>
                <w:highlight w:val="none"/>
              </w:rPr>
              <w:t>D（1分）：承诺交货时间</w:t>
            </w:r>
            <w:r>
              <w:rPr>
                <w:rFonts w:hint="eastAsia" w:ascii="宋体" w:hAnsi="宋体" w:cs="宋体"/>
                <w:szCs w:val="21"/>
                <w:highlight w:val="none"/>
                <w:lang w:val="en-US" w:eastAsia="zh-CN"/>
              </w:rPr>
              <w:t>28</w:t>
            </w:r>
            <w:r>
              <w:rPr>
                <w:rFonts w:hint="eastAsia" w:ascii="宋体" w:hAnsi="宋体" w:cs="宋体"/>
                <w:szCs w:val="21"/>
                <w:highlight w:val="none"/>
              </w:rPr>
              <w:t>天内。</w:t>
            </w:r>
          </w:p>
          <w:p w14:paraId="57DC646B">
            <w:pPr>
              <w:pStyle w:val="15"/>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cs="宋体"/>
                <w:szCs w:val="21"/>
                <w:highlight w:val="none"/>
              </w:rPr>
              <w:t>提供承诺函（格式自拟），不提供则不得分。</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5B26EB89">
            <w:pPr>
              <w:keepNext w:val="0"/>
              <w:keepLines w:val="0"/>
              <w:pageBreakBefore w:val="0"/>
              <w:kinsoku/>
              <w:wordWrap/>
              <w:overflowPunct/>
              <w:topLinePunct w:val="0"/>
              <w:autoSpaceDE/>
              <w:autoSpaceDN/>
              <w:bidi w:val="0"/>
              <w:adjustRightInd/>
              <w:snapToGrid/>
              <w:spacing w:line="312" w:lineRule="auto"/>
              <w:ind w:left="0" w:leftChars="0" w:firstLine="0" w:firstLineChars="0"/>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cs="宋体"/>
                <w:color w:val="auto"/>
                <w:szCs w:val="21"/>
                <w:highlight w:val="none"/>
                <w:lang w:val="en-US" w:eastAsia="zh-CN"/>
              </w:rPr>
              <w:t>0-10分</w:t>
            </w:r>
          </w:p>
        </w:tc>
        <w:tc>
          <w:tcPr>
            <w:tcW w:w="784" w:type="pct"/>
            <w:tcBorders>
              <w:top w:val="single" w:color="000000" w:sz="4" w:space="0"/>
              <w:left w:val="single" w:color="auto" w:sz="4" w:space="0"/>
              <w:bottom w:val="single" w:color="000000" w:sz="4" w:space="0"/>
              <w:right w:val="single" w:color="000000" w:sz="4" w:space="0"/>
            </w:tcBorders>
            <w:noWrap w:val="0"/>
            <w:vAlign w:val="center"/>
          </w:tcPr>
          <w:p w14:paraId="5DDCDF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宋体" w:hAnsi="宋体" w:eastAsia="宋体" w:cs="宋体"/>
                <w:i w:val="0"/>
                <w:iCs w:val="0"/>
                <w:color w:val="auto"/>
                <w:sz w:val="21"/>
                <w:szCs w:val="21"/>
                <w:highlight w:val="none"/>
                <w:u w:val="none"/>
              </w:rPr>
            </w:pPr>
          </w:p>
        </w:tc>
        <w:tc>
          <w:tcPr>
            <w:tcW w:w="780" w:type="pct"/>
            <w:tcBorders>
              <w:top w:val="single" w:color="000000" w:sz="4" w:space="0"/>
              <w:left w:val="single" w:color="000000" w:sz="4" w:space="0"/>
              <w:bottom w:val="single" w:color="000000" w:sz="4" w:space="0"/>
              <w:right w:val="single" w:color="000000" w:sz="4" w:space="0"/>
            </w:tcBorders>
            <w:noWrap w:val="0"/>
            <w:vAlign w:val="center"/>
          </w:tcPr>
          <w:p w14:paraId="00A79E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宋体" w:hAnsi="宋体" w:eastAsia="宋体" w:cs="宋体"/>
                <w:i w:val="0"/>
                <w:iCs w:val="0"/>
                <w:color w:val="auto"/>
                <w:sz w:val="21"/>
                <w:szCs w:val="21"/>
                <w:highlight w:val="none"/>
                <w:u w:val="none"/>
              </w:rPr>
            </w:pPr>
          </w:p>
        </w:tc>
      </w:tr>
      <w:tr w14:paraId="58A5A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48" w:type="pct"/>
            <w:vMerge w:val="continue"/>
            <w:tcBorders>
              <w:left w:val="single" w:color="auto" w:sz="4" w:space="0"/>
              <w:right w:val="single" w:color="auto" w:sz="4" w:space="0"/>
            </w:tcBorders>
            <w:noWrap w:val="0"/>
            <w:vAlign w:val="center"/>
          </w:tcPr>
          <w:p w14:paraId="0501CE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892" w:type="dxa"/>
            <w:tcBorders>
              <w:top w:val="single" w:color="auto" w:sz="4" w:space="0"/>
              <w:left w:val="single" w:color="auto" w:sz="4" w:space="0"/>
              <w:bottom w:val="single" w:color="auto" w:sz="4" w:space="0"/>
              <w:right w:val="single" w:color="auto" w:sz="4" w:space="0"/>
            </w:tcBorders>
            <w:noWrap w:val="0"/>
            <w:vAlign w:val="center"/>
          </w:tcPr>
          <w:p w14:paraId="0AE61F90">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sz w:val="21"/>
                <w:szCs w:val="21"/>
                <w:highlight w:val="none"/>
                <w:lang w:val="en-US" w:eastAsia="zh-CN"/>
              </w:rPr>
              <w:t>质保条款</w:t>
            </w:r>
          </w:p>
        </w:tc>
        <w:tc>
          <w:tcPr>
            <w:tcW w:w="4198" w:type="dxa"/>
            <w:tcBorders>
              <w:top w:val="single" w:color="auto" w:sz="4" w:space="0"/>
              <w:left w:val="single" w:color="auto" w:sz="4" w:space="0"/>
              <w:bottom w:val="single" w:color="auto" w:sz="4" w:space="0"/>
              <w:right w:val="single" w:color="auto" w:sz="4" w:space="0"/>
            </w:tcBorders>
            <w:noWrap w:val="0"/>
            <w:vAlign w:val="center"/>
          </w:tcPr>
          <w:p w14:paraId="6888BA78">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1.产品质保年限</w:t>
            </w:r>
            <w:r>
              <w:rPr>
                <w:rFonts w:hint="eastAsia" w:ascii="宋体" w:hAnsi="宋体" w:cs="宋体"/>
                <w:color w:val="auto"/>
                <w:sz w:val="21"/>
                <w:szCs w:val="21"/>
                <w:highlight w:val="none"/>
                <w:lang w:val="en-US" w:eastAsia="zh-CN"/>
              </w:rPr>
              <w:t>在</w:t>
            </w:r>
            <w:r>
              <w:rPr>
                <w:rFonts w:hint="eastAsia" w:ascii="宋体" w:hAnsi="宋体" w:eastAsia="宋体" w:cs="宋体"/>
                <w:color w:val="auto"/>
                <w:sz w:val="21"/>
                <w:szCs w:val="21"/>
                <w:highlight w:val="none"/>
                <w:lang w:val="en-US" w:eastAsia="zh-CN"/>
              </w:rPr>
              <w:t>满足</w:t>
            </w:r>
            <w:r>
              <w:rPr>
                <w:rFonts w:hint="eastAsia" w:ascii="宋体" w:hAnsi="宋体" w:cs="宋体"/>
                <w:color w:val="auto"/>
                <w:sz w:val="21"/>
                <w:szCs w:val="21"/>
                <w:highlight w:val="none"/>
                <w:lang w:val="en-US" w:eastAsia="zh-CN"/>
              </w:rPr>
              <w:t>至少</w:t>
            </w:r>
            <w:r>
              <w:rPr>
                <w:rFonts w:hint="eastAsia" w:ascii="宋体" w:hAnsi="宋体" w:eastAsia="宋体" w:cs="宋体"/>
                <w:color w:val="auto"/>
                <w:sz w:val="21"/>
                <w:szCs w:val="21"/>
                <w:highlight w:val="none"/>
                <w:lang w:val="en-US" w:eastAsia="zh-CN"/>
              </w:rPr>
              <w:t>12年</w:t>
            </w:r>
            <w:r>
              <w:rPr>
                <w:rFonts w:hint="eastAsia" w:ascii="宋体" w:hAnsi="宋体" w:cs="宋体"/>
                <w:color w:val="auto"/>
                <w:sz w:val="21"/>
                <w:szCs w:val="21"/>
                <w:highlight w:val="none"/>
                <w:lang w:val="en-US" w:eastAsia="zh-CN"/>
              </w:rPr>
              <w:t>的基础上</w:t>
            </w:r>
            <w:r>
              <w:rPr>
                <w:rFonts w:hint="eastAsia" w:ascii="宋体" w:hAnsi="宋体" w:eastAsia="宋体" w:cs="宋体"/>
                <w:color w:val="auto"/>
                <w:sz w:val="21"/>
                <w:szCs w:val="21"/>
                <w:highlight w:val="none"/>
                <w:lang w:val="en-US" w:eastAsia="zh-CN"/>
              </w:rPr>
              <w:t>，每</w:t>
            </w:r>
            <w:r>
              <w:rPr>
                <w:rFonts w:hint="eastAsia" w:ascii="宋体" w:hAnsi="宋体" w:cs="宋体"/>
                <w:color w:val="auto"/>
                <w:sz w:val="21"/>
                <w:szCs w:val="21"/>
                <w:highlight w:val="none"/>
                <w:lang w:val="en-US" w:eastAsia="zh-CN"/>
              </w:rPr>
              <w:t>承诺</w:t>
            </w:r>
            <w:r>
              <w:rPr>
                <w:rFonts w:hint="eastAsia" w:ascii="宋体" w:hAnsi="宋体" w:eastAsia="宋体" w:cs="宋体"/>
                <w:color w:val="auto"/>
                <w:sz w:val="21"/>
                <w:szCs w:val="21"/>
                <w:highlight w:val="none"/>
                <w:lang w:val="en-US" w:eastAsia="zh-CN"/>
              </w:rPr>
              <w:t>增加</w:t>
            </w:r>
            <w:r>
              <w:rPr>
                <w:rFonts w:hint="eastAsia" w:ascii="宋体" w:hAnsi="宋体" w:cs="宋体"/>
                <w:color w:val="auto"/>
                <w:sz w:val="21"/>
                <w:szCs w:val="21"/>
                <w:highlight w:val="none"/>
                <w:lang w:val="en-US" w:eastAsia="zh-CN"/>
              </w:rPr>
              <w:t>一</w:t>
            </w:r>
            <w:r>
              <w:rPr>
                <w:rFonts w:hint="eastAsia" w:ascii="宋体" w:hAnsi="宋体" w:eastAsia="宋体" w:cs="宋体"/>
                <w:color w:val="auto"/>
                <w:sz w:val="21"/>
                <w:szCs w:val="21"/>
                <w:highlight w:val="none"/>
                <w:lang w:val="en-US" w:eastAsia="zh-CN"/>
              </w:rPr>
              <w:t>年得1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4.5</w:t>
            </w:r>
            <w:r>
              <w:rPr>
                <w:rFonts w:hint="eastAsia" w:ascii="宋体" w:hAnsi="宋体" w:eastAsia="宋体" w:cs="宋体"/>
                <w:color w:val="auto"/>
                <w:sz w:val="21"/>
                <w:szCs w:val="21"/>
                <w:highlight w:val="none"/>
                <w:lang w:val="en-US" w:eastAsia="zh-CN"/>
              </w:rPr>
              <w:t>分；</w:t>
            </w:r>
          </w:p>
          <w:p w14:paraId="39F0019A">
            <w:pPr>
              <w:pStyle w:val="1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提供</w:t>
            </w:r>
            <w:r>
              <w:rPr>
                <w:rFonts w:hint="eastAsia" w:ascii="宋体" w:hAnsi="宋体" w:eastAsia="宋体" w:cs="宋体"/>
                <w:color w:val="auto"/>
                <w:sz w:val="21"/>
                <w:szCs w:val="21"/>
                <w:highlight w:val="none"/>
                <w:lang w:val="en-US" w:eastAsia="zh-CN"/>
              </w:rPr>
              <w:t>功率</w:t>
            </w:r>
            <w:r>
              <w:rPr>
                <w:rFonts w:hint="eastAsia" w:ascii="宋体" w:hAnsi="宋体" w:cs="宋体"/>
                <w:color w:val="auto"/>
                <w:sz w:val="21"/>
                <w:szCs w:val="21"/>
                <w:highlight w:val="none"/>
                <w:lang w:val="en-US" w:eastAsia="zh-CN"/>
              </w:rPr>
              <w:t>输出</w:t>
            </w:r>
            <w:r>
              <w:rPr>
                <w:rFonts w:hint="eastAsia" w:ascii="宋体" w:hAnsi="宋体" w:eastAsia="宋体" w:cs="宋体"/>
                <w:color w:val="auto"/>
                <w:sz w:val="21"/>
                <w:szCs w:val="21"/>
                <w:highlight w:val="none"/>
                <w:lang w:val="en-US" w:eastAsia="zh-CN"/>
              </w:rPr>
              <w:t>质保</w:t>
            </w:r>
            <w:r>
              <w:rPr>
                <w:rFonts w:hint="eastAsia" w:ascii="宋体" w:hAnsi="宋体" w:cs="宋体"/>
                <w:color w:val="auto"/>
                <w:sz w:val="21"/>
                <w:szCs w:val="21"/>
                <w:highlight w:val="none"/>
                <w:lang w:val="en-US" w:eastAsia="zh-CN"/>
              </w:rPr>
              <w:t>承诺，如承诺产品运行25年后功率输出率</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90%得1.5分</w:t>
            </w:r>
            <w:r>
              <w:rPr>
                <w:rFonts w:hint="eastAsia" w:ascii="宋体" w:hAnsi="宋体" w:eastAsia="宋体" w:cs="宋体"/>
                <w:color w:val="auto"/>
                <w:sz w:val="21"/>
                <w:szCs w:val="21"/>
                <w:highlight w:val="none"/>
                <w:lang w:val="en-US" w:eastAsia="zh-CN"/>
              </w:rPr>
              <w:t>。</w:t>
            </w:r>
          </w:p>
          <w:p w14:paraId="5175C1BF">
            <w:pPr>
              <w:pStyle w:val="15"/>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sz w:val="21"/>
                <w:szCs w:val="21"/>
                <w:highlight w:val="none"/>
                <w:lang w:val="en-US" w:eastAsia="zh-CN"/>
              </w:rPr>
              <w:t>注：需提供相关承诺</w:t>
            </w:r>
            <w:r>
              <w:rPr>
                <w:rFonts w:hint="eastAsia" w:ascii="宋体" w:hAnsi="宋体" w:cs="宋体"/>
                <w:color w:val="auto"/>
                <w:sz w:val="21"/>
                <w:szCs w:val="21"/>
                <w:highlight w:val="none"/>
                <w:lang w:val="en-US" w:eastAsia="zh-CN"/>
              </w:rPr>
              <w:t>函</w:t>
            </w:r>
            <w:r>
              <w:rPr>
                <w:rFonts w:hint="eastAsia" w:ascii="宋体" w:hAnsi="宋体" w:eastAsia="宋体" w:cs="宋体"/>
                <w:color w:val="auto"/>
                <w:sz w:val="21"/>
                <w:szCs w:val="21"/>
                <w:highlight w:val="none"/>
                <w:lang w:val="en-US" w:eastAsia="zh-CN"/>
              </w:rPr>
              <w:t>。不提供不得分。</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3E4322B3">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w:t>
            </w: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分</w:t>
            </w:r>
          </w:p>
        </w:tc>
        <w:tc>
          <w:tcPr>
            <w:tcW w:w="784" w:type="pct"/>
            <w:tcBorders>
              <w:top w:val="single" w:color="000000" w:sz="4" w:space="0"/>
              <w:left w:val="single" w:color="auto" w:sz="4" w:space="0"/>
              <w:bottom w:val="single" w:color="000000" w:sz="4" w:space="0"/>
              <w:right w:val="single" w:color="000000" w:sz="4" w:space="0"/>
            </w:tcBorders>
            <w:noWrap w:val="0"/>
            <w:vAlign w:val="center"/>
          </w:tcPr>
          <w:p w14:paraId="433793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宋体" w:hAnsi="宋体" w:eastAsia="宋体" w:cs="宋体"/>
                <w:i w:val="0"/>
                <w:iCs w:val="0"/>
                <w:color w:val="auto"/>
                <w:sz w:val="21"/>
                <w:szCs w:val="21"/>
                <w:highlight w:val="none"/>
                <w:u w:val="none"/>
              </w:rPr>
            </w:pPr>
          </w:p>
        </w:tc>
        <w:tc>
          <w:tcPr>
            <w:tcW w:w="780" w:type="pct"/>
            <w:tcBorders>
              <w:top w:val="single" w:color="000000" w:sz="4" w:space="0"/>
              <w:left w:val="single" w:color="000000" w:sz="4" w:space="0"/>
              <w:bottom w:val="single" w:color="000000" w:sz="4" w:space="0"/>
              <w:right w:val="single" w:color="000000" w:sz="4" w:space="0"/>
            </w:tcBorders>
            <w:noWrap w:val="0"/>
            <w:vAlign w:val="center"/>
          </w:tcPr>
          <w:p w14:paraId="7FDCDC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宋体" w:hAnsi="宋体" w:eastAsia="宋体" w:cs="宋体"/>
                <w:i w:val="0"/>
                <w:iCs w:val="0"/>
                <w:color w:val="auto"/>
                <w:sz w:val="21"/>
                <w:szCs w:val="21"/>
                <w:highlight w:val="none"/>
                <w:u w:val="none"/>
              </w:rPr>
            </w:pPr>
          </w:p>
        </w:tc>
      </w:tr>
      <w:tr w14:paraId="7C850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917" w:type="pct"/>
            <w:gridSpan w:val="3"/>
            <w:tcBorders>
              <w:top w:val="single" w:color="auto" w:sz="4" w:space="0"/>
              <w:left w:val="single" w:color="auto" w:sz="4" w:space="0"/>
              <w:bottom w:val="single" w:color="auto" w:sz="4" w:space="0"/>
              <w:right w:val="single" w:color="auto" w:sz="4" w:space="0"/>
            </w:tcBorders>
            <w:noWrap w:val="0"/>
            <w:vAlign w:val="center"/>
          </w:tcPr>
          <w:p w14:paraId="7C0368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商务分合计</w:t>
            </w:r>
          </w:p>
        </w:tc>
        <w:tc>
          <w:tcPr>
            <w:tcW w:w="517" w:type="pct"/>
            <w:tcBorders>
              <w:top w:val="single" w:color="auto" w:sz="4" w:space="0"/>
              <w:left w:val="single" w:color="auto" w:sz="4" w:space="0"/>
              <w:bottom w:val="single" w:color="auto" w:sz="4" w:space="0"/>
              <w:right w:val="single" w:color="auto" w:sz="4" w:space="0"/>
            </w:tcBorders>
            <w:noWrap w:val="0"/>
            <w:vAlign w:val="center"/>
          </w:tcPr>
          <w:p w14:paraId="50BB24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0-</w:t>
            </w:r>
            <w:r>
              <w:rPr>
                <w:rFonts w:hint="eastAsia" w:ascii="宋体" w:hAnsi="宋体" w:cs="宋体"/>
                <w:i w:val="0"/>
                <w:iCs w:val="0"/>
                <w:color w:val="auto"/>
                <w:sz w:val="21"/>
                <w:szCs w:val="21"/>
                <w:highlight w:val="none"/>
                <w:u w:val="none"/>
                <w:lang w:val="en-US" w:eastAsia="zh-CN"/>
              </w:rPr>
              <w:t>30</w:t>
            </w:r>
            <w:r>
              <w:rPr>
                <w:rFonts w:hint="eastAsia" w:ascii="宋体" w:hAnsi="宋体" w:eastAsia="宋体" w:cs="宋体"/>
                <w:i w:val="0"/>
                <w:iCs w:val="0"/>
                <w:color w:val="auto"/>
                <w:sz w:val="21"/>
                <w:szCs w:val="21"/>
                <w:highlight w:val="none"/>
                <w:u w:val="none"/>
                <w:lang w:val="en-US" w:eastAsia="zh-CN"/>
              </w:rPr>
              <w:t>分</w:t>
            </w:r>
          </w:p>
        </w:tc>
        <w:tc>
          <w:tcPr>
            <w:tcW w:w="784" w:type="pct"/>
            <w:tcBorders>
              <w:top w:val="single" w:color="000000" w:sz="4" w:space="0"/>
              <w:left w:val="single" w:color="auto" w:sz="4" w:space="0"/>
              <w:bottom w:val="single" w:color="000000" w:sz="4" w:space="0"/>
              <w:right w:val="single" w:color="000000" w:sz="4" w:space="0"/>
            </w:tcBorders>
            <w:noWrap w:val="0"/>
            <w:vAlign w:val="center"/>
          </w:tcPr>
          <w:p w14:paraId="4C983E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此项无需填写</w:t>
            </w:r>
          </w:p>
        </w:tc>
        <w:tc>
          <w:tcPr>
            <w:tcW w:w="780" w:type="pct"/>
            <w:tcBorders>
              <w:top w:val="single" w:color="000000" w:sz="4" w:space="0"/>
              <w:left w:val="single" w:color="000000" w:sz="4" w:space="0"/>
              <w:bottom w:val="single" w:color="000000" w:sz="4" w:space="0"/>
              <w:right w:val="single" w:color="000000" w:sz="4" w:space="0"/>
            </w:tcBorders>
            <w:noWrap w:val="0"/>
            <w:vAlign w:val="center"/>
          </w:tcPr>
          <w:p w14:paraId="06A4C6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此项无需填写</w:t>
            </w:r>
          </w:p>
        </w:tc>
      </w:tr>
    </w:tbl>
    <w:p w14:paraId="272EAAFD">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说明：</w:t>
      </w:r>
    </w:p>
    <w:p w14:paraId="6ADCA69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highlight w:val="none"/>
          <w:lang w:eastAsia="zh-CN"/>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投标人</w:t>
      </w:r>
      <w:r>
        <w:rPr>
          <w:rFonts w:hint="eastAsia" w:ascii="宋体" w:hAnsi="宋体" w:eastAsia="宋体" w:cs="宋体"/>
          <w:color w:val="auto"/>
          <w:highlight w:val="none"/>
        </w:rPr>
        <w:t>必须充分重视和严格按要求准确填写本表格“</w:t>
      </w:r>
      <w:r>
        <w:rPr>
          <w:rFonts w:hint="eastAsia" w:ascii="宋体" w:hAnsi="宋体" w:cs="宋体"/>
          <w:color w:val="auto"/>
          <w:highlight w:val="none"/>
          <w:lang w:val="en-US" w:eastAsia="zh-CN"/>
        </w:rPr>
        <w:t>投标人</w:t>
      </w:r>
      <w:r>
        <w:rPr>
          <w:rFonts w:hint="eastAsia" w:ascii="宋体" w:hAnsi="宋体" w:eastAsia="宋体" w:cs="宋体"/>
          <w:color w:val="auto"/>
          <w:highlight w:val="none"/>
        </w:rPr>
        <w:t>应答”、“证明材料索引”两列</w:t>
      </w:r>
      <w:r>
        <w:rPr>
          <w:rFonts w:hint="eastAsia" w:ascii="宋体" w:hAnsi="宋体" w:eastAsia="宋体" w:cs="宋体"/>
          <w:color w:val="auto"/>
          <w:highlight w:val="none"/>
          <w:lang w:eastAsia="zh-CN"/>
        </w:rPr>
        <w:t>。</w:t>
      </w:r>
    </w:p>
    <w:p w14:paraId="675FFDC0">
      <w:pPr>
        <w:numPr>
          <w:ilvl w:val="0"/>
          <w:numId w:val="0"/>
        </w:numPr>
        <w:rPr>
          <w:rFonts w:hint="eastAsia" w:ascii="宋体" w:hAnsi="宋体" w:eastAsia="宋体" w:cs="宋体"/>
          <w:color w:val="auto"/>
          <w:highlight w:val="none"/>
          <w:lang w:eastAsia="zh-CN"/>
        </w:rPr>
      </w:pPr>
      <w:bookmarkStart w:id="2283" w:name="_Toc4182"/>
      <w:bookmarkStart w:id="2284" w:name="_Toc20087"/>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cs="宋体"/>
          <w:color w:val="auto"/>
          <w:highlight w:val="none"/>
          <w:lang w:val="en-US" w:eastAsia="zh-CN"/>
        </w:rPr>
        <w:t>投标人</w:t>
      </w:r>
      <w:r>
        <w:rPr>
          <w:rFonts w:hint="eastAsia" w:ascii="宋体" w:hAnsi="宋体" w:eastAsia="宋体" w:cs="宋体"/>
          <w:color w:val="auto"/>
          <w:highlight w:val="none"/>
        </w:rPr>
        <w:t>必须确保填写内容的真实准确，</w:t>
      </w:r>
      <w:r>
        <w:rPr>
          <w:rFonts w:hint="eastAsia" w:ascii="宋体" w:hAnsi="宋体" w:cs="宋体"/>
          <w:color w:val="auto"/>
          <w:highlight w:val="none"/>
          <w:lang w:val="en-US" w:eastAsia="zh-CN"/>
        </w:rPr>
        <w:t>招标</w:t>
      </w:r>
      <w:r>
        <w:rPr>
          <w:rFonts w:hint="eastAsia" w:ascii="宋体" w:hAnsi="宋体" w:eastAsia="宋体" w:cs="宋体"/>
          <w:color w:val="auto"/>
          <w:highlight w:val="none"/>
          <w:lang w:eastAsia="zh-CN"/>
        </w:rPr>
        <w:t>人</w:t>
      </w:r>
      <w:r>
        <w:rPr>
          <w:rFonts w:hint="eastAsia" w:ascii="宋体" w:hAnsi="宋体" w:eastAsia="宋体" w:cs="宋体"/>
          <w:color w:val="auto"/>
          <w:highlight w:val="none"/>
        </w:rPr>
        <w:t>有权将相关内容对外进行公布或公示，接受社会监督</w:t>
      </w:r>
      <w:r>
        <w:rPr>
          <w:rFonts w:hint="eastAsia" w:ascii="宋体" w:hAnsi="宋体" w:eastAsia="宋体" w:cs="宋体"/>
          <w:color w:val="auto"/>
          <w:highlight w:val="none"/>
          <w:lang w:eastAsia="zh-CN"/>
        </w:rPr>
        <w:t>。</w:t>
      </w:r>
      <w:bookmarkEnd w:id="2283"/>
      <w:bookmarkEnd w:id="2284"/>
    </w:p>
    <w:p w14:paraId="30057F7C">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14:paraId="3A5CDD5D">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ascii="宋体" w:hAnsi="宋体" w:eastAsia="宋体" w:cs="宋体"/>
          <w:color w:val="auto"/>
          <w:kern w:val="0"/>
          <w:sz w:val="24"/>
          <w:szCs w:val="24"/>
          <w:highlight w:val="none"/>
          <w:lang w:val="en-US" w:eastAsia="zh-CN"/>
        </w:rPr>
      </w:pPr>
      <w:bookmarkStart w:id="2285" w:name="_Toc20071"/>
      <w:bookmarkStart w:id="2286" w:name="_Toc26235"/>
      <w:bookmarkStart w:id="2287" w:name="_Toc3371"/>
      <w:bookmarkStart w:id="2288" w:name="_Toc17525"/>
      <w:r>
        <w:rPr>
          <w:rFonts w:hint="eastAsia" w:ascii="宋体" w:hAnsi="宋体" w:eastAsia="宋体" w:cs="宋体"/>
          <w:b/>
          <w:color w:val="auto"/>
          <w:sz w:val="24"/>
          <w:szCs w:val="24"/>
          <w:highlight w:val="none"/>
          <w:lang w:val="en-US" w:eastAsia="zh-CN"/>
        </w:rPr>
        <w:t>（二）同类项目业绩</w:t>
      </w:r>
      <w:bookmarkEnd w:id="2285"/>
      <w:bookmarkEnd w:id="2286"/>
      <w:bookmarkEnd w:id="2287"/>
      <w:bookmarkEnd w:id="2288"/>
    </w:p>
    <w:p w14:paraId="0247CB90">
      <w:pPr>
        <w:pStyle w:val="23"/>
        <w:keepNext w:val="0"/>
        <w:keepLines w:val="0"/>
        <w:pageBreakBefore w:val="0"/>
        <w:widowControl w:val="0"/>
        <w:kinsoku/>
        <w:wordWrap/>
        <w:overflowPunct/>
        <w:topLinePunct w:val="0"/>
        <w:autoSpaceDE/>
        <w:autoSpaceDN/>
        <w:bidi w:val="0"/>
        <w:adjustRightInd/>
        <w:snapToGrid/>
        <w:spacing w:before="10" w:after="10" w:line="360" w:lineRule="auto"/>
        <w:textAlignment w:val="auto"/>
        <w:rPr>
          <w:rFonts w:hint="eastAsia" w:ascii="宋体" w:hAnsi="宋体" w:eastAsia="宋体" w:cs="宋体"/>
          <w:b/>
          <w:bCs/>
          <w:color w:val="auto"/>
          <w:sz w:val="21"/>
          <w:szCs w:val="21"/>
          <w:highlight w:val="none"/>
        </w:rPr>
      </w:pPr>
      <w:r>
        <w:rPr>
          <w:rFonts w:hint="eastAsia"/>
          <w:color w:val="auto"/>
          <w:highlight w:val="none"/>
          <w:lang w:val="en-US" w:eastAsia="zh-CN"/>
        </w:rPr>
        <w:t>同类项目业绩评审要求详见商务评审标准。</w:t>
      </w:r>
    </w:p>
    <w:p w14:paraId="7B7D21AA">
      <w:pPr>
        <w:kinsoku/>
        <w:bidi w:val="0"/>
        <w:spacing w:before="10" w:after="10" w:line="360" w:lineRule="auto"/>
        <w:jc w:val="center"/>
        <w:rPr>
          <w:rFonts w:hint="eastAsia" w:ascii="宋体" w:hAnsi="宋体" w:eastAsia="宋体" w:cs="宋体"/>
          <w:b w:val="0"/>
          <w:bCs w:val="0"/>
          <w:color w:val="auto"/>
          <w:sz w:val="21"/>
          <w:szCs w:val="21"/>
          <w:highlight w:val="none"/>
        </w:rPr>
      </w:pPr>
    </w:p>
    <w:p w14:paraId="51752B34">
      <w:pPr>
        <w:kinsoku/>
        <w:bidi w:val="0"/>
        <w:spacing w:before="10" w:after="10"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同类项目业绩汇总表</w:t>
      </w:r>
    </w:p>
    <w:tbl>
      <w:tblPr>
        <w:tblStyle w:val="46"/>
        <w:tblW w:w="106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165"/>
        <w:gridCol w:w="1447"/>
        <w:gridCol w:w="1761"/>
        <w:gridCol w:w="1618"/>
        <w:gridCol w:w="1324"/>
        <w:gridCol w:w="1324"/>
      </w:tblGrid>
      <w:tr w14:paraId="5FEB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tcBorders>
              <w:top w:val="single" w:color="auto" w:sz="4" w:space="0"/>
              <w:left w:val="single" w:color="auto" w:sz="4" w:space="0"/>
              <w:bottom w:val="single" w:color="auto" w:sz="4" w:space="0"/>
              <w:right w:val="single" w:color="auto" w:sz="4" w:space="0"/>
            </w:tcBorders>
            <w:noWrap w:val="0"/>
            <w:vAlign w:val="center"/>
          </w:tcPr>
          <w:p w14:paraId="37B60173">
            <w:pPr>
              <w:kinsoku/>
              <w:bidi w:val="0"/>
              <w:spacing w:before="10" w:after="10"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序号</w:t>
            </w:r>
          </w:p>
        </w:tc>
        <w:tc>
          <w:tcPr>
            <w:tcW w:w="2165" w:type="dxa"/>
            <w:tcBorders>
              <w:top w:val="single" w:color="auto" w:sz="4" w:space="0"/>
              <w:left w:val="single" w:color="auto" w:sz="4" w:space="0"/>
              <w:bottom w:val="single" w:color="auto" w:sz="4" w:space="0"/>
              <w:right w:val="single" w:color="auto" w:sz="4" w:space="0"/>
            </w:tcBorders>
            <w:noWrap w:val="0"/>
            <w:vAlign w:val="center"/>
          </w:tcPr>
          <w:p w14:paraId="761FC67E">
            <w:pPr>
              <w:kinsoku/>
              <w:bidi w:val="0"/>
              <w:spacing w:before="10" w:after="10"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项目名称</w:t>
            </w:r>
          </w:p>
        </w:tc>
        <w:tc>
          <w:tcPr>
            <w:tcW w:w="1447" w:type="dxa"/>
            <w:tcBorders>
              <w:top w:val="single" w:color="auto" w:sz="4" w:space="0"/>
              <w:left w:val="single" w:color="auto" w:sz="4" w:space="0"/>
              <w:bottom w:val="single" w:color="auto" w:sz="4" w:space="0"/>
              <w:right w:val="single" w:color="auto" w:sz="4" w:space="0"/>
            </w:tcBorders>
            <w:noWrap w:val="0"/>
            <w:vAlign w:val="center"/>
          </w:tcPr>
          <w:p w14:paraId="0D67BA87">
            <w:pPr>
              <w:kinsoku/>
              <w:bidi w:val="0"/>
              <w:spacing w:before="10" w:after="10"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招标人</w:t>
            </w:r>
          </w:p>
        </w:tc>
        <w:tc>
          <w:tcPr>
            <w:tcW w:w="1761" w:type="dxa"/>
            <w:tcBorders>
              <w:top w:val="single" w:color="auto" w:sz="4" w:space="0"/>
              <w:left w:val="single" w:color="auto" w:sz="4" w:space="0"/>
              <w:bottom w:val="single" w:color="auto" w:sz="4" w:space="0"/>
              <w:right w:val="single" w:color="auto" w:sz="4" w:space="0"/>
            </w:tcBorders>
            <w:noWrap w:val="0"/>
            <w:vAlign w:val="center"/>
          </w:tcPr>
          <w:p w14:paraId="322A8CEA">
            <w:pPr>
              <w:kinsoku/>
              <w:bidi w:val="0"/>
              <w:spacing w:before="10" w:after="10"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合同金额（元）</w:t>
            </w:r>
          </w:p>
        </w:tc>
        <w:tc>
          <w:tcPr>
            <w:tcW w:w="1618" w:type="dxa"/>
            <w:tcBorders>
              <w:top w:val="single" w:color="auto" w:sz="4" w:space="0"/>
              <w:left w:val="single" w:color="auto" w:sz="4" w:space="0"/>
              <w:bottom w:val="single" w:color="auto" w:sz="4" w:space="0"/>
              <w:right w:val="single" w:color="auto" w:sz="4" w:space="0"/>
            </w:tcBorders>
            <w:noWrap w:val="0"/>
            <w:vAlign w:val="center"/>
          </w:tcPr>
          <w:p w14:paraId="5235DE5C">
            <w:pPr>
              <w:kinsoku/>
              <w:bidi w:val="0"/>
              <w:spacing w:before="10" w:after="10"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合同签订时间</w:t>
            </w:r>
          </w:p>
        </w:tc>
        <w:tc>
          <w:tcPr>
            <w:tcW w:w="1324" w:type="dxa"/>
            <w:tcBorders>
              <w:top w:val="single" w:color="auto" w:sz="4" w:space="0"/>
              <w:left w:val="single" w:color="auto" w:sz="4" w:space="0"/>
              <w:bottom w:val="single" w:color="auto" w:sz="4" w:space="0"/>
              <w:right w:val="single" w:color="auto" w:sz="4" w:space="0"/>
            </w:tcBorders>
            <w:noWrap w:val="0"/>
            <w:vAlign w:val="center"/>
          </w:tcPr>
          <w:p w14:paraId="1A7F3A9F">
            <w:pPr>
              <w:kinsoku/>
              <w:bidi w:val="0"/>
              <w:spacing w:before="10" w:after="10"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供货量（单位：MWp）</w:t>
            </w:r>
          </w:p>
        </w:tc>
        <w:tc>
          <w:tcPr>
            <w:tcW w:w="1324" w:type="dxa"/>
            <w:tcBorders>
              <w:top w:val="single" w:color="auto" w:sz="4" w:space="0"/>
              <w:left w:val="single" w:color="auto" w:sz="4" w:space="0"/>
              <w:bottom w:val="single" w:color="auto" w:sz="4" w:space="0"/>
              <w:right w:val="single" w:color="auto" w:sz="4" w:space="0"/>
            </w:tcBorders>
            <w:noWrap w:val="0"/>
            <w:vAlign w:val="center"/>
          </w:tcPr>
          <w:p w14:paraId="0C12F304">
            <w:pPr>
              <w:kinsoku/>
              <w:bidi w:val="0"/>
              <w:spacing w:before="10" w:after="10"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备注</w:t>
            </w:r>
          </w:p>
        </w:tc>
      </w:tr>
      <w:tr w14:paraId="2E148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tcBorders>
              <w:top w:val="single" w:color="auto" w:sz="4" w:space="0"/>
              <w:left w:val="single" w:color="auto" w:sz="4" w:space="0"/>
              <w:bottom w:val="single" w:color="auto" w:sz="4" w:space="0"/>
              <w:right w:val="single" w:color="auto" w:sz="4" w:space="0"/>
            </w:tcBorders>
            <w:noWrap w:val="0"/>
            <w:vAlign w:val="center"/>
          </w:tcPr>
          <w:p w14:paraId="7DBE0216">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2165" w:type="dxa"/>
            <w:tcBorders>
              <w:top w:val="single" w:color="auto" w:sz="4" w:space="0"/>
              <w:left w:val="single" w:color="auto" w:sz="4" w:space="0"/>
              <w:bottom w:val="single" w:color="auto" w:sz="4" w:space="0"/>
              <w:right w:val="single" w:color="auto" w:sz="4" w:space="0"/>
            </w:tcBorders>
            <w:noWrap w:val="0"/>
            <w:vAlign w:val="center"/>
          </w:tcPr>
          <w:p w14:paraId="4BE69E36">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14:paraId="6506BC82">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761" w:type="dxa"/>
            <w:tcBorders>
              <w:top w:val="single" w:color="auto" w:sz="4" w:space="0"/>
              <w:left w:val="single" w:color="auto" w:sz="4" w:space="0"/>
              <w:bottom w:val="single" w:color="auto" w:sz="4" w:space="0"/>
              <w:right w:val="single" w:color="auto" w:sz="4" w:space="0"/>
            </w:tcBorders>
            <w:noWrap w:val="0"/>
            <w:vAlign w:val="center"/>
          </w:tcPr>
          <w:p w14:paraId="0AD60B96">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618" w:type="dxa"/>
            <w:tcBorders>
              <w:top w:val="single" w:color="auto" w:sz="4" w:space="0"/>
              <w:left w:val="single" w:color="auto" w:sz="4" w:space="0"/>
              <w:bottom w:val="single" w:color="auto" w:sz="4" w:space="0"/>
              <w:right w:val="single" w:color="auto" w:sz="4" w:space="0"/>
            </w:tcBorders>
            <w:noWrap w:val="0"/>
            <w:vAlign w:val="center"/>
          </w:tcPr>
          <w:p w14:paraId="62A7E0C3">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653C64EF">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4EFA3CE5">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r>
      <w:tr w14:paraId="21CD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tcBorders>
              <w:top w:val="single" w:color="auto" w:sz="4" w:space="0"/>
              <w:left w:val="single" w:color="auto" w:sz="4" w:space="0"/>
              <w:bottom w:val="single" w:color="auto" w:sz="4" w:space="0"/>
              <w:right w:val="single" w:color="auto" w:sz="4" w:space="0"/>
            </w:tcBorders>
            <w:noWrap w:val="0"/>
            <w:vAlign w:val="center"/>
          </w:tcPr>
          <w:p w14:paraId="5296F6A7">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2165" w:type="dxa"/>
            <w:tcBorders>
              <w:top w:val="single" w:color="auto" w:sz="4" w:space="0"/>
              <w:left w:val="single" w:color="auto" w:sz="4" w:space="0"/>
              <w:bottom w:val="single" w:color="auto" w:sz="4" w:space="0"/>
              <w:right w:val="single" w:color="auto" w:sz="4" w:space="0"/>
            </w:tcBorders>
            <w:noWrap w:val="0"/>
            <w:vAlign w:val="center"/>
          </w:tcPr>
          <w:p w14:paraId="6FE4DC18">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14:paraId="6A23CF7E">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761" w:type="dxa"/>
            <w:tcBorders>
              <w:top w:val="single" w:color="auto" w:sz="4" w:space="0"/>
              <w:left w:val="single" w:color="auto" w:sz="4" w:space="0"/>
              <w:bottom w:val="single" w:color="auto" w:sz="4" w:space="0"/>
              <w:right w:val="single" w:color="auto" w:sz="4" w:space="0"/>
            </w:tcBorders>
            <w:noWrap w:val="0"/>
            <w:vAlign w:val="center"/>
          </w:tcPr>
          <w:p w14:paraId="086AF60F">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618" w:type="dxa"/>
            <w:tcBorders>
              <w:top w:val="single" w:color="auto" w:sz="4" w:space="0"/>
              <w:left w:val="single" w:color="auto" w:sz="4" w:space="0"/>
              <w:bottom w:val="single" w:color="auto" w:sz="4" w:space="0"/>
              <w:right w:val="single" w:color="auto" w:sz="4" w:space="0"/>
            </w:tcBorders>
            <w:noWrap w:val="0"/>
            <w:vAlign w:val="center"/>
          </w:tcPr>
          <w:p w14:paraId="1B7D23D9">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4A25F6A7">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258B1C3A">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r>
      <w:tr w14:paraId="24DA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tcBorders>
              <w:top w:val="single" w:color="auto" w:sz="4" w:space="0"/>
              <w:left w:val="single" w:color="auto" w:sz="4" w:space="0"/>
              <w:bottom w:val="single" w:color="auto" w:sz="4" w:space="0"/>
              <w:right w:val="single" w:color="auto" w:sz="4" w:space="0"/>
            </w:tcBorders>
            <w:noWrap w:val="0"/>
            <w:vAlign w:val="center"/>
          </w:tcPr>
          <w:p w14:paraId="17E20ACE">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2165" w:type="dxa"/>
            <w:tcBorders>
              <w:top w:val="single" w:color="auto" w:sz="4" w:space="0"/>
              <w:left w:val="single" w:color="auto" w:sz="4" w:space="0"/>
              <w:bottom w:val="single" w:color="auto" w:sz="4" w:space="0"/>
              <w:right w:val="single" w:color="auto" w:sz="4" w:space="0"/>
            </w:tcBorders>
            <w:noWrap w:val="0"/>
            <w:vAlign w:val="center"/>
          </w:tcPr>
          <w:p w14:paraId="44F7ACAB">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14:paraId="7B1FFE7E">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761" w:type="dxa"/>
            <w:tcBorders>
              <w:top w:val="single" w:color="auto" w:sz="4" w:space="0"/>
              <w:left w:val="single" w:color="auto" w:sz="4" w:space="0"/>
              <w:bottom w:val="single" w:color="auto" w:sz="4" w:space="0"/>
              <w:right w:val="single" w:color="auto" w:sz="4" w:space="0"/>
            </w:tcBorders>
            <w:noWrap w:val="0"/>
            <w:vAlign w:val="center"/>
          </w:tcPr>
          <w:p w14:paraId="5E9C8DD2">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618" w:type="dxa"/>
            <w:tcBorders>
              <w:top w:val="single" w:color="auto" w:sz="4" w:space="0"/>
              <w:left w:val="single" w:color="auto" w:sz="4" w:space="0"/>
              <w:bottom w:val="single" w:color="auto" w:sz="4" w:space="0"/>
              <w:right w:val="single" w:color="auto" w:sz="4" w:space="0"/>
            </w:tcBorders>
            <w:noWrap w:val="0"/>
            <w:vAlign w:val="center"/>
          </w:tcPr>
          <w:p w14:paraId="2D994CAC">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62D5B497">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12E98AEB">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r>
      <w:tr w14:paraId="4BF8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83" w:type="dxa"/>
            <w:gridSpan w:val="3"/>
            <w:tcBorders>
              <w:top w:val="single" w:color="auto" w:sz="4" w:space="0"/>
              <w:left w:val="single" w:color="auto" w:sz="4" w:space="0"/>
              <w:bottom w:val="single" w:color="auto" w:sz="4" w:space="0"/>
              <w:right w:val="single" w:color="auto" w:sz="4" w:space="0"/>
            </w:tcBorders>
            <w:noWrap w:val="0"/>
            <w:vAlign w:val="center"/>
          </w:tcPr>
          <w:p w14:paraId="3425BF09">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总金额合计（元）</w:t>
            </w:r>
          </w:p>
        </w:tc>
        <w:tc>
          <w:tcPr>
            <w:tcW w:w="1761" w:type="dxa"/>
            <w:tcBorders>
              <w:top w:val="single" w:color="auto" w:sz="4" w:space="0"/>
              <w:left w:val="single" w:color="auto" w:sz="4" w:space="0"/>
              <w:bottom w:val="single" w:color="auto" w:sz="4" w:space="0"/>
              <w:right w:val="single" w:color="auto" w:sz="4" w:space="0"/>
            </w:tcBorders>
            <w:noWrap w:val="0"/>
            <w:vAlign w:val="center"/>
          </w:tcPr>
          <w:p w14:paraId="2CE80D73">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618" w:type="dxa"/>
            <w:tcBorders>
              <w:top w:val="single" w:color="auto" w:sz="4" w:space="0"/>
              <w:left w:val="single" w:color="auto" w:sz="4" w:space="0"/>
              <w:bottom w:val="single" w:color="auto" w:sz="4" w:space="0"/>
              <w:right w:val="single" w:color="auto" w:sz="4" w:space="0"/>
            </w:tcBorders>
            <w:noWrap w:val="0"/>
            <w:vAlign w:val="center"/>
          </w:tcPr>
          <w:p w14:paraId="5852D8AC">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0896F9BE">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3539F5E5">
            <w:pPr>
              <w:kinsoku/>
              <w:bidi w:val="0"/>
              <w:spacing w:before="10" w:after="10" w:line="360" w:lineRule="auto"/>
              <w:ind w:left="420" w:leftChars="200"/>
              <w:jc w:val="center"/>
              <w:rPr>
                <w:rFonts w:hint="eastAsia" w:ascii="宋体" w:hAnsi="宋体" w:eastAsia="宋体" w:cs="宋体"/>
                <w:b w:val="0"/>
                <w:bCs w:val="0"/>
                <w:color w:val="auto"/>
                <w:sz w:val="21"/>
                <w:szCs w:val="21"/>
                <w:highlight w:val="none"/>
              </w:rPr>
            </w:pPr>
          </w:p>
        </w:tc>
      </w:tr>
    </w:tbl>
    <w:p w14:paraId="77832B20">
      <w:pPr>
        <w:kinsoku/>
        <w:bidi w:val="0"/>
        <w:spacing w:before="10" w:after="10" w:line="360" w:lineRule="auto"/>
        <w:jc w:val="center"/>
        <w:rPr>
          <w:rFonts w:hint="eastAsia" w:ascii="宋体" w:hAnsi="宋体" w:eastAsia="宋体" w:cs="宋体"/>
          <w:b w:val="0"/>
          <w:bCs w:val="0"/>
          <w:color w:val="auto"/>
          <w:sz w:val="21"/>
          <w:szCs w:val="21"/>
          <w:highlight w:val="none"/>
        </w:rPr>
      </w:pPr>
    </w:p>
    <w:p w14:paraId="6193D323">
      <w:pPr>
        <w:kinsoku/>
        <w:bidi w:val="0"/>
        <w:spacing w:before="10" w:after="10"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同类项目情况表</w:t>
      </w:r>
    </w:p>
    <w:p w14:paraId="778B2617">
      <w:pPr>
        <w:pStyle w:val="105"/>
        <w:kinsoku/>
        <w:bidi w:val="0"/>
        <w:spacing w:before="10" w:after="10" w:line="360" w:lineRule="auto"/>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项目序号：</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7"/>
        <w:gridCol w:w="6898"/>
      </w:tblGrid>
      <w:tr w14:paraId="7247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7" w:type="dxa"/>
            <w:tcBorders>
              <w:top w:val="single" w:color="auto" w:sz="4" w:space="0"/>
              <w:left w:val="single" w:color="auto" w:sz="4" w:space="0"/>
              <w:bottom w:val="single" w:color="auto" w:sz="4" w:space="0"/>
              <w:right w:val="single" w:color="auto" w:sz="4" w:space="0"/>
            </w:tcBorders>
            <w:noWrap w:val="0"/>
            <w:vAlign w:val="center"/>
          </w:tcPr>
          <w:p w14:paraId="220728CD">
            <w:pPr>
              <w:pStyle w:val="105"/>
              <w:kinsoku/>
              <w:bidi w:val="0"/>
              <w:spacing w:before="10" w:after="1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项目名称 </w:t>
            </w:r>
          </w:p>
        </w:tc>
        <w:tc>
          <w:tcPr>
            <w:tcW w:w="6898" w:type="dxa"/>
            <w:tcBorders>
              <w:top w:val="single" w:color="auto" w:sz="4" w:space="0"/>
              <w:left w:val="single" w:color="auto" w:sz="4" w:space="0"/>
              <w:bottom w:val="single" w:color="auto" w:sz="4" w:space="0"/>
              <w:right w:val="single" w:color="auto" w:sz="4" w:space="0"/>
            </w:tcBorders>
            <w:noWrap w:val="0"/>
            <w:vAlign w:val="center"/>
          </w:tcPr>
          <w:p w14:paraId="4B457C95">
            <w:pPr>
              <w:pStyle w:val="105"/>
              <w:kinsoku/>
              <w:bidi w:val="0"/>
              <w:spacing w:before="10" w:after="10" w:line="360" w:lineRule="auto"/>
              <w:rPr>
                <w:rFonts w:hint="eastAsia" w:ascii="宋体" w:hAnsi="宋体" w:eastAsia="宋体" w:cs="宋体"/>
                <w:color w:val="auto"/>
                <w:sz w:val="21"/>
                <w:szCs w:val="21"/>
                <w:highlight w:val="none"/>
              </w:rPr>
            </w:pPr>
          </w:p>
        </w:tc>
      </w:tr>
      <w:tr w14:paraId="2909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7" w:type="dxa"/>
            <w:tcBorders>
              <w:top w:val="single" w:color="auto" w:sz="4" w:space="0"/>
              <w:left w:val="single" w:color="auto" w:sz="4" w:space="0"/>
              <w:bottom w:val="single" w:color="auto" w:sz="4" w:space="0"/>
              <w:right w:val="single" w:color="auto" w:sz="4" w:space="0"/>
            </w:tcBorders>
            <w:noWrap w:val="0"/>
            <w:vAlign w:val="center"/>
          </w:tcPr>
          <w:p w14:paraId="21CB25A5">
            <w:pPr>
              <w:pStyle w:val="105"/>
              <w:kinsoku/>
              <w:bidi w:val="0"/>
              <w:spacing w:before="10" w:after="1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项目地点</w:t>
            </w:r>
            <w:r>
              <w:rPr>
                <w:rFonts w:hint="eastAsia" w:ascii="宋体" w:hAnsi="宋体" w:eastAsia="宋体" w:cs="宋体"/>
                <w:color w:val="auto"/>
                <w:sz w:val="21"/>
                <w:szCs w:val="21"/>
                <w:highlight w:val="none"/>
              </w:rPr>
              <w:t xml:space="preserve"> </w:t>
            </w:r>
          </w:p>
        </w:tc>
        <w:tc>
          <w:tcPr>
            <w:tcW w:w="6898" w:type="dxa"/>
            <w:tcBorders>
              <w:top w:val="single" w:color="auto" w:sz="4" w:space="0"/>
              <w:left w:val="single" w:color="auto" w:sz="4" w:space="0"/>
              <w:bottom w:val="single" w:color="auto" w:sz="4" w:space="0"/>
              <w:right w:val="single" w:color="auto" w:sz="4" w:space="0"/>
            </w:tcBorders>
            <w:noWrap w:val="0"/>
            <w:vAlign w:val="center"/>
          </w:tcPr>
          <w:p w14:paraId="61BBBAE7">
            <w:pPr>
              <w:pStyle w:val="105"/>
              <w:kinsoku/>
              <w:bidi w:val="0"/>
              <w:spacing w:before="10" w:after="10" w:line="360" w:lineRule="auto"/>
              <w:rPr>
                <w:rFonts w:hint="eastAsia" w:ascii="宋体" w:hAnsi="宋体" w:eastAsia="宋体" w:cs="宋体"/>
                <w:color w:val="auto"/>
                <w:sz w:val="21"/>
                <w:szCs w:val="21"/>
                <w:highlight w:val="none"/>
              </w:rPr>
            </w:pPr>
          </w:p>
        </w:tc>
      </w:tr>
      <w:tr w14:paraId="5C71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7" w:type="dxa"/>
            <w:tcBorders>
              <w:top w:val="single" w:color="auto" w:sz="4" w:space="0"/>
              <w:left w:val="single" w:color="auto" w:sz="4" w:space="0"/>
              <w:bottom w:val="single" w:color="auto" w:sz="4" w:space="0"/>
              <w:right w:val="single" w:color="auto" w:sz="4" w:space="0"/>
            </w:tcBorders>
            <w:noWrap w:val="0"/>
            <w:vAlign w:val="center"/>
          </w:tcPr>
          <w:p w14:paraId="29070775">
            <w:pPr>
              <w:pStyle w:val="105"/>
              <w:kinsoku/>
              <w:bidi w:val="0"/>
              <w:spacing w:before="10" w:after="1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招标人名称 </w:t>
            </w:r>
          </w:p>
        </w:tc>
        <w:tc>
          <w:tcPr>
            <w:tcW w:w="6898" w:type="dxa"/>
            <w:tcBorders>
              <w:top w:val="single" w:color="auto" w:sz="4" w:space="0"/>
              <w:left w:val="single" w:color="auto" w:sz="4" w:space="0"/>
              <w:bottom w:val="single" w:color="auto" w:sz="4" w:space="0"/>
              <w:right w:val="single" w:color="auto" w:sz="4" w:space="0"/>
            </w:tcBorders>
            <w:noWrap w:val="0"/>
            <w:vAlign w:val="center"/>
          </w:tcPr>
          <w:p w14:paraId="54C405C5">
            <w:pPr>
              <w:pStyle w:val="105"/>
              <w:kinsoku/>
              <w:bidi w:val="0"/>
              <w:spacing w:before="10" w:after="10" w:line="360" w:lineRule="auto"/>
              <w:rPr>
                <w:rFonts w:hint="eastAsia" w:ascii="宋体" w:hAnsi="宋体" w:eastAsia="宋体" w:cs="宋体"/>
                <w:color w:val="auto"/>
                <w:sz w:val="21"/>
                <w:szCs w:val="21"/>
                <w:highlight w:val="none"/>
              </w:rPr>
            </w:pPr>
          </w:p>
        </w:tc>
      </w:tr>
      <w:tr w14:paraId="4D6E6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7" w:type="dxa"/>
            <w:tcBorders>
              <w:top w:val="single" w:color="auto" w:sz="4" w:space="0"/>
              <w:left w:val="single" w:color="auto" w:sz="4" w:space="0"/>
              <w:bottom w:val="single" w:color="auto" w:sz="4" w:space="0"/>
              <w:right w:val="single" w:color="auto" w:sz="4" w:space="0"/>
            </w:tcBorders>
            <w:noWrap w:val="0"/>
            <w:vAlign w:val="center"/>
          </w:tcPr>
          <w:p w14:paraId="5A80FF58">
            <w:pPr>
              <w:pStyle w:val="105"/>
              <w:kinsoku/>
              <w:bidi w:val="0"/>
              <w:spacing w:before="10" w:after="1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招标人地址 </w:t>
            </w:r>
          </w:p>
        </w:tc>
        <w:tc>
          <w:tcPr>
            <w:tcW w:w="6898" w:type="dxa"/>
            <w:tcBorders>
              <w:top w:val="single" w:color="auto" w:sz="4" w:space="0"/>
              <w:left w:val="single" w:color="auto" w:sz="4" w:space="0"/>
              <w:bottom w:val="single" w:color="auto" w:sz="4" w:space="0"/>
              <w:right w:val="single" w:color="auto" w:sz="4" w:space="0"/>
            </w:tcBorders>
            <w:noWrap w:val="0"/>
            <w:vAlign w:val="center"/>
          </w:tcPr>
          <w:p w14:paraId="4248C905">
            <w:pPr>
              <w:pStyle w:val="105"/>
              <w:kinsoku/>
              <w:bidi w:val="0"/>
              <w:spacing w:before="10" w:after="10" w:line="360" w:lineRule="auto"/>
              <w:rPr>
                <w:rFonts w:hint="eastAsia" w:ascii="宋体" w:hAnsi="宋体" w:eastAsia="宋体" w:cs="宋体"/>
                <w:color w:val="auto"/>
                <w:sz w:val="21"/>
                <w:szCs w:val="21"/>
                <w:highlight w:val="none"/>
              </w:rPr>
            </w:pPr>
          </w:p>
        </w:tc>
      </w:tr>
      <w:tr w14:paraId="4639E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7" w:type="dxa"/>
            <w:tcBorders>
              <w:top w:val="single" w:color="auto" w:sz="4" w:space="0"/>
              <w:left w:val="single" w:color="auto" w:sz="4" w:space="0"/>
              <w:bottom w:val="single" w:color="auto" w:sz="4" w:space="0"/>
              <w:right w:val="single" w:color="auto" w:sz="4" w:space="0"/>
            </w:tcBorders>
            <w:noWrap w:val="0"/>
            <w:vAlign w:val="center"/>
          </w:tcPr>
          <w:p w14:paraId="5FE66665">
            <w:pPr>
              <w:pStyle w:val="105"/>
              <w:kinsoku/>
              <w:bidi w:val="0"/>
              <w:spacing w:before="10" w:after="1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合同价格</w:t>
            </w:r>
          </w:p>
        </w:tc>
        <w:tc>
          <w:tcPr>
            <w:tcW w:w="6898" w:type="dxa"/>
            <w:tcBorders>
              <w:top w:val="single" w:color="auto" w:sz="4" w:space="0"/>
              <w:left w:val="single" w:color="auto" w:sz="4" w:space="0"/>
              <w:bottom w:val="single" w:color="auto" w:sz="4" w:space="0"/>
              <w:right w:val="single" w:color="auto" w:sz="4" w:space="0"/>
            </w:tcBorders>
            <w:noWrap w:val="0"/>
            <w:vAlign w:val="center"/>
          </w:tcPr>
          <w:p w14:paraId="6036058B">
            <w:pPr>
              <w:pStyle w:val="105"/>
              <w:kinsoku/>
              <w:bidi w:val="0"/>
              <w:spacing w:before="10" w:after="10" w:line="360" w:lineRule="auto"/>
              <w:rPr>
                <w:rFonts w:hint="eastAsia" w:ascii="宋体" w:hAnsi="宋体" w:eastAsia="宋体" w:cs="宋体"/>
                <w:color w:val="auto"/>
                <w:sz w:val="21"/>
                <w:szCs w:val="21"/>
                <w:highlight w:val="none"/>
              </w:rPr>
            </w:pPr>
          </w:p>
        </w:tc>
      </w:tr>
      <w:tr w14:paraId="38D9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7" w:type="dxa"/>
            <w:tcBorders>
              <w:top w:val="single" w:color="auto" w:sz="4" w:space="0"/>
              <w:left w:val="single" w:color="auto" w:sz="4" w:space="0"/>
              <w:bottom w:val="single" w:color="auto" w:sz="4" w:space="0"/>
              <w:right w:val="single" w:color="auto" w:sz="4" w:space="0"/>
            </w:tcBorders>
            <w:noWrap w:val="0"/>
            <w:vAlign w:val="center"/>
          </w:tcPr>
          <w:p w14:paraId="3101FAB1">
            <w:pPr>
              <w:pStyle w:val="105"/>
              <w:kinsoku/>
              <w:bidi w:val="0"/>
              <w:spacing w:before="10" w:after="1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签订</w:t>
            </w:r>
            <w:r>
              <w:rPr>
                <w:rFonts w:hint="eastAsia" w:ascii="宋体" w:hAnsi="宋体" w:eastAsia="宋体" w:cs="宋体"/>
                <w:color w:val="auto"/>
                <w:sz w:val="21"/>
                <w:szCs w:val="21"/>
                <w:highlight w:val="none"/>
              </w:rPr>
              <w:t>日期</w:t>
            </w:r>
          </w:p>
        </w:tc>
        <w:tc>
          <w:tcPr>
            <w:tcW w:w="6898" w:type="dxa"/>
            <w:tcBorders>
              <w:top w:val="single" w:color="auto" w:sz="4" w:space="0"/>
              <w:left w:val="single" w:color="auto" w:sz="4" w:space="0"/>
              <w:bottom w:val="single" w:color="auto" w:sz="4" w:space="0"/>
              <w:right w:val="single" w:color="auto" w:sz="4" w:space="0"/>
            </w:tcBorders>
            <w:noWrap w:val="0"/>
            <w:vAlign w:val="center"/>
          </w:tcPr>
          <w:p w14:paraId="61CBCC43">
            <w:pPr>
              <w:pStyle w:val="105"/>
              <w:kinsoku/>
              <w:bidi w:val="0"/>
              <w:spacing w:before="10" w:after="10" w:line="360" w:lineRule="auto"/>
              <w:rPr>
                <w:rFonts w:hint="eastAsia" w:ascii="宋体" w:hAnsi="宋体" w:eastAsia="宋体" w:cs="宋体"/>
                <w:color w:val="auto"/>
                <w:sz w:val="21"/>
                <w:szCs w:val="21"/>
                <w:highlight w:val="none"/>
              </w:rPr>
            </w:pPr>
          </w:p>
        </w:tc>
      </w:tr>
    </w:tbl>
    <w:p w14:paraId="4FB94370">
      <w:pPr>
        <w:keepNext w:val="0"/>
        <w:keepLines w:val="0"/>
        <w:pageBreakBefore w:val="0"/>
        <w:widowControl w:val="0"/>
        <w:kinsoku/>
        <w:wordWrap/>
        <w:overflowPunct/>
        <w:topLinePunct w:val="0"/>
        <w:autoSpaceDE/>
        <w:autoSpaceDN/>
        <w:bidi w:val="0"/>
        <w:adjustRightInd/>
        <w:snapToGrid/>
        <w:spacing w:before="10" w:after="10" w:line="360" w:lineRule="auto"/>
        <w:ind w:firstLine="420" w:firstLineChars="200"/>
        <w:jc w:val="both"/>
        <w:textAlignment w:val="auto"/>
        <w:outlineLvl w:val="9"/>
        <w:rPr>
          <w:rFonts w:hint="eastAsia" w:ascii="宋体" w:hAnsi="宋体" w:eastAsia="宋体" w:cs="宋体"/>
          <w:b w:val="0"/>
          <w:bCs w:val="0"/>
          <w:color w:val="auto"/>
          <w:sz w:val="21"/>
          <w:szCs w:val="22"/>
          <w:highlight w:val="none"/>
          <w:lang w:val="en-US" w:eastAsia="zh-CN"/>
        </w:rPr>
      </w:pPr>
      <w:bookmarkStart w:id="2289" w:name="_Toc8271"/>
      <w:bookmarkStart w:id="2290" w:name="_Toc29279"/>
      <w:bookmarkStart w:id="2291" w:name="_Toc19334"/>
      <w:r>
        <w:rPr>
          <w:rFonts w:hint="eastAsia" w:ascii="宋体" w:hAnsi="宋体" w:eastAsia="宋体" w:cs="宋体"/>
          <w:b w:val="0"/>
          <w:bCs w:val="0"/>
          <w:color w:val="auto"/>
          <w:sz w:val="21"/>
          <w:szCs w:val="21"/>
          <w:highlight w:val="none"/>
        </w:rPr>
        <w:t>注：</w:t>
      </w:r>
      <w:r>
        <w:rPr>
          <w:rFonts w:hint="eastAsia"/>
          <w:color w:val="auto"/>
          <w:highlight w:val="none"/>
        </w:rPr>
        <w:t>须提供合同复印件。合同复印件需提供合同关键页，包括体现合同标的、合同金额、签字盖章页、合同签订时间等。业绩以合同签订时间为准</w:t>
      </w:r>
      <w:r>
        <w:rPr>
          <w:rFonts w:hint="eastAsia" w:ascii="宋体" w:hAnsi="宋体" w:eastAsia="宋体" w:cs="宋体"/>
          <w:b w:val="0"/>
          <w:bCs w:val="0"/>
          <w:color w:val="auto"/>
          <w:kern w:val="0"/>
          <w:sz w:val="21"/>
          <w:szCs w:val="21"/>
          <w:highlight w:val="none"/>
        </w:rPr>
        <w:t>。并</w:t>
      </w:r>
      <w:r>
        <w:rPr>
          <w:rFonts w:hint="eastAsia" w:ascii="宋体" w:hAnsi="宋体" w:eastAsia="宋体" w:cs="宋体"/>
          <w:b w:val="0"/>
          <w:bCs w:val="0"/>
          <w:color w:val="auto"/>
          <w:sz w:val="21"/>
          <w:szCs w:val="22"/>
          <w:highlight w:val="none"/>
          <w:lang w:val="en-US" w:eastAsia="zh-CN"/>
        </w:rPr>
        <w:t>加盖公章或投标专用章或电子签章</w:t>
      </w:r>
      <w:bookmarkEnd w:id="2289"/>
      <w:bookmarkEnd w:id="2290"/>
      <w:bookmarkEnd w:id="2291"/>
      <w:bookmarkStart w:id="2292" w:name="_Toc27716"/>
      <w:r>
        <w:rPr>
          <w:rFonts w:hint="eastAsia" w:ascii="宋体" w:hAnsi="宋体" w:eastAsia="宋体" w:cs="宋体"/>
          <w:b w:val="0"/>
          <w:bCs w:val="0"/>
          <w:color w:val="auto"/>
          <w:sz w:val="21"/>
          <w:szCs w:val="22"/>
          <w:highlight w:val="none"/>
          <w:lang w:val="en-US" w:eastAsia="zh-CN"/>
        </w:rPr>
        <w:t>。</w:t>
      </w:r>
    </w:p>
    <w:p w14:paraId="3B2F0F3D">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ascii="宋体" w:hAnsi="宋体" w:eastAsia="宋体" w:cs="宋体"/>
          <w:b/>
          <w:color w:val="auto"/>
          <w:sz w:val="24"/>
          <w:szCs w:val="24"/>
          <w:highlight w:val="none"/>
          <w:lang w:val="en-US" w:eastAsia="zh-CN"/>
        </w:rPr>
      </w:pPr>
      <w:r>
        <w:rPr>
          <w:rFonts w:hint="eastAsia" w:ascii="宋体" w:hAnsi="宋体" w:eastAsia="宋体" w:cs="宋体"/>
          <w:b/>
          <w:bCs/>
          <w:color w:val="auto"/>
          <w:sz w:val="21"/>
          <w:szCs w:val="22"/>
          <w:highlight w:val="none"/>
          <w:lang w:val="en-US" w:eastAsia="zh-CN"/>
        </w:rPr>
        <w:br w:type="page"/>
      </w:r>
      <w:bookmarkStart w:id="2293" w:name="_Toc9821"/>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三</w:t>
      </w:r>
      <w:r>
        <w:rPr>
          <w:rFonts w:hint="eastAsia" w:ascii="宋体" w:hAnsi="宋体" w:eastAsia="宋体" w:cs="宋体"/>
          <w:b/>
          <w:color w:val="auto"/>
          <w:sz w:val="24"/>
          <w:szCs w:val="24"/>
          <w:highlight w:val="none"/>
          <w:lang w:eastAsia="zh-CN"/>
        </w:rPr>
        <w:t>）</w:t>
      </w:r>
      <w:bookmarkEnd w:id="2292"/>
      <w:bookmarkEnd w:id="2293"/>
      <w:r>
        <w:rPr>
          <w:rFonts w:hint="eastAsia" w:ascii="宋体" w:hAnsi="宋体" w:eastAsia="宋体" w:cs="宋体"/>
          <w:b/>
          <w:color w:val="auto"/>
          <w:sz w:val="24"/>
          <w:szCs w:val="24"/>
          <w:highlight w:val="none"/>
          <w:lang w:eastAsia="zh-CN"/>
        </w:rPr>
        <w:t>管理体系认证</w:t>
      </w:r>
    </w:p>
    <w:p w14:paraId="120236A9">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9"/>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具体详见评分标准中商务评审。</w:t>
      </w:r>
    </w:p>
    <w:p w14:paraId="1E11474F">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9"/>
        <w:rPr>
          <w:rFonts w:hint="eastAsia"/>
          <w:color w:val="auto"/>
          <w:highlight w:val="none"/>
          <w:lang w:val="en-US" w:eastAsia="zh-CN"/>
        </w:rPr>
      </w:pPr>
      <w:r>
        <w:rPr>
          <w:rFonts w:hint="eastAsia" w:ascii="宋体" w:hAnsi="宋体" w:eastAsia="宋体" w:cs="宋体"/>
          <w:b/>
          <w:bCs/>
          <w:color w:val="auto"/>
          <w:sz w:val="21"/>
          <w:szCs w:val="21"/>
          <w:highlight w:val="none"/>
          <w:lang w:val="en-US"/>
        </w:rPr>
        <w:t>注：需提供相关证明文件复印件，需加盖公章或投标专用章或电子签章。</w:t>
      </w:r>
    </w:p>
    <w:p w14:paraId="5ABDFA76">
      <w:pPr>
        <w:keepNext w:val="0"/>
        <w:keepLines w:val="0"/>
        <w:pageBreakBefore w:val="0"/>
        <w:widowControl w:val="0"/>
        <w:kinsoku/>
        <w:wordWrap/>
        <w:overflowPunct/>
        <w:topLinePunct w:val="0"/>
        <w:autoSpaceDE/>
        <w:autoSpaceDN/>
        <w:bidi w:val="0"/>
        <w:adjustRightInd/>
        <w:snapToGrid/>
        <w:spacing w:before="10" w:after="10" w:line="360" w:lineRule="auto"/>
        <w:ind w:firstLine="420" w:firstLineChars="200"/>
        <w:jc w:val="both"/>
        <w:textAlignment w:val="auto"/>
        <w:outlineLvl w:val="9"/>
        <w:rPr>
          <w:rFonts w:hint="eastAsia"/>
          <w:color w:val="auto"/>
          <w:highlight w:val="none"/>
          <w:lang w:val="en-US" w:eastAsia="zh-CN"/>
        </w:rPr>
      </w:pPr>
    </w:p>
    <w:p w14:paraId="6F3C9177">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ascii="宋体" w:hAnsi="宋体" w:eastAsia="宋体" w:cs="宋体"/>
          <w:b/>
          <w:color w:val="auto"/>
          <w:sz w:val="24"/>
          <w:szCs w:val="24"/>
          <w:highlight w:val="none"/>
          <w:lang w:val="en-US" w:eastAsia="zh-CN"/>
        </w:rPr>
      </w:pPr>
      <w:bookmarkStart w:id="2294" w:name="_Toc5372"/>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四</w:t>
      </w:r>
      <w:r>
        <w:rPr>
          <w:rFonts w:hint="eastAsia" w:ascii="宋体" w:hAnsi="宋体" w:eastAsia="宋体" w:cs="宋体"/>
          <w:b/>
          <w:color w:val="auto"/>
          <w:sz w:val="24"/>
          <w:szCs w:val="24"/>
          <w:highlight w:val="none"/>
          <w:lang w:eastAsia="zh-CN"/>
        </w:rPr>
        <w:t>）</w:t>
      </w:r>
      <w:bookmarkEnd w:id="2294"/>
      <w:r>
        <w:rPr>
          <w:rFonts w:hint="eastAsia" w:ascii="宋体" w:hAnsi="宋体" w:eastAsia="宋体" w:cs="宋体"/>
          <w:b/>
          <w:color w:val="auto"/>
          <w:sz w:val="24"/>
          <w:szCs w:val="24"/>
          <w:highlight w:val="none"/>
          <w:lang w:val="en-US" w:eastAsia="zh-CN"/>
        </w:rPr>
        <w:t>企业纳税信用等级</w:t>
      </w:r>
    </w:p>
    <w:p w14:paraId="336E5CBB">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9"/>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具体详见评分标准中商务评审。</w:t>
      </w:r>
    </w:p>
    <w:p w14:paraId="3174D0CF">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rPr>
        <w:t>注：需提供相关证明文件复印件，需加盖公章或投标专用章或电子签章。</w:t>
      </w:r>
    </w:p>
    <w:p w14:paraId="6F01057C">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ascii="宋体" w:hAnsi="宋体" w:eastAsia="宋体" w:cs="宋体"/>
          <w:b/>
          <w:color w:val="auto"/>
          <w:sz w:val="24"/>
          <w:szCs w:val="24"/>
          <w:highlight w:val="none"/>
          <w:lang w:eastAsia="zh-CN"/>
        </w:rPr>
      </w:pPr>
    </w:p>
    <w:p w14:paraId="76F73659">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eastAsia="zh-CN"/>
        </w:rPr>
        <w:t>（</w:t>
      </w:r>
      <w:r>
        <w:rPr>
          <w:rFonts w:hint="eastAsia" w:ascii="宋体" w:hAnsi="宋体" w:cs="宋体"/>
          <w:b/>
          <w:color w:val="auto"/>
          <w:sz w:val="24"/>
          <w:szCs w:val="24"/>
          <w:highlight w:val="none"/>
          <w:lang w:val="en-US" w:eastAsia="zh-CN"/>
        </w:rPr>
        <w:t>五</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货期要求</w:t>
      </w:r>
    </w:p>
    <w:p w14:paraId="6D09BFA8">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9"/>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具体详见评分标准中商务评审。</w:t>
      </w:r>
    </w:p>
    <w:p w14:paraId="6CB8765C">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rPr>
        <w:t>注：需提供</w:t>
      </w:r>
      <w:r>
        <w:rPr>
          <w:rFonts w:hint="eastAsia" w:ascii="宋体" w:hAnsi="宋体" w:cs="宋体"/>
          <w:b/>
          <w:bCs/>
          <w:color w:val="auto"/>
          <w:sz w:val="21"/>
          <w:szCs w:val="21"/>
          <w:highlight w:val="none"/>
          <w:lang w:val="en-US" w:eastAsia="zh-CN"/>
        </w:rPr>
        <w:t>承诺函（格式自拟）</w:t>
      </w:r>
      <w:r>
        <w:rPr>
          <w:rFonts w:hint="eastAsia" w:ascii="宋体" w:hAnsi="宋体" w:eastAsia="宋体" w:cs="宋体"/>
          <w:b/>
          <w:bCs/>
          <w:color w:val="auto"/>
          <w:sz w:val="21"/>
          <w:szCs w:val="21"/>
          <w:highlight w:val="none"/>
          <w:lang w:val="en-US"/>
        </w:rPr>
        <w:t>，需加盖公章或投标专用章或电子签章。</w:t>
      </w:r>
    </w:p>
    <w:p w14:paraId="0058D618">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ascii="宋体" w:hAnsi="宋体" w:eastAsia="宋体" w:cs="宋体"/>
          <w:b/>
          <w:color w:val="auto"/>
          <w:sz w:val="24"/>
          <w:szCs w:val="24"/>
          <w:highlight w:val="none"/>
          <w:lang w:eastAsia="zh-CN"/>
        </w:rPr>
      </w:pPr>
    </w:p>
    <w:p w14:paraId="5EE47AEC">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eastAsia="zh-CN"/>
        </w:rPr>
        <w:t>（</w:t>
      </w:r>
      <w:r>
        <w:rPr>
          <w:rFonts w:hint="eastAsia" w:ascii="宋体" w:hAnsi="宋体" w:cs="宋体"/>
          <w:b/>
          <w:color w:val="auto"/>
          <w:sz w:val="24"/>
          <w:szCs w:val="24"/>
          <w:highlight w:val="none"/>
          <w:lang w:val="en-US" w:eastAsia="zh-CN"/>
        </w:rPr>
        <w:t>六</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质保条款</w:t>
      </w:r>
    </w:p>
    <w:p w14:paraId="6A733291">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9"/>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具体详见评分标准中商务评审。</w:t>
      </w:r>
    </w:p>
    <w:p w14:paraId="1F3B09C0">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rPr>
        <w:t>注：需提供相关</w:t>
      </w:r>
      <w:r>
        <w:rPr>
          <w:rFonts w:hint="eastAsia" w:ascii="宋体" w:hAnsi="宋体" w:cs="宋体"/>
          <w:b/>
          <w:bCs/>
          <w:color w:val="auto"/>
          <w:sz w:val="21"/>
          <w:szCs w:val="21"/>
          <w:highlight w:val="none"/>
          <w:lang w:val="en-US" w:eastAsia="zh-CN"/>
        </w:rPr>
        <w:t>承诺函</w:t>
      </w:r>
      <w:r>
        <w:rPr>
          <w:rFonts w:hint="eastAsia" w:ascii="宋体" w:hAnsi="宋体" w:eastAsia="宋体" w:cs="宋体"/>
          <w:b/>
          <w:bCs/>
          <w:color w:val="auto"/>
          <w:sz w:val="21"/>
          <w:szCs w:val="21"/>
          <w:highlight w:val="none"/>
          <w:lang w:val="en-US"/>
        </w:rPr>
        <w:t>，需加盖公章或投标专用章或电子签章。</w:t>
      </w:r>
    </w:p>
    <w:p w14:paraId="16E77ABC">
      <w:pPr>
        <w:rPr>
          <w:rFonts w:hint="eastAsia"/>
          <w:highlight w:val="none"/>
          <w:lang w:val="en-US" w:eastAsia="zh-CN"/>
        </w:rPr>
      </w:pPr>
      <w:r>
        <w:rPr>
          <w:rFonts w:hint="eastAsia"/>
          <w:highlight w:val="none"/>
          <w:lang w:val="en-US" w:eastAsia="zh-CN"/>
        </w:rPr>
        <w:br w:type="page"/>
      </w:r>
    </w:p>
    <w:bookmarkEnd w:id="2254"/>
    <w:bookmarkEnd w:id="2255"/>
    <w:bookmarkEnd w:id="2256"/>
    <w:bookmarkEnd w:id="2257"/>
    <w:p w14:paraId="0328419B">
      <w:pPr>
        <w:jc w:val="center"/>
        <w:outlineLvl w:val="2"/>
        <w:rPr>
          <w:color w:val="auto"/>
          <w:highlight w:val="none"/>
        </w:rPr>
      </w:pPr>
      <w:bookmarkStart w:id="2295" w:name="_Toc22727"/>
      <w:r>
        <w:rPr>
          <w:rStyle w:val="63"/>
          <w:rFonts w:hint="eastAsia" w:eastAsia="宋体" w:cs="Times New Roman"/>
          <w:color w:val="auto"/>
          <w:highlight w:val="none"/>
          <w:lang w:val="en-US" w:eastAsia="zh-CN" w:bidi="ar-SA"/>
        </w:rPr>
        <w:t>九</w:t>
      </w:r>
      <w:r>
        <w:rPr>
          <w:rStyle w:val="63"/>
          <w:rFonts w:hint="eastAsia" w:ascii="Times New Roman" w:hAnsi="Times New Roman" w:eastAsia="宋体" w:cs="Times New Roman"/>
          <w:color w:val="auto"/>
          <w:highlight w:val="none"/>
          <w:lang w:val="zh-CN" w:eastAsia="zh-CN" w:bidi="ar-SA"/>
        </w:rPr>
        <w:t>、招标文件要求及投标人认为有必要提供的其他证明材料</w:t>
      </w:r>
      <w:bookmarkEnd w:id="2295"/>
    </w:p>
    <w:p w14:paraId="303C2013">
      <w:pPr>
        <w:rPr>
          <w:rFonts w:hint="eastAsia" w:eastAsia="宋体"/>
          <w:color w:val="auto"/>
          <w:highlight w:val="none"/>
          <w:lang w:val="en-US" w:eastAsia="zh-CN"/>
        </w:rPr>
      </w:pPr>
      <w:r>
        <w:rPr>
          <w:rFonts w:hint="eastAsia"/>
          <w:color w:val="auto"/>
          <w:highlight w:val="none"/>
          <w:lang w:val="en-US" w:eastAsia="zh-CN"/>
        </w:rPr>
        <w:t>如有</w:t>
      </w:r>
    </w:p>
    <w:p w14:paraId="6C761124">
      <w:pPr>
        <w:rPr>
          <w:rFonts w:hint="eastAsia"/>
          <w:color w:val="auto"/>
          <w:highlight w:val="none"/>
          <w:lang w:val="zh-CN"/>
        </w:rPr>
      </w:pPr>
    </w:p>
    <w:p w14:paraId="2A8018D0">
      <w:pPr>
        <w:rPr>
          <w:color w:val="auto"/>
          <w:highlight w:val="none"/>
          <w:lang w:val="zh-CN"/>
        </w:rPr>
      </w:pPr>
      <w:r>
        <w:rPr>
          <w:rFonts w:hint="eastAsia"/>
          <w:color w:val="auto"/>
          <w:highlight w:val="none"/>
          <w:lang w:val="zh-CN"/>
        </w:rPr>
        <w:t>注：加盖公章或投标专用章或电子签章。</w:t>
      </w:r>
    </w:p>
    <w:p w14:paraId="77940EA4">
      <w:pPr>
        <w:rPr>
          <w:highlight w:val="none"/>
        </w:rPr>
      </w:pPr>
      <w:r>
        <w:rPr>
          <w:highlight w:val="none"/>
        </w:rPr>
        <w:br w:type="page"/>
      </w:r>
    </w:p>
    <w:p w14:paraId="6752476B">
      <w:pPr>
        <w:kinsoku/>
        <w:overflowPunct/>
        <w:bidi w:val="0"/>
        <w:snapToGrid/>
        <w:spacing w:line="312" w:lineRule="auto"/>
        <w:jc w:val="center"/>
        <w:rPr>
          <w:rFonts w:hint="eastAsia" w:ascii="宋体" w:hAnsi="宋体" w:cs="黑体"/>
          <w:b/>
          <w:bCs/>
          <w:color w:val="auto"/>
          <w:kern w:val="0"/>
          <w:sz w:val="44"/>
          <w:szCs w:val="44"/>
          <w:highlight w:val="none"/>
          <w:lang w:val="en-US" w:eastAsia="zh-CN"/>
        </w:rPr>
      </w:pPr>
    </w:p>
    <w:p w14:paraId="00149DF7">
      <w:pPr>
        <w:kinsoku/>
        <w:overflowPunct/>
        <w:bidi w:val="0"/>
        <w:snapToGrid/>
        <w:spacing w:line="312" w:lineRule="auto"/>
        <w:jc w:val="center"/>
        <w:rPr>
          <w:rFonts w:hint="eastAsia" w:ascii="宋体" w:hAnsi="宋体" w:cs="黑体"/>
          <w:b/>
          <w:bCs/>
          <w:color w:val="auto"/>
          <w:kern w:val="0"/>
          <w:sz w:val="44"/>
          <w:szCs w:val="44"/>
          <w:highlight w:val="none"/>
          <w:lang w:val="en-US" w:eastAsia="zh-CN"/>
        </w:rPr>
      </w:pPr>
    </w:p>
    <w:p w14:paraId="2DF225DB">
      <w:pPr>
        <w:kinsoku/>
        <w:overflowPunct/>
        <w:bidi w:val="0"/>
        <w:snapToGrid/>
        <w:spacing w:line="312" w:lineRule="auto"/>
        <w:jc w:val="center"/>
        <w:rPr>
          <w:rFonts w:hint="eastAsia" w:ascii="宋体" w:hAnsi="宋体" w:cs="黑体"/>
          <w:b/>
          <w:bCs/>
          <w:color w:val="auto"/>
          <w:kern w:val="0"/>
          <w:sz w:val="44"/>
          <w:szCs w:val="44"/>
          <w:highlight w:val="none"/>
          <w:lang w:val="en-US" w:eastAsia="zh-CN"/>
        </w:rPr>
      </w:pPr>
    </w:p>
    <w:p w14:paraId="519FFBBE">
      <w:pPr>
        <w:kinsoku/>
        <w:overflowPunct/>
        <w:bidi w:val="0"/>
        <w:snapToGrid/>
        <w:spacing w:line="312" w:lineRule="auto"/>
        <w:jc w:val="center"/>
        <w:rPr>
          <w:rFonts w:hint="eastAsia" w:ascii="宋体" w:hAnsi="宋体" w:eastAsia="宋体" w:cs="宋体"/>
          <w:color w:val="auto"/>
          <w:sz w:val="28"/>
          <w:szCs w:val="28"/>
          <w:highlight w:val="none"/>
          <w:lang w:val="en-US" w:eastAsia="zh-CN"/>
        </w:rPr>
      </w:pPr>
      <w:r>
        <w:rPr>
          <w:rFonts w:hint="eastAsia" w:ascii="宋体" w:hAnsi="宋体" w:cs="黑体"/>
          <w:b/>
          <w:bCs/>
          <w:color w:val="auto"/>
          <w:kern w:val="0"/>
          <w:sz w:val="44"/>
          <w:szCs w:val="44"/>
          <w:highlight w:val="none"/>
          <w:lang w:val="en-US" w:eastAsia="zh-CN"/>
        </w:rPr>
        <w:t>科技公司2025-2026年第一批光伏组件采购框架（二次招标）</w:t>
      </w:r>
    </w:p>
    <w:p w14:paraId="526BC861">
      <w:pPr>
        <w:tabs>
          <w:tab w:val="left" w:pos="2127"/>
        </w:tabs>
        <w:kinsoku/>
        <w:overflowPunct/>
        <w:autoSpaceDE w:val="0"/>
        <w:autoSpaceDN w:val="0"/>
        <w:bidi w:val="0"/>
        <w:adjustRightInd w:val="0"/>
        <w:spacing w:line="360" w:lineRule="auto"/>
        <w:jc w:val="center"/>
        <w:textAlignment w:val="auto"/>
        <w:rPr>
          <w:rFonts w:hint="eastAsia" w:ascii="宋体" w:hAnsi="宋体" w:cs="黑体"/>
          <w:color w:val="auto"/>
          <w:kern w:val="0"/>
          <w:sz w:val="28"/>
          <w:szCs w:val="28"/>
          <w:highlight w:val="none"/>
          <w:u w:val="single"/>
        </w:rPr>
      </w:pPr>
    </w:p>
    <w:p w14:paraId="74ECA9FC">
      <w:pPr>
        <w:tabs>
          <w:tab w:val="left" w:pos="2127"/>
        </w:tabs>
        <w:kinsoku/>
        <w:overflowPunct/>
        <w:autoSpaceDE w:val="0"/>
        <w:autoSpaceDN w:val="0"/>
        <w:bidi w:val="0"/>
        <w:adjustRightInd w:val="0"/>
        <w:spacing w:line="360" w:lineRule="auto"/>
        <w:jc w:val="both"/>
        <w:textAlignment w:val="auto"/>
        <w:rPr>
          <w:rFonts w:ascii="宋体" w:hAnsi="宋体" w:cs="黑体"/>
          <w:color w:val="auto"/>
          <w:kern w:val="0"/>
          <w:sz w:val="28"/>
          <w:szCs w:val="28"/>
          <w:highlight w:val="none"/>
        </w:rPr>
      </w:pPr>
    </w:p>
    <w:p w14:paraId="12EAFCFF">
      <w:pPr>
        <w:tabs>
          <w:tab w:val="left" w:pos="2127"/>
        </w:tabs>
        <w:kinsoku/>
        <w:overflowPunct/>
        <w:autoSpaceDE w:val="0"/>
        <w:autoSpaceDN w:val="0"/>
        <w:bidi w:val="0"/>
        <w:adjustRightInd w:val="0"/>
        <w:spacing w:line="360" w:lineRule="auto"/>
        <w:jc w:val="center"/>
        <w:textAlignment w:val="auto"/>
        <w:outlineLvl w:val="9"/>
        <w:rPr>
          <w:rFonts w:hint="eastAsia" w:ascii="宋体" w:hAnsi="宋体" w:cs="黑体"/>
          <w:b/>
          <w:bCs/>
          <w:color w:val="auto"/>
          <w:kern w:val="0"/>
          <w:sz w:val="44"/>
          <w:szCs w:val="44"/>
          <w:highlight w:val="none"/>
        </w:rPr>
      </w:pPr>
      <w:r>
        <w:rPr>
          <w:rFonts w:hint="eastAsia" w:ascii="宋体" w:hAnsi="宋体" w:cs="黑体"/>
          <w:b/>
          <w:bCs/>
          <w:color w:val="auto"/>
          <w:kern w:val="0"/>
          <w:sz w:val="44"/>
          <w:szCs w:val="44"/>
          <w:highlight w:val="none"/>
          <w:lang w:val="en-US" w:eastAsia="zh-CN"/>
        </w:rPr>
        <w:t>投标</w:t>
      </w:r>
      <w:r>
        <w:rPr>
          <w:rFonts w:hint="eastAsia" w:ascii="宋体" w:hAnsi="宋体" w:cs="黑体"/>
          <w:b/>
          <w:bCs/>
          <w:color w:val="auto"/>
          <w:kern w:val="0"/>
          <w:sz w:val="44"/>
          <w:szCs w:val="44"/>
          <w:highlight w:val="none"/>
        </w:rPr>
        <w:t>文件</w:t>
      </w:r>
    </w:p>
    <w:p w14:paraId="5A4265E1">
      <w:pPr>
        <w:tabs>
          <w:tab w:val="left" w:pos="2127"/>
        </w:tabs>
        <w:kinsoku/>
        <w:overflowPunct/>
        <w:autoSpaceDE w:val="0"/>
        <w:autoSpaceDN w:val="0"/>
        <w:bidi w:val="0"/>
        <w:adjustRightInd w:val="0"/>
        <w:spacing w:line="360" w:lineRule="auto"/>
        <w:jc w:val="center"/>
        <w:textAlignment w:val="auto"/>
        <w:rPr>
          <w:rFonts w:ascii="宋体" w:hAnsi="宋体" w:cs="黑体"/>
          <w:color w:val="auto"/>
          <w:kern w:val="0"/>
          <w:sz w:val="44"/>
          <w:szCs w:val="44"/>
          <w:highlight w:val="none"/>
        </w:rPr>
      </w:pPr>
    </w:p>
    <w:p w14:paraId="6CA757F4">
      <w:pPr>
        <w:tabs>
          <w:tab w:val="left" w:pos="2127"/>
        </w:tabs>
        <w:kinsoku/>
        <w:overflowPunct/>
        <w:autoSpaceDE w:val="0"/>
        <w:autoSpaceDN w:val="0"/>
        <w:bidi w:val="0"/>
        <w:adjustRightInd w:val="0"/>
        <w:spacing w:line="360" w:lineRule="auto"/>
        <w:jc w:val="center"/>
        <w:textAlignment w:val="auto"/>
        <w:outlineLvl w:val="1"/>
        <w:rPr>
          <w:rFonts w:ascii="宋体" w:hAnsi="宋体" w:cs="黑体"/>
          <w:color w:val="auto"/>
          <w:kern w:val="0"/>
          <w:sz w:val="44"/>
          <w:szCs w:val="44"/>
          <w:highlight w:val="none"/>
        </w:rPr>
      </w:pPr>
      <w:bookmarkStart w:id="2296" w:name="_Toc17634"/>
      <w:r>
        <w:rPr>
          <w:rFonts w:hint="eastAsia" w:ascii="宋体" w:hAnsi="宋体" w:cs="黑体"/>
          <w:color w:val="auto"/>
          <w:kern w:val="0"/>
          <w:sz w:val="44"/>
          <w:szCs w:val="44"/>
          <w:highlight w:val="none"/>
          <w:lang w:val="en-US" w:eastAsia="zh-CN"/>
        </w:rPr>
        <w:t>技术</w:t>
      </w:r>
      <w:r>
        <w:rPr>
          <w:rFonts w:hint="eastAsia" w:ascii="宋体" w:hAnsi="宋体" w:cs="黑体"/>
          <w:color w:val="auto"/>
          <w:kern w:val="0"/>
          <w:sz w:val="44"/>
          <w:szCs w:val="44"/>
          <w:highlight w:val="none"/>
        </w:rPr>
        <w:t>投标文件</w:t>
      </w:r>
      <w:bookmarkEnd w:id="2296"/>
    </w:p>
    <w:p w14:paraId="517B94FF">
      <w:pPr>
        <w:tabs>
          <w:tab w:val="left" w:pos="2127"/>
        </w:tabs>
        <w:kinsoku/>
        <w:overflowPunct/>
        <w:autoSpaceDE w:val="0"/>
        <w:autoSpaceDN w:val="0"/>
        <w:bidi w:val="0"/>
        <w:adjustRightInd w:val="0"/>
        <w:spacing w:line="360" w:lineRule="auto"/>
        <w:textAlignment w:val="auto"/>
        <w:rPr>
          <w:rFonts w:ascii="宋体" w:hAnsi="宋体" w:cs="黑体"/>
          <w:color w:val="auto"/>
          <w:kern w:val="0"/>
          <w:sz w:val="44"/>
          <w:szCs w:val="44"/>
          <w:highlight w:val="none"/>
        </w:rPr>
      </w:pPr>
    </w:p>
    <w:p w14:paraId="0CD52726">
      <w:pPr>
        <w:tabs>
          <w:tab w:val="left" w:pos="2127"/>
        </w:tabs>
        <w:kinsoku/>
        <w:overflowPunct/>
        <w:autoSpaceDE w:val="0"/>
        <w:autoSpaceDN w:val="0"/>
        <w:bidi w:val="0"/>
        <w:adjustRightInd w:val="0"/>
        <w:spacing w:line="360" w:lineRule="auto"/>
        <w:jc w:val="center"/>
        <w:textAlignment w:val="auto"/>
        <w:rPr>
          <w:rFonts w:ascii="宋体" w:hAnsi="宋体" w:cs="黑体"/>
          <w:color w:val="auto"/>
          <w:kern w:val="0"/>
          <w:sz w:val="44"/>
          <w:szCs w:val="44"/>
          <w:highlight w:val="none"/>
        </w:rPr>
      </w:pPr>
    </w:p>
    <w:p w14:paraId="16AFC0ED">
      <w:pPr>
        <w:pStyle w:val="17"/>
        <w:kinsoku/>
        <w:overflowPunct/>
        <w:bidi w:val="0"/>
        <w:spacing w:after="0" w:line="360" w:lineRule="auto"/>
        <w:textAlignment w:val="auto"/>
        <w:rPr>
          <w:color w:val="auto"/>
          <w:highlight w:val="none"/>
        </w:rPr>
      </w:pPr>
    </w:p>
    <w:p w14:paraId="1A1CCB45">
      <w:pPr>
        <w:tabs>
          <w:tab w:val="left" w:pos="2127"/>
        </w:tabs>
        <w:kinsoku/>
        <w:overflowPunct/>
        <w:autoSpaceDE w:val="0"/>
        <w:autoSpaceDN w:val="0"/>
        <w:bidi w:val="0"/>
        <w:adjustRightInd w:val="0"/>
        <w:spacing w:line="360" w:lineRule="auto"/>
        <w:jc w:val="both"/>
        <w:textAlignment w:val="auto"/>
        <w:rPr>
          <w:rFonts w:ascii="宋体" w:hAnsi="宋体" w:cs="黑体"/>
          <w:color w:val="auto"/>
          <w:kern w:val="0"/>
          <w:sz w:val="44"/>
          <w:szCs w:val="44"/>
          <w:highlight w:val="none"/>
        </w:rPr>
      </w:pPr>
    </w:p>
    <w:p w14:paraId="131FD0A5">
      <w:pPr>
        <w:tabs>
          <w:tab w:val="left" w:pos="2127"/>
        </w:tabs>
        <w:kinsoku/>
        <w:overflowPunct/>
        <w:autoSpaceDE w:val="0"/>
        <w:autoSpaceDN w:val="0"/>
        <w:bidi w:val="0"/>
        <w:adjustRightInd w:val="0"/>
        <w:spacing w:line="360" w:lineRule="auto"/>
        <w:jc w:val="center"/>
        <w:textAlignment w:val="auto"/>
        <w:rPr>
          <w:rFonts w:hint="eastAsia" w:ascii="宋体" w:hAnsi="宋体" w:cs="黑体"/>
          <w:color w:val="auto"/>
          <w:kern w:val="0"/>
          <w:sz w:val="28"/>
          <w:szCs w:val="28"/>
          <w:highlight w:val="none"/>
        </w:rPr>
      </w:pPr>
    </w:p>
    <w:p w14:paraId="0E6965D8">
      <w:pPr>
        <w:tabs>
          <w:tab w:val="left" w:pos="2127"/>
        </w:tabs>
        <w:kinsoku/>
        <w:overflowPunct/>
        <w:autoSpaceDE w:val="0"/>
        <w:autoSpaceDN w:val="0"/>
        <w:bidi w:val="0"/>
        <w:adjustRightInd w:val="0"/>
        <w:spacing w:line="360" w:lineRule="auto"/>
        <w:jc w:val="center"/>
        <w:textAlignment w:val="auto"/>
        <w:rPr>
          <w:rFonts w:hint="eastAsia" w:ascii="宋体" w:hAnsi="宋体" w:cs="黑体"/>
          <w:color w:val="auto"/>
          <w:kern w:val="0"/>
          <w:sz w:val="28"/>
          <w:szCs w:val="28"/>
          <w:highlight w:val="none"/>
        </w:rPr>
      </w:pPr>
    </w:p>
    <w:p w14:paraId="7948A8A5">
      <w:pPr>
        <w:tabs>
          <w:tab w:val="left" w:pos="2127"/>
        </w:tabs>
        <w:kinsoku/>
        <w:overflowPunct/>
        <w:autoSpaceDE w:val="0"/>
        <w:autoSpaceDN w:val="0"/>
        <w:bidi w:val="0"/>
        <w:adjustRightInd w:val="0"/>
        <w:spacing w:line="360" w:lineRule="auto"/>
        <w:jc w:val="center"/>
        <w:textAlignment w:val="auto"/>
        <w:rPr>
          <w:rFonts w:ascii="宋体" w:hAnsi="宋体" w:cs="黑体"/>
          <w:color w:val="auto"/>
          <w:kern w:val="0"/>
          <w:sz w:val="28"/>
          <w:szCs w:val="28"/>
          <w:highlight w:val="none"/>
        </w:rPr>
      </w:pPr>
      <w:r>
        <w:rPr>
          <w:rFonts w:hint="eastAsia" w:ascii="宋体" w:hAnsi="宋体" w:cs="黑体"/>
          <w:color w:val="auto"/>
          <w:kern w:val="0"/>
          <w:sz w:val="28"/>
          <w:szCs w:val="28"/>
          <w:highlight w:val="none"/>
        </w:rPr>
        <w:t>投标人名称：</w:t>
      </w: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（公章或投标专用章或电子签章）</w:t>
      </w:r>
    </w:p>
    <w:p w14:paraId="62075871">
      <w:pPr>
        <w:tabs>
          <w:tab w:val="left" w:pos="2127"/>
        </w:tabs>
        <w:kinsoku/>
        <w:overflowPunct/>
        <w:autoSpaceDE w:val="0"/>
        <w:autoSpaceDN w:val="0"/>
        <w:bidi w:val="0"/>
        <w:adjustRightInd w:val="0"/>
        <w:spacing w:line="360" w:lineRule="auto"/>
        <w:jc w:val="center"/>
        <w:textAlignment w:val="auto"/>
        <w:rPr>
          <w:rFonts w:ascii="宋体" w:hAnsi="宋体" w:cs="黑体"/>
          <w:color w:val="auto"/>
          <w:kern w:val="0"/>
          <w:sz w:val="28"/>
          <w:szCs w:val="28"/>
          <w:highlight w:val="none"/>
        </w:rPr>
      </w:pP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年</w:t>
      </w: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月</w:t>
      </w: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日</w:t>
      </w:r>
    </w:p>
    <w:p w14:paraId="615567BD">
      <w:pPr>
        <w:rPr>
          <w:b/>
          <w:color w:val="auto"/>
          <w:szCs w:val="21"/>
          <w:highlight w:val="none"/>
          <w:shd w:val="clear" w:color="auto" w:fill="FFFFFF"/>
        </w:rPr>
      </w:pPr>
    </w:p>
    <w:p w14:paraId="0BDEEF41">
      <w:pPr>
        <w:rPr>
          <w:b/>
          <w:color w:val="auto"/>
          <w:szCs w:val="21"/>
          <w:highlight w:val="none"/>
          <w:shd w:val="clear" w:color="auto" w:fill="FFFFFF"/>
        </w:rPr>
      </w:pPr>
    </w:p>
    <w:p w14:paraId="659013D7">
      <w:pPr>
        <w:rPr>
          <w:rFonts w:hint="eastAsia" w:ascii="宋体" w:hAnsi="宋体" w:cs="黑体"/>
          <w:color w:val="auto"/>
          <w:kern w:val="0"/>
          <w:sz w:val="28"/>
          <w:szCs w:val="28"/>
          <w:highlight w:val="none"/>
          <w:u w:val="single"/>
        </w:rPr>
      </w:pPr>
      <w:r>
        <w:rPr>
          <w:rFonts w:hint="eastAsia" w:ascii="宋体" w:hAnsi="宋体" w:cs="黑体"/>
          <w:color w:val="auto"/>
          <w:kern w:val="0"/>
          <w:sz w:val="28"/>
          <w:szCs w:val="28"/>
          <w:highlight w:val="none"/>
          <w:u w:val="single"/>
        </w:rPr>
        <w:br w:type="page"/>
      </w:r>
    </w:p>
    <w:p w14:paraId="567E2CD0">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b/>
          <w:bCs/>
          <w:color w:val="auto"/>
          <w:sz w:val="32"/>
          <w:szCs w:val="28"/>
          <w:highlight w:val="none"/>
          <w:lang w:eastAsia="zh-CN"/>
        </w:rPr>
      </w:pPr>
      <w:bookmarkStart w:id="2297" w:name="_Toc20336"/>
      <w:bookmarkStart w:id="2298" w:name="_Toc15617"/>
      <w:bookmarkStart w:id="2299" w:name="_Toc26319"/>
      <w:r>
        <w:rPr>
          <w:rFonts w:hint="eastAsia" w:eastAsia="宋体"/>
          <w:b/>
          <w:bCs/>
          <w:color w:val="auto"/>
          <w:sz w:val="32"/>
          <w:szCs w:val="28"/>
          <w:highlight w:val="none"/>
          <w:lang w:eastAsia="zh-CN"/>
        </w:rPr>
        <w:t>目录</w:t>
      </w:r>
    </w:p>
    <w:p w14:paraId="75D7BF56">
      <w:pPr>
        <w:pStyle w:val="44"/>
        <w:ind w:left="0" w:leftChars="0" w:firstLine="0" w:firstLineChars="0"/>
        <w:jc w:val="center"/>
        <w:rPr>
          <w:rFonts w:hint="eastAsia"/>
          <w:i/>
          <w:iCs/>
          <w:sz w:val="13"/>
          <w:szCs w:val="16"/>
          <w:highlight w:val="none"/>
          <w:lang w:eastAsia="zh-CN"/>
        </w:rPr>
      </w:pPr>
      <w:r>
        <w:rPr>
          <w:rFonts w:hint="eastAsia"/>
          <w:b/>
          <w:bCs/>
          <w:i/>
          <w:iCs/>
          <w:color w:val="auto"/>
          <w:sz w:val="20"/>
          <w:szCs w:val="18"/>
          <w:highlight w:val="none"/>
          <w:lang w:eastAsia="zh-CN"/>
        </w:rPr>
        <w:t>（格式自拟）</w:t>
      </w:r>
    </w:p>
    <w:p w14:paraId="24FD34C5">
      <w:pPr>
        <w:rPr>
          <w:rFonts w:hint="eastAsia"/>
          <w:color w:val="auto"/>
          <w:highlight w:val="none"/>
        </w:rPr>
      </w:pPr>
      <w:r>
        <w:rPr>
          <w:rFonts w:hint="eastAsia"/>
          <w:color w:val="auto"/>
          <w:highlight w:val="none"/>
        </w:rPr>
        <w:br w:type="page"/>
      </w:r>
    </w:p>
    <w:p w14:paraId="1BF3CEDB">
      <w:pPr>
        <w:pStyle w:val="5"/>
        <w:kinsoku/>
        <w:overflowPunct/>
        <w:bidi w:val="0"/>
        <w:spacing w:before="0" w:after="0" w:line="360" w:lineRule="auto"/>
        <w:textAlignment w:val="auto"/>
        <w:rPr>
          <w:rFonts w:hint="eastAsia" w:eastAsia="宋体"/>
          <w:color w:val="auto"/>
          <w:szCs w:val="24"/>
          <w:highlight w:val="none"/>
          <w:lang w:eastAsia="zh-CN"/>
        </w:rPr>
      </w:pPr>
      <w:r>
        <w:rPr>
          <w:rFonts w:hint="eastAsia"/>
          <w:color w:val="auto"/>
          <w:highlight w:val="none"/>
          <w:lang w:val="en-US" w:eastAsia="zh-CN"/>
        </w:rPr>
        <w:t>一、</w:t>
      </w:r>
      <w:r>
        <w:rPr>
          <w:rFonts w:hint="eastAsia"/>
          <w:color w:val="auto"/>
          <w:szCs w:val="24"/>
          <w:highlight w:val="none"/>
        </w:rPr>
        <w:t>投标偏差表</w:t>
      </w:r>
      <w:bookmarkEnd w:id="2297"/>
      <w:bookmarkEnd w:id="2298"/>
      <w:r>
        <w:rPr>
          <w:rFonts w:hint="eastAsia"/>
          <w:color w:val="auto"/>
          <w:szCs w:val="24"/>
          <w:highlight w:val="none"/>
          <w:lang w:eastAsia="zh-CN"/>
        </w:rPr>
        <w:t>（</w:t>
      </w:r>
      <w:r>
        <w:rPr>
          <w:rFonts w:hint="eastAsia"/>
          <w:color w:val="auto"/>
          <w:szCs w:val="24"/>
          <w:highlight w:val="none"/>
          <w:lang w:val="en-US" w:eastAsia="zh-CN"/>
        </w:rPr>
        <w:t>技术</w:t>
      </w:r>
      <w:r>
        <w:rPr>
          <w:rFonts w:hint="eastAsia"/>
          <w:color w:val="auto"/>
          <w:szCs w:val="24"/>
          <w:highlight w:val="none"/>
          <w:lang w:eastAsia="zh-CN"/>
        </w:rPr>
        <w:t>）</w:t>
      </w:r>
      <w:bookmarkEnd w:id="2299"/>
    </w:p>
    <w:p w14:paraId="64095C1F">
      <w:pPr>
        <w:kinsoku/>
        <w:overflowPunct/>
        <w:bidi w:val="0"/>
        <w:spacing w:line="360" w:lineRule="auto"/>
        <w:rPr>
          <w:rFonts w:hint="eastAsia" w:ascii="宋体" w:hAnsi="宋体" w:cs="宋体"/>
          <w:color w:val="auto"/>
          <w:szCs w:val="21"/>
          <w:highlight w:val="none"/>
        </w:rPr>
      </w:pPr>
    </w:p>
    <w:p w14:paraId="2324DC0E">
      <w:pPr>
        <w:kinsoku/>
        <w:overflowPunct/>
        <w:bidi w:val="0"/>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lang w:eastAsia="zh-CN"/>
        </w:rPr>
        <w:t>科技公司2025-2026年第一批光伏组件采购框架（二次招标）</w:t>
      </w:r>
    </w:p>
    <w:p w14:paraId="03854FFE">
      <w:pPr>
        <w:kinsoku/>
        <w:overflowPunct/>
        <w:bidi w:val="0"/>
        <w:spacing w:line="360" w:lineRule="auto"/>
        <w:rPr>
          <w:rFonts w:hint="eastAsia" w:ascii="宋体" w:hAnsi="宋体" w:eastAsia="宋体" w:cs="宋体"/>
          <w:color w:val="auto"/>
          <w:szCs w:val="21"/>
          <w:highlight w:val="none"/>
          <w:lang w:val="en-US" w:eastAsia="zh-CN"/>
        </w:rPr>
      </w:pPr>
      <w:r>
        <w:rPr>
          <w:rFonts w:hint="eastAsia" w:hAnsi="宋体"/>
          <w:color w:val="auto"/>
          <w:highlight w:val="none"/>
          <w:u w:val="none"/>
          <w:lang w:eastAsia="zh-CN"/>
        </w:rPr>
        <w:t>标段名称：</w:t>
      </w:r>
      <w:r>
        <w:rPr>
          <w:rFonts w:hint="eastAsia" w:hAnsi="宋体"/>
          <w:color w:val="auto"/>
          <w:highlight w:val="none"/>
          <w:u w:val="single"/>
          <w:lang w:eastAsia="zh-CN"/>
        </w:rPr>
        <w:t>科技公司2025-2026年第一批光伏组件采购框架（二次招标）</w:t>
      </w:r>
    </w:p>
    <w:tbl>
      <w:tblPr>
        <w:tblStyle w:val="46"/>
        <w:tblW w:w="107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917"/>
        <w:gridCol w:w="1929"/>
        <w:gridCol w:w="2180"/>
        <w:gridCol w:w="1983"/>
        <w:gridCol w:w="1822"/>
      </w:tblGrid>
      <w:tr w14:paraId="5806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jc w:val="center"/>
        </w:trPr>
        <w:tc>
          <w:tcPr>
            <w:tcW w:w="898" w:type="dxa"/>
            <w:tcBorders>
              <w:top w:val="single" w:color="auto" w:sz="4" w:space="0"/>
              <w:left w:val="single" w:color="auto" w:sz="4" w:space="0"/>
              <w:bottom w:val="single" w:color="auto" w:sz="4" w:space="0"/>
              <w:right w:val="single" w:color="auto" w:sz="4" w:space="0"/>
            </w:tcBorders>
            <w:noWrap w:val="0"/>
            <w:vAlign w:val="center"/>
          </w:tcPr>
          <w:p w14:paraId="4485B358">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FEF5083">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lang w:val="en-US" w:eastAsia="zh-CN"/>
              </w:rPr>
              <w:t>招标</w:t>
            </w:r>
            <w:r>
              <w:rPr>
                <w:rFonts w:hint="eastAsia" w:ascii="宋体" w:hAnsi="宋体" w:cs="宋体"/>
                <w:color w:val="auto"/>
                <w:szCs w:val="21"/>
                <w:highlight w:val="none"/>
              </w:rPr>
              <w:t>文件条目号</w:t>
            </w:r>
          </w:p>
        </w:tc>
        <w:tc>
          <w:tcPr>
            <w:tcW w:w="1929" w:type="dxa"/>
            <w:tcBorders>
              <w:top w:val="single" w:color="auto" w:sz="4" w:space="0"/>
              <w:left w:val="single" w:color="auto" w:sz="4" w:space="0"/>
              <w:bottom w:val="single" w:color="auto" w:sz="4" w:space="0"/>
              <w:right w:val="single" w:color="auto" w:sz="4" w:space="0"/>
            </w:tcBorders>
            <w:noWrap w:val="0"/>
            <w:vAlign w:val="center"/>
          </w:tcPr>
          <w:p w14:paraId="5EF8D11F">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lang w:val="en-US" w:eastAsia="zh-CN"/>
              </w:rPr>
              <w:t>招标</w:t>
            </w:r>
            <w:r>
              <w:rPr>
                <w:rFonts w:hint="eastAsia" w:ascii="宋体" w:hAnsi="宋体" w:cs="宋体"/>
                <w:color w:val="auto"/>
                <w:szCs w:val="21"/>
                <w:highlight w:val="none"/>
              </w:rPr>
              <w:t>文件条款</w:t>
            </w:r>
          </w:p>
        </w:tc>
        <w:tc>
          <w:tcPr>
            <w:tcW w:w="2180" w:type="dxa"/>
            <w:tcBorders>
              <w:top w:val="single" w:color="auto" w:sz="4" w:space="0"/>
              <w:left w:val="single" w:color="auto" w:sz="4" w:space="0"/>
              <w:bottom w:val="single" w:color="auto" w:sz="4" w:space="0"/>
              <w:right w:val="single" w:color="auto" w:sz="4" w:space="0"/>
            </w:tcBorders>
            <w:noWrap w:val="0"/>
            <w:vAlign w:val="center"/>
          </w:tcPr>
          <w:p w14:paraId="69F3D6F4">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olor w:val="auto"/>
                <w:highlight w:val="none"/>
                <w:lang w:val="en-US" w:eastAsia="zh-CN"/>
              </w:rPr>
              <w:t>投标</w:t>
            </w:r>
            <w:r>
              <w:rPr>
                <w:rFonts w:hint="eastAsia" w:ascii="宋体" w:hAnsi="宋体"/>
                <w:color w:val="auto"/>
                <w:highlight w:val="none"/>
              </w:rPr>
              <w:t>文件</w:t>
            </w:r>
            <w:r>
              <w:rPr>
                <w:rFonts w:hint="eastAsia" w:ascii="宋体" w:hAnsi="宋体" w:cs="宋体"/>
                <w:color w:val="auto"/>
                <w:szCs w:val="21"/>
                <w:highlight w:val="none"/>
              </w:rPr>
              <w:t>条目号</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17059438">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olor w:val="auto"/>
                <w:highlight w:val="none"/>
                <w:lang w:val="en-US" w:eastAsia="zh-CN"/>
              </w:rPr>
              <w:t>投标</w:t>
            </w:r>
            <w:r>
              <w:rPr>
                <w:rFonts w:hint="eastAsia" w:ascii="宋体" w:hAnsi="宋体"/>
                <w:color w:val="auto"/>
                <w:highlight w:val="none"/>
              </w:rPr>
              <w:t>文件</w:t>
            </w:r>
            <w:r>
              <w:rPr>
                <w:rFonts w:hint="eastAsia" w:ascii="宋体" w:hAnsi="宋体" w:cs="宋体"/>
                <w:color w:val="auto"/>
                <w:szCs w:val="21"/>
                <w:highlight w:val="none"/>
              </w:rPr>
              <w:t>条款</w:t>
            </w:r>
          </w:p>
        </w:tc>
        <w:tc>
          <w:tcPr>
            <w:tcW w:w="1822" w:type="dxa"/>
            <w:tcBorders>
              <w:top w:val="single" w:color="auto" w:sz="4" w:space="0"/>
              <w:left w:val="single" w:color="auto" w:sz="4" w:space="0"/>
              <w:bottom w:val="single" w:color="auto" w:sz="4" w:space="0"/>
              <w:right w:val="single" w:color="auto" w:sz="4" w:space="0"/>
            </w:tcBorders>
            <w:noWrap w:val="0"/>
            <w:vAlign w:val="center"/>
          </w:tcPr>
          <w:p w14:paraId="157FA2B3">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偏差说明</w:t>
            </w:r>
          </w:p>
        </w:tc>
      </w:tr>
      <w:tr w14:paraId="76D1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8" w:type="dxa"/>
            <w:tcBorders>
              <w:top w:val="single" w:color="auto" w:sz="4" w:space="0"/>
              <w:left w:val="single" w:color="auto" w:sz="4" w:space="0"/>
              <w:bottom w:val="single" w:color="auto" w:sz="4" w:space="0"/>
              <w:right w:val="single" w:color="auto" w:sz="4" w:space="0"/>
            </w:tcBorders>
            <w:noWrap w:val="0"/>
            <w:vAlign w:val="center"/>
          </w:tcPr>
          <w:p w14:paraId="19023471">
            <w:pPr>
              <w:kinsoku/>
              <w:overflowPunct/>
              <w:autoSpaceDE w:val="0"/>
              <w:autoSpaceDN w:val="0"/>
              <w:bidi w:val="0"/>
              <w:adjustRightIn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CEBCB3E">
            <w:pPr>
              <w:kinsoku/>
              <w:overflowPunct/>
              <w:autoSpaceDE w:val="0"/>
              <w:autoSpaceDN w:val="0"/>
              <w:bidi w:val="0"/>
              <w:adjustRightInd w:val="0"/>
              <w:spacing w:line="360" w:lineRule="auto"/>
              <w:jc w:val="center"/>
              <w:rPr>
                <w:rFonts w:ascii="宋体" w:hAnsi="宋体" w:cs="宋体"/>
                <w:color w:val="auto"/>
                <w:szCs w:val="21"/>
                <w:highlight w:val="none"/>
              </w:rPr>
            </w:pPr>
          </w:p>
        </w:tc>
        <w:tc>
          <w:tcPr>
            <w:tcW w:w="1929" w:type="dxa"/>
            <w:tcBorders>
              <w:top w:val="single" w:color="auto" w:sz="4" w:space="0"/>
              <w:left w:val="single" w:color="auto" w:sz="4" w:space="0"/>
              <w:bottom w:val="single" w:color="auto" w:sz="4" w:space="0"/>
              <w:right w:val="single" w:color="auto" w:sz="4" w:space="0"/>
            </w:tcBorders>
            <w:noWrap w:val="0"/>
            <w:vAlign w:val="center"/>
          </w:tcPr>
          <w:p w14:paraId="6261EC87">
            <w:pPr>
              <w:kinsoku/>
              <w:overflowPunct/>
              <w:autoSpaceDE w:val="0"/>
              <w:autoSpaceDN w:val="0"/>
              <w:bidi w:val="0"/>
              <w:adjustRightInd w:val="0"/>
              <w:spacing w:line="360" w:lineRule="auto"/>
              <w:jc w:val="center"/>
              <w:rPr>
                <w:rFonts w:ascii="宋体" w:hAnsi="宋体" w:cs="宋体"/>
                <w:color w:val="auto"/>
                <w:szCs w:val="21"/>
                <w:highlight w:val="none"/>
              </w:rPr>
            </w:pPr>
          </w:p>
        </w:tc>
        <w:tc>
          <w:tcPr>
            <w:tcW w:w="2180" w:type="dxa"/>
            <w:tcBorders>
              <w:top w:val="single" w:color="auto" w:sz="4" w:space="0"/>
              <w:left w:val="single" w:color="auto" w:sz="4" w:space="0"/>
              <w:bottom w:val="single" w:color="auto" w:sz="4" w:space="0"/>
              <w:right w:val="single" w:color="auto" w:sz="4" w:space="0"/>
            </w:tcBorders>
            <w:noWrap w:val="0"/>
            <w:vAlign w:val="center"/>
          </w:tcPr>
          <w:p w14:paraId="52F0B3E4">
            <w:pPr>
              <w:kinsoku/>
              <w:overflowPunct/>
              <w:autoSpaceDE w:val="0"/>
              <w:autoSpaceDN w:val="0"/>
              <w:bidi w:val="0"/>
              <w:adjustRightInd w:val="0"/>
              <w:spacing w:line="360" w:lineRule="auto"/>
              <w:jc w:val="center"/>
              <w:rPr>
                <w:rFonts w:ascii="宋体" w:hAnsi="宋体" w:cs="宋体"/>
                <w:color w:val="auto"/>
                <w:szCs w:val="21"/>
                <w:highlight w:val="none"/>
              </w:rPr>
            </w:pPr>
          </w:p>
        </w:tc>
        <w:tc>
          <w:tcPr>
            <w:tcW w:w="1983" w:type="dxa"/>
            <w:tcBorders>
              <w:top w:val="single" w:color="auto" w:sz="4" w:space="0"/>
              <w:left w:val="single" w:color="auto" w:sz="4" w:space="0"/>
              <w:bottom w:val="single" w:color="auto" w:sz="4" w:space="0"/>
              <w:right w:val="single" w:color="auto" w:sz="4" w:space="0"/>
            </w:tcBorders>
            <w:noWrap w:val="0"/>
            <w:vAlign w:val="center"/>
          </w:tcPr>
          <w:p w14:paraId="3D058A18">
            <w:pPr>
              <w:kinsoku/>
              <w:overflowPunct/>
              <w:autoSpaceDE w:val="0"/>
              <w:autoSpaceDN w:val="0"/>
              <w:bidi w:val="0"/>
              <w:adjustRightInd w:val="0"/>
              <w:spacing w:line="360" w:lineRule="auto"/>
              <w:jc w:val="center"/>
              <w:rPr>
                <w:rFonts w:ascii="宋体" w:hAnsi="宋体" w:cs="宋体"/>
                <w:color w:val="auto"/>
                <w:szCs w:val="21"/>
                <w:highlight w:val="none"/>
              </w:rPr>
            </w:pPr>
          </w:p>
        </w:tc>
        <w:tc>
          <w:tcPr>
            <w:tcW w:w="1822" w:type="dxa"/>
            <w:tcBorders>
              <w:top w:val="single" w:color="auto" w:sz="4" w:space="0"/>
              <w:left w:val="single" w:color="auto" w:sz="4" w:space="0"/>
              <w:bottom w:val="single" w:color="auto" w:sz="4" w:space="0"/>
              <w:right w:val="single" w:color="auto" w:sz="4" w:space="0"/>
            </w:tcBorders>
            <w:noWrap w:val="0"/>
            <w:vAlign w:val="center"/>
          </w:tcPr>
          <w:p w14:paraId="1A8735E2">
            <w:pPr>
              <w:kinsoku/>
              <w:overflowPunct/>
              <w:autoSpaceDE w:val="0"/>
              <w:autoSpaceDN w:val="0"/>
              <w:bidi w:val="0"/>
              <w:adjustRightInd w:val="0"/>
              <w:spacing w:line="360" w:lineRule="auto"/>
              <w:jc w:val="center"/>
              <w:rPr>
                <w:rFonts w:ascii="宋体" w:hAnsi="宋体" w:cs="宋体"/>
                <w:color w:val="auto"/>
                <w:szCs w:val="21"/>
                <w:highlight w:val="none"/>
              </w:rPr>
            </w:pPr>
          </w:p>
        </w:tc>
      </w:tr>
      <w:tr w14:paraId="02FDA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8" w:type="dxa"/>
            <w:tcBorders>
              <w:top w:val="single" w:color="auto" w:sz="4" w:space="0"/>
              <w:left w:val="single" w:color="auto" w:sz="4" w:space="0"/>
              <w:bottom w:val="single" w:color="auto" w:sz="4" w:space="0"/>
              <w:right w:val="single" w:color="auto" w:sz="4" w:space="0"/>
            </w:tcBorders>
            <w:noWrap w:val="0"/>
            <w:vAlign w:val="center"/>
          </w:tcPr>
          <w:p w14:paraId="5A59D691">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D616EDA">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929" w:type="dxa"/>
            <w:tcBorders>
              <w:top w:val="single" w:color="auto" w:sz="4" w:space="0"/>
              <w:left w:val="single" w:color="auto" w:sz="4" w:space="0"/>
              <w:bottom w:val="single" w:color="auto" w:sz="4" w:space="0"/>
              <w:right w:val="single" w:color="auto" w:sz="4" w:space="0"/>
            </w:tcBorders>
            <w:noWrap w:val="0"/>
            <w:vAlign w:val="center"/>
          </w:tcPr>
          <w:p w14:paraId="7673FDCC">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2180" w:type="dxa"/>
            <w:tcBorders>
              <w:top w:val="single" w:color="auto" w:sz="4" w:space="0"/>
              <w:left w:val="single" w:color="auto" w:sz="4" w:space="0"/>
              <w:bottom w:val="single" w:color="auto" w:sz="4" w:space="0"/>
              <w:right w:val="single" w:color="auto" w:sz="4" w:space="0"/>
            </w:tcBorders>
            <w:noWrap w:val="0"/>
            <w:vAlign w:val="center"/>
          </w:tcPr>
          <w:p w14:paraId="63B18D6B">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44564D7D">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822" w:type="dxa"/>
            <w:tcBorders>
              <w:top w:val="single" w:color="auto" w:sz="4" w:space="0"/>
              <w:left w:val="single" w:color="auto" w:sz="4" w:space="0"/>
              <w:bottom w:val="single" w:color="auto" w:sz="4" w:space="0"/>
              <w:right w:val="single" w:color="auto" w:sz="4" w:space="0"/>
            </w:tcBorders>
            <w:noWrap w:val="0"/>
            <w:vAlign w:val="center"/>
          </w:tcPr>
          <w:p w14:paraId="641C9DED">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r>
    </w:tbl>
    <w:p w14:paraId="7FB878C6">
      <w:pPr>
        <w:kinsoku/>
        <w:overflowPunct/>
        <w:autoSpaceDE w:val="0"/>
        <w:autoSpaceDN w:val="0"/>
        <w:bidi w:val="0"/>
        <w:adjustRightInd w:val="0"/>
        <w:spacing w:line="360" w:lineRule="auto"/>
        <w:rPr>
          <w:rFonts w:ascii="宋体" w:hAnsi="宋体" w:cs="宋体"/>
          <w:color w:val="auto"/>
          <w:szCs w:val="21"/>
          <w:highlight w:val="none"/>
        </w:rPr>
      </w:pPr>
      <w:r>
        <w:rPr>
          <w:rFonts w:hint="eastAsia" w:ascii="宋体" w:hAnsi="宋体" w:cs="宋体"/>
          <w:color w:val="auto"/>
          <w:szCs w:val="21"/>
          <w:highlight w:val="none"/>
        </w:rPr>
        <w:t>注：差异无论多么微小，均须填写在此表上。对于</w:t>
      </w: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提出的但未在</w:t>
      </w:r>
      <w:r>
        <w:rPr>
          <w:rFonts w:hint="eastAsia"/>
          <w:color w:val="auto"/>
          <w:highlight w:val="none"/>
          <w:lang w:val="en-US" w:eastAsia="zh-CN"/>
        </w:rPr>
        <w:t>投标</w:t>
      </w:r>
      <w:r>
        <w:rPr>
          <w:rFonts w:hint="eastAsia"/>
          <w:color w:val="auto"/>
          <w:highlight w:val="none"/>
        </w:rPr>
        <w:t>偏差表</w:t>
      </w:r>
      <w:r>
        <w:rPr>
          <w:rFonts w:hint="eastAsia" w:ascii="宋体" w:hAnsi="宋体" w:cs="宋体"/>
          <w:color w:val="auto"/>
          <w:szCs w:val="21"/>
          <w:highlight w:val="none"/>
        </w:rPr>
        <w:t>列明的偏差部分，</w:t>
      </w:r>
      <w:r>
        <w:rPr>
          <w:rFonts w:hint="eastAsia" w:ascii="宋体" w:hAnsi="宋体" w:cs="宋体"/>
          <w:color w:val="auto"/>
          <w:szCs w:val="21"/>
          <w:highlight w:val="none"/>
          <w:lang w:val="en-US" w:eastAsia="zh-CN"/>
        </w:rPr>
        <w:t>招标人</w:t>
      </w:r>
      <w:r>
        <w:rPr>
          <w:rFonts w:hint="eastAsia" w:ascii="宋体" w:hAnsi="宋体" w:cs="宋体"/>
          <w:color w:val="auto"/>
          <w:szCs w:val="21"/>
          <w:highlight w:val="none"/>
        </w:rPr>
        <w:t>将视为</w:t>
      </w: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未提出该偏差。</w:t>
      </w:r>
    </w:p>
    <w:p w14:paraId="7AFFDFA7">
      <w:pPr>
        <w:kinsoku/>
        <w:overflowPunct/>
        <w:bidi w:val="0"/>
        <w:spacing w:line="360" w:lineRule="auto"/>
        <w:ind w:firstLine="3885" w:firstLineChars="1850"/>
        <w:rPr>
          <w:rFonts w:hint="eastAsia" w:ascii="宋体" w:hAnsi="宋体" w:cs="宋体"/>
          <w:color w:val="auto"/>
          <w:szCs w:val="21"/>
          <w:highlight w:val="none"/>
        </w:rPr>
      </w:pPr>
    </w:p>
    <w:p w14:paraId="22F109FF">
      <w:pPr>
        <w:ind w:firstLine="3885" w:firstLineChars="1850"/>
        <w:outlineLvl w:val="9"/>
        <w:rPr>
          <w:rFonts w:ascii="宋体" w:hAnsi="宋体" w:cs="宋体"/>
          <w:color w:val="auto"/>
          <w:szCs w:val="21"/>
          <w:highlight w:val="none"/>
          <w:u w:val="single"/>
        </w:rPr>
      </w:pP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名称（公章或投标专用章或电子签章）：</w:t>
      </w:r>
      <w:r>
        <w:rPr>
          <w:rFonts w:hint="eastAsia" w:ascii="宋体" w:hAnsi="宋体" w:cs="宋体"/>
          <w:color w:val="auto"/>
          <w:szCs w:val="21"/>
          <w:highlight w:val="none"/>
          <w:u w:val="single"/>
        </w:rPr>
        <w:t xml:space="preserve">                                   </w:t>
      </w:r>
    </w:p>
    <w:p w14:paraId="1B8FA406">
      <w:pPr>
        <w:ind w:firstLine="3885" w:firstLineChars="1850"/>
        <w:outlineLvl w:val="9"/>
        <w:rPr>
          <w:rFonts w:ascii="宋体" w:hAnsi="宋体" w:cs="宋体"/>
          <w:color w:val="auto"/>
          <w:szCs w:val="21"/>
          <w:highlight w:val="none"/>
          <w:u w:val="single"/>
        </w:rPr>
      </w:pPr>
    </w:p>
    <w:p w14:paraId="574CBDE7">
      <w:pPr>
        <w:kinsoku/>
        <w:overflowPunct/>
        <w:bidi w:val="0"/>
        <w:spacing w:line="360" w:lineRule="auto"/>
        <w:jc w:val="right"/>
        <w:outlineLvl w:val="9"/>
        <w:rPr>
          <w:rFonts w:hint="eastAsia" w:ascii="宋体" w:hAnsi="宋体" w:cs="宋体"/>
          <w:color w:val="auto"/>
          <w:szCs w:val="21"/>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1FB2D93">
      <w:pPr>
        <w:rPr>
          <w:b/>
          <w:color w:val="auto"/>
          <w:szCs w:val="21"/>
          <w:highlight w:val="none"/>
          <w:shd w:val="clear" w:color="auto" w:fill="FFFFFF"/>
        </w:rPr>
      </w:pPr>
    </w:p>
    <w:p w14:paraId="760116FB">
      <w:pPr>
        <w:rPr>
          <w:b/>
          <w:color w:val="auto"/>
          <w:szCs w:val="21"/>
          <w:highlight w:val="none"/>
          <w:shd w:val="clear" w:color="auto" w:fill="FFFFFF"/>
        </w:rPr>
      </w:pPr>
    </w:p>
    <w:p w14:paraId="05D3B7B6">
      <w:pPr>
        <w:rPr>
          <w:rFonts w:hint="eastAsia" w:ascii="宋体" w:hAnsi="宋体" w:cs="宋体"/>
          <w:color w:val="auto"/>
          <w:szCs w:val="21"/>
          <w:highlight w:val="none"/>
        </w:rPr>
      </w:pPr>
      <w:r>
        <w:rPr>
          <w:rFonts w:hint="eastAsia" w:ascii="宋体" w:hAnsi="宋体" w:cs="宋体"/>
          <w:color w:val="auto"/>
          <w:szCs w:val="21"/>
          <w:highlight w:val="none"/>
        </w:rPr>
        <w:br w:type="page"/>
      </w:r>
    </w:p>
    <w:p w14:paraId="58D5311C">
      <w:pPr>
        <w:pStyle w:val="5"/>
        <w:numPr>
          <w:ilvl w:val="0"/>
          <w:numId w:val="13"/>
        </w:numPr>
        <w:kinsoku/>
        <w:overflowPunct/>
        <w:bidi w:val="0"/>
        <w:spacing w:before="0" w:after="0" w:line="360" w:lineRule="auto"/>
        <w:textAlignment w:val="auto"/>
        <w:rPr>
          <w:rFonts w:hint="eastAsia" w:ascii="宋体" w:hAnsi="宋体" w:eastAsia="宋体" w:cs="宋体"/>
          <w:color w:val="auto"/>
          <w:szCs w:val="24"/>
          <w:highlight w:val="none"/>
          <w:lang w:val="en-US"/>
        </w:rPr>
      </w:pPr>
      <w:bookmarkStart w:id="2300" w:name="_Toc26685"/>
      <w:r>
        <w:rPr>
          <w:rFonts w:hint="eastAsia" w:ascii="宋体" w:hAnsi="宋体" w:eastAsia="宋体" w:cs="宋体"/>
          <w:color w:val="auto"/>
          <w:szCs w:val="24"/>
          <w:highlight w:val="none"/>
          <w:lang w:val="en-US"/>
        </w:rPr>
        <w:t>技术评分条款相关证明材料</w:t>
      </w:r>
      <w:bookmarkEnd w:id="2300"/>
    </w:p>
    <w:p w14:paraId="25B5C0BF">
      <w:pPr>
        <w:numPr>
          <w:ilvl w:val="0"/>
          <w:numId w:val="14"/>
        </w:numPr>
        <w:kinsoku/>
        <w:overflowPunct/>
        <w:bidi w:val="0"/>
        <w:spacing w:line="360" w:lineRule="auto"/>
        <w:ind w:left="0" w:leftChars="0" w:firstLine="0" w:firstLineChars="0"/>
        <w:jc w:val="left"/>
        <w:outlineLvl w:val="3"/>
        <w:rPr>
          <w:rFonts w:hint="eastAsia" w:ascii="宋体" w:hAnsi="宋体" w:eastAsia="宋体" w:cs="宋体"/>
          <w:b/>
          <w:bCs/>
          <w:color w:val="auto"/>
          <w:sz w:val="24"/>
          <w:szCs w:val="24"/>
          <w:highlight w:val="none"/>
          <w:lang w:val="en-US" w:eastAsia="zh-CN"/>
        </w:rPr>
      </w:pPr>
      <w:bookmarkStart w:id="2301" w:name="_Toc8321"/>
      <w:bookmarkStart w:id="2302" w:name="_Toc26085"/>
      <w:bookmarkStart w:id="2303" w:name="_Toc25494"/>
      <w:bookmarkStart w:id="2304" w:name="_Toc1547"/>
      <w:r>
        <w:rPr>
          <w:rFonts w:hint="eastAsia" w:ascii="宋体" w:hAnsi="宋体" w:eastAsia="宋体" w:cs="宋体"/>
          <w:b/>
          <w:bCs/>
          <w:color w:val="auto"/>
          <w:sz w:val="24"/>
          <w:szCs w:val="24"/>
          <w:highlight w:val="none"/>
          <w:lang w:val="en-US" w:eastAsia="zh-CN"/>
        </w:rPr>
        <w:t>结构化评审要素表（技术部分）</w:t>
      </w:r>
      <w:bookmarkEnd w:id="2301"/>
      <w:bookmarkEnd w:id="2302"/>
      <w:bookmarkEnd w:id="2303"/>
      <w:bookmarkEnd w:id="2304"/>
    </w:p>
    <w:tbl>
      <w:tblPr>
        <w:tblStyle w:val="46"/>
        <w:tblW w:w="493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9"/>
        <w:gridCol w:w="877"/>
        <w:gridCol w:w="4433"/>
        <w:gridCol w:w="877"/>
        <w:gridCol w:w="1547"/>
        <w:gridCol w:w="1514"/>
      </w:tblGrid>
      <w:tr w14:paraId="2A3A9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95" w:type="pct"/>
            <w:tcBorders>
              <w:top w:val="single" w:color="000000" w:sz="4" w:space="0"/>
              <w:left w:val="single" w:color="000000" w:sz="4" w:space="0"/>
              <w:bottom w:val="single" w:color="auto" w:sz="4" w:space="0"/>
              <w:right w:val="single" w:color="000000" w:sz="4" w:space="0"/>
            </w:tcBorders>
            <w:noWrap w:val="0"/>
            <w:vAlign w:val="center"/>
          </w:tcPr>
          <w:p w14:paraId="333AF1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类别</w:t>
            </w:r>
          </w:p>
        </w:tc>
        <w:tc>
          <w:tcPr>
            <w:tcW w:w="446" w:type="pct"/>
            <w:tcBorders>
              <w:top w:val="single" w:color="000000" w:sz="4" w:space="0"/>
              <w:left w:val="single" w:color="000000" w:sz="4" w:space="0"/>
              <w:bottom w:val="single" w:color="auto" w:sz="4" w:space="0"/>
              <w:right w:val="single" w:color="000000" w:sz="4" w:space="0"/>
            </w:tcBorders>
            <w:noWrap w:val="0"/>
            <w:vAlign w:val="center"/>
          </w:tcPr>
          <w:p w14:paraId="1708FC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详细评审项</w:t>
            </w:r>
          </w:p>
        </w:tc>
        <w:tc>
          <w:tcPr>
            <w:tcW w:w="2254" w:type="pct"/>
            <w:tcBorders>
              <w:top w:val="single" w:color="000000" w:sz="4" w:space="0"/>
              <w:left w:val="single" w:color="000000" w:sz="4" w:space="0"/>
              <w:bottom w:val="single" w:color="auto" w:sz="4" w:space="0"/>
              <w:right w:val="single" w:color="000000" w:sz="4" w:space="0"/>
            </w:tcBorders>
            <w:noWrap w:val="0"/>
            <w:vAlign w:val="center"/>
          </w:tcPr>
          <w:p w14:paraId="09609C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详细评审分项要素</w:t>
            </w:r>
          </w:p>
        </w:tc>
        <w:tc>
          <w:tcPr>
            <w:tcW w:w="446" w:type="pct"/>
            <w:tcBorders>
              <w:top w:val="single" w:color="000000" w:sz="4" w:space="0"/>
              <w:left w:val="single" w:color="000000" w:sz="4" w:space="0"/>
              <w:bottom w:val="single" w:color="auto" w:sz="4" w:space="0"/>
              <w:right w:val="single" w:color="000000" w:sz="4" w:space="0"/>
            </w:tcBorders>
            <w:noWrap w:val="0"/>
            <w:vAlign w:val="center"/>
          </w:tcPr>
          <w:p w14:paraId="270392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分值</w:t>
            </w:r>
          </w:p>
        </w:tc>
        <w:tc>
          <w:tcPr>
            <w:tcW w:w="787" w:type="pct"/>
            <w:tcBorders>
              <w:top w:val="single" w:color="000000" w:sz="4" w:space="0"/>
              <w:left w:val="single" w:color="000000" w:sz="4" w:space="0"/>
              <w:bottom w:val="single" w:color="auto" w:sz="4" w:space="0"/>
              <w:right w:val="single" w:color="000000" w:sz="4" w:space="0"/>
            </w:tcBorders>
            <w:noWrap w:val="0"/>
            <w:vAlign w:val="center"/>
          </w:tcPr>
          <w:p w14:paraId="47E609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投标人</w:t>
            </w:r>
            <w:r>
              <w:rPr>
                <w:rFonts w:hint="eastAsia" w:ascii="宋体" w:hAnsi="宋体" w:eastAsia="宋体" w:cs="宋体"/>
                <w:b/>
                <w:bCs/>
                <w:i w:val="0"/>
                <w:iCs w:val="0"/>
                <w:color w:val="auto"/>
                <w:kern w:val="0"/>
                <w:sz w:val="21"/>
                <w:szCs w:val="21"/>
                <w:highlight w:val="none"/>
                <w:u w:val="none"/>
                <w:lang w:val="en-US" w:eastAsia="zh-CN" w:bidi="ar"/>
              </w:rPr>
              <w:t>应答</w:t>
            </w:r>
          </w:p>
          <w:p w14:paraId="21E9EE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要求：响应单位简要描述，字数尽量控制在100字以内</w:t>
            </w:r>
          </w:p>
        </w:tc>
        <w:tc>
          <w:tcPr>
            <w:tcW w:w="770" w:type="pct"/>
            <w:tcBorders>
              <w:top w:val="single" w:color="000000" w:sz="4" w:space="0"/>
              <w:left w:val="single" w:color="000000" w:sz="4" w:space="0"/>
              <w:bottom w:val="single" w:color="auto" w:sz="4" w:space="0"/>
              <w:right w:val="single" w:color="000000" w:sz="4" w:space="0"/>
            </w:tcBorders>
            <w:noWrap w:val="0"/>
            <w:vAlign w:val="center"/>
          </w:tcPr>
          <w:p w14:paraId="16EC13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证明材料索引</w:t>
            </w:r>
          </w:p>
          <w:p w14:paraId="0E0D97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要求：指出响应的证明材料具体在</w:t>
            </w:r>
            <w:r>
              <w:rPr>
                <w:rFonts w:hint="eastAsia" w:ascii="宋体" w:hAnsi="宋体" w:cs="宋体"/>
                <w:i w:val="0"/>
                <w:iCs w:val="0"/>
                <w:color w:val="auto"/>
                <w:kern w:val="0"/>
                <w:sz w:val="21"/>
                <w:szCs w:val="21"/>
                <w:highlight w:val="none"/>
                <w:u w:val="none"/>
                <w:lang w:val="en-US" w:eastAsia="zh-CN" w:bidi="ar"/>
              </w:rPr>
              <w:t>投标</w:t>
            </w:r>
            <w:r>
              <w:rPr>
                <w:rFonts w:hint="eastAsia" w:ascii="宋体" w:hAnsi="宋体" w:eastAsia="宋体" w:cs="宋体"/>
                <w:i w:val="0"/>
                <w:iCs w:val="0"/>
                <w:color w:val="auto"/>
                <w:kern w:val="0"/>
                <w:sz w:val="21"/>
                <w:szCs w:val="21"/>
                <w:highlight w:val="none"/>
                <w:u w:val="none"/>
                <w:lang w:val="en-US" w:eastAsia="zh-CN" w:bidi="ar"/>
              </w:rPr>
              <w:t>文件的哪一页</w:t>
            </w:r>
          </w:p>
        </w:tc>
      </w:tr>
      <w:tr w14:paraId="464DC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95" w:type="pct"/>
            <w:vMerge w:val="restart"/>
            <w:tcBorders>
              <w:left w:val="single" w:color="auto" w:sz="4" w:space="0"/>
              <w:right w:val="single" w:color="auto" w:sz="4" w:space="0"/>
            </w:tcBorders>
            <w:noWrap w:val="0"/>
            <w:vAlign w:val="center"/>
          </w:tcPr>
          <w:p w14:paraId="4F1698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rPr>
                <w:rFonts w:hint="eastAsia" w:ascii="宋体" w:hAnsi="宋体" w:eastAsia="宋体" w:cs="宋体"/>
                <w:i w:val="0"/>
                <w:iCs w:val="0"/>
                <w:color w:val="auto"/>
                <w:sz w:val="21"/>
                <w:szCs w:val="21"/>
                <w:highlight w:val="none"/>
                <w:u w:val="none"/>
                <w:lang w:eastAsia="zh-CN"/>
              </w:rPr>
            </w:pPr>
            <w:r>
              <w:rPr>
                <w:rFonts w:hint="eastAsia" w:ascii="宋体" w:hAnsi="宋体" w:cs="宋体"/>
                <w:i w:val="0"/>
                <w:iCs w:val="0"/>
                <w:color w:val="auto"/>
                <w:sz w:val="21"/>
                <w:szCs w:val="21"/>
                <w:highlight w:val="none"/>
                <w:u w:val="none"/>
                <w:lang w:eastAsia="zh-CN"/>
              </w:rPr>
              <w:t>技术评审</w:t>
            </w:r>
          </w:p>
        </w:tc>
        <w:tc>
          <w:tcPr>
            <w:tcW w:w="877" w:type="dxa"/>
            <w:tcBorders>
              <w:top w:val="single" w:color="000000" w:sz="4" w:space="0"/>
              <w:left w:val="single" w:color="000000" w:sz="4" w:space="0"/>
              <w:right w:val="single" w:color="000000" w:sz="4" w:space="0"/>
            </w:tcBorders>
            <w:noWrap w:val="0"/>
            <w:vAlign w:val="center"/>
          </w:tcPr>
          <w:p w14:paraId="4CBDAF3B">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cs="宋体"/>
                <w:color w:val="auto"/>
                <w:kern w:val="0"/>
                <w:sz w:val="21"/>
                <w:szCs w:val="21"/>
                <w:highlight w:val="none"/>
                <w:u w:val="none"/>
                <w:lang w:val="en-US" w:eastAsia="zh-CN"/>
              </w:rPr>
            </w:pPr>
            <w:r>
              <w:rPr>
                <w:rFonts w:hint="eastAsia" w:ascii="宋体" w:hAnsi="宋体" w:eastAsia="宋体" w:cs="宋体"/>
                <w:color w:val="auto"/>
                <w:sz w:val="21"/>
                <w:szCs w:val="21"/>
                <w:highlight w:val="none"/>
              </w:rPr>
              <w:t>主要技术参数</w:t>
            </w:r>
          </w:p>
        </w:tc>
        <w:tc>
          <w:tcPr>
            <w:tcW w:w="4431" w:type="dxa"/>
            <w:tcBorders>
              <w:top w:val="single" w:color="000000" w:sz="4" w:space="0"/>
              <w:left w:val="single" w:color="000000" w:sz="4" w:space="0"/>
              <w:bottom w:val="single" w:color="000000" w:sz="4" w:space="0"/>
              <w:right w:val="single" w:color="000000" w:sz="4" w:space="0"/>
            </w:tcBorders>
            <w:noWrap w:val="0"/>
            <w:vAlign w:val="center"/>
          </w:tcPr>
          <w:p w14:paraId="6405F0AB">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kern w:val="2"/>
                <w:sz w:val="21"/>
                <w:szCs w:val="21"/>
                <w:highlight w:val="none"/>
                <w:u w:val="none"/>
                <w:lang w:val="en-US" w:eastAsia="zh-CN" w:bidi="ar-SA"/>
              </w:rPr>
              <w:t>（</w:t>
            </w:r>
            <w:r>
              <w:rPr>
                <w:rFonts w:hint="eastAsia" w:ascii="宋体" w:hAnsi="宋体" w:eastAsia="宋体" w:cs="宋体"/>
                <w:color w:val="auto"/>
                <w:kern w:val="2"/>
                <w:sz w:val="21"/>
                <w:szCs w:val="21"/>
                <w:highlight w:val="none"/>
                <w:u w:val="none"/>
                <w:lang w:val="en-US" w:eastAsia="zh-CN" w:bidi="ar-SA"/>
              </w:rPr>
              <w:t>1）温度系数，单晶硅组件功率温度系数工作温度达到-0.29%/℃得1分，在此基础上每降低0.01%/℃加0.5分，最高得2分；</w:t>
            </w:r>
          </w:p>
          <w:p w14:paraId="4B0E9394">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kern w:val="2"/>
                <w:sz w:val="21"/>
                <w:szCs w:val="21"/>
                <w:highlight w:val="none"/>
                <w:u w:val="none"/>
                <w:lang w:val="en-US" w:eastAsia="zh-CN" w:bidi="ar-SA"/>
              </w:rPr>
              <w:t>（</w:t>
            </w:r>
            <w:r>
              <w:rPr>
                <w:rFonts w:hint="eastAsia" w:ascii="宋体" w:hAnsi="宋体" w:eastAsia="宋体" w:cs="宋体"/>
                <w:color w:val="auto"/>
                <w:kern w:val="2"/>
                <w:sz w:val="21"/>
                <w:szCs w:val="21"/>
                <w:highlight w:val="none"/>
                <w:u w:val="none"/>
                <w:lang w:val="en-US" w:eastAsia="zh-CN" w:bidi="ar-SA"/>
              </w:rPr>
              <w:t>2）衰减率：首年衰减率≤1%的1分，线性年衰减率≤0.4%/年得1分，最高得2分；</w:t>
            </w:r>
          </w:p>
          <w:p w14:paraId="3A6E9F8E">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kern w:val="2"/>
                <w:sz w:val="21"/>
                <w:szCs w:val="21"/>
                <w:highlight w:val="none"/>
                <w:u w:val="none"/>
                <w:lang w:val="en-US" w:eastAsia="zh-CN" w:bidi="ar-SA"/>
              </w:rPr>
              <w:t>（</w:t>
            </w:r>
            <w:r>
              <w:rPr>
                <w:rFonts w:hint="eastAsia" w:ascii="宋体" w:hAnsi="宋体" w:eastAsia="宋体" w:cs="宋体"/>
                <w:color w:val="auto"/>
                <w:kern w:val="2"/>
                <w:sz w:val="21"/>
                <w:szCs w:val="21"/>
                <w:highlight w:val="none"/>
                <w:u w:val="none"/>
                <w:lang w:val="en-US" w:eastAsia="zh-CN" w:bidi="ar-SA"/>
              </w:rPr>
              <w:t>3）光伏组件转化效率低于22.8%不得分，在22.8%的基础上每增加0.1%加0.5分，最高得2分</w:t>
            </w:r>
            <w:r>
              <w:rPr>
                <w:rFonts w:hint="eastAsia" w:ascii="宋体" w:hAnsi="宋体" w:cs="宋体"/>
                <w:color w:val="auto"/>
                <w:kern w:val="2"/>
                <w:sz w:val="21"/>
                <w:szCs w:val="21"/>
                <w:highlight w:val="none"/>
                <w:u w:val="none"/>
                <w:lang w:val="en-US" w:eastAsia="zh-CN" w:bidi="ar-SA"/>
              </w:rPr>
              <w:t>。</w:t>
            </w:r>
          </w:p>
          <w:p w14:paraId="15CFE783">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cs="宋体"/>
                <w:color w:val="auto"/>
                <w:kern w:val="0"/>
                <w:sz w:val="21"/>
                <w:szCs w:val="21"/>
                <w:highlight w:val="none"/>
                <w:u w:val="none"/>
                <w:lang w:val="en-US" w:eastAsia="zh-CN"/>
              </w:rPr>
            </w:pPr>
            <w:r>
              <w:rPr>
                <w:rFonts w:hint="eastAsia" w:ascii="宋体" w:hAnsi="宋体" w:eastAsia="宋体" w:cs="宋体"/>
                <w:color w:val="auto"/>
                <w:kern w:val="2"/>
                <w:sz w:val="21"/>
                <w:szCs w:val="21"/>
                <w:highlight w:val="none"/>
                <w:u w:val="none"/>
                <w:lang w:val="en-US" w:eastAsia="zh-CN" w:bidi="ar-SA"/>
              </w:rPr>
              <w:t>需要提供第三方检测机构出具的具备CMA或CNAS标识的型式试验报告，不提供不得分。</w:t>
            </w:r>
          </w:p>
        </w:tc>
        <w:tc>
          <w:tcPr>
            <w:tcW w:w="877" w:type="dxa"/>
            <w:tcBorders>
              <w:top w:val="single" w:color="000000" w:sz="4" w:space="0"/>
              <w:left w:val="single" w:color="000000" w:sz="4" w:space="0"/>
              <w:bottom w:val="single" w:color="000000" w:sz="4" w:space="0"/>
              <w:right w:val="single" w:color="000000" w:sz="4" w:space="0"/>
            </w:tcBorders>
            <w:noWrap w:val="0"/>
            <w:vAlign w:val="center"/>
          </w:tcPr>
          <w:p w14:paraId="5BCCE048">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w:t>
            </w: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cs="宋体"/>
                <w:color w:val="auto"/>
                <w:szCs w:val="21"/>
                <w:highlight w:val="none"/>
                <w:lang w:val="en-US" w:eastAsia="zh-CN"/>
              </w:rPr>
              <w:t>分</w:t>
            </w:r>
          </w:p>
        </w:tc>
        <w:tc>
          <w:tcPr>
            <w:tcW w:w="787" w:type="pct"/>
            <w:tcBorders>
              <w:top w:val="single" w:color="000000" w:sz="4" w:space="0"/>
              <w:left w:val="single" w:color="000000" w:sz="4" w:space="0"/>
              <w:bottom w:val="single" w:color="000000" w:sz="4" w:space="0"/>
              <w:right w:val="single" w:color="000000" w:sz="4" w:space="0"/>
            </w:tcBorders>
            <w:noWrap w:val="0"/>
            <w:vAlign w:val="center"/>
          </w:tcPr>
          <w:p w14:paraId="184490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宋体" w:hAnsi="宋体" w:eastAsia="宋体" w:cs="宋体"/>
                <w:i w:val="0"/>
                <w:iCs w:val="0"/>
                <w:color w:val="auto"/>
                <w:sz w:val="21"/>
                <w:szCs w:val="21"/>
                <w:highlight w:val="none"/>
                <w:u w:val="none"/>
              </w:rPr>
            </w:pPr>
          </w:p>
        </w:tc>
        <w:tc>
          <w:tcPr>
            <w:tcW w:w="770" w:type="pct"/>
            <w:tcBorders>
              <w:top w:val="single" w:color="000000" w:sz="4" w:space="0"/>
              <w:left w:val="single" w:color="000000" w:sz="4" w:space="0"/>
              <w:bottom w:val="single" w:color="000000" w:sz="4" w:space="0"/>
              <w:right w:val="single" w:color="000000" w:sz="4" w:space="0"/>
            </w:tcBorders>
            <w:noWrap w:val="0"/>
            <w:vAlign w:val="center"/>
          </w:tcPr>
          <w:p w14:paraId="5AF1D4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宋体" w:hAnsi="宋体" w:eastAsia="宋体" w:cs="宋体"/>
                <w:i w:val="0"/>
                <w:iCs w:val="0"/>
                <w:color w:val="auto"/>
                <w:sz w:val="21"/>
                <w:szCs w:val="21"/>
                <w:highlight w:val="none"/>
                <w:u w:val="none"/>
              </w:rPr>
            </w:pPr>
          </w:p>
        </w:tc>
      </w:tr>
      <w:tr w14:paraId="0EA7F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95" w:type="pct"/>
            <w:vMerge w:val="continue"/>
            <w:tcBorders>
              <w:left w:val="single" w:color="auto" w:sz="4" w:space="0"/>
              <w:right w:val="single" w:color="auto" w:sz="4" w:space="0"/>
            </w:tcBorders>
            <w:noWrap w:val="0"/>
            <w:vAlign w:val="center"/>
          </w:tcPr>
          <w:p w14:paraId="532DF7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rPr>
                <w:rFonts w:hint="eastAsia" w:ascii="宋体" w:hAnsi="宋体" w:eastAsia="宋体" w:cs="宋体"/>
                <w:i w:val="0"/>
                <w:iCs w:val="0"/>
                <w:color w:val="auto"/>
                <w:sz w:val="21"/>
                <w:szCs w:val="21"/>
                <w:highlight w:val="none"/>
                <w:u w:val="none"/>
              </w:rPr>
            </w:pPr>
          </w:p>
        </w:tc>
        <w:tc>
          <w:tcPr>
            <w:tcW w:w="877" w:type="dxa"/>
            <w:tcBorders>
              <w:top w:val="single" w:color="auto" w:sz="4" w:space="0"/>
              <w:left w:val="single" w:color="000000" w:sz="4" w:space="0"/>
              <w:bottom w:val="single" w:color="000000" w:sz="4" w:space="0"/>
              <w:right w:val="single" w:color="000000" w:sz="4" w:space="0"/>
            </w:tcBorders>
            <w:noWrap w:val="0"/>
            <w:vAlign w:val="center"/>
          </w:tcPr>
          <w:p w14:paraId="121E7AA6">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sz w:val="21"/>
                <w:szCs w:val="21"/>
                <w:highlight w:val="none"/>
                <w:lang w:val="en-US" w:eastAsia="zh-CN"/>
              </w:rPr>
              <w:t>性能指标</w:t>
            </w:r>
          </w:p>
        </w:tc>
        <w:tc>
          <w:tcPr>
            <w:tcW w:w="4431" w:type="dxa"/>
            <w:tcBorders>
              <w:top w:val="single" w:color="auto" w:sz="4" w:space="0"/>
              <w:left w:val="single" w:color="000000" w:sz="4" w:space="0"/>
              <w:bottom w:val="single" w:color="000000" w:sz="4" w:space="0"/>
              <w:right w:val="single" w:color="000000" w:sz="4" w:space="0"/>
            </w:tcBorders>
            <w:noWrap w:val="0"/>
            <w:vAlign w:val="center"/>
          </w:tcPr>
          <w:p w14:paraId="14A52175">
            <w:pPr>
              <w:keepNext w:val="0"/>
              <w:keepLines w:val="0"/>
              <w:widowControl/>
              <w:numPr>
                <w:ilvl w:val="0"/>
                <w:numId w:val="0"/>
              </w:numPr>
              <w:suppressLineNumbers w:val="0"/>
              <w:spacing w:before="0" w:beforeAutospacing="0" w:after="0" w:afterAutospacing="0" w:line="360" w:lineRule="auto"/>
              <w:ind w:left="0" w:leftChars="0" w:right="0" w:rightChars="0" w:firstLine="0" w:firstLineChars="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1）强度系数，投标组件通过直径45mm及以上冰雹测试加严测试得1分，需提供第三方检测机构出具的具备CMA或CNAS标识的型式试验报告，不提供不得分；</w:t>
            </w:r>
          </w:p>
          <w:p w14:paraId="6C660272">
            <w:pPr>
              <w:keepNext w:val="0"/>
              <w:keepLines w:val="0"/>
              <w:widowControl/>
              <w:numPr>
                <w:ilvl w:val="0"/>
                <w:numId w:val="0"/>
              </w:numPr>
              <w:suppressLineNumbers w:val="0"/>
              <w:spacing w:before="0" w:beforeAutospacing="0" w:after="0" w:afterAutospacing="0" w:line="360" w:lineRule="auto"/>
              <w:ind w:left="0" w:leftChars="0" w:right="0" w:rightChars="0" w:firstLine="0" w:firstLineChars="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2）防火性能，投标组件通过防火Class A等级测试（需同时通过火焰蔓延测试A级和燃块燃烧测试A级测试）得1分，需提供第三方检测机构出具的具备CMA或CNAS标识的型式试验报告，不提供不得分；</w:t>
            </w:r>
          </w:p>
          <w:p w14:paraId="6D34181B">
            <w:pPr>
              <w:keepNext w:val="0"/>
              <w:keepLines w:val="0"/>
              <w:widowControl/>
              <w:numPr>
                <w:ilvl w:val="0"/>
                <w:numId w:val="0"/>
              </w:numPr>
              <w:suppressLineNumbers w:val="0"/>
              <w:spacing w:before="0" w:beforeAutospacing="0" w:after="0" w:afterAutospacing="0" w:line="360" w:lineRule="auto"/>
              <w:ind w:left="0" w:leftChars="0" w:right="0" w:rightChars="0" w:firstLine="0" w:firstLineChars="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3）抗阴影遮挡，投标组件通过抗阴影遮挡A级测试得1分，需提供第三方检测机构出具的具备CMA或CNAS标识的型式试验报告，不提供不得分；</w:t>
            </w:r>
          </w:p>
          <w:p w14:paraId="7A4D1FB3">
            <w:pPr>
              <w:keepNext w:val="0"/>
              <w:keepLines w:val="0"/>
              <w:widowControl/>
              <w:numPr>
                <w:ilvl w:val="0"/>
                <w:numId w:val="0"/>
              </w:numPr>
              <w:suppressLineNumbers w:val="0"/>
              <w:spacing w:before="0" w:beforeAutospacing="0" w:after="0" w:afterAutospacing="0" w:line="360" w:lineRule="auto"/>
              <w:ind w:left="0" w:leftChars="0" w:right="0" w:rightChars="0" w:firstLine="0" w:firstLineChars="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4）盐雾测试，通过盐雾8级及以上测试得1分，需提供第三方检测机构出具的具备CMA或CNAS标识的型式试验报告，不提供不得分；</w:t>
            </w:r>
          </w:p>
          <w:p w14:paraId="7C9BC515">
            <w:pPr>
              <w:keepNext w:val="0"/>
              <w:keepLines w:val="0"/>
              <w:widowControl/>
              <w:numPr>
                <w:ilvl w:val="0"/>
                <w:numId w:val="0"/>
              </w:numPr>
              <w:suppressLineNumbers w:val="0"/>
              <w:spacing w:before="0" w:beforeAutospacing="0" w:after="0" w:afterAutospacing="0" w:line="360" w:lineRule="auto"/>
              <w:ind w:left="0" w:leftChars="0" w:right="0" w:rightChars="0" w:firstLine="0" w:firstLineChars="0"/>
              <w:jc w:val="left"/>
              <w:textAlignment w:val="center"/>
              <w:rPr>
                <w:rFonts w:hint="eastAsia" w:ascii="宋体" w:hAnsi="宋体" w:cs="宋体"/>
                <w:color w:val="auto"/>
                <w:kern w:val="0"/>
                <w:sz w:val="21"/>
                <w:szCs w:val="21"/>
                <w:highlight w:val="none"/>
                <w:u w:val="none"/>
                <w:lang w:val="en-US" w:eastAsia="zh-CN"/>
              </w:rPr>
            </w:pP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5）风洞测试，通过组件正面风速60m/s</w:t>
            </w:r>
            <w:r>
              <w:rPr>
                <w:rFonts w:hint="eastAsia" w:ascii="宋体" w:hAnsi="宋体" w:cs="宋体"/>
                <w:color w:val="auto"/>
                <w:kern w:val="2"/>
                <w:sz w:val="21"/>
                <w:szCs w:val="21"/>
                <w:highlight w:val="none"/>
                <w:lang w:val="en-US" w:eastAsia="zh-CN" w:bidi="ar-SA"/>
              </w:rPr>
              <w:t>及以上</w:t>
            </w:r>
            <w:r>
              <w:rPr>
                <w:rFonts w:hint="eastAsia" w:ascii="宋体" w:hAnsi="宋体" w:eastAsia="宋体" w:cs="宋体"/>
                <w:color w:val="auto"/>
                <w:kern w:val="2"/>
                <w:sz w:val="21"/>
                <w:szCs w:val="21"/>
                <w:highlight w:val="none"/>
                <w:lang w:val="en-US" w:eastAsia="zh-CN" w:bidi="ar-SA"/>
              </w:rPr>
              <w:t>，背面风速50m/s及以上风洞测试测试得1分，需提供第三方检测机构出具的具备CMA或CNAS标识的型式试验报告，不提供不得分。</w:t>
            </w:r>
          </w:p>
        </w:tc>
        <w:tc>
          <w:tcPr>
            <w:tcW w:w="877" w:type="dxa"/>
            <w:tcBorders>
              <w:top w:val="single" w:color="auto" w:sz="4" w:space="0"/>
              <w:left w:val="single" w:color="000000" w:sz="4" w:space="0"/>
              <w:bottom w:val="single" w:color="000000" w:sz="4" w:space="0"/>
              <w:right w:val="single" w:color="000000" w:sz="4" w:space="0"/>
            </w:tcBorders>
            <w:noWrap w:val="0"/>
            <w:vAlign w:val="center"/>
          </w:tcPr>
          <w:p w14:paraId="5AFB3DB4">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cs="宋体"/>
                <w:color w:val="auto"/>
                <w:szCs w:val="21"/>
                <w:highlight w:val="none"/>
                <w:lang w:val="en-US" w:eastAsia="zh-CN"/>
              </w:rPr>
              <w:t>分</w:t>
            </w:r>
          </w:p>
        </w:tc>
        <w:tc>
          <w:tcPr>
            <w:tcW w:w="787" w:type="pct"/>
            <w:tcBorders>
              <w:top w:val="single" w:color="auto" w:sz="4" w:space="0"/>
              <w:left w:val="single" w:color="000000" w:sz="4" w:space="0"/>
              <w:bottom w:val="single" w:color="000000" w:sz="4" w:space="0"/>
              <w:right w:val="single" w:color="000000" w:sz="4" w:space="0"/>
            </w:tcBorders>
            <w:noWrap w:val="0"/>
            <w:vAlign w:val="center"/>
          </w:tcPr>
          <w:p w14:paraId="126D5D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rPr>
                <w:rFonts w:hint="eastAsia" w:ascii="宋体" w:hAnsi="宋体" w:eastAsia="宋体" w:cs="宋体"/>
                <w:i w:val="0"/>
                <w:iCs w:val="0"/>
                <w:color w:val="auto"/>
                <w:sz w:val="21"/>
                <w:szCs w:val="21"/>
                <w:highlight w:val="none"/>
                <w:u w:val="none"/>
                <w:lang w:val="en-US" w:eastAsia="zh-CN"/>
              </w:rPr>
            </w:pPr>
          </w:p>
        </w:tc>
        <w:tc>
          <w:tcPr>
            <w:tcW w:w="770" w:type="pct"/>
            <w:tcBorders>
              <w:top w:val="single" w:color="000000" w:sz="4" w:space="0"/>
              <w:left w:val="single" w:color="000000" w:sz="4" w:space="0"/>
              <w:bottom w:val="single" w:color="000000" w:sz="4" w:space="0"/>
              <w:right w:val="single" w:color="000000" w:sz="4" w:space="0"/>
            </w:tcBorders>
            <w:noWrap w:val="0"/>
            <w:vAlign w:val="center"/>
          </w:tcPr>
          <w:p w14:paraId="677BC2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rPr>
                <w:rFonts w:hint="eastAsia" w:ascii="宋体" w:hAnsi="宋体" w:eastAsia="宋体" w:cs="宋体"/>
                <w:i w:val="0"/>
                <w:iCs w:val="0"/>
                <w:color w:val="auto"/>
                <w:sz w:val="21"/>
                <w:szCs w:val="21"/>
                <w:highlight w:val="none"/>
                <w:u w:val="none"/>
                <w:lang w:val="en-US" w:eastAsia="zh-CN"/>
              </w:rPr>
            </w:pPr>
          </w:p>
        </w:tc>
      </w:tr>
      <w:tr w14:paraId="19ECE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95" w:type="pct"/>
            <w:vMerge w:val="continue"/>
            <w:tcBorders>
              <w:left w:val="single" w:color="auto" w:sz="4" w:space="0"/>
              <w:right w:val="single" w:color="auto" w:sz="4" w:space="0"/>
            </w:tcBorders>
            <w:noWrap w:val="0"/>
            <w:vAlign w:val="center"/>
          </w:tcPr>
          <w:p w14:paraId="7F974A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rPr>
                <w:rFonts w:hint="eastAsia" w:ascii="宋体" w:hAnsi="宋体" w:eastAsia="宋体" w:cs="宋体"/>
                <w:i w:val="0"/>
                <w:iCs w:val="0"/>
                <w:color w:val="auto"/>
                <w:sz w:val="21"/>
                <w:szCs w:val="21"/>
                <w:highlight w:val="none"/>
                <w:u w:val="none"/>
              </w:rPr>
            </w:pPr>
          </w:p>
        </w:tc>
        <w:tc>
          <w:tcPr>
            <w:tcW w:w="877" w:type="dxa"/>
            <w:tcBorders>
              <w:top w:val="single" w:color="auto" w:sz="4" w:space="0"/>
              <w:left w:val="single" w:color="000000" w:sz="4" w:space="0"/>
              <w:bottom w:val="single" w:color="000000" w:sz="4" w:space="0"/>
              <w:right w:val="single" w:color="000000" w:sz="4" w:space="0"/>
            </w:tcBorders>
            <w:noWrap w:val="0"/>
            <w:vAlign w:val="center"/>
          </w:tcPr>
          <w:p w14:paraId="141BB0B8">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0"/>
                <w:sz w:val="21"/>
                <w:szCs w:val="21"/>
                <w:highlight w:val="none"/>
                <w:u w:val="none"/>
              </w:rPr>
            </w:pPr>
            <w:r>
              <w:rPr>
                <w:rFonts w:hint="default" w:ascii="宋体" w:hAnsi="宋体" w:eastAsia="宋体" w:cs="宋体"/>
                <w:color w:val="auto"/>
                <w:sz w:val="21"/>
                <w:szCs w:val="21"/>
                <w:highlight w:val="none"/>
                <w:lang w:val="en-US" w:eastAsia="zh-CN"/>
              </w:rPr>
              <w:t>生产能力</w:t>
            </w:r>
          </w:p>
        </w:tc>
        <w:tc>
          <w:tcPr>
            <w:tcW w:w="4431" w:type="dxa"/>
            <w:tcBorders>
              <w:top w:val="single" w:color="auto" w:sz="4" w:space="0"/>
              <w:left w:val="single" w:color="000000" w:sz="4" w:space="0"/>
              <w:bottom w:val="single" w:color="000000" w:sz="4" w:space="0"/>
              <w:right w:val="single" w:color="000000" w:sz="4" w:space="0"/>
            </w:tcBorders>
            <w:noWrap w:val="0"/>
            <w:vAlign w:val="center"/>
          </w:tcPr>
          <w:p w14:paraId="4B6DD861">
            <w:pPr>
              <w:keepNext w:val="0"/>
              <w:keepLines w:val="0"/>
              <w:widowControl/>
              <w:numPr>
                <w:ilvl w:val="0"/>
                <w:numId w:val="0"/>
              </w:numPr>
              <w:suppressLineNumbers w:val="0"/>
              <w:spacing w:before="0" w:beforeAutospacing="0" w:after="0" w:afterAutospacing="0" w:line="360" w:lineRule="auto"/>
              <w:ind w:right="0" w:rightChars="0"/>
              <w:jc w:val="left"/>
              <w:textAlignment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1）具备完整的工艺流程和管理程序得1.5分；</w:t>
            </w:r>
          </w:p>
          <w:p w14:paraId="1307DADE">
            <w:pPr>
              <w:keepNext w:val="0"/>
              <w:keepLines w:val="0"/>
              <w:widowControl/>
              <w:numPr>
                <w:ilvl w:val="0"/>
                <w:numId w:val="0"/>
              </w:numPr>
              <w:suppressLineNumbers w:val="0"/>
              <w:spacing w:before="0" w:beforeAutospacing="0" w:after="0" w:afterAutospacing="0" w:line="360" w:lineRule="auto"/>
              <w:ind w:left="0" w:leftChars="0" w:right="0" w:rightChars="0" w:firstLine="0" w:firstLineChars="0"/>
              <w:jc w:val="left"/>
              <w:textAlignment w:val="center"/>
              <w:rPr>
                <w:rFonts w:hint="eastAsia" w:ascii="宋体" w:hAnsi="宋体" w:cs="宋体"/>
                <w:color w:val="auto"/>
                <w:kern w:val="0"/>
                <w:sz w:val="21"/>
                <w:szCs w:val="21"/>
                <w:highlight w:val="none"/>
                <w:u w:val="none"/>
                <w:lang w:val="en-US" w:eastAsia="zh-CN"/>
              </w:rPr>
            </w:pPr>
            <w:r>
              <w:rPr>
                <w:rFonts w:hint="eastAsia" w:ascii="宋体" w:hAnsi="宋体" w:cs="宋体"/>
                <w:color w:val="auto"/>
                <w:sz w:val="21"/>
                <w:szCs w:val="21"/>
                <w:highlight w:val="none"/>
                <w:lang w:val="en-US" w:eastAsia="zh-CN"/>
              </w:rPr>
              <w:t>2）具有全自动生产线的（至少包括焊接机、层压机、装框机、打胶机、灌胶机、缠绕机、裁切机）的得3.5分，需要提供设备证明材料（包括整机和铭牌照片，购置合同，型号必须一致），上述设备每缺少一项扣0.5分。证明材料不全或未提供的不得分。</w:t>
            </w:r>
          </w:p>
        </w:tc>
        <w:tc>
          <w:tcPr>
            <w:tcW w:w="877" w:type="dxa"/>
            <w:tcBorders>
              <w:top w:val="single" w:color="auto" w:sz="4" w:space="0"/>
              <w:left w:val="single" w:color="000000" w:sz="4" w:space="0"/>
              <w:bottom w:val="single" w:color="000000" w:sz="4" w:space="0"/>
              <w:right w:val="single" w:color="000000" w:sz="4" w:space="0"/>
            </w:tcBorders>
            <w:noWrap w:val="0"/>
            <w:vAlign w:val="center"/>
          </w:tcPr>
          <w:p w14:paraId="1968E314">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cs="宋体"/>
                <w:color w:val="auto"/>
                <w:szCs w:val="21"/>
                <w:highlight w:val="none"/>
                <w:lang w:val="en-US" w:eastAsia="zh-CN"/>
              </w:rPr>
              <w:t>分</w:t>
            </w:r>
          </w:p>
        </w:tc>
        <w:tc>
          <w:tcPr>
            <w:tcW w:w="787" w:type="pct"/>
            <w:tcBorders>
              <w:top w:val="single" w:color="auto" w:sz="4" w:space="0"/>
              <w:left w:val="single" w:color="000000" w:sz="4" w:space="0"/>
              <w:bottom w:val="single" w:color="000000" w:sz="4" w:space="0"/>
              <w:right w:val="single" w:color="000000" w:sz="4" w:space="0"/>
            </w:tcBorders>
            <w:noWrap w:val="0"/>
            <w:vAlign w:val="center"/>
          </w:tcPr>
          <w:p w14:paraId="0F228F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rPr>
                <w:rFonts w:hint="eastAsia" w:ascii="宋体" w:hAnsi="宋体" w:eastAsia="宋体" w:cs="宋体"/>
                <w:i w:val="0"/>
                <w:iCs w:val="0"/>
                <w:color w:val="auto"/>
                <w:sz w:val="21"/>
                <w:szCs w:val="21"/>
                <w:highlight w:val="none"/>
                <w:u w:val="none"/>
                <w:lang w:val="en-US" w:eastAsia="zh-CN"/>
              </w:rPr>
            </w:pPr>
          </w:p>
        </w:tc>
        <w:tc>
          <w:tcPr>
            <w:tcW w:w="770" w:type="pct"/>
            <w:tcBorders>
              <w:top w:val="single" w:color="000000" w:sz="4" w:space="0"/>
              <w:left w:val="single" w:color="000000" w:sz="4" w:space="0"/>
              <w:bottom w:val="single" w:color="000000" w:sz="4" w:space="0"/>
              <w:right w:val="single" w:color="000000" w:sz="4" w:space="0"/>
            </w:tcBorders>
            <w:noWrap w:val="0"/>
            <w:vAlign w:val="center"/>
          </w:tcPr>
          <w:p w14:paraId="3D87D9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rPr>
                <w:rFonts w:hint="eastAsia" w:ascii="宋体" w:hAnsi="宋体" w:eastAsia="宋体" w:cs="宋体"/>
                <w:i w:val="0"/>
                <w:iCs w:val="0"/>
                <w:color w:val="auto"/>
                <w:sz w:val="21"/>
                <w:szCs w:val="21"/>
                <w:highlight w:val="none"/>
                <w:u w:val="none"/>
                <w:lang w:val="en-US" w:eastAsia="zh-CN"/>
              </w:rPr>
            </w:pPr>
          </w:p>
        </w:tc>
      </w:tr>
      <w:tr w14:paraId="272CA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95" w:type="pct"/>
            <w:vMerge w:val="continue"/>
            <w:tcBorders>
              <w:left w:val="single" w:color="auto" w:sz="4" w:space="0"/>
              <w:right w:val="single" w:color="auto" w:sz="4" w:space="0"/>
            </w:tcBorders>
            <w:noWrap w:val="0"/>
            <w:vAlign w:val="center"/>
          </w:tcPr>
          <w:p w14:paraId="0BA1C3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rPr>
                <w:rFonts w:hint="eastAsia" w:ascii="宋体" w:hAnsi="宋体" w:eastAsia="宋体" w:cs="宋体"/>
                <w:i w:val="0"/>
                <w:iCs w:val="0"/>
                <w:color w:val="auto"/>
                <w:sz w:val="21"/>
                <w:szCs w:val="21"/>
                <w:highlight w:val="none"/>
                <w:u w:val="none"/>
              </w:rPr>
            </w:pPr>
          </w:p>
        </w:tc>
        <w:tc>
          <w:tcPr>
            <w:tcW w:w="877" w:type="dxa"/>
            <w:tcBorders>
              <w:top w:val="single" w:color="auto" w:sz="4" w:space="0"/>
              <w:left w:val="single" w:color="000000" w:sz="4" w:space="0"/>
              <w:bottom w:val="single" w:color="000000" w:sz="4" w:space="0"/>
              <w:right w:val="single" w:color="000000" w:sz="4" w:space="0"/>
            </w:tcBorders>
            <w:noWrap w:val="0"/>
            <w:vAlign w:val="center"/>
          </w:tcPr>
          <w:p w14:paraId="2E2D98CC">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sz w:val="21"/>
                <w:szCs w:val="21"/>
                <w:highlight w:val="none"/>
                <w:lang w:val="en-US" w:eastAsia="zh-CN"/>
              </w:rPr>
              <w:t>检验能力</w:t>
            </w:r>
          </w:p>
        </w:tc>
        <w:tc>
          <w:tcPr>
            <w:tcW w:w="4431" w:type="dxa"/>
            <w:tcBorders>
              <w:top w:val="single" w:color="auto" w:sz="4" w:space="0"/>
              <w:left w:val="single" w:color="000000" w:sz="4" w:space="0"/>
              <w:bottom w:val="single" w:color="000000" w:sz="4" w:space="0"/>
              <w:right w:val="single" w:color="000000" w:sz="4" w:space="0"/>
            </w:tcBorders>
            <w:noWrap w:val="0"/>
            <w:vAlign w:val="center"/>
          </w:tcPr>
          <w:p w14:paraId="483B4752">
            <w:pPr>
              <w:widowControl/>
              <w:numPr>
                <w:ilvl w:val="0"/>
                <w:numId w:val="0"/>
              </w:numPr>
              <w:spacing w:before="0" w:after="0" w:line="360" w:lineRule="auto"/>
              <w:ind w:left="0" w:leftChars="0" w:firstLine="0" w:firstLineChars="0"/>
              <w:jc w:val="left"/>
              <w:textAlignment w:val="center"/>
              <w:rPr>
                <w:rFonts w:hint="eastAsia" w:ascii="宋体" w:hAnsi="宋体" w:cs="宋体"/>
                <w:color w:val="auto"/>
                <w:kern w:val="0"/>
                <w:sz w:val="21"/>
                <w:szCs w:val="21"/>
                <w:highlight w:val="none"/>
                <w:u w:val="none"/>
                <w:lang w:val="en-US" w:eastAsia="zh-CN"/>
              </w:rPr>
            </w:pPr>
            <w:r>
              <w:rPr>
                <w:rFonts w:hint="eastAsia" w:ascii="宋体" w:hAnsi="宋体" w:cs="宋体"/>
                <w:color w:val="auto"/>
                <w:sz w:val="21"/>
                <w:szCs w:val="21"/>
                <w:highlight w:val="none"/>
                <w:lang w:val="en-US" w:eastAsia="zh-CN"/>
              </w:rPr>
              <w:t>具有CNAS（中国合格评定国家认可委员会）认证的实验室，每个得1分，满分8分。注：须提供有效的证书证明，不具备或未提供得0分。</w:t>
            </w:r>
          </w:p>
        </w:tc>
        <w:tc>
          <w:tcPr>
            <w:tcW w:w="877" w:type="dxa"/>
            <w:tcBorders>
              <w:top w:val="single" w:color="auto" w:sz="4" w:space="0"/>
              <w:left w:val="single" w:color="000000" w:sz="4" w:space="0"/>
              <w:bottom w:val="single" w:color="000000" w:sz="4" w:space="0"/>
              <w:right w:val="single" w:color="000000" w:sz="4" w:space="0"/>
            </w:tcBorders>
            <w:noWrap w:val="0"/>
            <w:vAlign w:val="center"/>
          </w:tcPr>
          <w:p w14:paraId="2F78BEEF">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w:t>
            </w:r>
            <w:r>
              <w:rPr>
                <w:rFonts w:hint="eastAsia" w:ascii="宋体" w:hAnsi="宋体" w:cs="宋体"/>
                <w:i w:val="0"/>
                <w:iCs w:val="0"/>
                <w:color w:val="auto"/>
                <w:kern w:val="0"/>
                <w:sz w:val="21"/>
                <w:szCs w:val="21"/>
                <w:highlight w:val="none"/>
                <w:u w:val="none"/>
                <w:lang w:val="en-US" w:eastAsia="zh-CN" w:bidi="ar"/>
              </w:rPr>
              <w:t>8</w:t>
            </w:r>
            <w:r>
              <w:rPr>
                <w:rFonts w:hint="eastAsia" w:ascii="宋体" w:hAnsi="宋体" w:cs="宋体"/>
                <w:color w:val="auto"/>
                <w:szCs w:val="21"/>
                <w:highlight w:val="none"/>
                <w:lang w:val="en-US" w:eastAsia="zh-CN"/>
              </w:rPr>
              <w:t>分</w:t>
            </w:r>
          </w:p>
        </w:tc>
        <w:tc>
          <w:tcPr>
            <w:tcW w:w="787" w:type="pct"/>
            <w:tcBorders>
              <w:top w:val="single" w:color="auto" w:sz="4" w:space="0"/>
              <w:left w:val="single" w:color="000000" w:sz="4" w:space="0"/>
              <w:bottom w:val="single" w:color="000000" w:sz="4" w:space="0"/>
              <w:right w:val="single" w:color="000000" w:sz="4" w:space="0"/>
            </w:tcBorders>
            <w:noWrap w:val="0"/>
            <w:vAlign w:val="center"/>
          </w:tcPr>
          <w:p w14:paraId="5ED027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rPr>
                <w:rFonts w:hint="eastAsia" w:ascii="宋体" w:hAnsi="宋体" w:eastAsia="宋体" w:cs="宋体"/>
                <w:i w:val="0"/>
                <w:iCs w:val="0"/>
                <w:color w:val="auto"/>
                <w:sz w:val="21"/>
                <w:szCs w:val="21"/>
                <w:highlight w:val="none"/>
                <w:u w:val="none"/>
                <w:lang w:val="en-US" w:eastAsia="zh-CN"/>
              </w:rPr>
            </w:pPr>
          </w:p>
        </w:tc>
        <w:tc>
          <w:tcPr>
            <w:tcW w:w="770" w:type="pct"/>
            <w:tcBorders>
              <w:top w:val="single" w:color="000000" w:sz="4" w:space="0"/>
              <w:left w:val="single" w:color="000000" w:sz="4" w:space="0"/>
              <w:bottom w:val="single" w:color="000000" w:sz="4" w:space="0"/>
              <w:right w:val="single" w:color="000000" w:sz="4" w:space="0"/>
            </w:tcBorders>
            <w:noWrap w:val="0"/>
            <w:vAlign w:val="center"/>
          </w:tcPr>
          <w:p w14:paraId="04EC9B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rPr>
                <w:rFonts w:hint="eastAsia" w:ascii="宋体" w:hAnsi="宋体" w:eastAsia="宋体" w:cs="宋体"/>
                <w:i w:val="0"/>
                <w:iCs w:val="0"/>
                <w:color w:val="auto"/>
                <w:sz w:val="21"/>
                <w:szCs w:val="21"/>
                <w:highlight w:val="none"/>
                <w:u w:val="none"/>
                <w:lang w:val="en-US" w:eastAsia="zh-CN"/>
              </w:rPr>
            </w:pPr>
          </w:p>
        </w:tc>
      </w:tr>
      <w:tr w14:paraId="0CD13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95" w:type="pct"/>
            <w:vMerge w:val="continue"/>
            <w:tcBorders>
              <w:left w:val="single" w:color="auto" w:sz="4" w:space="0"/>
              <w:right w:val="single" w:color="auto" w:sz="4" w:space="0"/>
            </w:tcBorders>
            <w:noWrap w:val="0"/>
            <w:vAlign w:val="center"/>
          </w:tcPr>
          <w:p w14:paraId="01FA0C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rPr>
                <w:rFonts w:hint="eastAsia" w:ascii="宋体" w:hAnsi="宋体" w:eastAsia="宋体" w:cs="宋体"/>
                <w:i w:val="0"/>
                <w:iCs w:val="0"/>
                <w:color w:val="auto"/>
                <w:sz w:val="21"/>
                <w:szCs w:val="21"/>
                <w:highlight w:val="none"/>
                <w:u w:val="none"/>
              </w:rPr>
            </w:pPr>
          </w:p>
        </w:tc>
        <w:tc>
          <w:tcPr>
            <w:tcW w:w="877" w:type="dxa"/>
            <w:tcBorders>
              <w:top w:val="single" w:color="auto" w:sz="4" w:space="0"/>
              <w:left w:val="single" w:color="000000" w:sz="4" w:space="0"/>
              <w:bottom w:val="single" w:color="000000" w:sz="4" w:space="0"/>
              <w:right w:val="single" w:color="000000" w:sz="4" w:space="0"/>
            </w:tcBorders>
            <w:noWrap w:val="0"/>
            <w:vAlign w:val="center"/>
          </w:tcPr>
          <w:p w14:paraId="36B036AA">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0"/>
                <w:sz w:val="21"/>
                <w:szCs w:val="21"/>
                <w:highlight w:val="none"/>
                <w:u w:val="none"/>
              </w:rPr>
            </w:pPr>
            <w:r>
              <w:rPr>
                <w:rFonts w:hint="eastAsia" w:ascii="宋体" w:hAnsi="宋体" w:cs="宋体"/>
                <w:color w:val="auto"/>
                <w:sz w:val="21"/>
                <w:szCs w:val="21"/>
                <w:highlight w:val="none"/>
                <w:lang w:val="en-US" w:eastAsia="zh-CN"/>
              </w:rPr>
              <w:t>研发和技术能力</w:t>
            </w:r>
          </w:p>
        </w:tc>
        <w:tc>
          <w:tcPr>
            <w:tcW w:w="4431" w:type="dxa"/>
            <w:tcBorders>
              <w:top w:val="single" w:color="auto" w:sz="4" w:space="0"/>
              <w:left w:val="single" w:color="000000" w:sz="4" w:space="0"/>
              <w:bottom w:val="single" w:color="000000" w:sz="4" w:space="0"/>
              <w:right w:val="single" w:color="000000" w:sz="4" w:space="0"/>
            </w:tcBorders>
            <w:noWrap w:val="0"/>
            <w:vAlign w:val="center"/>
          </w:tcPr>
          <w:p w14:paraId="4016F43D">
            <w:pPr>
              <w:keepNext w:val="0"/>
              <w:keepLines w:val="0"/>
              <w:widowControl/>
              <w:numPr>
                <w:ilvl w:val="0"/>
                <w:numId w:val="0"/>
              </w:numPr>
              <w:suppressLineNumbers w:val="0"/>
              <w:spacing w:before="0" w:beforeAutospacing="0" w:after="0" w:afterAutospacing="0" w:line="360" w:lineRule="auto"/>
              <w:ind w:right="0" w:rightChars="0"/>
              <w:jc w:val="left"/>
              <w:textAlignment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具有有效期内的高新技术企业</w:t>
            </w:r>
            <w:r>
              <w:rPr>
                <w:rFonts w:hint="eastAsia" w:ascii="宋体" w:hAnsi="宋体" w:cs="宋体"/>
                <w:color w:val="auto"/>
                <w:sz w:val="21"/>
                <w:szCs w:val="21"/>
                <w:highlight w:val="none"/>
                <w:lang w:val="en-US" w:eastAsia="zh-CN"/>
              </w:rPr>
              <w:t>证书</w:t>
            </w:r>
            <w:r>
              <w:rPr>
                <w:rFonts w:hint="eastAsia" w:ascii="宋体" w:hAnsi="宋体" w:eastAsia="宋体" w:cs="宋体"/>
                <w:color w:val="auto"/>
                <w:sz w:val="21"/>
                <w:szCs w:val="21"/>
                <w:highlight w:val="none"/>
                <w:lang w:val="en-US" w:eastAsia="zh-CN"/>
              </w:rPr>
              <w:t>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分，不具备或未提供得0分</w:t>
            </w:r>
            <w:r>
              <w:rPr>
                <w:rFonts w:hint="eastAsia" w:ascii="宋体" w:hAnsi="宋体" w:cs="宋体"/>
                <w:color w:val="auto"/>
                <w:sz w:val="21"/>
                <w:szCs w:val="21"/>
                <w:highlight w:val="none"/>
                <w:lang w:val="en-US" w:eastAsia="zh-CN"/>
              </w:rPr>
              <w:t>；</w:t>
            </w:r>
          </w:p>
          <w:p w14:paraId="35D47D51">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2.投标产品取得国家知识产权局出具的发明专利证书，每项专利得0.5分，满分3分；</w:t>
            </w:r>
          </w:p>
          <w:p w14:paraId="1BDE3D5E">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cs="宋体"/>
                <w:color w:val="auto"/>
                <w:kern w:val="0"/>
                <w:sz w:val="21"/>
                <w:szCs w:val="21"/>
                <w:highlight w:val="none"/>
                <w:u w:val="none"/>
                <w:lang w:val="en-US" w:eastAsia="zh-CN"/>
              </w:rPr>
            </w:pPr>
            <w:r>
              <w:rPr>
                <w:rFonts w:hint="eastAsia" w:ascii="宋体" w:hAnsi="宋体" w:eastAsia="宋体" w:cs="宋体"/>
                <w:color w:val="auto"/>
                <w:sz w:val="21"/>
                <w:szCs w:val="21"/>
                <w:highlight w:val="none"/>
                <w:lang w:val="en-US" w:eastAsia="zh-CN"/>
              </w:rPr>
              <w:t>注：需提供</w:t>
            </w:r>
            <w:r>
              <w:rPr>
                <w:rFonts w:hint="eastAsia" w:ascii="宋体" w:hAnsi="宋体" w:cs="宋体"/>
                <w:color w:val="auto"/>
                <w:sz w:val="21"/>
                <w:szCs w:val="21"/>
                <w:highlight w:val="none"/>
                <w:lang w:val="en-US" w:eastAsia="zh-CN"/>
              </w:rPr>
              <w:t>相关</w:t>
            </w:r>
            <w:r>
              <w:rPr>
                <w:rFonts w:hint="eastAsia" w:ascii="宋体" w:hAnsi="宋体" w:eastAsia="宋体" w:cs="宋体"/>
                <w:color w:val="auto"/>
                <w:sz w:val="21"/>
                <w:szCs w:val="21"/>
                <w:highlight w:val="none"/>
                <w:lang w:val="en-US" w:eastAsia="zh-CN"/>
              </w:rPr>
              <w:t>证明材料。不提供不得分。</w:t>
            </w:r>
          </w:p>
        </w:tc>
        <w:tc>
          <w:tcPr>
            <w:tcW w:w="877" w:type="dxa"/>
            <w:tcBorders>
              <w:top w:val="single" w:color="auto" w:sz="4" w:space="0"/>
              <w:left w:val="single" w:color="000000" w:sz="4" w:space="0"/>
              <w:bottom w:val="single" w:color="000000" w:sz="4" w:space="0"/>
              <w:right w:val="single" w:color="000000" w:sz="4" w:space="0"/>
            </w:tcBorders>
            <w:noWrap w:val="0"/>
            <w:vAlign w:val="center"/>
          </w:tcPr>
          <w:p w14:paraId="20D3750E">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cs="宋体"/>
                <w:i w:val="0"/>
                <w:iCs w:val="0"/>
                <w:color w:val="auto"/>
                <w:kern w:val="0"/>
                <w:sz w:val="21"/>
                <w:szCs w:val="21"/>
                <w:highlight w:val="none"/>
                <w:u w:val="none"/>
                <w:lang w:val="en-US" w:eastAsia="zh-CN" w:bidi="ar"/>
              </w:rPr>
              <w:t>0-4</w:t>
            </w:r>
            <w:r>
              <w:rPr>
                <w:rFonts w:hint="eastAsia" w:ascii="宋体" w:hAnsi="宋体" w:cs="宋体"/>
                <w:color w:val="auto"/>
                <w:szCs w:val="21"/>
                <w:highlight w:val="none"/>
                <w:lang w:val="en-US" w:eastAsia="zh-CN"/>
              </w:rPr>
              <w:t>分</w:t>
            </w:r>
          </w:p>
        </w:tc>
        <w:tc>
          <w:tcPr>
            <w:tcW w:w="787" w:type="pct"/>
            <w:tcBorders>
              <w:top w:val="single" w:color="auto" w:sz="4" w:space="0"/>
              <w:left w:val="single" w:color="000000" w:sz="4" w:space="0"/>
              <w:bottom w:val="single" w:color="000000" w:sz="4" w:space="0"/>
              <w:right w:val="single" w:color="000000" w:sz="4" w:space="0"/>
            </w:tcBorders>
            <w:noWrap w:val="0"/>
            <w:vAlign w:val="center"/>
          </w:tcPr>
          <w:p w14:paraId="7F3543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rPr>
                <w:rFonts w:hint="eastAsia" w:ascii="宋体" w:hAnsi="宋体" w:eastAsia="宋体" w:cs="宋体"/>
                <w:i w:val="0"/>
                <w:iCs w:val="0"/>
                <w:color w:val="auto"/>
                <w:sz w:val="21"/>
                <w:szCs w:val="21"/>
                <w:highlight w:val="none"/>
                <w:u w:val="none"/>
                <w:lang w:val="en-US" w:eastAsia="zh-CN"/>
              </w:rPr>
            </w:pPr>
          </w:p>
        </w:tc>
        <w:tc>
          <w:tcPr>
            <w:tcW w:w="770" w:type="pct"/>
            <w:tcBorders>
              <w:top w:val="single" w:color="000000" w:sz="4" w:space="0"/>
              <w:left w:val="single" w:color="000000" w:sz="4" w:space="0"/>
              <w:bottom w:val="single" w:color="000000" w:sz="4" w:space="0"/>
              <w:right w:val="single" w:color="000000" w:sz="4" w:space="0"/>
            </w:tcBorders>
            <w:noWrap w:val="0"/>
            <w:vAlign w:val="center"/>
          </w:tcPr>
          <w:p w14:paraId="38549F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rPr>
                <w:rFonts w:hint="eastAsia" w:ascii="宋体" w:hAnsi="宋体" w:eastAsia="宋体" w:cs="宋体"/>
                <w:i w:val="0"/>
                <w:iCs w:val="0"/>
                <w:color w:val="auto"/>
                <w:sz w:val="21"/>
                <w:szCs w:val="21"/>
                <w:highlight w:val="none"/>
                <w:u w:val="none"/>
                <w:lang w:val="en-US" w:eastAsia="zh-CN"/>
              </w:rPr>
            </w:pPr>
          </w:p>
        </w:tc>
      </w:tr>
      <w:tr w14:paraId="3F514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95" w:type="pct"/>
            <w:vMerge w:val="continue"/>
            <w:tcBorders>
              <w:left w:val="single" w:color="auto" w:sz="4" w:space="0"/>
              <w:right w:val="single" w:color="auto" w:sz="4" w:space="0"/>
            </w:tcBorders>
            <w:noWrap w:val="0"/>
            <w:vAlign w:val="center"/>
          </w:tcPr>
          <w:p w14:paraId="4C543E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rPr>
                <w:rFonts w:hint="eastAsia" w:ascii="宋体" w:hAnsi="宋体" w:eastAsia="宋体" w:cs="宋体"/>
                <w:i w:val="0"/>
                <w:iCs w:val="0"/>
                <w:color w:val="auto"/>
                <w:sz w:val="21"/>
                <w:szCs w:val="21"/>
                <w:highlight w:val="none"/>
                <w:u w:val="none"/>
              </w:rPr>
            </w:pPr>
          </w:p>
        </w:tc>
        <w:tc>
          <w:tcPr>
            <w:tcW w:w="877" w:type="dxa"/>
            <w:tcBorders>
              <w:top w:val="single" w:color="auto" w:sz="4" w:space="0"/>
              <w:left w:val="single" w:color="000000" w:sz="4" w:space="0"/>
              <w:bottom w:val="single" w:color="000000" w:sz="4" w:space="0"/>
              <w:right w:val="single" w:color="000000" w:sz="4" w:space="0"/>
            </w:tcBorders>
            <w:noWrap w:val="0"/>
            <w:vAlign w:val="center"/>
          </w:tcPr>
          <w:p w14:paraId="394839B1">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sz w:val="21"/>
                <w:szCs w:val="21"/>
                <w:highlight w:val="none"/>
              </w:rPr>
              <w:t>质量保障措施</w:t>
            </w:r>
          </w:p>
        </w:tc>
        <w:tc>
          <w:tcPr>
            <w:tcW w:w="4431" w:type="dxa"/>
            <w:tcBorders>
              <w:top w:val="single" w:color="auto" w:sz="4" w:space="0"/>
              <w:left w:val="single" w:color="000000" w:sz="4" w:space="0"/>
              <w:bottom w:val="single" w:color="000000" w:sz="4" w:space="0"/>
              <w:right w:val="single" w:color="000000" w:sz="4" w:space="0"/>
            </w:tcBorders>
            <w:noWrap w:val="0"/>
            <w:vAlign w:val="center"/>
          </w:tcPr>
          <w:p w14:paraId="330DA398">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提供质量保障体系及措施方案（包括光伏组件设备的设计、监造、工厂检测和验收、现场安装调试、光伏组件试运行期和质量保证期的维护和维修设计联络会；技术培训</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w:t>
            </w:r>
          </w:p>
          <w:p w14:paraId="1CD0B157">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A</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分）：质量保障体系及措施方案非常完善；</w:t>
            </w:r>
          </w:p>
          <w:p w14:paraId="672E338E">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B</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3-4分</w:t>
            </w:r>
            <w:r>
              <w:rPr>
                <w:rFonts w:hint="eastAsia" w:ascii="宋体" w:hAnsi="宋体" w:eastAsia="宋体" w:cs="宋体"/>
                <w:color w:val="auto"/>
                <w:sz w:val="21"/>
                <w:szCs w:val="21"/>
                <w:highlight w:val="none"/>
                <w:lang w:val="en-US" w:eastAsia="zh-CN"/>
              </w:rPr>
              <w:t>）：质量保障体系及措施方案较为完善；</w:t>
            </w:r>
          </w:p>
          <w:p w14:paraId="790CCB9B">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C</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分）：质量保障体系及措施方案一般</w:t>
            </w:r>
            <w:r>
              <w:rPr>
                <w:rFonts w:hint="eastAsia" w:ascii="宋体" w:hAnsi="宋体" w:cs="宋体"/>
                <w:color w:val="auto"/>
                <w:sz w:val="21"/>
                <w:szCs w:val="21"/>
                <w:highlight w:val="none"/>
                <w:lang w:val="en-US" w:eastAsia="zh-CN"/>
              </w:rPr>
              <w:t>；</w:t>
            </w:r>
          </w:p>
          <w:p w14:paraId="2B01FD49">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D</w:t>
            </w:r>
            <w:r>
              <w:rPr>
                <w:rFonts w:hint="eastAsia" w:ascii="宋体" w:hAnsi="宋体" w:eastAsia="宋体" w:cs="宋体"/>
                <w:color w:val="auto"/>
                <w:sz w:val="21"/>
                <w:szCs w:val="21"/>
                <w:highlight w:val="none"/>
                <w:lang w:val="en-US" w:eastAsia="zh-CN"/>
              </w:rPr>
              <w:t>（0分）：质量保障体系及措施方案不详细、不充分、不合理</w:t>
            </w:r>
            <w:r>
              <w:rPr>
                <w:rFonts w:hint="eastAsia" w:ascii="宋体" w:hAnsi="宋体" w:cs="宋体"/>
                <w:color w:val="auto"/>
                <w:sz w:val="21"/>
                <w:szCs w:val="21"/>
                <w:highlight w:val="none"/>
                <w:lang w:val="en-US" w:eastAsia="zh-CN"/>
              </w:rPr>
              <w:t>。</w:t>
            </w:r>
          </w:p>
          <w:p w14:paraId="61C8F10D">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cs="宋体"/>
                <w:color w:val="auto"/>
                <w:kern w:val="0"/>
                <w:sz w:val="21"/>
                <w:szCs w:val="21"/>
                <w:highlight w:val="none"/>
                <w:u w:val="none"/>
                <w:lang w:val="en-US" w:eastAsia="zh-CN"/>
              </w:rPr>
            </w:pPr>
            <w:r>
              <w:rPr>
                <w:rFonts w:hint="eastAsia" w:ascii="宋体" w:hAnsi="宋体" w:eastAsia="宋体" w:cs="宋体"/>
                <w:color w:val="auto"/>
                <w:sz w:val="21"/>
                <w:szCs w:val="21"/>
                <w:highlight w:val="none"/>
                <w:lang w:val="en-US" w:eastAsia="zh-CN"/>
              </w:rPr>
              <w:t>注：不提供不得分。</w:t>
            </w:r>
          </w:p>
        </w:tc>
        <w:tc>
          <w:tcPr>
            <w:tcW w:w="877" w:type="dxa"/>
            <w:tcBorders>
              <w:top w:val="single" w:color="auto" w:sz="4" w:space="0"/>
              <w:left w:val="single" w:color="000000" w:sz="4" w:space="0"/>
              <w:bottom w:val="single" w:color="000000" w:sz="4" w:space="0"/>
              <w:right w:val="single" w:color="000000" w:sz="4" w:space="0"/>
            </w:tcBorders>
            <w:noWrap w:val="0"/>
            <w:vAlign w:val="center"/>
          </w:tcPr>
          <w:p w14:paraId="7D7AC1C4">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cs="宋体"/>
                <w:color w:val="auto"/>
                <w:szCs w:val="21"/>
                <w:highlight w:val="none"/>
                <w:lang w:val="en-US" w:eastAsia="zh-CN"/>
              </w:rPr>
              <w:t>分</w:t>
            </w:r>
          </w:p>
        </w:tc>
        <w:tc>
          <w:tcPr>
            <w:tcW w:w="787" w:type="pct"/>
            <w:tcBorders>
              <w:top w:val="single" w:color="auto" w:sz="4" w:space="0"/>
              <w:left w:val="single" w:color="000000" w:sz="4" w:space="0"/>
              <w:bottom w:val="single" w:color="000000" w:sz="4" w:space="0"/>
              <w:right w:val="single" w:color="000000" w:sz="4" w:space="0"/>
            </w:tcBorders>
            <w:noWrap w:val="0"/>
            <w:vAlign w:val="center"/>
          </w:tcPr>
          <w:p w14:paraId="13907B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rPr>
                <w:rFonts w:hint="eastAsia" w:ascii="宋体" w:hAnsi="宋体" w:eastAsia="宋体" w:cs="宋体"/>
                <w:i w:val="0"/>
                <w:iCs w:val="0"/>
                <w:color w:val="auto"/>
                <w:sz w:val="21"/>
                <w:szCs w:val="21"/>
                <w:highlight w:val="none"/>
                <w:u w:val="none"/>
                <w:lang w:val="en-US" w:eastAsia="zh-CN"/>
              </w:rPr>
            </w:pPr>
          </w:p>
        </w:tc>
        <w:tc>
          <w:tcPr>
            <w:tcW w:w="770" w:type="pct"/>
            <w:tcBorders>
              <w:top w:val="single" w:color="000000" w:sz="4" w:space="0"/>
              <w:left w:val="single" w:color="000000" w:sz="4" w:space="0"/>
              <w:bottom w:val="single" w:color="000000" w:sz="4" w:space="0"/>
              <w:right w:val="single" w:color="000000" w:sz="4" w:space="0"/>
            </w:tcBorders>
            <w:noWrap w:val="0"/>
            <w:vAlign w:val="center"/>
          </w:tcPr>
          <w:p w14:paraId="1CE2BC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rPr>
                <w:rFonts w:hint="eastAsia" w:ascii="宋体" w:hAnsi="宋体" w:eastAsia="宋体" w:cs="宋体"/>
                <w:i w:val="0"/>
                <w:iCs w:val="0"/>
                <w:color w:val="auto"/>
                <w:sz w:val="21"/>
                <w:szCs w:val="21"/>
                <w:highlight w:val="none"/>
                <w:u w:val="none"/>
                <w:lang w:val="en-US" w:eastAsia="zh-CN"/>
              </w:rPr>
            </w:pPr>
          </w:p>
        </w:tc>
      </w:tr>
      <w:tr w14:paraId="5E6B9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95" w:type="pct"/>
            <w:vMerge w:val="continue"/>
            <w:tcBorders>
              <w:left w:val="single" w:color="auto" w:sz="4" w:space="0"/>
              <w:right w:val="single" w:color="auto" w:sz="4" w:space="0"/>
            </w:tcBorders>
            <w:noWrap w:val="0"/>
            <w:vAlign w:val="center"/>
          </w:tcPr>
          <w:p w14:paraId="55E9D0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rPr>
                <w:rFonts w:hint="eastAsia" w:ascii="宋体" w:hAnsi="宋体" w:eastAsia="宋体" w:cs="宋体"/>
                <w:i w:val="0"/>
                <w:iCs w:val="0"/>
                <w:color w:val="auto"/>
                <w:sz w:val="21"/>
                <w:szCs w:val="21"/>
                <w:highlight w:val="none"/>
                <w:u w:val="none"/>
              </w:rPr>
            </w:pPr>
          </w:p>
        </w:tc>
        <w:tc>
          <w:tcPr>
            <w:tcW w:w="877" w:type="dxa"/>
            <w:tcBorders>
              <w:top w:val="single" w:color="auto" w:sz="4" w:space="0"/>
              <w:left w:val="single" w:color="000000" w:sz="4" w:space="0"/>
              <w:bottom w:val="single" w:color="000000" w:sz="4" w:space="0"/>
              <w:right w:val="single" w:color="000000" w:sz="4" w:space="0"/>
            </w:tcBorders>
            <w:noWrap w:val="0"/>
            <w:vAlign w:val="center"/>
          </w:tcPr>
          <w:p w14:paraId="0AFA7341">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sz w:val="21"/>
                <w:szCs w:val="21"/>
                <w:highlight w:val="none"/>
                <w:lang w:val="en-US" w:eastAsia="zh-CN"/>
              </w:rPr>
              <w:t>运输便利性</w:t>
            </w:r>
          </w:p>
        </w:tc>
        <w:tc>
          <w:tcPr>
            <w:tcW w:w="4431" w:type="dxa"/>
            <w:tcBorders>
              <w:top w:val="single" w:color="auto" w:sz="4" w:space="0"/>
              <w:left w:val="single" w:color="000000" w:sz="4" w:space="0"/>
              <w:bottom w:val="single" w:color="000000" w:sz="4" w:space="0"/>
              <w:right w:val="single" w:color="000000" w:sz="4" w:space="0"/>
            </w:tcBorders>
            <w:noWrap w:val="0"/>
            <w:vAlign w:val="center"/>
          </w:tcPr>
          <w:p w14:paraId="6C06381B">
            <w:pPr>
              <w:keepNext w:val="0"/>
              <w:keepLines w:val="0"/>
              <w:widowControl/>
              <w:numPr>
                <w:ilvl w:val="0"/>
                <w:numId w:val="0"/>
              </w:numPr>
              <w:suppressLineNumbers w:val="0"/>
              <w:spacing w:before="0" w:beforeAutospacing="0" w:after="0" w:afterAutospacing="0" w:line="360" w:lineRule="auto"/>
              <w:ind w:right="0" w:rightChars="0"/>
              <w:jc w:val="left"/>
              <w:textAlignment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1.运输便利性：</w:t>
            </w:r>
          </w:p>
          <w:p w14:paraId="754A463E">
            <w:pPr>
              <w:keepNext w:val="0"/>
              <w:keepLines w:val="0"/>
              <w:widowControl/>
              <w:numPr>
                <w:ilvl w:val="0"/>
                <w:numId w:val="0"/>
              </w:numPr>
              <w:suppressLineNumbers w:val="0"/>
              <w:spacing w:before="0" w:beforeAutospacing="0" w:after="0" w:afterAutospacing="0" w:line="360" w:lineRule="auto"/>
              <w:ind w:right="0" w:rightChars="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A</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分）：运输便利性和有效性好，满足一般配送要求，供货保证措施完整得当，进度违约责任承诺具体</w:t>
            </w:r>
            <w:r>
              <w:rPr>
                <w:rFonts w:hint="eastAsia" w:ascii="宋体" w:hAnsi="宋体" w:cs="宋体"/>
                <w:color w:val="auto"/>
                <w:sz w:val="21"/>
                <w:szCs w:val="21"/>
                <w:highlight w:val="none"/>
                <w:lang w:val="en-US" w:eastAsia="zh-CN"/>
              </w:rPr>
              <w:t>；</w:t>
            </w:r>
          </w:p>
          <w:p w14:paraId="26F7B82E">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B</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2分</w:t>
            </w:r>
            <w:r>
              <w:rPr>
                <w:rFonts w:hint="eastAsia" w:ascii="宋体" w:hAnsi="宋体" w:eastAsia="宋体" w:cs="宋体"/>
                <w:color w:val="auto"/>
                <w:sz w:val="21"/>
                <w:szCs w:val="21"/>
                <w:highlight w:val="none"/>
                <w:lang w:val="en-US" w:eastAsia="zh-CN"/>
              </w:rPr>
              <w:t>）：运输便利性和有效性较好，满足一般配送要求，有供货保证措施，有进度违约责任承诺</w:t>
            </w:r>
            <w:r>
              <w:rPr>
                <w:rFonts w:hint="eastAsia" w:ascii="宋体" w:hAnsi="宋体" w:cs="宋体"/>
                <w:color w:val="auto"/>
                <w:sz w:val="21"/>
                <w:szCs w:val="21"/>
                <w:highlight w:val="none"/>
                <w:lang w:val="en-US" w:eastAsia="zh-CN"/>
              </w:rPr>
              <w:t>；</w:t>
            </w:r>
          </w:p>
          <w:p w14:paraId="6A7F0144">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C</w:t>
            </w:r>
            <w:r>
              <w:rPr>
                <w:rFonts w:hint="eastAsia" w:ascii="宋体" w:hAnsi="宋体" w:eastAsia="宋体" w:cs="宋体"/>
                <w:color w:val="auto"/>
                <w:sz w:val="21"/>
                <w:szCs w:val="21"/>
                <w:highlight w:val="none"/>
                <w:lang w:val="en-US" w:eastAsia="zh-CN"/>
              </w:rPr>
              <w:t>（1分）：运输便利性和有效性一般</w:t>
            </w:r>
            <w:r>
              <w:rPr>
                <w:rFonts w:hint="eastAsia" w:ascii="宋体" w:hAnsi="宋体" w:cs="宋体"/>
                <w:color w:val="auto"/>
                <w:sz w:val="21"/>
                <w:szCs w:val="21"/>
                <w:highlight w:val="none"/>
                <w:lang w:val="en-US" w:eastAsia="zh-CN"/>
              </w:rPr>
              <w:t>；</w:t>
            </w:r>
          </w:p>
          <w:p w14:paraId="05DA7D28">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D</w:t>
            </w:r>
            <w:r>
              <w:rPr>
                <w:rFonts w:hint="eastAsia" w:ascii="宋体" w:hAnsi="宋体" w:eastAsia="宋体" w:cs="宋体"/>
                <w:color w:val="auto"/>
                <w:sz w:val="21"/>
                <w:szCs w:val="21"/>
                <w:highlight w:val="none"/>
                <w:lang w:val="en-US" w:eastAsia="zh-CN"/>
              </w:rPr>
              <w:t>（0分）：运输便利性和有效性不详细、不充分、不合理。</w:t>
            </w:r>
          </w:p>
          <w:p w14:paraId="379A9385">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cs="宋体"/>
                <w:color w:val="auto"/>
                <w:kern w:val="0"/>
                <w:sz w:val="21"/>
                <w:szCs w:val="21"/>
                <w:highlight w:val="none"/>
                <w:u w:val="none"/>
                <w:lang w:val="en-US" w:eastAsia="zh-CN"/>
              </w:rPr>
            </w:pPr>
            <w:r>
              <w:rPr>
                <w:rFonts w:hint="eastAsia" w:ascii="宋体" w:hAnsi="宋体" w:eastAsia="宋体" w:cs="宋体"/>
                <w:color w:val="auto"/>
                <w:sz w:val="21"/>
                <w:szCs w:val="21"/>
                <w:highlight w:val="none"/>
                <w:lang w:val="en-US" w:eastAsia="zh-CN"/>
              </w:rPr>
              <w:t>注：不提供不得分。</w:t>
            </w:r>
          </w:p>
        </w:tc>
        <w:tc>
          <w:tcPr>
            <w:tcW w:w="877" w:type="dxa"/>
            <w:tcBorders>
              <w:top w:val="single" w:color="auto" w:sz="4" w:space="0"/>
              <w:left w:val="single" w:color="000000" w:sz="4" w:space="0"/>
              <w:bottom w:val="single" w:color="000000" w:sz="4" w:space="0"/>
              <w:right w:val="single" w:color="000000" w:sz="4" w:space="0"/>
            </w:tcBorders>
            <w:noWrap w:val="0"/>
            <w:vAlign w:val="center"/>
          </w:tcPr>
          <w:p w14:paraId="7355D046">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w:t>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cs="宋体"/>
                <w:color w:val="auto"/>
                <w:szCs w:val="21"/>
                <w:highlight w:val="none"/>
                <w:lang w:val="en-US" w:eastAsia="zh-CN"/>
              </w:rPr>
              <w:t>分</w:t>
            </w:r>
          </w:p>
        </w:tc>
        <w:tc>
          <w:tcPr>
            <w:tcW w:w="787" w:type="pct"/>
            <w:tcBorders>
              <w:top w:val="single" w:color="auto" w:sz="4" w:space="0"/>
              <w:left w:val="single" w:color="000000" w:sz="4" w:space="0"/>
              <w:bottom w:val="single" w:color="000000" w:sz="4" w:space="0"/>
              <w:right w:val="single" w:color="000000" w:sz="4" w:space="0"/>
            </w:tcBorders>
            <w:noWrap w:val="0"/>
            <w:vAlign w:val="center"/>
          </w:tcPr>
          <w:p w14:paraId="19B322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rPr>
                <w:rFonts w:hint="eastAsia" w:ascii="宋体" w:hAnsi="宋体" w:eastAsia="宋体" w:cs="宋体"/>
                <w:i w:val="0"/>
                <w:iCs w:val="0"/>
                <w:color w:val="auto"/>
                <w:sz w:val="21"/>
                <w:szCs w:val="21"/>
                <w:highlight w:val="none"/>
                <w:u w:val="none"/>
                <w:lang w:val="en-US" w:eastAsia="zh-CN"/>
              </w:rPr>
            </w:pPr>
          </w:p>
        </w:tc>
        <w:tc>
          <w:tcPr>
            <w:tcW w:w="770" w:type="pct"/>
            <w:tcBorders>
              <w:top w:val="single" w:color="000000" w:sz="4" w:space="0"/>
              <w:left w:val="single" w:color="000000" w:sz="4" w:space="0"/>
              <w:bottom w:val="single" w:color="000000" w:sz="4" w:space="0"/>
              <w:right w:val="single" w:color="000000" w:sz="4" w:space="0"/>
            </w:tcBorders>
            <w:noWrap w:val="0"/>
            <w:vAlign w:val="center"/>
          </w:tcPr>
          <w:p w14:paraId="17DB93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rPr>
                <w:rFonts w:hint="eastAsia" w:ascii="宋体" w:hAnsi="宋体" w:eastAsia="宋体" w:cs="宋体"/>
                <w:i w:val="0"/>
                <w:iCs w:val="0"/>
                <w:color w:val="auto"/>
                <w:sz w:val="21"/>
                <w:szCs w:val="21"/>
                <w:highlight w:val="none"/>
                <w:u w:val="none"/>
                <w:lang w:val="en-US" w:eastAsia="zh-CN"/>
              </w:rPr>
            </w:pPr>
          </w:p>
        </w:tc>
      </w:tr>
      <w:tr w14:paraId="487E6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95" w:type="pct"/>
            <w:vMerge w:val="continue"/>
            <w:tcBorders>
              <w:left w:val="single" w:color="auto" w:sz="4" w:space="0"/>
              <w:bottom w:val="single" w:color="000000" w:sz="4" w:space="0"/>
              <w:right w:val="single" w:color="auto" w:sz="4" w:space="0"/>
            </w:tcBorders>
            <w:noWrap w:val="0"/>
            <w:vAlign w:val="center"/>
          </w:tcPr>
          <w:p w14:paraId="5BBC68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rPr>
                <w:rFonts w:hint="eastAsia" w:ascii="宋体" w:hAnsi="宋体" w:eastAsia="宋体" w:cs="宋体"/>
                <w:i w:val="0"/>
                <w:iCs w:val="0"/>
                <w:color w:val="auto"/>
                <w:sz w:val="21"/>
                <w:szCs w:val="21"/>
                <w:highlight w:val="none"/>
                <w:u w:val="none"/>
              </w:rPr>
            </w:pPr>
          </w:p>
        </w:tc>
        <w:tc>
          <w:tcPr>
            <w:tcW w:w="877" w:type="dxa"/>
            <w:tcBorders>
              <w:top w:val="single" w:color="auto" w:sz="4" w:space="0"/>
              <w:left w:val="single" w:color="000000" w:sz="4" w:space="0"/>
              <w:bottom w:val="single" w:color="000000" w:sz="4" w:space="0"/>
              <w:right w:val="single" w:color="000000" w:sz="4" w:space="0"/>
            </w:tcBorders>
            <w:noWrap w:val="0"/>
            <w:vAlign w:val="center"/>
          </w:tcPr>
          <w:p w14:paraId="10FCAC9B">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kern w:val="0"/>
                <w:sz w:val="21"/>
                <w:szCs w:val="21"/>
                <w:highlight w:val="none"/>
                <w:u w:val="none"/>
              </w:rPr>
            </w:pPr>
            <w:r>
              <w:rPr>
                <w:rFonts w:hint="eastAsia" w:ascii="宋体" w:hAnsi="宋体" w:eastAsia="宋体" w:cs="宋体"/>
                <w:color w:val="auto"/>
                <w:sz w:val="21"/>
                <w:szCs w:val="21"/>
                <w:highlight w:val="none"/>
                <w:lang w:val="en-US" w:eastAsia="zh-CN"/>
              </w:rPr>
              <w:t>应急方案</w:t>
            </w:r>
          </w:p>
        </w:tc>
        <w:tc>
          <w:tcPr>
            <w:tcW w:w="4431" w:type="dxa"/>
            <w:tcBorders>
              <w:top w:val="single" w:color="auto" w:sz="4" w:space="0"/>
              <w:left w:val="single" w:color="000000" w:sz="4" w:space="0"/>
              <w:bottom w:val="single" w:color="000000" w:sz="4" w:space="0"/>
              <w:right w:val="single" w:color="000000" w:sz="4" w:space="0"/>
            </w:tcBorders>
            <w:noWrap w:val="0"/>
            <w:vAlign w:val="center"/>
          </w:tcPr>
          <w:p w14:paraId="2EF80D8D">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cs="宋体"/>
                <w:color w:val="auto"/>
                <w:kern w:val="0"/>
                <w:sz w:val="21"/>
                <w:szCs w:val="21"/>
                <w:highlight w:val="none"/>
                <w:u w:val="none"/>
                <w:lang w:val="en-US" w:eastAsia="zh-CN"/>
              </w:rPr>
            </w:pPr>
            <w:r>
              <w:rPr>
                <w:rFonts w:hint="eastAsia" w:ascii="宋体" w:hAnsi="宋体" w:eastAsia="宋体" w:cs="宋体"/>
                <w:color w:val="auto"/>
                <w:sz w:val="21"/>
                <w:szCs w:val="21"/>
                <w:highlight w:val="none"/>
                <w:lang w:val="en-US" w:eastAsia="zh-CN"/>
              </w:rPr>
              <w:t>应急方案包括项目执行过程中的紧急情况或突发事情的处理方案：</w:t>
            </w:r>
            <w:r>
              <w:rPr>
                <w:rFonts w:hint="eastAsia" w:ascii="宋体" w:hAnsi="宋体" w:eastAsia="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A</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分）：方案描述详细、合理、可行性高；</w:t>
            </w:r>
            <w:r>
              <w:rPr>
                <w:rFonts w:hint="eastAsia" w:ascii="宋体" w:hAnsi="宋体" w:eastAsia="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B</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2-3分</w:t>
            </w:r>
            <w:r>
              <w:rPr>
                <w:rFonts w:hint="eastAsia" w:ascii="宋体" w:hAnsi="宋体" w:eastAsia="宋体" w:cs="宋体"/>
                <w:color w:val="auto"/>
                <w:sz w:val="21"/>
                <w:szCs w:val="21"/>
                <w:highlight w:val="none"/>
                <w:lang w:val="en-US" w:eastAsia="zh-CN"/>
              </w:rPr>
              <w:t>）：方案描述较为详细、合理、具有一定的可行性；</w:t>
            </w:r>
            <w:r>
              <w:rPr>
                <w:rFonts w:hint="eastAsia" w:ascii="宋体" w:hAnsi="宋体" w:eastAsia="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C</w:t>
            </w:r>
            <w:r>
              <w:rPr>
                <w:rFonts w:hint="eastAsia" w:ascii="宋体" w:hAnsi="宋体" w:eastAsia="宋体" w:cs="宋体"/>
                <w:color w:val="auto"/>
                <w:sz w:val="21"/>
                <w:szCs w:val="21"/>
                <w:highlight w:val="none"/>
                <w:lang w:val="en-US" w:eastAsia="zh-CN"/>
              </w:rPr>
              <w:t>（1分）：方案描述完整但不够详细、合理性一般，可行性一般；</w:t>
            </w:r>
            <w:r>
              <w:rPr>
                <w:rFonts w:hint="eastAsia" w:ascii="宋体" w:hAnsi="宋体" w:eastAsia="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D</w:t>
            </w:r>
            <w:r>
              <w:rPr>
                <w:rFonts w:hint="eastAsia" w:ascii="宋体" w:hAnsi="宋体" w:eastAsia="宋体" w:cs="宋体"/>
                <w:color w:val="auto"/>
                <w:sz w:val="21"/>
                <w:szCs w:val="21"/>
                <w:highlight w:val="none"/>
                <w:lang w:val="en-US" w:eastAsia="zh-CN"/>
              </w:rPr>
              <w:t>（0分）：方案描述不够完整、合理性较差，可行性较差</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注：不提供不得分。</w:t>
            </w:r>
          </w:p>
        </w:tc>
        <w:tc>
          <w:tcPr>
            <w:tcW w:w="877" w:type="dxa"/>
            <w:tcBorders>
              <w:top w:val="single" w:color="auto" w:sz="4" w:space="0"/>
              <w:left w:val="single" w:color="000000" w:sz="4" w:space="0"/>
              <w:bottom w:val="single" w:color="000000" w:sz="4" w:space="0"/>
              <w:right w:val="single" w:color="000000" w:sz="4" w:space="0"/>
            </w:tcBorders>
            <w:noWrap w:val="0"/>
            <w:vAlign w:val="center"/>
          </w:tcPr>
          <w:p w14:paraId="7AE25A57">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w:t>
            </w: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cs="宋体"/>
                <w:color w:val="auto"/>
                <w:szCs w:val="21"/>
                <w:highlight w:val="none"/>
                <w:lang w:val="en-US" w:eastAsia="zh-CN"/>
              </w:rPr>
              <w:t>分</w:t>
            </w:r>
          </w:p>
        </w:tc>
        <w:tc>
          <w:tcPr>
            <w:tcW w:w="787" w:type="pct"/>
            <w:tcBorders>
              <w:top w:val="single" w:color="auto" w:sz="4" w:space="0"/>
              <w:left w:val="single" w:color="000000" w:sz="4" w:space="0"/>
              <w:bottom w:val="single" w:color="000000" w:sz="4" w:space="0"/>
              <w:right w:val="single" w:color="000000" w:sz="4" w:space="0"/>
            </w:tcBorders>
            <w:noWrap w:val="0"/>
            <w:vAlign w:val="center"/>
          </w:tcPr>
          <w:p w14:paraId="145720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rPr>
                <w:rFonts w:hint="default" w:ascii="宋体" w:hAnsi="宋体" w:eastAsia="宋体" w:cs="宋体"/>
                <w:i w:val="0"/>
                <w:iCs w:val="0"/>
                <w:color w:val="auto"/>
                <w:sz w:val="21"/>
                <w:szCs w:val="21"/>
                <w:highlight w:val="none"/>
                <w:u w:val="none"/>
                <w:lang w:val="en-US" w:eastAsia="zh-CN"/>
              </w:rPr>
            </w:pPr>
          </w:p>
        </w:tc>
        <w:tc>
          <w:tcPr>
            <w:tcW w:w="770" w:type="pct"/>
            <w:tcBorders>
              <w:top w:val="single" w:color="000000" w:sz="4" w:space="0"/>
              <w:left w:val="single" w:color="000000" w:sz="4" w:space="0"/>
              <w:bottom w:val="single" w:color="000000" w:sz="4" w:space="0"/>
              <w:right w:val="single" w:color="000000" w:sz="4" w:space="0"/>
            </w:tcBorders>
            <w:noWrap w:val="0"/>
            <w:vAlign w:val="center"/>
          </w:tcPr>
          <w:p w14:paraId="4C6DA2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rPr>
                <w:rFonts w:hint="default" w:ascii="宋体" w:hAnsi="宋体" w:eastAsia="宋体" w:cs="宋体"/>
                <w:i w:val="0"/>
                <w:iCs w:val="0"/>
                <w:color w:val="auto"/>
                <w:sz w:val="21"/>
                <w:szCs w:val="21"/>
                <w:highlight w:val="none"/>
                <w:u w:val="none"/>
                <w:lang w:val="en-US" w:eastAsia="zh-CN"/>
              </w:rPr>
            </w:pPr>
          </w:p>
        </w:tc>
      </w:tr>
      <w:tr w14:paraId="79A5F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996" w:type="pct"/>
            <w:gridSpan w:val="3"/>
            <w:tcBorders>
              <w:top w:val="single" w:color="000000" w:sz="4" w:space="0"/>
              <w:left w:val="single" w:color="000000" w:sz="4" w:space="0"/>
              <w:bottom w:val="single" w:color="000000" w:sz="4" w:space="0"/>
              <w:right w:val="single" w:color="000000" w:sz="4" w:space="0"/>
            </w:tcBorders>
            <w:noWrap w:val="0"/>
            <w:vAlign w:val="center"/>
          </w:tcPr>
          <w:p w14:paraId="11149C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技术分合计</w:t>
            </w:r>
          </w:p>
        </w:tc>
        <w:tc>
          <w:tcPr>
            <w:tcW w:w="446" w:type="pct"/>
            <w:tcBorders>
              <w:top w:val="single" w:color="000000" w:sz="4" w:space="0"/>
              <w:left w:val="single" w:color="000000" w:sz="4" w:space="0"/>
              <w:bottom w:val="single" w:color="000000" w:sz="4" w:space="0"/>
              <w:right w:val="single" w:color="000000" w:sz="4" w:space="0"/>
            </w:tcBorders>
            <w:noWrap w:val="0"/>
            <w:vAlign w:val="center"/>
          </w:tcPr>
          <w:p w14:paraId="092BD8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0-</w:t>
            </w:r>
            <w:r>
              <w:rPr>
                <w:rFonts w:hint="eastAsia" w:ascii="宋体" w:hAnsi="宋体" w:cs="宋体"/>
                <w:i w:val="0"/>
                <w:iCs w:val="0"/>
                <w:color w:val="auto"/>
                <w:sz w:val="21"/>
                <w:szCs w:val="21"/>
                <w:highlight w:val="none"/>
                <w:u w:val="none"/>
                <w:lang w:val="en-US" w:eastAsia="zh-CN"/>
              </w:rPr>
              <w:t>40</w:t>
            </w:r>
            <w:r>
              <w:rPr>
                <w:rFonts w:hint="eastAsia" w:ascii="宋体" w:hAnsi="宋体" w:eastAsia="宋体" w:cs="宋体"/>
                <w:i w:val="0"/>
                <w:iCs w:val="0"/>
                <w:color w:val="auto"/>
                <w:sz w:val="21"/>
                <w:szCs w:val="21"/>
                <w:highlight w:val="none"/>
                <w:u w:val="none"/>
                <w:lang w:val="en-US" w:eastAsia="zh-CN"/>
              </w:rPr>
              <w:t>分</w:t>
            </w:r>
          </w:p>
        </w:tc>
        <w:tc>
          <w:tcPr>
            <w:tcW w:w="787" w:type="pct"/>
            <w:tcBorders>
              <w:top w:val="single" w:color="000000" w:sz="4" w:space="0"/>
              <w:left w:val="single" w:color="000000" w:sz="4" w:space="0"/>
              <w:bottom w:val="single" w:color="000000" w:sz="4" w:space="0"/>
              <w:right w:val="single" w:color="000000" w:sz="4" w:space="0"/>
            </w:tcBorders>
            <w:noWrap w:val="0"/>
            <w:vAlign w:val="center"/>
          </w:tcPr>
          <w:p w14:paraId="25B6A3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此项无需填写</w:t>
            </w:r>
          </w:p>
        </w:tc>
        <w:tc>
          <w:tcPr>
            <w:tcW w:w="770" w:type="pct"/>
            <w:tcBorders>
              <w:top w:val="single" w:color="000000" w:sz="4" w:space="0"/>
              <w:left w:val="single" w:color="000000" w:sz="4" w:space="0"/>
              <w:bottom w:val="single" w:color="000000" w:sz="4" w:space="0"/>
              <w:right w:val="single" w:color="000000" w:sz="4" w:space="0"/>
            </w:tcBorders>
            <w:noWrap w:val="0"/>
            <w:vAlign w:val="center"/>
          </w:tcPr>
          <w:p w14:paraId="314414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此项无需填写</w:t>
            </w:r>
          </w:p>
        </w:tc>
      </w:tr>
    </w:tbl>
    <w:p w14:paraId="110062CE">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说明：</w:t>
      </w:r>
    </w:p>
    <w:p w14:paraId="0E0B947E">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highlight w:val="none"/>
          <w:lang w:eastAsia="zh-CN"/>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投标人</w:t>
      </w:r>
      <w:r>
        <w:rPr>
          <w:rFonts w:hint="eastAsia" w:ascii="宋体" w:hAnsi="宋体" w:eastAsia="宋体" w:cs="宋体"/>
          <w:color w:val="auto"/>
          <w:highlight w:val="none"/>
        </w:rPr>
        <w:t>必须充分重视和严格按要求准确填写本表格“</w:t>
      </w:r>
      <w:r>
        <w:rPr>
          <w:rFonts w:hint="eastAsia" w:ascii="宋体" w:hAnsi="宋体" w:cs="宋体"/>
          <w:color w:val="auto"/>
          <w:highlight w:val="none"/>
          <w:lang w:val="en-US" w:eastAsia="zh-CN"/>
        </w:rPr>
        <w:t>投标人</w:t>
      </w:r>
      <w:r>
        <w:rPr>
          <w:rFonts w:hint="eastAsia" w:ascii="宋体" w:hAnsi="宋体" w:eastAsia="宋体" w:cs="宋体"/>
          <w:color w:val="auto"/>
          <w:highlight w:val="none"/>
        </w:rPr>
        <w:t>应答”、“证明材料索引”两列</w:t>
      </w:r>
      <w:r>
        <w:rPr>
          <w:rFonts w:hint="eastAsia" w:ascii="宋体" w:hAnsi="宋体" w:eastAsia="宋体" w:cs="宋体"/>
          <w:color w:val="auto"/>
          <w:highlight w:val="none"/>
          <w:lang w:eastAsia="zh-CN"/>
        </w:rPr>
        <w:t>。</w:t>
      </w:r>
    </w:p>
    <w:p w14:paraId="391EDFFE">
      <w:pPr>
        <w:rPr>
          <w:rFonts w:hint="eastAsia"/>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cs="宋体"/>
          <w:color w:val="auto"/>
          <w:highlight w:val="none"/>
          <w:lang w:val="en-US" w:eastAsia="zh-CN"/>
        </w:rPr>
        <w:t>投标人</w:t>
      </w:r>
      <w:r>
        <w:rPr>
          <w:rFonts w:hint="eastAsia" w:ascii="宋体" w:hAnsi="宋体" w:eastAsia="宋体" w:cs="宋体"/>
          <w:color w:val="auto"/>
          <w:highlight w:val="none"/>
        </w:rPr>
        <w:t>必须确保填写内容的真实准确，</w:t>
      </w:r>
      <w:r>
        <w:rPr>
          <w:rFonts w:hint="eastAsia" w:ascii="宋体" w:hAnsi="宋体" w:cs="宋体"/>
          <w:color w:val="auto"/>
          <w:highlight w:val="none"/>
          <w:lang w:val="en-US" w:eastAsia="zh-CN"/>
        </w:rPr>
        <w:t>招标</w:t>
      </w:r>
      <w:r>
        <w:rPr>
          <w:rFonts w:hint="eastAsia" w:ascii="宋体" w:hAnsi="宋体" w:eastAsia="宋体" w:cs="宋体"/>
          <w:color w:val="auto"/>
          <w:highlight w:val="none"/>
          <w:lang w:eastAsia="zh-CN"/>
        </w:rPr>
        <w:t>人</w:t>
      </w:r>
      <w:r>
        <w:rPr>
          <w:rFonts w:hint="eastAsia" w:ascii="宋体" w:hAnsi="宋体" w:eastAsia="宋体" w:cs="宋体"/>
          <w:color w:val="auto"/>
          <w:highlight w:val="none"/>
        </w:rPr>
        <w:t>有权将相关内容对外进行公布或公示，接受社会监督</w:t>
      </w:r>
      <w:r>
        <w:rPr>
          <w:rFonts w:hint="eastAsia" w:ascii="宋体" w:hAnsi="宋体" w:eastAsia="宋体" w:cs="宋体"/>
          <w:color w:val="auto"/>
          <w:highlight w:val="none"/>
          <w:lang w:eastAsia="zh-CN"/>
        </w:rPr>
        <w:t>。</w:t>
      </w:r>
      <w:r>
        <w:rPr>
          <w:rFonts w:hint="eastAsia"/>
          <w:color w:val="auto"/>
          <w:highlight w:val="none"/>
        </w:rPr>
        <w:br w:type="page"/>
      </w:r>
    </w:p>
    <w:p w14:paraId="592F1E63">
      <w:pPr>
        <w:keepNext w:val="0"/>
        <w:keepLines w:val="0"/>
        <w:pageBreakBefore w:val="0"/>
        <w:widowControl w:val="0"/>
        <w:numPr>
          <w:ilvl w:val="0"/>
          <w:numId w:val="14"/>
        </w:numPr>
        <w:kinsoku/>
        <w:wordWrap/>
        <w:overflowPunct/>
        <w:topLinePunct w:val="0"/>
        <w:autoSpaceDE/>
        <w:autoSpaceDN/>
        <w:bidi w:val="0"/>
        <w:adjustRightInd/>
        <w:snapToGrid/>
        <w:spacing w:before="10" w:after="10" w:line="360" w:lineRule="auto"/>
        <w:ind w:left="0" w:leftChars="0" w:firstLine="0" w:firstLineChars="0"/>
        <w:jc w:val="both"/>
        <w:textAlignment w:val="auto"/>
        <w:outlineLvl w:val="3"/>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主要技术参数</w:t>
      </w:r>
    </w:p>
    <w:p w14:paraId="13C3D0FA">
      <w:pPr>
        <w:pStyle w:val="23"/>
        <w:keepNext w:val="0"/>
        <w:keepLines w:val="0"/>
        <w:pageBreakBefore w:val="0"/>
        <w:widowControl w:val="0"/>
        <w:kinsoku/>
        <w:wordWrap/>
        <w:overflowPunct/>
        <w:topLinePunct w:val="0"/>
        <w:autoSpaceDE/>
        <w:autoSpaceDN/>
        <w:bidi w:val="0"/>
        <w:adjustRightInd/>
        <w:snapToGrid/>
        <w:spacing w:before="10" w:after="10" w:line="360" w:lineRule="auto"/>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具体详见评分标准中技术评审。</w:t>
      </w:r>
    </w:p>
    <w:p w14:paraId="194DFD3C">
      <w:pPr>
        <w:pStyle w:val="23"/>
        <w:keepNext w:val="0"/>
        <w:keepLines w:val="0"/>
        <w:pageBreakBefore w:val="0"/>
        <w:widowControl w:val="0"/>
        <w:kinsoku/>
        <w:wordWrap/>
        <w:overflowPunct/>
        <w:topLinePunct w:val="0"/>
        <w:autoSpaceDE/>
        <w:autoSpaceDN/>
        <w:bidi w:val="0"/>
        <w:adjustRightInd/>
        <w:snapToGrid/>
        <w:spacing w:before="10" w:after="10" w:line="360" w:lineRule="auto"/>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rPr>
        <w:t>注：需提供相关证明文件复印件，需加盖公章或投标专用章或电子签章。</w:t>
      </w:r>
    </w:p>
    <w:p w14:paraId="09BCE8FE">
      <w:pPr>
        <w:rPr>
          <w:rFonts w:hint="eastAsia"/>
          <w:color w:val="auto"/>
          <w:highlight w:val="none"/>
          <w:lang w:val="en-US" w:eastAsia="zh-CN"/>
        </w:rPr>
      </w:pPr>
    </w:p>
    <w:p w14:paraId="0F5353E4">
      <w:pPr>
        <w:keepNext w:val="0"/>
        <w:keepLines w:val="0"/>
        <w:pageBreakBefore w:val="0"/>
        <w:widowControl w:val="0"/>
        <w:numPr>
          <w:ilvl w:val="0"/>
          <w:numId w:val="14"/>
        </w:numPr>
        <w:kinsoku/>
        <w:wordWrap/>
        <w:overflowPunct/>
        <w:topLinePunct w:val="0"/>
        <w:autoSpaceDE/>
        <w:autoSpaceDN/>
        <w:bidi w:val="0"/>
        <w:adjustRightInd/>
        <w:snapToGrid/>
        <w:spacing w:before="10" w:after="10" w:line="360" w:lineRule="auto"/>
        <w:ind w:left="0" w:leftChars="0" w:firstLine="0" w:firstLineChars="0"/>
        <w:jc w:val="both"/>
        <w:textAlignment w:val="auto"/>
        <w:outlineLvl w:val="3"/>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性能指标</w:t>
      </w:r>
    </w:p>
    <w:p w14:paraId="209B87BA">
      <w:pPr>
        <w:pStyle w:val="23"/>
        <w:keepNext w:val="0"/>
        <w:keepLines w:val="0"/>
        <w:pageBreakBefore w:val="0"/>
        <w:widowControl w:val="0"/>
        <w:kinsoku/>
        <w:wordWrap/>
        <w:overflowPunct/>
        <w:topLinePunct w:val="0"/>
        <w:autoSpaceDE/>
        <w:autoSpaceDN/>
        <w:bidi w:val="0"/>
        <w:adjustRightInd/>
        <w:snapToGrid/>
        <w:spacing w:before="10" w:after="10" w:line="360" w:lineRule="auto"/>
        <w:textAlignment w:val="auto"/>
        <w:rPr>
          <w:rFonts w:hint="eastAsia" w:ascii="宋体" w:hAnsi="宋体" w:eastAsia="宋体" w:cs="宋体"/>
          <w:b/>
          <w:bCs/>
          <w:color w:val="auto"/>
          <w:sz w:val="21"/>
          <w:szCs w:val="21"/>
          <w:highlight w:val="none"/>
          <w:lang w:val="en-US"/>
        </w:rPr>
      </w:pPr>
      <w:bookmarkStart w:id="2305" w:name="_Toc28740"/>
      <w:bookmarkStart w:id="2306" w:name="_Toc9153"/>
      <w:r>
        <w:rPr>
          <w:rFonts w:hint="eastAsia" w:ascii="宋体" w:hAnsi="宋体" w:eastAsia="宋体" w:cs="宋体"/>
          <w:b/>
          <w:bCs/>
          <w:color w:val="auto"/>
          <w:sz w:val="21"/>
          <w:szCs w:val="21"/>
          <w:highlight w:val="none"/>
          <w:lang w:val="en-US"/>
        </w:rPr>
        <w:t>具体详见评分标准中技术评审。</w:t>
      </w:r>
    </w:p>
    <w:p w14:paraId="262403C1">
      <w:pPr>
        <w:pStyle w:val="23"/>
        <w:keepNext w:val="0"/>
        <w:keepLines w:val="0"/>
        <w:pageBreakBefore w:val="0"/>
        <w:widowControl w:val="0"/>
        <w:kinsoku/>
        <w:wordWrap/>
        <w:overflowPunct/>
        <w:topLinePunct w:val="0"/>
        <w:autoSpaceDE/>
        <w:autoSpaceDN/>
        <w:bidi w:val="0"/>
        <w:adjustRightInd/>
        <w:snapToGrid/>
        <w:spacing w:before="10" w:after="10" w:line="360" w:lineRule="auto"/>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rPr>
        <w:t>注：需提供相关证明文件复印件，需加盖公章或投标专用章或电子签章。</w:t>
      </w:r>
    </w:p>
    <w:p w14:paraId="4B34A9F8">
      <w:pPr>
        <w:rPr>
          <w:rFonts w:hint="eastAsia"/>
          <w:color w:val="auto"/>
          <w:highlight w:val="none"/>
          <w:lang w:val="en-US" w:eastAsia="zh-CN"/>
        </w:rPr>
      </w:pPr>
    </w:p>
    <w:bookmarkEnd w:id="2305"/>
    <w:bookmarkEnd w:id="2306"/>
    <w:p w14:paraId="5B527AB2">
      <w:pPr>
        <w:keepNext w:val="0"/>
        <w:keepLines w:val="0"/>
        <w:pageBreakBefore w:val="0"/>
        <w:widowControl w:val="0"/>
        <w:numPr>
          <w:ilvl w:val="0"/>
          <w:numId w:val="14"/>
        </w:numPr>
        <w:kinsoku/>
        <w:wordWrap/>
        <w:overflowPunct/>
        <w:topLinePunct w:val="0"/>
        <w:autoSpaceDE/>
        <w:autoSpaceDN/>
        <w:bidi w:val="0"/>
        <w:adjustRightInd/>
        <w:snapToGrid/>
        <w:spacing w:before="10" w:after="10" w:line="360" w:lineRule="auto"/>
        <w:ind w:left="0" w:leftChars="0" w:firstLine="0" w:firstLineChars="0"/>
        <w:jc w:val="both"/>
        <w:textAlignment w:val="auto"/>
        <w:outlineLvl w:val="3"/>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生产能力</w:t>
      </w:r>
    </w:p>
    <w:p w14:paraId="0F7C71F8">
      <w:pPr>
        <w:pStyle w:val="23"/>
        <w:keepNext w:val="0"/>
        <w:keepLines w:val="0"/>
        <w:pageBreakBefore w:val="0"/>
        <w:widowControl w:val="0"/>
        <w:kinsoku/>
        <w:wordWrap/>
        <w:overflowPunct/>
        <w:topLinePunct w:val="0"/>
        <w:autoSpaceDE/>
        <w:autoSpaceDN/>
        <w:bidi w:val="0"/>
        <w:adjustRightInd/>
        <w:snapToGrid/>
        <w:spacing w:before="10" w:after="10" w:line="360" w:lineRule="auto"/>
        <w:textAlignment w:val="auto"/>
        <w:rPr>
          <w:rFonts w:hint="eastAsia" w:ascii="宋体" w:hAnsi="宋体" w:eastAsia="宋体" w:cs="宋体"/>
          <w:b/>
          <w:bCs/>
          <w:color w:val="auto"/>
          <w:sz w:val="21"/>
          <w:szCs w:val="21"/>
          <w:highlight w:val="none"/>
          <w:lang w:val="en-US"/>
        </w:rPr>
      </w:pPr>
      <w:bookmarkStart w:id="2307" w:name="_Toc15036"/>
      <w:r>
        <w:rPr>
          <w:rFonts w:hint="eastAsia" w:ascii="宋体" w:hAnsi="宋体" w:eastAsia="宋体" w:cs="宋体"/>
          <w:b/>
          <w:bCs/>
          <w:color w:val="auto"/>
          <w:sz w:val="21"/>
          <w:szCs w:val="21"/>
          <w:highlight w:val="none"/>
          <w:lang w:val="en-US"/>
        </w:rPr>
        <w:t>具体详见评分标准中技术评审。</w:t>
      </w:r>
    </w:p>
    <w:p w14:paraId="6753C052">
      <w:pPr>
        <w:pStyle w:val="23"/>
        <w:keepNext w:val="0"/>
        <w:keepLines w:val="0"/>
        <w:pageBreakBefore w:val="0"/>
        <w:widowControl w:val="0"/>
        <w:kinsoku/>
        <w:wordWrap/>
        <w:overflowPunct/>
        <w:topLinePunct w:val="0"/>
        <w:autoSpaceDE/>
        <w:autoSpaceDN/>
        <w:bidi w:val="0"/>
        <w:adjustRightInd/>
        <w:snapToGrid/>
        <w:spacing w:before="10" w:after="10" w:line="360" w:lineRule="auto"/>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rPr>
        <w:t>注：需提供相关证明文件复印件，需加盖公章或投标专用章或电子签章。</w:t>
      </w:r>
    </w:p>
    <w:bookmarkEnd w:id="2307"/>
    <w:p w14:paraId="18664736">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9"/>
        <w:rPr>
          <w:rFonts w:hint="eastAsia" w:ascii="宋体" w:hAnsi="宋体" w:eastAsia="宋体" w:cs="宋体"/>
          <w:b/>
          <w:color w:val="auto"/>
          <w:sz w:val="24"/>
          <w:szCs w:val="24"/>
          <w:highlight w:val="none"/>
          <w:lang w:val="en-US" w:eastAsia="zh-CN"/>
        </w:rPr>
      </w:pPr>
    </w:p>
    <w:p w14:paraId="6DFE8C25">
      <w:pPr>
        <w:keepNext w:val="0"/>
        <w:keepLines w:val="0"/>
        <w:pageBreakBefore w:val="0"/>
        <w:widowControl w:val="0"/>
        <w:numPr>
          <w:ilvl w:val="0"/>
          <w:numId w:val="14"/>
        </w:numPr>
        <w:kinsoku/>
        <w:wordWrap/>
        <w:overflowPunct/>
        <w:topLinePunct w:val="0"/>
        <w:autoSpaceDE/>
        <w:autoSpaceDN/>
        <w:bidi w:val="0"/>
        <w:adjustRightInd/>
        <w:snapToGrid/>
        <w:spacing w:before="10" w:after="10" w:line="360" w:lineRule="auto"/>
        <w:ind w:left="0" w:leftChars="0" w:firstLine="0" w:firstLineChars="0"/>
        <w:jc w:val="both"/>
        <w:textAlignment w:val="auto"/>
        <w:outlineLvl w:val="3"/>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检验能力</w:t>
      </w:r>
    </w:p>
    <w:p w14:paraId="107190EF">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具体详见评分标准中技术评审。</w:t>
      </w:r>
    </w:p>
    <w:p w14:paraId="273F9A74">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注：</w:t>
      </w:r>
      <w:r>
        <w:rPr>
          <w:rFonts w:hint="eastAsia" w:ascii="宋体" w:hAnsi="宋体" w:eastAsia="宋体" w:cs="宋体"/>
          <w:b/>
          <w:bCs/>
          <w:color w:val="auto"/>
          <w:sz w:val="21"/>
          <w:szCs w:val="21"/>
          <w:highlight w:val="none"/>
          <w:lang w:val="en-US"/>
        </w:rPr>
        <w:t>需提供相关证明文件复印件</w:t>
      </w:r>
      <w:r>
        <w:rPr>
          <w:rFonts w:hint="eastAsia" w:ascii="宋体" w:hAnsi="宋体" w:eastAsia="宋体" w:cs="宋体"/>
          <w:b/>
          <w:bCs/>
          <w:color w:val="auto"/>
          <w:kern w:val="0"/>
          <w:sz w:val="21"/>
          <w:szCs w:val="21"/>
          <w:highlight w:val="none"/>
          <w:lang w:val="en-US" w:eastAsia="zh-CN" w:bidi="ar-SA"/>
        </w:rPr>
        <w:t>，</w:t>
      </w:r>
      <w:r>
        <w:rPr>
          <w:rFonts w:hint="eastAsia" w:ascii="宋体" w:hAnsi="宋体" w:eastAsia="宋体" w:cs="宋体"/>
          <w:b/>
          <w:bCs/>
          <w:color w:val="auto"/>
          <w:kern w:val="2"/>
          <w:sz w:val="21"/>
          <w:szCs w:val="21"/>
          <w:highlight w:val="none"/>
          <w:lang w:val="en-US" w:eastAsia="zh-CN" w:bidi="ar-SA"/>
        </w:rPr>
        <w:t>需加盖公章或投标专用章或电子签章。</w:t>
      </w:r>
    </w:p>
    <w:p w14:paraId="15ABB239">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9"/>
        <w:rPr>
          <w:rFonts w:hint="eastAsia" w:ascii="宋体" w:hAnsi="宋体" w:eastAsia="宋体" w:cs="宋体"/>
          <w:b/>
          <w:color w:val="auto"/>
          <w:sz w:val="24"/>
          <w:szCs w:val="24"/>
          <w:highlight w:val="none"/>
          <w:lang w:val="en-US" w:eastAsia="zh-CN"/>
        </w:rPr>
      </w:pPr>
    </w:p>
    <w:p w14:paraId="64AC7249">
      <w:pPr>
        <w:keepNext w:val="0"/>
        <w:keepLines w:val="0"/>
        <w:pageBreakBefore w:val="0"/>
        <w:widowControl w:val="0"/>
        <w:numPr>
          <w:ilvl w:val="0"/>
          <w:numId w:val="14"/>
        </w:numPr>
        <w:kinsoku/>
        <w:wordWrap/>
        <w:overflowPunct/>
        <w:topLinePunct w:val="0"/>
        <w:autoSpaceDE/>
        <w:autoSpaceDN/>
        <w:bidi w:val="0"/>
        <w:adjustRightInd/>
        <w:snapToGrid/>
        <w:spacing w:before="10" w:after="10" w:line="360" w:lineRule="auto"/>
        <w:ind w:left="0" w:leftChars="0" w:firstLine="0" w:firstLineChars="0"/>
        <w:jc w:val="both"/>
        <w:textAlignment w:val="auto"/>
        <w:outlineLvl w:val="3"/>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研发和技术能力</w:t>
      </w:r>
    </w:p>
    <w:p w14:paraId="0AF4EF72">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具体详见评分标准中技术评审。</w:t>
      </w:r>
    </w:p>
    <w:p w14:paraId="1E3AEEFC">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注：</w:t>
      </w:r>
      <w:r>
        <w:rPr>
          <w:rFonts w:hint="eastAsia" w:ascii="宋体" w:hAnsi="宋体" w:eastAsia="宋体" w:cs="宋体"/>
          <w:b/>
          <w:bCs/>
          <w:color w:val="auto"/>
          <w:sz w:val="21"/>
          <w:szCs w:val="21"/>
          <w:highlight w:val="none"/>
          <w:lang w:val="en-US"/>
        </w:rPr>
        <w:t>需提供相关证明文件复印件</w:t>
      </w:r>
      <w:r>
        <w:rPr>
          <w:rFonts w:hint="eastAsia" w:ascii="宋体" w:hAnsi="宋体" w:eastAsia="宋体" w:cs="宋体"/>
          <w:b/>
          <w:bCs/>
          <w:color w:val="auto"/>
          <w:kern w:val="0"/>
          <w:sz w:val="21"/>
          <w:szCs w:val="21"/>
          <w:highlight w:val="none"/>
          <w:lang w:val="en-US" w:eastAsia="zh-CN" w:bidi="ar-SA"/>
        </w:rPr>
        <w:t>，</w:t>
      </w:r>
      <w:r>
        <w:rPr>
          <w:rFonts w:hint="eastAsia" w:ascii="宋体" w:hAnsi="宋体" w:eastAsia="宋体" w:cs="宋体"/>
          <w:b/>
          <w:bCs/>
          <w:color w:val="auto"/>
          <w:kern w:val="2"/>
          <w:sz w:val="21"/>
          <w:szCs w:val="21"/>
          <w:highlight w:val="none"/>
          <w:lang w:val="en-US" w:eastAsia="zh-CN" w:bidi="ar-SA"/>
        </w:rPr>
        <w:t>需加盖公章或投标专用章或电子签章。</w:t>
      </w:r>
    </w:p>
    <w:p w14:paraId="09C8142B">
      <w:pPr>
        <w:rPr>
          <w:rFonts w:hint="eastAsia" w:ascii="Times New Roman" w:hAnsi="Times New Roman" w:eastAsia="宋体" w:cs="Times New Roman"/>
          <w:color w:val="auto"/>
          <w:highlight w:val="none"/>
          <w:lang w:val="en-US" w:eastAsia="zh-CN"/>
        </w:rPr>
      </w:pPr>
    </w:p>
    <w:p w14:paraId="4B85BB32">
      <w:pPr>
        <w:keepNext w:val="0"/>
        <w:keepLines w:val="0"/>
        <w:pageBreakBefore w:val="0"/>
        <w:widowControl w:val="0"/>
        <w:numPr>
          <w:ilvl w:val="0"/>
          <w:numId w:val="14"/>
        </w:numPr>
        <w:kinsoku/>
        <w:wordWrap/>
        <w:overflowPunct/>
        <w:topLinePunct w:val="0"/>
        <w:autoSpaceDE/>
        <w:autoSpaceDN/>
        <w:bidi w:val="0"/>
        <w:adjustRightInd/>
        <w:snapToGrid/>
        <w:spacing w:before="10" w:after="10" w:line="360" w:lineRule="auto"/>
        <w:ind w:left="0" w:leftChars="0" w:firstLine="0" w:firstLineChars="0"/>
        <w:jc w:val="both"/>
        <w:textAlignment w:val="auto"/>
        <w:outlineLvl w:val="3"/>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质量保障措施</w:t>
      </w:r>
    </w:p>
    <w:p w14:paraId="62F59922">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具体详见评分标准中技术评审。</w:t>
      </w:r>
    </w:p>
    <w:p w14:paraId="4EEC305A">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注：</w:t>
      </w:r>
      <w:r>
        <w:rPr>
          <w:rFonts w:hint="eastAsia" w:ascii="宋体" w:hAnsi="宋体" w:eastAsia="宋体" w:cs="宋体"/>
          <w:b/>
          <w:bCs/>
          <w:color w:val="auto"/>
          <w:kern w:val="0"/>
          <w:sz w:val="21"/>
          <w:szCs w:val="21"/>
          <w:highlight w:val="none"/>
          <w:lang w:val="en-US" w:eastAsia="zh-CN" w:bidi="ar-SA"/>
        </w:rPr>
        <w:t>格式自定义，</w:t>
      </w:r>
      <w:r>
        <w:rPr>
          <w:rFonts w:hint="eastAsia" w:ascii="宋体" w:hAnsi="宋体" w:eastAsia="宋体" w:cs="宋体"/>
          <w:b/>
          <w:bCs/>
          <w:color w:val="auto"/>
          <w:kern w:val="2"/>
          <w:sz w:val="21"/>
          <w:szCs w:val="21"/>
          <w:highlight w:val="none"/>
          <w:lang w:val="en-US" w:eastAsia="zh-CN" w:bidi="ar-SA"/>
        </w:rPr>
        <w:t>需加盖公章或投标专用章或电子签章。</w:t>
      </w:r>
    </w:p>
    <w:p w14:paraId="7CAAC627">
      <w:pPr>
        <w:keepNext w:val="0"/>
        <w:keepLines w:val="0"/>
        <w:pageBreakBefore w:val="0"/>
        <w:widowControl w:val="0"/>
        <w:numPr>
          <w:ilvl w:val="0"/>
          <w:numId w:val="14"/>
        </w:numPr>
        <w:kinsoku/>
        <w:wordWrap/>
        <w:overflowPunct/>
        <w:topLinePunct w:val="0"/>
        <w:autoSpaceDE/>
        <w:autoSpaceDN/>
        <w:bidi w:val="0"/>
        <w:adjustRightInd/>
        <w:snapToGrid/>
        <w:spacing w:before="10" w:after="10" w:line="360" w:lineRule="auto"/>
        <w:ind w:left="0" w:leftChars="0" w:firstLine="0" w:firstLineChars="0"/>
        <w:jc w:val="both"/>
        <w:textAlignment w:val="auto"/>
        <w:outlineLvl w:val="3"/>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运输便利性</w:t>
      </w:r>
    </w:p>
    <w:p w14:paraId="45B8E329">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具体详见评分标准中技术评审。</w:t>
      </w:r>
    </w:p>
    <w:p w14:paraId="5661FE27">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rPr>
          <w:rFonts w:hint="eastAsia"/>
          <w:highlight w:val="none"/>
          <w:lang w:val="en-US" w:eastAsia="zh-CN"/>
        </w:rPr>
      </w:pPr>
      <w:r>
        <w:rPr>
          <w:rFonts w:hint="eastAsia" w:ascii="宋体" w:hAnsi="宋体" w:eastAsia="宋体" w:cs="宋体"/>
          <w:b/>
          <w:bCs/>
          <w:color w:val="auto"/>
          <w:kern w:val="2"/>
          <w:sz w:val="21"/>
          <w:szCs w:val="21"/>
          <w:highlight w:val="none"/>
          <w:lang w:val="en-US" w:eastAsia="zh-CN" w:bidi="ar-SA"/>
        </w:rPr>
        <w:t>注：</w:t>
      </w:r>
      <w:r>
        <w:rPr>
          <w:rFonts w:hint="eastAsia" w:ascii="宋体" w:hAnsi="宋体" w:eastAsia="宋体" w:cs="宋体"/>
          <w:b/>
          <w:bCs/>
          <w:color w:val="auto"/>
          <w:kern w:val="0"/>
          <w:sz w:val="21"/>
          <w:szCs w:val="21"/>
          <w:highlight w:val="none"/>
          <w:lang w:val="en-US" w:eastAsia="zh-CN" w:bidi="ar-SA"/>
        </w:rPr>
        <w:t>格式自定义，</w:t>
      </w:r>
      <w:r>
        <w:rPr>
          <w:rFonts w:hint="eastAsia" w:ascii="宋体" w:hAnsi="宋体" w:eastAsia="宋体" w:cs="宋体"/>
          <w:b/>
          <w:bCs/>
          <w:color w:val="auto"/>
          <w:kern w:val="2"/>
          <w:sz w:val="21"/>
          <w:szCs w:val="21"/>
          <w:highlight w:val="none"/>
          <w:lang w:val="en-US" w:eastAsia="zh-CN" w:bidi="ar-SA"/>
        </w:rPr>
        <w:t>需加盖公章或投标专用章或电子签章。</w:t>
      </w:r>
    </w:p>
    <w:p w14:paraId="4408F245">
      <w:pPr>
        <w:keepNext w:val="0"/>
        <w:keepLines w:val="0"/>
        <w:pageBreakBefore w:val="0"/>
        <w:widowControl w:val="0"/>
        <w:numPr>
          <w:ilvl w:val="0"/>
          <w:numId w:val="14"/>
        </w:numPr>
        <w:kinsoku/>
        <w:wordWrap/>
        <w:overflowPunct/>
        <w:topLinePunct w:val="0"/>
        <w:autoSpaceDE/>
        <w:autoSpaceDN/>
        <w:bidi w:val="0"/>
        <w:adjustRightInd/>
        <w:snapToGrid/>
        <w:spacing w:before="10" w:after="10" w:line="360" w:lineRule="auto"/>
        <w:ind w:left="0" w:leftChars="0" w:firstLine="0" w:firstLineChars="0"/>
        <w:jc w:val="both"/>
        <w:textAlignment w:val="auto"/>
        <w:outlineLvl w:val="3"/>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应急方案</w:t>
      </w:r>
    </w:p>
    <w:p w14:paraId="11A58B4E">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具体详见评分标准中技术评审。</w:t>
      </w:r>
    </w:p>
    <w:p w14:paraId="7CE89458">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注：</w:t>
      </w:r>
      <w:r>
        <w:rPr>
          <w:rFonts w:hint="eastAsia" w:ascii="宋体" w:hAnsi="宋体" w:eastAsia="宋体" w:cs="宋体"/>
          <w:b/>
          <w:bCs/>
          <w:color w:val="auto"/>
          <w:kern w:val="0"/>
          <w:sz w:val="21"/>
          <w:szCs w:val="21"/>
          <w:highlight w:val="none"/>
          <w:lang w:val="en-US" w:eastAsia="zh-CN" w:bidi="ar-SA"/>
        </w:rPr>
        <w:t>格式自定义，</w:t>
      </w:r>
      <w:r>
        <w:rPr>
          <w:rFonts w:hint="eastAsia" w:ascii="宋体" w:hAnsi="宋体" w:eastAsia="宋体" w:cs="宋体"/>
          <w:b/>
          <w:bCs/>
          <w:color w:val="auto"/>
          <w:kern w:val="2"/>
          <w:sz w:val="21"/>
          <w:szCs w:val="21"/>
          <w:highlight w:val="none"/>
          <w:lang w:val="en-US" w:eastAsia="zh-CN" w:bidi="ar-SA"/>
        </w:rPr>
        <w:t>需加盖公章或投标专用章或电子签章。</w:t>
      </w:r>
    </w:p>
    <w:p w14:paraId="44B11D19">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rPr>
          <w:rFonts w:hint="eastAsia" w:ascii="宋体" w:hAnsi="宋体" w:eastAsia="宋体" w:cs="宋体"/>
          <w:b/>
          <w:bCs/>
          <w:color w:val="auto"/>
          <w:kern w:val="2"/>
          <w:sz w:val="21"/>
          <w:szCs w:val="21"/>
          <w:highlight w:val="none"/>
          <w:lang w:val="en-US" w:eastAsia="zh-CN" w:bidi="ar-SA"/>
        </w:rPr>
      </w:pPr>
    </w:p>
    <w:p w14:paraId="7883D017">
      <w:pPr>
        <w:tabs>
          <w:tab w:val="left" w:pos="2127"/>
        </w:tabs>
        <w:kinsoku/>
        <w:overflowPunct/>
        <w:autoSpaceDE w:val="0"/>
        <w:autoSpaceDN w:val="0"/>
        <w:bidi w:val="0"/>
        <w:adjustRightInd w:val="0"/>
        <w:spacing w:line="360" w:lineRule="auto"/>
        <w:jc w:val="center"/>
        <w:textAlignment w:val="auto"/>
        <w:rPr>
          <w:rFonts w:hint="eastAsia" w:ascii="宋体" w:hAnsi="宋体" w:cs="黑体"/>
          <w:color w:val="auto"/>
          <w:kern w:val="0"/>
          <w:sz w:val="28"/>
          <w:szCs w:val="28"/>
          <w:highlight w:val="none"/>
          <w:u w:val="single"/>
        </w:rPr>
        <w:sectPr>
          <w:headerReference r:id="rId7" w:type="default"/>
          <w:footerReference r:id="rId8" w:type="default"/>
          <w:pgSz w:w="11906" w:h="16838"/>
          <w:pgMar w:top="1440" w:right="1080" w:bottom="1440" w:left="1080" w:header="964" w:footer="992" w:gutter="0"/>
          <w:pgBorders>
            <w:top w:val="none" w:sz="0" w:space="0"/>
            <w:left w:val="none" w:sz="0" w:space="0"/>
            <w:bottom w:val="none" w:sz="0" w:space="0"/>
            <w:right w:val="none" w:sz="0" w:space="0"/>
          </w:pgBorders>
          <w:pgNumType w:fmt="decimal"/>
          <w:cols w:space="720" w:num="1"/>
          <w:docGrid w:type="lines" w:linePitch="312" w:charSpace="0"/>
        </w:sectPr>
      </w:pPr>
    </w:p>
    <w:p w14:paraId="0CB1A9C4">
      <w:pPr>
        <w:jc w:val="center"/>
        <w:outlineLvl w:val="2"/>
        <w:rPr>
          <w:color w:val="auto"/>
          <w:highlight w:val="none"/>
        </w:rPr>
      </w:pPr>
      <w:bookmarkStart w:id="2308" w:name="_Toc8809"/>
      <w:bookmarkStart w:id="2309" w:name="_Toc25025"/>
      <w:bookmarkStart w:id="2310" w:name="_Toc24492"/>
      <w:r>
        <w:rPr>
          <w:rStyle w:val="63"/>
          <w:rFonts w:hint="eastAsia" w:cs="Times New Roman"/>
          <w:color w:val="auto"/>
          <w:highlight w:val="none"/>
          <w:lang w:val="en-US" w:eastAsia="zh-CN" w:bidi="ar-SA"/>
        </w:rPr>
        <w:t>三</w:t>
      </w:r>
      <w:r>
        <w:rPr>
          <w:rStyle w:val="63"/>
          <w:rFonts w:hint="eastAsia" w:ascii="Times New Roman" w:hAnsi="Times New Roman" w:eastAsia="宋体" w:cs="Times New Roman"/>
          <w:color w:val="auto"/>
          <w:highlight w:val="none"/>
          <w:lang w:val="zh-CN" w:eastAsia="zh-CN" w:bidi="ar-SA"/>
        </w:rPr>
        <w:t>、招标文件要求及投标人认为有必要提供的其他证明材料</w:t>
      </w:r>
      <w:bookmarkEnd w:id="2308"/>
      <w:bookmarkEnd w:id="2309"/>
      <w:bookmarkEnd w:id="2310"/>
    </w:p>
    <w:p w14:paraId="432806E9">
      <w:pPr>
        <w:rPr>
          <w:rFonts w:hint="eastAsia"/>
          <w:color w:val="auto"/>
          <w:highlight w:val="none"/>
          <w:lang w:val="zh-CN"/>
        </w:rPr>
      </w:pPr>
    </w:p>
    <w:p w14:paraId="5FC5151D">
      <w:pPr>
        <w:rPr>
          <w:rFonts w:hint="eastAsia" w:eastAsia="宋体"/>
          <w:color w:val="auto"/>
          <w:highlight w:val="none"/>
          <w:lang w:val="en-US" w:eastAsia="zh-CN"/>
        </w:rPr>
      </w:pPr>
      <w:r>
        <w:rPr>
          <w:rFonts w:hint="eastAsia"/>
          <w:color w:val="auto"/>
          <w:highlight w:val="none"/>
          <w:lang w:val="en-US" w:eastAsia="zh-CN"/>
        </w:rPr>
        <w:t>如有</w:t>
      </w:r>
    </w:p>
    <w:p w14:paraId="67911C73">
      <w:pPr>
        <w:rPr>
          <w:rFonts w:hint="eastAsia"/>
          <w:color w:val="auto"/>
          <w:highlight w:val="none"/>
          <w:lang w:val="zh-CN"/>
        </w:rPr>
      </w:pPr>
    </w:p>
    <w:p w14:paraId="547C37A7">
      <w:pPr>
        <w:rPr>
          <w:color w:val="auto"/>
          <w:highlight w:val="none"/>
          <w:lang w:val="zh-CN"/>
        </w:rPr>
      </w:pPr>
      <w:r>
        <w:rPr>
          <w:rFonts w:hint="eastAsia"/>
          <w:color w:val="auto"/>
          <w:highlight w:val="none"/>
          <w:lang w:val="zh-CN"/>
        </w:rPr>
        <w:t>注：加盖公章或投标专用章或电子签章。</w:t>
      </w:r>
    </w:p>
    <w:p w14:paraId="6E139023">
      <w:pPr>
        <w:rPr>
          <w:rFonts w:hint="eastAsia" w:ascii="宋体" w:hAnsi="宋体" w:cs="黑体"/>
          <w:color w:val="auto"/>
          <w:kern w:val="0"/>
          <w:sz w:val="28"/>
          <w:szCs w:val="28"/>
          <w:highlight w:val="none"/>
          <w:u w:val="single"/>
        </w:rPr>
      </w:pPr>
      <w:r>
        <w:rPr>
          <w:rFonts w:hint="eastAsia" w:ascii="宋体" w:hAnsi="宋体" w:cs="黑体"/>
          <w:color w:val="auto"/>
          <w:kern w:val="0"/>
          <w:sz w:val="28"/>
          <w:szCs w:val="28"/>
          <w:highlight w:val="none"/>
          <w:u w:val="single"/>
        </w:rPr>
        <w:br w:type="page"/>
      </w:r>
    </w:p>
    <w:p w14:paraId="173BB9CF">
      <w:pPr>
        <w:kinsoku/>
        <w:overflowPunct/>
        <w:bidi w:val="0"/>
        <w:snapToGrid/>
        <w:spacing w:line="312" w:lineRule="auto"/>
        <w:jc w:val="center"/>
        <w:rPr>
          <w:rFonts w:hint="eastAsia" w:ascii="宋体" w:hAnsi="宋体" w:cs="黑体"/>
          <w:b/>
          <w:bCs/>
          <w:color w:val="auto"/>
          <w:kern w:val="0"/>
          <w:sz w:val="44"/>
          <w:szCs w:val="44"/>
          <w:highlight w:val="none"/>
          <w:lang w:val="en-US" w:eastAsia="zh-CN"/>
        </w:rPr>
      </w:pPr>
    </w:p>
    <w:p w14:paraId="6515F832">
      <w:pPr>
        <w:kinsoku/>
        <w:overflowPunct/>
        <w:bidi w:val="0"/>
        <w:snapToGrid/>
        <w:spacing w:line="312" w:lineRule="auto"/>
        <w:jc w:val="center"/>
        <w:rPr>
          <w:rFonts w:hint="eastAsia" w:ascii="宋体" w:hAnsi="宋体" w:cs="黑体"/>
          <w:b/>
          <w:bCs/>
          <w:color w:val="auto"/>
          <w:kern w:val="0"/>
          <w:sz w:val="44"/>
          <w:szCs w:val="44"/>
          <w:highlight w:val="none"/>
          <w:lang w:val="en-US" w:eastAsia="zh-CN"/>
        </w:rPr>
      </w:pPr>
    </w:p>
    <w:p w14:paraId="132A4BAF">
      <w:pPr>
        <w:kinsoku/>
        <w:overflowPunct/>
        <w:bidi w:val="0"/>
        <w:snapToGrid/>
        <w:spacing w:line="312" w:lineRule="auto"/>
        <w:jc w:val="center"/>
        <w:rPr>
          <w:rFonts w:hint="eastAsia" w:ascii="宋体" w:hAnsi="宋体" w:cs="黑体"/>
          <w:b/>
          <w:bCs/>
          <w:color w:val="auto"/>
          <w:kern w:val="0"/>
          <w:sz w:val="44"/>
          <w:szCs w:val="44"/>
          <w:highlight w:val="none"/>
          <w:lang w:val="en-US" w:eastAsia="zh-CN"/>
        </w:rPr>
      </w:pPr>
    </w:p>
    <w:p w14:paraId="4EF8F62E">
      <w:pPr>
        <w:kinsoku/>
        <w:overflowPunct/>
        <w:bidi w:val="0"/>
        <w:snapToGrid/>
        <w:spacing w:line="312" w:lineRule="auto"/>
        <w:jc w:val="center"/>
        <w:rPr>
          <w:rFonts w:hint="eastAsia" w:ascii="宋体" w:hAnsi="宋体" w:eastAsia="宋体" w:cs="宋体"/>
          <w:color w:val="auto"/>
          <w:sz w:val="28"/>
          <w:szCs w:val="28"/>
          <w:highlight w:val="none"/>
          <w:lang w:val="en-US" w:eastAsia="zh-CN"/>
        </w:rPr>
      </w:pPr>
      <w:r>
        <w:rPr>
          <w:rFonts w:hint="eastAsia" w:ascii="宋体" w:hAnsi="宋体" w:cs="黑体"/>
          <w:b/>
          <w:bCs/>
          <w:color w:val="auto"/>
          <w:kern w:val="0"/>
          <w:sz w:val="44"/>
          <w:szCs w:val="44"/>
          <w:highlight w:val="none"/>
          <w:lang w:val="en-US" w:eastAsia="zh-CN"/>
        </w:rPr>
        <w:t>科技公司2025-2026年第一批光伏组件采购框架（二次招标）</w:t>
      </w:r>
    </w:p>
    <w:p w14:paraId="3EF3A800">
      <w:pPr>
        <w:tabs>
          <w:tab w:val="left" w:pos="2127"/>
        </w:tabs>
        <w:kinsoku/>
        <w:overflowPunct/>
        <w:autoSpaceDE w:val="0"/>
        <w:autoSpaceDN w:val="0"/>
        <w:bidi w:val="0"/>
        <w:adjustRightInd w:val="0"/>
        <w:spacing w:line="360" w:lineRule="auto"/>
        <w:jc w:val="center"/>
        <w:textAlignment w:val="auto"/>
        <w:rPr>
          <w:rFonts w:hint="eastAsia" w:ascii="宋体" w:hAnsi="宋体" w:cs="黑体"/>
          <w:color w:val="auto"/>
          <w:kern w:val="0"/>
          <w:sz w:val="28"/>
          <w:szCs w:val="28"/>
          <w:highlight w:val="none"/>
          <w:u w:val="single"/>
        </w:rPr>
      </w:pPr>
    </w:p>
    <w:p w14:paraId="62BEF705">
      <w:pPr>
        <w:tabs>
          <w:tab w:val="left" w:pos="2127"/>
        </w:tabs>
        <w:kinsoku/>
        <w:overflowPunct/>
        <w:autoSpaceDE w:val="0"/>
        <w:autoSpaceDN w:val="0"/>
        <w:bidi w:val="0"/>
        <w:adjustRightInd w:val="0"/>
        <w:spacing w:line="360" w:lineRule="auto"/>
        <w:jc w:val="both"/>
        <w:textAlignment w:val="auto"/>
        <w:rPr>
          <w:rFonts w:ascii="宋体" w:hAnsi="宋体" w:cs="黑体"/>
          <w:color w:val="auto"/>
          <w:kern w:val="0"/>
          <w:sz w:val="28"/>
          <w:szCs w:val="28"/>
          <w:highlight w:val="none"/>
        </w:rPr>
      </w:pPr>
    </w:p>
    <w:p w14:paraId="2BAA52AB">
      <w:pPr>
        <w:tabs>
          <w:tab w:val="left" w:pos="2127"/>
        </w:tabs>
        <w:kinsoku/>
        <w:overflowPunct/>
        <w:autoSpaceDE w:val="0"/>
        <w:autoSpaceDN w:val="0"/>
        <w:bidi w:val="0"/>
        <w:adjustRightInd w:val="0"/>
        <w:spacing w:line="360" w:lineRule="auto"/>
        <w:jc w:val="center"/>
        <w:textAlignment w:val="auto"/>
        <w:outlineLvl w:val="9"/>
        <w:rPr>
          <w:rFonts w:hint="eastAsia" w:ascii="宋体" w:hAnsi="宋体" w:cs="黑体"/>
          <w:b/>
          <w:bCs/>
          <w:color w:val="auto"/>
          <w:kern w:val="0"/>
          <w:sz w:val="44"/>
          <w:szCs w:val="44"/>
          <w:highlight w:val="none"/>
        </w:rPr>
      </w:pPr>
      <w:r>
        <w:rPr>
          <w:rFonts w:hint="eastAsia" w:ascii="宋体" w:hAnsi="宋体" w:cs="黑体"/>
          <w:b/>
          <w:bCs/>
          <w:color w:val="auto"/>
          <w:kern w:val="0"/>
          <w:sz w:val="44"/>
          <w:szCs w:val="44"/>
          <w:highlight w:val="none"/>
          <w:lang w:val="en-US" w:eastAsia="zh-CN"/>
        </w:rPr>
        <w:t>投标</w:t>
      </w:r>
      <w:r>
        <w:rPr>
          <w:rFonts w:hint="eastAsia" w:ascii="宋体" w:hAnsi="宋体" w:cs="黑体"/>
          <w:b/>
          <w:bCs/>
          <w:color w:val="auto"/>
          <w:kern w:val="0"/>
          <w:sz w:val="44"/>
          <w:szCs w:val="44"/>
          <w:highlight w:val="none"/>
        </w:rPr>
        <w:t>文件</w:t>
      </w:r>
    </w:p>
    <w:p w14:paraId="12BC419E">
      <w:pPr>
        <w:tabs>
          <w:tab w:val="left" w:pos="2127"/>
        </w:tabs>
        <w:kinsoku/>
        <w:overflowPunct/>
        <w:autoSpaceDE w:val="0"/>
        <w:autoSpaceDN w:val="0"/>
        <w:bidi w:val="0"/>
        <w:adjustRightInd w:val="0"/>
        <w:spacing w:line="360" w:lineRule="auto"/>
        <w:jc w:val="center"/>
        <w:textAlignment w:val="auto"/>
        <w:rPr>
          <w:rFonts w:ascii="宋体" w:hAnsi="宋体" w:cs="黑体"/>
          <w:color w:val="auto"/>
          <w:kern w:val="0"/>
          <w:sz w:val="44"/>
          <w:szCs w:val="44"/>
          <w:highlight w:val="none"/>
        </w:rPr>
      </w:pPr>
    </w:p>
    <w:p w14:paraId="31436609">
      <w:pPr>
        <w:tabs>
          <w:tab w:val="left" w:pos="2127"/>
        </w:tabs>
        <w:kinsoku/>
        <w:overflowPunct/>
        <w:autoSpaceDE w:val="0"/>
        <w:autoSpaceDN w:val="0"/>
        <w:bidi w:val="0"/>
        <w:adjustRightInd w:val="0"/>
        <w:spacing w:line="360" w:lineRule="auto"/>
        <w:jc w:val="center"/>
        <w:textAlignment w:val="auto"/>
        <w:outlineLvl w:val="1"/>
        <w:rPr>
          <w:rFonts w:ascii="宋体" w:hAnsi="宋体" w:cs="黑体"/>
          <w:color w:val="auto"/>
          <w:kern w:val="0"/>
          <w:sz w:val="44"/>
          <w:szCs w:val="44"/>
          <w:highlight w:val="none"/>
        </w:rPr>
      </w:pPr>
      <w:bookmarkStart w:id="2311" w:name="_Toc18711"/>
      <w:r>
        <w:rPr>
          <w:rFonts w:hint="eastAsia" w:ascii="宋体" w:hAnsi="宋体" w:cs="黑体"/>
          <w:color w:val="auto"/>
          <w:kern w:val="0"/>
          <w:sz w:val="44"/>
          <w:szCs w:val="44"/>
          <w:highlight w:val="none"/>
          <w:lang w:val="en-US" w:eastAsia="zh-CN"/>
        </w:rPr>
        <w:t>报价</w:t>
      </w:r>
      <w:r>
        <w:rPr>
          <w:rFonts w:hint="eastAsia" w:ascii="宋体" w:hAnsi="宋体" w:cs="黑体"/>
          <w:color w:val="auto"/>
          <w:kern w:val="0"/>
          <w:sz w:val="44"/>
          <w:szCs w:val="44"/>
          <w:highlight w:val="none"/>
        </w:rPr>
        <w:t>投标文件</w:t>
      </w:r>
      <w:bookmarkEnd w:id="2311"/>
    </w:p>
    <w:p w14:paraId="750E6396">
      <w:pPr>
        <w:tabs>
          <w:tab w:val="left" w:pos="2127"/>
        </w:tabs>
        <w:kinsoku/>
        <w:overflowPunct/>
        <w:autoSpaceDE w:val="0"/>
        <w:autoSpaceDN w:val="0"/>
        <w:bidi w:val="0"/>
        <w:adjustRightInd w:val="0"/>
        <w:spacing w:line="360" w:lineRule="auto"/>
        <w:textAlignment w:val="auto"/>
        <w:rPr>
          <w:rFonts w:ascii="宋体" w:hAnsi="宋体" w:cs="黑体"/>
          <w:color w:val="auto"/>
          <w:kern w:val="0"/>
          <w:sz w:val="44"/>
          <w:szCs w:val="44"/>
          <w:highlight w:val="none"/>
        </w:rPr>
      </w:pPr>
    </w:p>
    <w:p w14:paraId="1B6B13B6">
      <w:pPr>
        <w:tabs>
          <w:tab w:val="left" w:pos="2127"/>
        </w:tabs>
        <w:kinsoku/>
        <w:overflowPunct/>
        <w:autoSpaceDE w:val="0"/>
        <w:autoSpaceDN w:val="0"/>
        <w:bidi w:val="0"/>
        <w:adjustRightInd w:val="0"/>
        <w:spacing w:line="360" w:lineRule="auto"/>
        <w:jc w:val="center"/>
        <w:textAlignment w:val="auto"/>
        <w:rPr>
          <w:rFonts w:ascii="宋体" w:hAnsi="宋体" w:cs="黑体"/>
          <w:color w:val="auto"/>
          <w:kern w:val="0"/>
          <w:sz w:val="44"/>
          <w:szCs w:val="44"/>
          <w:highlight w:val="none"/>
        </w:rPr>
      </w:pPr>
    </w:p>
    <w:p w14:paraId="1128CE03">
      <w:pPr>
        <w:pStyle w:val="17"/>
        <w:kinsoku/>
        <w:overflowPunct/>
        <w:bidi w:val="0"/>
        <w:spacing w:after="0" w:line="360" w:lineRule="auto"/>
        <w:textAlignment w:val="auto"/>
        <w:rPr>
          <w:color w:val="auto"/>
          <w:highlight w:val="none"/>
        </w:rPr>
      </w:pPr>
    </w:p>
    <w:p w14:paraId="6E2B8D24">
      <w:pPr>
        <w:tabs>
          <w:tab w:val="left" w:pos="2127"/>
        </w:tabs>
        <w:kinsoku/>
        <w:overflowPunct/>
        <w:autoSpaceDE w:val="0"/>
        <w:autoSpaceDN w:val="0"/>
        <w:bidi w:val="0"/>
        <w:adjustRightInd w:val="0"/>
        <w:spacing w:line="360" w:lineRule="auto"/>
        <w:jc w:val="both"/>
        <w:textAlignment w:val="auto"/>
        <w:rPr>
          <w:rFonts w:ascii="宋体" w:hAnsi="宋体" w:cs="黑体"/>
          <w:color w:val="auto"/>
          <w:kern w:val="0"/>
          <w:sz w:val="44"/>
          <w:szCs w:val="44"/>
          <w:highlight w:val="none"/>
        </w:rPr>
      </w:pPr>
    </w:p>
    <w:p w14:paraId="5AD2BB12">
      <w:pPr>
        <w:tabs>
          <w:tab w:val="left" w:pos="2127"/>
        </w:tabs>
        <w:kinsoku/>
        <w:overflowPunct/>
        <w:autoSpaceDE w:val="0"/>
        <w:autoSpaceDN w:val="0"/>
        <w:bidi w:val="0"/>
        <w:adjustRightInd w:val="0"/>
        <w:spacing w:line="360" w:lineRule="auto"/>
        <w:jc w:val="center"/>
        <w:textAlignment w:val="auto"/>
        <w:rPr>
          <w:rFonts w:hint="eastAsia" w:ascii="宋体" w:hAnsi="宋体" w:cs="黑体"/>
          <w:color w:val="auto"/>
          <w:kern w:val="0"/>
          <w:sz w:val="28"/>
          <w:szCs w:val="28"/>
          <w:highlight w:val="none"/>
        </w:rPr>
      </w:pPr>
    </w:p>
    <w:p w14:paraId="60ECB1E7">
      <w:pPr>
        <w:tabs>
          <w:tab w:val="left" w:pos="2127"/>
        </w:tabs>
        <w:kinsoku/>
        <w:overflowPunct/>
        <w:autoSpaceDE w:val="0"/>
        <w:autoSpaceDN w:val="0"/>
        <w:bidi w:val="0"/>
        <w:adjustRightInd w:val="0"/>
        <w:spacing w:line="360" w:lineRule="auto"/>
        <w:jc w:val="center"/>
        <w:textAlignment w:val="auto"/>
        <w:rPr>
          <w:rFonts w:hint="eastAsia" w:ascii="宋体" w:hAnsi="宋体" w:cs="黑体"/>
          <w:color w:val="auto"/>
          <w:kern w:val="0"/>
          <w:sz w:val="28"/>
          <w:szCs w:val="28"/>
          <w:highlight w:val="none"/>
        </w:rPr>
      </w:pPr>
    </w:p>
    <w:p w14:paraId="7DF7C1E1">
      <w:pPr>
        <w:tabs>
          <w:tab w:val="left" w:pos="2127"/>
        </w:tabs>
        <w:kinsoku/>
        <w:overflowPunct/>
        <w:autoSpaceDE w:val="0"/>
        <w:autoSpaceDN w:val="0"/>
        <w:bidi w:val="0"/>
        <w:adjustRightInd w:val="0"/>
        <w:spacing w:line="360" w:lineRule="auto"/>
        <w:jc w:val="center"/>
        <w:textAlignment w:val="auto"/>
        <w:rPr>
          <w:rFonts w:ascii="宋体" w:hAnsi="宋体" w:cs="黑体"/>
          <w:color w:val="auto"/>
          <w:kern w:val="0"/>
          <w:sz w:val="28"/>
          <w:szCs w:val="28"/>
          <w:highlight w:val="none"/>
        </w:rPr>
      </w:pPr>
      <w:r>
        <w:rPr>
          <w:rFonts w:hint="eastAsia" w:ascii="宋体" w:hAnsi="宋体" w:cs="黑体"/>
          <w:color w:val="auto"/>
          <w:kern w:val="0"/>
          <w:sz w:val="28"/>
          <w:szCs w:val="28"/>
          <w:highlight w:val="none"/>
        </w:rPr>
        <w:t>投标人</w:t>
      </w:r>
      <w:r>
        <w:rPr>
          <w:rFonts w:hint="eastAsia" w:ascii="宋体" w:hAnsi="宋体" w:cs="黑体"/>
          <w:color w:val="auto"/>
          <w:kern w:val="0"/>
          <w:sz w:val="28"/>
          <w:szCs w:val="28"/>
          <w:highlight w:val="none"/>
          <w:lang w:eastAsia="zh-CN"/>
        </w:rPr>
        <w:t>名称</w:t>
      </w:r>
      <w:r>
        <w:rPr>
          <w:rFonts w:hint="eastAsia" w:ascii="宋体" w:hAnsi="宋体" w:cs="黑体"/>
          <w:color w:val="auto"/>
          <w:kern w:val="0"/>
          <w:sz w:val="28"/>
          <w:szCs w:val="28"/>
          <w:highlight w:val="none"/>
        </w:rPr>
        <w:t>：</w:t>
      </w: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（公章或投标专用章或电子签章）</w:t>
      </w:r>
    </w:p>
    <w:p w14:paraId="16D545C8">
      <w:pPr>
        <w:tabs>
          <w:tab w:val="left" w:pos="2127"/>
        </w:tabs>
        <w:kinsoku/>
        <w:overflowPunct/>
        <w:autoSpaceDE w:val="0"/>
        <w:autoSpaceDN w:val="0"/>
        <w:bidi w:val="0"/>
        <w:adjustRightInd w:val="0"/>
        <w:spacing w:line="360" w:lineRule="auto"/>
        <w:jc w:val="center"/>
        <w:textAlignment w:val="auto"/>
        <w:rPr>
          <w:rFonts w:ascii="宋体" w:hAnsi="宋体" w:cs="黑体"/>
          <w:color w:val="auto"/>
          <w:kern w:val="0"/>
          <w:sz w:val="28"/>
          <w:szCs w:val="28"/>
          <w:highlight w:val="none"/>
        </w:rPr>
      </w:pP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年</w:t>
      </w: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月</w:t>
      </w: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日</w:t>
      </w:r>
    </w:p>
    <w:p w14:paraId="387C6F5C">
      <w:pPr>
        <w:tabs>
          <w:tab w:val="left" w:pos="2127"/>
        </w:tabs>
        <w:kinsoku/>
        <w:overflowPunct/>
        <w:bidi w:val="0"/>
        <w:spacing w:line="360" w:lineRule="auto"/>
        <w:textAlignment w:val="auto"/>
        <w:rPr>
          <w:rFonts w:ascii="宋体" w:hAnsi="宋体"/>
          <w:b/>
          <w:color w:val="auto"/>
          <w:highlight w:val="none"/>
        </w:rPr>
      </w:pPr>
    </w:p>
    <w:p w14:paraId="35FC9CE2">
      <w:pPr>
        <w:tabs>
          <w:tab w:val="left" w:pos="2127"/>
        </w:tabs>
        <w:kinsoku/>
        <w:overflowPunct/>
        <w:bidi w:val="0"/>
        <w:spacing w:line="360" w:lineRule="auto"/>
        <w:textAlignment w:val="auto"/>
        <w:rPr>
          <w:rFonts w:ascii="宋体" w:hAnsi="宋体"/>
          <w:color w:val="auto"/>
          <w:highlight w:val="none"/>
        </w:rPr>
      </w:pPr>
      <w:r>
        <w:rPr>
          <w:rFonts w:ascii="宋体" w:hAnsi="宋体"/>
          <w:b/>
          <w:color w:val="auto"/>
          <w:highlight w:val="none"/>
        </w:rPr>
        <w:br w:type="page"/>
      </w:r>
    </w:p>
    <w:p w14:paraId="188F6643">
      <w:pPr>
        <w:tabs>
          <w:tab w:val="left" w:pos="900"/>
          <w:tab w:val="left" w:pos="2127"/>
        </w:tabs>
        <w:kinsoku/>
        <w:overflowPunct/>
        <w:bidi w:val="0"/>
        <w:snapToGrid w:val="0"/>
        <w:spacing w:line="360" w:lineRule="auto"/>
        <w:jc w:val="center"/>
        <w:outlineLvl w:val="2"/>
        <w:rPr>
          <w:rFonts w:hint="eastAsia" w:ascii="宋体" w:hAnsi="宋体" w:eastAsia="宋体" w:cs="宋体"/>
          <w:color w:val="auto"/>
          <w:highlight w:val="none"/>
          <w:lang w:eastAsia="zh-CN"/>
        </w:rPr>
      </w:pPr>
      <w:bookmarkStart w:id="2312" w:name="_Toc19570"/>
      <w:bookmarkStart w:id="2313" w:name="_Toc29946"/>
      <w:bookmarkStart w:id="2314" w:name="_Toc4375"/>
      <w:bookmarkStart w:id="2315" w:name="_Toc23482"/>
      <w:bookmarkStart w:id="2316" w:name="_Toc22610"/>
      <w:bookmarkStart w:id="2317" w:name="_Toc10422"/>
      <w:bookmarkStart w:id="2318" w:name="_Toc20080"/>
      <w:bookmarkStart w:id="2319" w:name="_Toc25598"/>
      <w:bookmarkStart w:id="2320" w:name="_Toc729"/>
      <w:bookmarkStart w:id="2321" w:name="_Toc32564"/>
      <w:bookmarkStart w:id="2322" w:name="_Toc482803141"/>
      <w:bookmarkStart w:id="2323" w:name="_Toc484792254"/>
      <w:r>
        <w:rPr>
          <w:rFonts w:hint="eastAsia" w:ascii="宋体" w:hAnsi="宋体" w:cs="宋体"/>
          <w:b/>
          <w:color w:val="auto"/>
          <w:sz w:val="24"/>
          <w:szCs w:val="24"/>
          <w:highlight w:val="none"/>
        </w:rPr>
        <w:t>一、投标函</w:t>
      </w:r>
      <w:bookmarkEnd w:id="2312"/>
    </w:p>
    <w:p w14:paraId="17FAFDCD">
      <w:pPr>
        <w:pStyle w:val="23"/>
        <w:tabs>
          <w:tab w:val="left" w:pos="2127"/>
        </w:tabs>
        <w:kinsoku/>
        <w:overflowPunct/>
        <w:bidi w:val="0"/>
        <w:spacing w:line="360" w:lineRule="auto"/>
        <w:rPr>
          <w:rFonts w:hint="eastAsia" w:hAnsi="宋体"/>
          <w:color w:val="auto"/>
          <w:highlight w:val="none"/>
        </w:rPr>
      </w:pPr>
      <w:r>
        <w:rPr>
          <w:rFonts w:hint="eastAsia" w:hAnsi="宋体"/>
          <w:color w:val="auto"/>
          <w:highlight w:val="none"/>
          <w:lang w:eastAsia="zh-CN"/>
        </w:rPr>
        <w:t>招标人</w:t>
      </w:r>
      <w:r>
        <w:rPr>
          <w:rFonts w:hint="eastAsia" w:hAnsi="宋体"/>
          <w:color w:val="auto"/>
          <w:highlight w:val="none"/>
        </w:rPr>
        <w:t>:</w:t>
      </w:r>
      <w:r>
        <w:rPr>
          <w:rFonts w:hint="eastAsia" w:hAnsi="宋体"/>
          <w:color w:val="auto"/>
          <w:highlight w:val="none"/>
          <w:u w:val="single"/>
          <w:lang w:val="en-US" w:eastAsia="zh-CN"/>
        </w:rPr>
        <w:t>广州南方电力集团科技发展有限公司</w:t>
      </w:r>
    </w:p>
    <w:p w14:paraId="38DD6227">
      <w:pPr>
        <w:pStyle w:val="23"/>
        <w:tabs>
          <w:tab w:val="left" w:pos="2127"/>
        </w:tabs>
        <w:kinsoku/>
        <w:overflowPunct/>
        <w:bidi w:val="0"/>
        <w:spacing w:line="360" w:lineRule="auto"/>
        <w:ind w:firstLine="420" w:firstLineChars="200"/>
        <w:rPr>
          <w:rFonts w:hAnsi="宋体"/>
          <w:color w:val="auto"/>
          <w:highlight w:val="none"/>
        </w:rPr>
      </w:pPr>
      <w:r>
        <w:rPr>
          <w:rFonts w:hint="eastAsia" w:hAnsi="宋体"/>
          <w:color w:val="auto"/>
          <w:highlight w:val="none"/>
        </w:rPr>
        <w:t>1、根据已收到的</w:t>
      </w:r>
      <w:r>
        <w:rPr>
          <w:rFonts w:hint="eastAsia" w:ascii="宋体" w:hAnsi="宋体" w:cs="宋体"/>
          <w:color w:val="auto"/>
          <w:kern w:val="0"/>
          <w:sz w:val="21"/>
          <w:szCs w:val="21"/>
          <w:highlight w:val="none"/>
          <w:u w:val="single"/>
          <w:shd w:val="clear" w:color="auto" w:fill="FFFFFF"/>
          <w:lang w:bidi="ar"/>
        </w:rPr>
        <w:t>项目名称：</w:t>
      </w:r>
      <w:r>
        <w:rPr>
          <w:rFonts w:hint="eastAsia" w:hAnsi="宋体" w:cs="宋体"/>
          <w:color w:val="auto"/>
          <w:kern w:val="0"/>
          <w:sz w:val="21"/>
          <w:szCs w:val="21"/>
          <w:highlight w:val="none"/>
          <w:u w:val="single"/>
          <w:shd w:val="clear" w:color="auto" w:fill="FFFFFF"/>
          <w:lang w:eastAsia="zh-CN" w:bidi="ar"/>
        </w:rPr>
        <w:t>科技公司2025-2026年第一批光伏组件采购框架（二次招标）</w:t>
      </w:r>
      <w:r>
        <w:rPr>
          <w:rFonts w:hint="eastAsia" w:hAnsi="宋体"/>
          <w:color w:val="auto"/>
          <w:highlight w:val="none"/>
          <w:u w:val="single"/>
          <w:lang w:eastAsia="zh-CN"/>
        </w:rPr>
        <w:t xml:space="preserve">   </w:t>
      </w:r>
      <w:r>
        <w:rPr>
          <w:rFonts w:hint="eastAsia" w:hAnsi="宋体"/>
          <w:color w:val="auto"/>
          <w:highlight w:val="none"/>
          <w:lang w:eastAsia="zh-CN"/>
        </w:rPr>
        <w:t>招标文件</w:t>
      </w:r>
      <w:r>
        <w:rPr>
          <w:rFonts w:hAnsi="宋体"/>
          <w:color w:val="auto"/>
          <w:szCs w:val="21"/>
          <w:highlight w:val="none"/>
        </w:rPr>
        <w:t>的全部内容</w:t>
      </w:r>
      <w:r>
        <w:rPr>
          <w:rFonts w:hint="eastAsia" w:hAnsi="宋体"/>
          <w:color w:val="auto"/>
          <w:highlight w:val="none"/>
        </w:rPr>
        <w:t>，遵照</w:t>
      </w:r>
      <w:r>
        <w:rPr>
          <w:rFonts w:hint="eastAsia" w:ascii="宋体" w:hAnsi="宋体" w:eastAsia="宋体" w:cs="宋体"/>
          <w:color w:val="auto"/>
          <w:highlight w:val="none"/>
          <w:u w:val="none"/>
          <w:lang w:val="en-US" w:eastAsia="zh-CN"/>
        </w:rPr>
        <w:t>广州南方投资集团有限公司</w:t>
      </w:r>
      <w:r>
        <w:rPr>
          <w:rFonts w:hint="eastAsia" w:hAnsi="宋体"/>
          <w:color w:val="auto"/>
          <w:highlight w:val="none"/>
        </w:rPr>
        <w:t>采购相关规定，我单位研究上述项目</w:t>
      </w:r>
      <w:r>
        <w:rPr>
          <w:rFonts w:hint="eastAsia" w:hAnsi="宋体"/>
          <w:color w:val="auto"/>
          <w:highlight w:val="none"/>
          <w:lang w:eastAsia="zh-CN"/>
        </w:rPr>
        <w:t>招标文件</w:t>
      </w:r>
      <w:r>
        <w:rPr>
          <w:rFonts w:hint="eastAsia" w:hAnsi="宋体"/>
          <w:color w:val="auto"/>
          <w:highlight w:val="none"/>
        </w:rPr>
        <w:t>的</w:t>
      </w:r>
      <w:r>
        <w:rPr>
          <w:rFonts w:hint="eastAsia" w:hAnsi="宋体"/>
          <w:color w:val="auto"/>
          <w:highlight w:val="none"/>
          <w:lang w:val="en-US" w:eastAsia="zh-CN"/>
        </w:rPr>
        <w:t>投标人</w:t>
      </w:r>
      <w:r>
        <w:rPr>
          <w:rFonts w:hint="eastAsia" w:hAnsi="宋体"/>
          <w:color w:val="auto"/>
          <w:highlight w:val="none"/>
        </w:rPr>
        <w:t>须知、合同条件、技术规范和其他有关文件后，</w:t>
      </w:r>
      <w:r>
        <w:rPr>
          <w:rFonts w:hint="eastAsia" w:ascii="宋体" w:hAnsi="宋体" w:eastAsia="宋体" w:cs="宋体"/>
          <w:color w:val="auto"/>
          <w:highlight w:val="none"/>
        </w:rPr>
        <w:t>我方愿以</w:t>
      </w:r>
      <w:r>
        <w:rPr>
          <w:rFonts w:hint="eastAsia" w:ascii="宋体" w:hAnsi="宋体" w:eastAsia="宋体" w:cs="宋体"/>
          <w:b/>
          <w:bCs/>
          <w:color w:val="auto"/>
          <w:szCs w:val="21"/>
          <w:highlight w:val="none"/>
          <w:u w:val="single"/>
          <w:lang w:val="en-US" w:eastAsia="zh-CN"/>
        </w:rPr>
        <w:t>愿以人民币        元/瓦（大写：        ）的含税单价报价</w:t>
      </w:r>
      <w:r>
        <w:rPr>
          <w:rFonts w:hint="eastAsia" w:ascii="宋体" w:hAnsi="宋体" w:eastAsia="宋体" w:cs="宋体"/>
          <w:color w:val="auto"/>
          <w:szCs w:val="21"/>
          <w:highlight w:val="none"/>
        </w:rPr>
        <w:t>完成</w:t>
      </w:r>
      <w:r>
        <w:rPr>
          <w:rFonts w:hint="eastAsia" w:hAnsi="宋体" w:cs="宋体"/>
          <w:color w:val="auto"/>
          <w:kern w:val="0"/>
          <w:sz w:val="21"/>
          <w:szCs w:val="21"/>
          <w:highlight w:val="none"/>
          <w:u w:val="single"/>
          <w:shd w:val="clear" w:color="auto" w:fill="FFFFFF"/>
          <w:lang w:val="en-US" w:eastAsia="zh-CN" w:bidi="ar"/>
        </w:rPr>
        <w:t>标段名称：科技公司2025-2026年第一批光伏组件采购框架（二次招标）</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按合同约定履行义务。</w:t>
      </w:r>
      <w:r>
        <w:rPr>
          <w:rFonts w:hint="eastAsia" w:ascii="宋体" w:hAnsi="宋体" w:eastAsia="宋体" w:cs="宋体"/>
          <w:color w:val="auto"/>
          <w:szCs w:val="21"/>
          <w:highlight w:val="none"/>
        </w:rPr>
        <w:t>供货质量：</w:t>
      </w:r>
      <w:r>
        <w:rPr>
          <w:rFonts w:hint="eastAsia" w:ascii="宋体" w:hAnsi="宋体" w:eastAsia="宋体" w:cs="宋体"/>
          <w:color w:val="auto"/>
          <w:szCs w:val="21"/>
          <w:highlight w:val="none"/>
          <w:u w:val="single"/>
        </w:rPr>
        <w:t>按照</w:t>
      </w:r>
      <w:r>
        <w:rPr>
          <w:rFonts w:hint="eastAsia" w:hAnsi="宋体" w:cs="宋体"/>
          <w:color w:val="auto"/>
          <w:szCs w:val="21"/>
          <w:highlight w:val="none"/>
          <w:u w:val="single"/>
          <w:lang w:val="en-US" w:eastAsia="zh-CN"/>
        </w:rPr>
        <w:t>招标</w:t>
      </w:r>
      <w:r>
        <w:rPr>
          <w:rFonts w:hint="eastAsia" w:ascii="宋体" w:hAnsi="宋体" w:eastAsia="宋体" w:cs="宋体"/>
          <w:color w:val="auto"/>
          <w:szCs w:val="21"/>
          <w:highlight w:val="none"/>
          <w:u w:val="single"/>
        </w:rPr>
        <w:t>文件要求</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交</w:t>
      </w:r>
      <w:r>
        <w:rPr>
          <w:rFonts w:hint="eastAsia" w:ascii="宋体" w:hAnsi="宋体" w:eastAsia="宋体" w:cs="宋体"/>
          <w:color w:val="auto"/>
          <w:szCs w:val="21"/>
          <w:highlight w:val="none"/>
        </w:rPr>
        <w:t>货期：</w:t>
      </w:r>
      <w:r>
        <w:rPr>
          <w:rFonts w:hint="eastAsia" w:ascii="宋体" w:hAnsi="宋体" w:eastAsia="宋体" w:cs="宋体"/>
          <w:color w:val="auto"/>
          <w:szCs w:val="21"/>
          <w:highlight w:val="none"/>
          <w:u w:val="single"/>
        </w:rPr>
        <w:t>按照</w:t>
      </w:r>
      <w:r>
        <w:rPr>
          <w:rFonts w:hint="eastAsia" w:hAnsi="宋体" w:cs="宋体"/>
          <w:color w:val="auto"/>
          <w:szCs w:val="21"/>
          <w:highlight w:val="none"/>
          <w:u w:val="single"/>
          <w:lang w:val="en-US" w:eastAsia="zh-CN"/>
        </w:rPr>
        <w:t>招标</w:t>
      </w:r>
      <w:r>
        <w:rPr>
          <w:rFonts w:hint="eastAsia" w:ascii="宋体" w:hAnsi="宋体" w:eastAsia="宋体" w:cs="宋体"/>
          <w:color w:val="auto"/>
          <w:szCs w:val="21"/>
          <w:highlight w:val="none"/>
          <w:u w:val="single"/>
        </w:rPr>
        <w:t>文件要求</w:t>
      </w:r>
      <w:r>
        <w:rPr>
          <w:rFonts w:hint="eastAsia" w:ascii="宋体" w:hAnsi="宋体" w:eastAsia="宋体" w:cs="宋体"/>
          <w:color w:val="auto"/>
          <w:szCs w:val="21"/>
          <w:highlight w:val="none"/>
        </w:rPr>
        <w:t>。</w:t>
      </w:r>
    </w:p>
    <w:p w14:paraId="58DE3556">
      <w:pPr>
        <w:tabs>
          <w:tab w:val="left" w:pos="2127"/>
        </w:tabs>
        <w:kinsoku/>
        <w:overflowPunct/>
        <w:bidi w:val="0"/>
        <w:spacing w:line="360" w:lineRule="auto"/>
        <w:ind w:firstLine="420" w:firstLineChars="200"/>
        <w:rPr>
          <w:rFonts w:ascii="宋体" w:hAnsi="宋体"/>
          <w:color w:val="auto"/>
          <w:highlight w:val="none"/>
        </w:rPr>
      </w:pPr>
      <w:r>
        <w:rPr>
          <w:rFonts w:ascii="宋体" w:hAnsi="宋体"/>
          <w:color w:val="auto"/>
          <w:highlight w:val="none"/>
        </w:rPr>
        <w:t>2．我方承诺在</w:t>
      </w:r>
      <w:r>
        <w:rPr>
          <w:rFonts w:hint="eastAsia" w:ascii="宋体" w:hAnsi="宋体"/>
          <w:color w:val="auto"/>
          <w:highlight w:val="none"/>
          <w:lang w:eastAsia="zh-CN"/>
        </w:rPr>
        <w:t>投标有效期</w:t>
      </w:r>
      <w:r>
        <w:rPr>
          <w:rFonts w:ascii="宋体" w:hAnsi="宋体"/>
          <w:color w:val="auto"/>
          <w:highlight w:val="none"/>
        </w:rPr>
        <w:t>内不修改、撤销</w:t>
      </w:r>
      <w:r>
        <w:rPr>
          <w:rFonts w:hint="eastAsia" w:ascii="宋体" w:hAnsi="宋体"/>
          <w:color w:val="auto"/>
          <w:highlight w:val="none"/>
          <w:lang w:val="en-US" w:eastAsia="zh-CN"/>
        </w:rPr>
        <w:t>投标</w:t>
      </w:r>
      <w:r>
        <w:rPr>
          <w:rFonts w:hint="eastAsia" w:ascii="宋体" w:hAnsi="宋体"/>
          <w:color w:val="auto"/>
          <w:highlight w:val="none"/>
        </w:rPr>
        <w:t>文件</w:t>
      </w:r>
      <w:r>
        <w:rPr>
          <w:rFonts w:ascii="宋体" w:hAnsi="宋体"/>
          <w:color w:val="auto"/>
          <w:highlight w:val="none"/>
        </w:rPr>
        <w:t>。</w:t>
      </w:r>
    </w:p>
    <w:p w14:paraId="031CF8CE">
      <w:pPr>
        <w:tabs>
          <w:tab w:val="left" w:pos="2127"/>
        </w:tabs>
        <w:kinsoku/>
        <w:overflowPunct/>
        <w:bidi w:val="0"/>
        <w:spacing w:line="360" w:lineRule="auto"/>
        <w:ind w:firstLine="420" w:firstLineChars="200"/>
        <w:rPr>
          <w:rFonts w:ascii="宋体" w:hAnsi="宋体"/>
          <w:color w:val="auto"/>
          <w:highlight w:val="none"/>
        </w:rPr>
      </w:pPr>
      <w:r>
        <w:rPr>
          <w:rFonts w:hint="eastAsia" w:ascii="宋体" w:hAnsi="宋体"/>
          <w:color w:val="auto"/>
          <w:highlight w:val="none"/>
          <w:lang w:val="en-US" w:eastAsia="zh-CN"/>
        </w:rPr>
        <w:t>3</w:t>
      </w:r>
      <w:r>
        <w:rPr>
          <w:rFonts w:ascii="宋体" w:hAnsi="宋体"/>
          <w:color w:val="auto"/>
          <w:highlight w:val="none"/>
        </w:rPr>
        <w:t>．如我方</w:t>
      </w:r>
      <w:r>
        <w:rPr>
          <w:rFonts w:hint="eastAsia" w:ascii="宋体" w:hAnsi="宋体"/>
          <w:color w:val="auto"/>
          <w:highlight w:val="none"/>
        </w:rPr>
        <w:t>成为</w:t>
      </w:r>
      <w:r>
        <w:rPr>
          <w:rFonts w:hint="eastAsia"/>
          <w:color w:val="auto"/>
          <w:highlight w:val="none"/>
          <w:lang w:val="en-US" w:eastAsia="zh-CN"/>
        </w:rPr>
        <w:t>中标单位</w:t>
      </w:r>
      <w:r>
        <w:rPr>
          <w:rFonts w:ascii="宋体" w:hAnsi="宋体"/>
          <w:color w:val="auto"/>
          <w:highlight w:val="none"/>
        </w:rPr>
        <w:t>：</w:t>
      </w:r>
    </w:p>
    <w:p w14:paraId="0C9738E8">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（1</w:t>
      </w:r>
      <w:r>
        <w:rPr>
          <w:rFonts w:hint="eastAsia" w:ascii="宋体" w:hAnsi="宋体" w:eastAsia="宋体" w:cs="宋体"/>
          <w:color w:val="auto"/>
          <w:szCs w:val="21"/>
          <w:highlight w:val="none"/>
        </w:rPr>
        <w:t>）在收到</w:t>
      </w:r>
      <w:r>
        <w:rPr>
          <w:rFonts w:hint="eastAsia" w:ascii="宋体" w:hAnsi="宋体" w:cs="宋体"/>
          <w:color w:val="auto"/>
          <w:szCs w:val="21"/>
          <w:highlight w:val="none"/>
          <w:lang w:val="en-US" w:eastAsia="zh-CN"/>
        </w:rPr>
        <w:t>中标通知书</w:t>
      </w:r>
      <w:r>
        <w:rPr>
          <w:rFonts w:hint="eastAsia" w:ascii="宋体" w:hAnsi="宋体" w:eastAsia="宋体" w:cs="宋体"/>
          <w:color w:val="auto"/>
          <w:szCs w:val="21"/>
          <w:highlight w:val="none"/>
        </w:rPr>
        <w:t>后，在</w:t>
      </w:r>
      <w:r>
        <w:rPr>
          <w:rFonts w:hint="eastAsia" w:ascii="宋体" w:hAnsi="宋体" w:cs="宋体"/>
          <w:color w:val="auto"/>
          <w:szCs w:val="21"/>
          <w:highlight w:val="none"/>
          <w:lang w:eastAsia="zh-CN"/>
        </w:rPr>
        <w:t>中标通知书</w:t>
      </w:r>
      <w:r>
        <w:rPr>
          <w:rFonts w:hint="eastAsia" w:ascii="宋体" w:hAnsi="宋体" w:eastAsia="宋体" w:cs="宋体"/>
          <w:color w:val="auto"/>
          <w:szCs w:val="21"/>
          <w:highlight w:val="none"/>
        </w:rPr>
        <w:t>规定的期限内与你方签订合同</w:t>
      </w:r>
      <w:r>
        <w:rPr>
          <w:rFonts w:hint="eastAsia" w:ascii="宋体" w:hAnsi="宋体" w:eastAsia="宋体" w:cs="宋体"/>
          <w:color w:val="auto"/>
          <w:szCs w:val="21"/>
          <w:highlight w:val="none"/>
          <w:lang w:eastAsia="zh-CN"/>
        </w:rPr>
        <w:t>；</w:t>
      </w:r>
    </w:p>
    <w:p w14:paraId="2D075822">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highlight w:val="none"/>
        </w:rPr>
        <w:t>（2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在签订合同时不向你方提出附加条件；</w:t>
      </w:r>
    </w:p>
    <w:p w14:paraId="45298E47">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 w:val="21"/>
          <w:szCs w:val="21"/>
          <w:highlight w:val="none"/>
        </w:rPr>
        <w:t>按</w:t>
      </w:r>
      <w:r>
        <w:rPr>
          <w:rFonts w:hint="eastAsia" w:ascii="宋体" w:hAnsi="宋体" w:cs="宋体"/>
          <w:color w:val="auto"/>
          <w:sz w:val="21"/>
          <w:szCs w:val="21"/>
          <w:highlight w:val="none"/>
          <w:lang w:val="en-US" w:eastAsia="zh-CN"/>
        </w:rPr>
        <w:t>招标</w:t>
      </w:r>
      <w:r>
        <w:rPr>
          <w:rFonts w:hint="eastAsia" w:ascii="宋体" w:hAnsi="宋体" w:eastAsia="宋体" w:cs="宋体"/>
          <w:color w:val="auto"/>
          <w:sz w:val="21"/>
          <w:szCs w:val="21"/>
          <w:highlight w:val="none"/>
          <w:lang w:eastAsia="zh-CN"/>
        </w:rPr>
        <w:t>文件</w:t>
      </w:r>
      <w:r>
        <w:rPr>
          <w:rFonts w:hint="eastAsia" w:ascii="宋体" w:hAnsi="宋体" w:eastAsia="宋体" w:cs="宋体"/>
          <w:color w:val="auto"/>
          <w:sz w:val="21"/>
          <w:szCs w:val="21"/>
          <w:highlight w:val="none"/>
        </w:rPr>
        <w:t>要求</w:t>
      </w:r>
      <w:r>
        <w:rPr>
          <w:rFonts w:hint="eastAsia" w:ascii="宋体" w:hAnsi="宋体" w:eastAsia="宋体" w:cs="宋体"/>
          <w:color w:val="auto"/>
          <w:szCs w:val="21"/>
          <w:highlight w:val="none"/>
          <w:lang w:val="en-US" w:eastAsia="zh-CN"/>
        </w:rPr>
        <w:t>交</w:t>
      </w:r>
      <w:r>
        <w:rPr>
          <w:rFonts w:hint="eastAsia" w:ascii="宋体" w:hAnsi="宋体" w:eastAsia="宋体" w:cs="宋体"/>
          <w:color w:val="auto"/>
          <w:szCs w:val="21"/>
          <w:highlight w:val="none"/>
        </w:rPr>
        <w:t>货期</w:t>
      </w:r>
      <w:r>
        <w:rPr>
          <w:rFonts w:hint="eastAsia" w:ascii="宋体" w:hAnsi="宋体" w:eastAsia="宋体" w:cs="宋体"/>
          <w:color w:val="auto"/>
          <w:sz w:val="21"/>
          <w:szCs w:val="21"/>
          <w:highlight w:val="none"/>
        </w:rPr>
        <w:t>内</w:t>
      </w:r>
      <w:r>
        <w:rPr>
          <w:rFonts w:hint="eastAsia" w:ascii="宋体" w:hAnsi="宋体" w:eastAsia="宋体" w:cs="宋体"/>
          <w:color w:val="auto"/>
          <w:sz w:val="21"/>
          <w:szCs w:val="21"/>
          <w:highlight w:val="none"/>
          <w:lang w:val="en-US" w:eastAsia="zh-CN"/>
        </w:rPr>
        <w:t>供货</w:t>
      </w:r>
      <w:r>
        <w:rPr>
          <w:rFonts w:hint="eastAsia" w:ascii="宋体" w:hAnsi="宋体" w:eastAsia="宋体" w:cs="宋体"/>
          <w:color w:val="auto"/>
          <w:sz w:val="21"/>
          <w:szCs w:val="21"/>
          <w:highlight w:val="none"/>
          <w:lang w:eastAsia="zh-CN"/>
        </w:rPr>
        <w:t>；</w:t>
      </w:r>
    </w:p>
    <w:p w14:paraId="679DAA39">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4</w:t>
      </w:r>
      <w:r>
        <w:rPr>
          <w:rFonts w:hint="eastAsia" w:ascii="宋体" w:hAnsi="宋体" w:eastAsia="宋体" w:cs="宋体"/>
          <w:color w:val="auto"/>
          <w:szCs w:val="21"/>
          <w:highlight w:val="none"/>
        </w:rPr>
        <w:t>）</w:t>
      </w:r>
      <w:r>
        <w:rPr>
          <w:rFonts w:hint="eastAsia" w:ascii="宋体" w:hAnsi="宋体" w:cs="宋体"/>
          <w:color w:val="auto"/>
          <w:sz w:val="21"/>
          <w:szCs w:val="21"/>
          <w:highlight w:val="none"/>
          <w:lang w:eastAsia="zh-CN"/>
        </w:rPr>
        <w:t>投标有效期</w:t>
      </w:r>
      <w:r>
        <w:rPr>
          <w:rFonts w:hint="eastAsia" w:ascii="宋体" w:hAnsi="宋体" w:eastAsia="宋体" w:cs="宋体"/>
          <w:color w:val="auto"/>
          <w:sz w:val="21"/>
          <w:szCs w:val="21"/>
          <w:highlight w:val="none"/>
          <w:lang w:eastAsia="zh-CN"/>
        </w:rPr>
        <w:t>按照</w:t>
      </w:r>
      <w:r>
        <w:rPr>
          <w:rFonts w:hint="eastAsia" w:ascii="宋体" w:hAnsi="宋体" w:cs="宋体"/>
          <w:color w:val="auto"/>
          <w:sz w:val="21"/>
          <w:szCs w:val="21"/>
          <w:highlight w:val="none"/>
          <w:lang w:eastAsia="zh-CN"/>
        </w:rPr>
        <w:t>招标文件</w:t>
      </w:r>
      <w:r>
        <w:rPr>
          <w:rFonts w:hint="eastAsia" w:ascii="宋体" w:hAnsi="宋体" w:eastAsia="宋体" w:cs="宋体"/>
          <w:color w:val="auto"/>
          <w:sz w:val="21"/>
          <w:szCs w:val="21"/>
          <w:highlight w:val="none"/>
          <w:lang w:eastAsia="zh-CN"/>
        </w:rPr>
        <w:t>要求；</w:t>
      </w:r>
    </w:p>
    <w:p w14:paraId="3C10FC60">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szCs w:val="21"/>
          <w:highlight w:val="none"/>
        </w:rPr>
        <w:t>）</w:t>
      </w:r>
      <w:r>
        <w:rPr>
          <w:rFonts w:hint="eastAsia" w:ascii="宋体" w:hAnsi="宋体" w:eastAsia="宋体" w:cs="宋体"/>
          <w:color w:val="auto"/>
          <w:highlight w:val="none"/>
        </w:rPr>
        <w:t>在</w:t>
      </w:r>
      <w:r>
        <w:rPr>
          <w:rFonts w:hint="eastAsia" w:ascii="宋体" w:hAnsi="宋体" w:eastAsia="宋体" w:cs="宋体"/>
          <w:color w:val="auto"/>
          <w:highlight w:val="none"/>
          <w:lang w:val="en-US" w:eastAsia="zh-CN"/>
        </w:rPr>
        <w:t>合同有效</w:t>
      </w:r>
      <w:r>
        <w:rPr>
          <w:rFonts w:hint="eastAsia" w:ascii="宋体" w:hAnsi="宋体" w:eastAsia="宋体" w:cs="宋体"/>
          <w:color w:val="auto"/>
          <w:highlight w:val="none"/>
        </w:rPr>
        <w:t>期间严格执行</w:t>
      </w:r>
      <w:r>
        <w:rPr>
          <w:rFonts w:hint="eastAsia" w:ascii="宋体" w:hAnsi="宋体" w:cs="宋体"/>
          <w:color w:val="auto"/>
          <w:highlight w:val="none"/>
          <w:lang w:val="en-US" w:eastAsia="zh-CN"/>
        </w:rPr>
        <w:t>招标人</w:t>
      </w:r>
      <w:r>
        <w:rPr>
          <w:rFonts w:hint="eastAsia" w:ascii="宋体" w:hAnsi="宋体" w:eastAsia="宋体" w:cs="宋体"/>
          <w:color w:val="auto"/>
          <w:highlight w:val="none"/>
        </w:rPr>
        <w:t>相关管理制度及规定</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如若违反相关条款，自愿接受相关的处罚</w:t>
      </w:r>
      <w:r>
        <w:rPr>
          <w:rFonts w:hint="eastAsia" w:ascii="宋体" w:hAnsi="宋体" w:eastAsia="宋体" w:cs="宋体"/>
          <w:color w:val="auto"/>
          <w:highlight w:val="none"/>
          <w:lang w:eastAsia="zh-CN"/>
        </w:rPr>
        <w:t>；</w:t>
      </w:r>
    </w:p>
    <w:p w14:paraId="1A0B08AF">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）在参加承包商评价和</w:t>
      </w:r>
      <w:r>
        <w:rPr>
          <w:rFonts w:hint="eastAsia" w:ascii="宋体" w:hAnsi="宋体" w:cs="宋体"/>
          <w:color w:val="auto"/>
          <w:kern w:val="0"/>
          <w:szCs w:val="21"/>
          <w:highlight w:val="none"/>
          <w:lang w:val="en-US" w:eastAsia="zh-CN"/>
        </w:rPr>
        <w:t>投标</w:t>
      </w:r>
      <w:r>
        <w:rPr>
          <w:rFonts w:hint="eastAsia" w:ascii="宋体" w:hAnsi="宋体" w:eastAsia="宋体" w:cs="宋体"/>
          <w:color w:val="auto"/>
          <w:highlight w:val="none"/>
        </w:rPr>
        <w:t>中，如有弄虚作假，自愿接受停止投标资格的处罚</w:t>
      </w:r>
      <w:r>
        <w:rPr>
          <w:rFonts w:hint="eastAsia" w:ascii="宋体" w:hAnsi="宋体" w:eastAsia="宋体" w:cs="宋体"/>
          <w:color w:val="auto"/>
          <w:highlight w:val="none"/>
          <w:lang w:eastAsia="zh-CN"/>
        </w:rPr>
        <w:t>；</w:t>
      </w:r>
    </w:p>
    <w:p w14:paraId="6E2C41DD">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）除非另外达成协议并生效，你方的</w:t>
      </w:r>
      <w:r>
        <w:rPr>
          <w:rFonts w:hint="eastAsia" w:ascii="宋体" w:hAnsi="宋体" w:cs="宋体"/>
          <w:color w:val="auto"/>
          <w:highlight w:val="none"/>
          <w:lang w:eastAsia="zh-CN"/>
        </w:rPr>
        <w:t>中标通知书</w:t>
      </w:r>
      <w:r>
        <w:rPr>
          <w:rFonts w:hint="eastAsia" w:ascii="宋体" w:hAnsi="宋体" w:eastAsia="宋体" w:cs="宋体"/>
          <w:color w:val="auto"/>
          <w:highlight w:val="none"/>
        </w:rPr>
        <w:t>和本</w:t>
      </w:r>
      <w:r>
        <w:rPr>
          <w:rFonts w:hint="eastAsia" w:ascii="宋体" w:hAnsi="宋体" w:cs="宋体"/>
          <w:color w:val="auto"/>
          <w:highlight w:val="none"/>
          <w:lang w:val="en-US" w:eastAsia="zh-CN"/>
        </w:rPr>
        <w:t>投标</w:t>
      </w:r>
      <w:r>
        <w:rPr>
          <w:rFonts w:hint="eastAsia" w:ascii="宋体" w:hAnsi="宋体" w:cs="宋体"/>
          <w:color w:val="auto"/>
          <w:highlight w:val="none"/>
          <w:lang w:eastAsia="zh-CN"/>
        </w:rPr>
        <w:t>文件</w:t>
      </w:r>
      <w:r>
        <w:rPr>
          <w:rFonts w:hint="eastAsia" w:ascii="宋体" w:hAnsi="宋体" w:eastAsia="宋体" w:cs="宋体"/>
          <w:color w:val="auto"/>
          <w:highlight w:val="none"/>
        </w:rPr>
        <w:t>将构成约束我们双方的合同。</w:t>
      </w:r>
    </w:p>
    <w:p w14:paraId="159DB53D">
      <w:pPr>
        <w:pStyle w:val="23"/>
        <w:tabs>
          <w:tab w:val="left" w:pos="2127"/>
        </w:tabs>
        <w:kinsoku/>
        <w:overflowPunct/>
        <w:bidi w:val="0"/>
        <w:spacing w:line="360" w:lineRule="auto"/>
        <w:ind w:firstLine="420" w:firstLineChars="200"/>
        <w:rPr>
          <w:rFonts w:hint="eastAsia" w:hAnsi="宋体"/>
          <w:color w:val="auto"/>
          <w:highlight w:val="none"/>
        </w:rPr>
      </w:pPr>
      <w:r>
        <w:rPr>
          <w:rFonts w:hint="eastAsia" w:hAnsi="宋体"/>
          <w:color w:val="auto"/>
          <w:highlight w:val="none"/>
          <w:lang w:val="en-US" w:eastAsia="zh-CN"/>
        </w:rPr>
        <w:t>4</w:t>
      </w:r>
      <w:r>
        <w:rPr>
          <w:rFonts w:hAnsi="宋体"/>
          <w:color w:val="auto"/>
          <w:highlight w:val="none"/>
        </w:rPr>
        <w:t>．</w:t>
      </w:r>
      <w:r>
        <w:rPr>
          <w:rFonts w:hint="eastAsia" w:ascii="宋体" w:hAnsi="宋体" w:eastAsia="宋体" w:cs="宋体"/>
          <w:color w:val="auto"/>
          <w:highlight w:val="none"/>
          <w:lang w:val="en-US" w:eastAsia="zh-CN"/>
        </w:rPr>
        <w:t>当我方报价有算术错误及其他错误的，我方授权</w:t>
      </w:r>
      <w:r>
        <w:rPr>
          <w:rFonts w:hint="eastAsia" w:hAnsi="宋体" w:cs="宋体"/>
          <w:color w:val="auto"/>
          <w:highlight w:val="none"/>
          <w:lang w:val="en-US" w:eastAsia="zh-CN"/>
        </w:rPr>
        <w:t>评标委员会</w:t>
      </w:r>
      <w:r>
        <w:rPr>
          <w:rFonts w:hint="eastAsia" w:ascii="宋体" w:hAnsi="宋体" w:eastAsia="宋体" w:cs="宋体"/>
          <w:color w:val="auto"/>
          <w:highlight w:val="none"/>
          <w:lang w:val="en-US" w:eastAsia="zh-CN"/>
        </w:rPr>
        <w:t>按</w:t>
      </w:r>
      <w:r>
        <w:rPr>
          <w:rFonts w:hint="eastAsia" w:hAnsi="宋体" w:cs="宋体"/>
          <w:color w:val="auto"/>
          <w:highlight w:val="none"/>
          <w:lang w:val="en-US" w:eastAsia="zh-CN"/>
        </w:rPr>
        <w:t>招标文件</w:t>
      </w:r>
      <w:r>
        <w:rPr>
          <w:rFonts w:hint="eastAsia" w:ascii="宋体" w:hAnsi="宋体" w:eastAsia="宋体" w:cs="宋体"/>
          <w:color w:val="auto"/>
          <w:highlight w:val="none"/>
          <w:lang w:val="en-US" w:eastAsia="zh-CN"/>
        </w:rPr>
        <w:t>第三章“评审办法”第3.1.3 项规定对我方报价进行修正，并承诺接受由此修正后的报价。如我方违反，自愿接受相关的处罚，并承担由此对</w:t>
      </w:r>
      <w:r>
        <w:rPr>
          <w:rFonts w:hint="eastAsia" w:hAnsi="宋体" w:cs="宋体"/>
          <w:color w:val="auto"/>
          <w:highlight w:val="none"/>
          <w:lang w:val="en-US" w:eastAsia="zh-CN"/>
        </w:rPr>
        <w:t>招标人</w:t>
      </w:r>
      <w:r>
        <w:rPr>
          <w:rFonts w:hint="eastAsia" w:ascii="宋体" w:hAnsi="宋体" w:eastAsia="宋体" w:cs="宋体"/>
          <w:color w:val="auto"/>
          <w:highlight w:val="none"/>
          <w:lang w:val="en-US" w:eastAsia="zh-CN"/>
        </w:rPr>
        <w:t>带来的损失。</w:t>
      </w:r>
    </w:p>
    <w:p w14:paraId="6A998CBE">
      <w:pPr>
        <w:pStyle w:val="23"/>
        <w:tabs>
          <w:tab w:val="left" w:pos="2127"/>
        </w:tabs>
        <w:kinsoku/>
        <w:overflowPunct/>
        <w:bidi w:val="0"/>
        <w:spacing w:line="360" w:lineRule="auto"/>
        <w:ind w:firstLine="420" w:firstLineChars="200"/>
        <w:rPr>
          <w:rFonts w:hint="eastAsia" w:hAnsi="宋体" w:cs="Times New Roman"/>
          <w:color w:val="auto"/>
          <w:sz w:val="21"/>
          <w:szCs w:val="21"/>
          <w:highlight w:val="none"/>
          <w:lang w:val="en-US" w:eastAsia="zh-CN"/>
        </w:rPr>
      </w:pPr>
      <w:r>
        <w:rPr>
          <w:rFonts w:hint="eastAsia" w:hAnsi="宋体" w:cs="Times New Roman"/>
          <w:color w:val="auto"/>
          <w:sz w:val="21"/>
          <w:szCs w:val="21"/>
          <w:highlight w:val="none"/>
          <w:lang w:val="en-US" w:eastAsia="zh-CN"/>
        </w:rPr>
        <w:t>5.</w:t>
      </w:r>
      <w:r>
        <w:rPr>
          <w:rFonts w:hint="eastAsia" w:ascii="宋体" w:hAnsi="宋体" w:eastAsia="宋体" w:cs="宋体"/>
          <w:color w:val="auto"/>
          <w:highlight w:val="none"/>
        </w:rPr>
        <w:t>我方在此声明，所递交的</w:t>
      </w:r>
      <w:r>
        <w:rPr>
          <w:rFonts w:hint="eastAsia" w:hAnsi="宋体" w:cs="宋体"/>
          <w:color w:val="auto"/>
          <w:highlight w:val="none"/>
          <w:lang w:val="en-US" w:eastAsia="zh-CN"/>
        </w:rPr>
        <w:t>投标</w:t>
      </w:r>
      <w:r>
        <w:rPr>
          <w:rFonts w:hint="eastAsia" w:ascii="宋体" w:hAnsi="宋体" w:cs="宋体"/>
          <w:color w:val="auto"/>
          <w:highlight w:val="none"/>
          <w:lang w:eastAsia="zh-CN"/>
        </w:rPr>
        <w:t>文件</w:t>
      </w:r>
      <w:r>
        <w:rPr>
          <w:rFonts w:hint="eastAsia" w:ascii="宋体" w:hAnsi="宋体" w:eastAsia="宋体" w:cs="宋体"/>
          <w:color w:val="auto"/>
          <w:highlight w:val="none"/>
        </w:rPr>
        <w:t>及有关资料内容完整、真实和准确，且不存在</w:t>
      </w:r>
      <w:r>
        <w:rPr>
          <w:rFonts w:hint="eastAsia" w:hAnsi="宋体" w:cs="宋体"/>
          <w:color w:val="auto"/>
          <w:highlight w:val="none"/>
          <w:lang w:val="en-US" w:eastAsia="zh-CN"/>
        </w:rPr>
        <w:t>招标文件</w:t>
      </w:r>
      <w:r>
        <w:rPr>
          <w:rFonts w:hint="eastAsia" w:ascii="宋体" w:hAnsi="宋体" w:eastAsia="宋体" w:cs="宋体"/>
          <w:color w:val="auto"/>
          <w:highlight w:val="none"/>
        </w:rPr>
        <w:t>第二章“</w:t>
      </w:r>
      <w:r>
        <w:rPr>
          <w:rFonts w:hint="eastAsia" w:hAnsi="宋体" w:cs="宋体"/>
          <w:color w:val="auto"/>
          <w:highlight w:val="none"/>
          <w:lang w:val="en-US" w:eastAsia="zh-CN"/>
        </w:rPr>
        <w:t>投标人</w:t>
      </w:r>
      <w:r>
        <w:rPr>
          <w:rFonts w:hint="eastAsia" w:ascii="宋体" w:hAnsi="宋体" w:eastAsia="宋体" w:cs="宋体"/>
          <w:color w:val="auto"/>
          <w:highlight w:val="none"/>
        </w:rPr>
        <w:t>须知”第1.4.3项规定的任何一种情形。</w:t>
      </w:r>
    </w:p>
    <w:p w14:paraId="652FA1E9">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textAlignment w:val="auto"/>
        <w:outlineLvl w:val="9"/>
        <w:rPr>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rPr>
        <w:t xml:space="preserve">                              </w:t>
      </w:r>
      <w:r>
        <w:rPr>
          <w:rFonts w:hint="eastAsia" w:ascii="宋体" w:hAnsi="宋体" w:cs="宋体"/>
          <w:color w:val="auto"/>
          <w:highlight w:val="none"/>
          <w:lang w:val="en-US" w:eastAsia="zh-CN"/>
        </w:rPr>
        <w:t>投标人</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（公章或投标专用章或电子签章）</w:t>
      </w:r>
    </w:p>
    <w:p w14:paraId="1AD5E626">
      <w:pPr>
        <w:pStyle w:val="23"/>
        <w:tabs>
          <w:tab w:val="left" w:pos="2127"/>
        </w:tabs>
        <w:kinsoku/>
        <w:overflowPunct/>
        <w:bidi w:val="0"/>
        <w:spacing w:line="360" w:lineRule="auto"/>
        <w:ind w:firstLine="1050" w:firstLineChars="500"/>
        <w:outlineLvl w:val="9"/>
        <w:rPr>
          <w:rFonts w:hint="eastAsia"/>
          <w:color w:val="auto"/>
          <w:highlight w:val="none"/>
        </w:rPr>
      </w:pPr>
      <w:r>
        <w:rPr>
          <w:rFonts w:hint="eastAsia" w:hAnsi="宋体" w:cs="宋体"/>
          <w:color w:val="auto"/>
          <w:highlight w:val="none"/>
        </w:rPr>
        <w:t xml:space="preserve">                    法定代表人或者其委托的代理人:</w:t>
      </w:r>
      <w:r>
        <w:rPr>
          <w:rFonts w:hint="eastAsia" w:hAnsi="宋体" w:cs="宋体"/>
          <w:color w:val="auto"/>
          <w:highlight w:val="none"/>
          <w:u w:val="single"/>
        </w:rPr>
        <w:t xml:space="preserve">         </w:t>
      </w:r>
      <w:r>
        <w:rPr>
          <w:rFonts w:hint="eastAsia" w:hAnsi="宋体" w:cs="宋体"/>
          <w:color w:val="auto"/>
          <w:highlight w:val="none"/>
          <w:u w:val="single"/>
          <w:lang w:val="en-US" w:eastAsia="zh-CN"/>
        </w:rPr>
        <w:t xml:space="preserve">      </w:t>
      </w:r>
      <w:r>
        <w:rPr>
          <w:rFonts w:hint="eastAsia" w:hAnsi="宋体" w:cs="宋体"/>
          <w:color w:val="auto"/>
          <w:highlight w:val="none"/>
          <w:u w:val="single"/>
        </w:rPr>
        <w:t xml:space="preserve">     </w:t>
      </w:r>
      <w:r>
        <w:rPr>
          <w:rFonts w:hint="eastAsia" w:hAnsi="宋体" w:cs="宋体"/>
          <w:color w:val="auto"/>
          <w:highlight w:val="none"/>
        </w:rPr>
        <w:t>(签字或</w:t>
      </w:r>
      <w:r>
        <w:rPr>
          <w:rFonts w:hint="eastAsia" w:hAnsi="宋体" w:cs="宋体"/>
          <w:color w:val="auto"/>
          <w:highlight w:val="none"/>
          <w:lang w:val="en-US" w:eastAsia="zh-CN"/>
        </w:rPr>
        <w:t>签</w:t>
      </w:r>
      <w:r>
        <w:rPr>
          <w:rFonts w:hint="eastAsia" w:hAnsi="宋体" w:cs="宋体"/>
          <w:color w:val="auto"/>
          <w:highlight w:val="none"/>
        </w:rPr>
        <w:t>章)</w:t>
      </w:r>
    </w:p>
    <w:p w14:paraId="364A3BCE">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 xml:space="preserve">                              单位地址</w:t>
      </w:r>
      <w:r>
        <w:rPr>
          <w:rFonts w:hint="eastAsia" w:ascii="宋体" w:hAnsi="宋体" w:eastAsia="宋体" w:cs="宋体"/>
          <w:color w:val="auto"/>
          <w:highlight w:val="none"/>
          <w:lang w:eastAsia="zh-CN"/>
        </w:rPr>
        <w:t>：</w:t>
      </w:r>
      <w:r>
        <w:rPr>
          <w:rFonts w:hint="eastAsia" w:ascii="宋体" w:hAnsi="宋体" w:eastAsia="宋体" w:cs="宋体"/>
          <w:color w:val="auto"/>
          <w:highlight w:val="none"/>
          <w:u w:val="single"/>
        </w:rPr>
        <w:t xml:space="preserve">                    </w:t>
      </w:r>
    </w:p>
    <w:p w14:paraId="106668CB">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textAlignment w:val="auto"/>
        <w:outlineLvl w:val="9"/>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                              邮政编码</w:t>
      </w:r>
      <w:r>
        <w:rPr>
          <w:rFonts w:hint="eastAsia" w:ascii="宋体" w:hAnsi="宋体" w:eastAsia="宋体" w:cs="宋体"/>
          <w:color w:val="auto"/>
          <w:highlight w:val="non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14:paraId="497ABF20">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textAlignment w:val="auto"/>
        <w:outlineLvl w:val="9"/>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                              电    话</w:t>
      </w:r>
      <w:r>
        <w:rPr>
          <w:rFonts w:hint="eastAsia" w:ascii="宋体" w:hAnsi="宋体" w:eastAsia="宋体" w:cs="宋体"/>
          <w:color w:val="auto"/>
          <w:highlight w:val="non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14:paraId="3A9BEFE1">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textAlignment w:val="auto"/>
        <w:outlineLvl w:val="9"/>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 xml:space="preserve">                              传    真</w:t>
      </w:r>
      <w:r>
        <w:rPr>
          <w:rFonts w:hint="eastAsia" w:ascii="宋体" w:hAnsi="宋体" w:eastAsia="宋体" w:cs="宋体"/>
          <w:color w:val="auto"/>
          <w:highlight w:val="non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p>
    <w:p w14:paraId="7A4C163A">
      <w:pPr>
        <w:kinsoku/>
        <w:overflowPunct/>
        <w:topLinePunct/>
        <w:bidi w:val="0"/>
        <w:spacing w:line="360" w:lineRule="auto"/>
        <w:ind w:firstLine="3150" w:firstLineChars="1500"/>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w:t>日</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期</w:t>
      </w:r>
      <w:r>
        <w:rPr>
          <w:rFonts w:hint="eastAsia" w:ascii="宋体" w:hAnsi="宋体" w:eastAsia="宋体" w:cs="宋体"/>
          <w:color w:val="auto"/>
          <w:highlight w:val="non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日   </w:t>
      </w:r>
    </w:p>
    <w:p w14:paraId="1359282B">
      <w:pPr>
        <w:pStyle w:val="18"/>
        <w:outlineLvl w:val="9"/>
        <w:rPr>
          <w:rFonts w:hint="eastAsia"/>
          <w:highlight w:val="none"/>
          <w:lang w:val="en-US" w:eastAsia="zh-CN"/>
        </w:rPr>
      </w:pPr>
    </w:p>
    <w:p w14:paraId="0C11790F">
      <w:pPr>
        <w:pStyle w:val="5"/>
        <w:kinsoku/>
        <w:overflowPunct/>
        <w:bidi w:val="0"/>
        <w:spacing w:before="0" w:after="0" w:line="360" w:lineRule="auto"/>
        <w:textAlignment w:val="auto"/>
        <w:outlineLvl w:val="2"/>
        <w:rPr>
          <w:rFonts w:hint="eastAsia"/>
          <w:color w:val="auto"/>
          <w:highlight w:val="none"/>
        </w:rPr>
      </w:pPr>
      <w:bookmarkStart w:id="2324" w:name="_Toc32538"/>
    </w:p>
    <w:p w14:paraId="7359958D">
      <w:pPr>
        <w:pStyle w:val="5"/>
        <w:kinsoku/>
        <w:overflowPunct/>
        <w:bidi w:val="0"/>
        <w:spacing w:before="0" w:after="0" w:line="360" w:lineRule="auto"/>
        <w:textAlignment w:val="auto"/>
        <w:outlineLvl w:val="2"/>
        <w:rPr>
          <w:rFonts w:hint="eastAsia" w:eastAsia="宋体"/>
          <w:color w:val="auto"/>
          <w:highlight w:val="none"/>
          <w:lang w:eastAsia="zh-CN"/>
        </w:rPr>
      </w:pPr>
      <w:r>
        <w:rPr>
          <w:rFonts w:hint="eastAsia"/>
          <w:color w:val="auto"/>
          <w:highlight w:val="none"/>
        </w:rPr>
        <w:t>二</w:t>
      </w:r>
      <w:r>
        <w:rPr>
          <w:color w:val="auto"/>
          <w:highlight w:val="none"/>
        </w:rPr>
        <w:t>、</w:t>
      </w:r>
      <w:bookmarkEnd w:id="2313"/>
      <w:bookmarkEnd w:id="2314"/>
      <w:bookmarkEnd w:id="2315"/>
      <w:bookmarkEnd w:id="2316"/>
      <w:bookmarkEnd w:id="2317"/>
      <w:bookmarkEnd w:id="2318"/>
      <w:bookmarkEnd w:id="2319"/>
      <w:bookmarkEnd w:id="2320"/>
      <w:bookmarkEnd w:id="2321"/>
      <w:bookmarkEnd w:id="2322"/>
      <w:bookmarkEnd w:id="2323"/>
      <w:r>
        <w:rPr>
          <w:rFonts w:hint="eastAsia"/>
          <w:color w:val="auto"/>
          <w:highlight w:val="none"/>
        </w:rPr>
        <w:t>报价书及成本分析报告（如有）</w:t>
      </w:r>
      <w:bookmarkEnd w:id="2324"/>
    </w:p>
    <w:p w14:paraId="693A7AC4">
      <w:pPr>
        <w:pStyle w:val="23"/>
        <w:tabs>
          <w:tab w:val="left" w:pos="2127"/>
        </w:tabs>
        <w:spacing w:line="360" w:lineRule="auto"/>
        <w:outlineLvl w:val="3"/>
        <w:rPr>
          <w:rFonts w:hint="eastAsia" w:hAnsi="宋体" w:eastAsia="宋体" w:cs="宋体"/>
          <w:b/>
          <w:color w:val="auto"/>
          <w:sz w:val="24"/>
          <w:szCs w:val="24"/>
          <w:highlight w:val="none"/>
        </w:rPr>
      </w:pPr>
      <w:bookmarkStart w:id="2325" w:name="_Toc10650"/>
      <w:r>
        <w:rPr>
          <w:rFonts w:hint="eastAsia" w:hAnsi="宋体" w:eastAsia="宋体" w:cs="宋体"/>
          <w:b/>
          <w:color w:val="auto"/>
          <w:sz w:val="24"/>
          <w:szCs w:val="24"/>
          <w:highlight w:val="none"/>
        </w:rPr>
        <w:t>（一）报价书</w:t>
      </w:r>
      <w:bookmarkEnd w:id="2325"/>
    </w:p>
    <w:p w14:paraId="2F151100">
      <w:pPr>
        <w:pStyle w:val="23"/>
        <w:kinsoku/>
        <w:wordWrap w:val="0"/>
        <w:overflowPunct/>
        <w:bidi w:val="0"/>
        <w:spacing w:line="360" w:lineRule="auto"/>
        <w:rPr>
          <w:rFonts w:hint="eastAsia" w:ascii="宋体" w:hAnsi="宋体" w:eastAsia="宋体" w:cs="宋体"/>
          <w:b/>
          <w:bCs/>
          <w:color w:val="auto"/>
          <w:kern w:val="2"/>
          <w:sz w:val="21"/>
          <w:highlight w:val="none"/>
          <w:lang w:val="en-US" w:eastAsia="zh-CN" w:bidi="ar-SA"/>
        </w:rPr>
      </w:pPr>
      <w:r>
        <w:rPr>
          <w:rFonts w:hint="eastAsia" w:ascii="宋体" w:hAnsi="宋体" w:eastAsia="宋体" w:cs="宋体"/>
          <w:b/>
          <w:bCs/>
          <w:color w:val="auto"/>
          <w:highlight w:val="none"/>
        </w:rPr>
        <w:t>注：</w:t>
      </w:r>
      <w:r>
        <w:rPr>
          <w:rFonts w:hint="eastAsia" w:ascii="宋体" w:hAnsi="宋体" w:eastAsia="宋体" w:cs="宋体"/>
          <w:b/>
          <w:bCs/>
          <w:color w:val="auto"/>
          <w:highlight w:val="none"/>
          <w:lang w:val="en-US" w:eastAsia="zh-CN"/>
        </w:rPr>
        <w:t>如有，</w:t>
      </w:r>
      <w:r>
        <w:rPr>
          <w:rFonts w:hint="eastAsia" w:ascii="宋体" w:hAnsi="宋体" w:eastAsia="宋体" w:cs="宋体"/>
          <w:b/>
          <w:bCs/>
          <w:color w:val="auto"/>
          <w:kern w:val="2"/>
          <w:sz w:val="21"/>
          <w:highlight w:val="none"/>
          <w:lang w:val="en-US" w:eastAsia="zh-CN" w:bidi="ar-SA"/>
        </w:rPr>
        <w:t>格式自定义，需加盖公章或投标专用章或电子签章。</w:t>
      </w:r>
    </w:p>
    <w:p w14:paraId="73539F5F">
      <w:pPr>
        <w:rPr>
          <w:rFonts w:hint="eastAsia"/>
          <w:color w:val="auto"/>
          <w:highlight w:val="none"/>
        </w:rPr>
      </w:pPr>
    </w:p>
    <w:p w14:paraId="7EE0AA10">
      <w:pPr>
        <w:tabs>
          <w:tab w:val="left" w:pos="8100"/>
        </w:tabs>
        <w:kinsoku/>
        <w:overflowPunct/>
        <w:bidi w:val="0"/>
        <w:adjustRightInd w:val="0"/>
        <w:snapToGrid w:val="0"/>
        <w:spacing w:beforeAutospacing="0" w:afterAutospacing="0" w:line="360" w:lineRule="auto"/>
        <w:ind w:right="210"/>
        <w:jc w:val="both"/>
        <w:textAlignment w:val="auto"/>
        <w:outlineLvl w:val="3"/>
        <w:rPr>
          <w:rFonts w:hint="eastAsia" w:ascii="宋体" w:hAnsi="宋体" w:eastAsia="宋体" w:cs="宋体"/>
          <w:b/>
          <w:bCs/>
          <w:color w:val="auto"/>
          <w:highlight w:val="none"/>
        </w:rPr>
      </w:pPr>
      <w:bookmarkStart w:id="2326" w:name="_Toc14374"/>
      <w:r>
        <w:rPr>
          <w:rFonts w:hint="eastAsia" w:hAnsi="宋体" w:eastAsia="宋体" w:cs="宋体"/>
          <w:b/>
          <w:color w:val="auto"/>
          <w:sz w:val="24"/>
          <w:szCs w:val="24"/>
          <w:highlight w:val="none"/>
        </w:rPr>
        <w:t>（</w:t>
      </w:r>
      <w:r>
        <w:rPr>
          <w:rFonts w:hint="eastAsia" w:hAnsi="宋体" w:eastAsia="宋体" w:cs="宋体"/>
          <w:b/>
          <w:color w:val="auto"/>
          <w:sz w:val="24"/>
          <w:szCs w:val="24"/>
          <w:highlight w:val="none"/>
          <w:lang w:val="en-US" w:eastAsia="zh-CN"/>
        </w:rPr>
        <w:t>二</w:t>
      </w:r>
      <w:r>
        <w:rPr>
          <w:rFonts w:hint="eastAsia" w:hAnsi="宋体" w:eastAsia="宋体" w:cs="宋体"/>
          <w:b/>
          <w:color w:val="auto"/>
          <w:sz w:val="24"/>
          <w:szCs w:val="24"/>
          <w:highlight w:val="none"/>
        </w:rPr>
        <w:t>）成本分析报告</w:t>
      </w:r>
      <w:r>
        <w:rPr>
          <w:rFonts w:hint="eastAsia" w:ascii="Times New Roman" w:hAnsi="宋体" w:eastAsia="宋体" w:cs="宋体"/>
          <w:b/>
          <w:color w:val="auto"/>
          <w:sz w:val="24"/>
          <w:szCs w:val="24"/>
          <w:highlight w:val="none"/>
          <w:lang w:eastAsia="zh-CN"/>
        </w:rPr>
        <w:t>（</w:t>
      </w:r>
      <w:r>
        <w:rPr>
          <w:rFonts w:hint="eastAsia" w:ascii="Times New Roman" w:hAnsi="宋体" w:eastAsia="宋体" w:cs="宋体"/>
          <w:b/>
          <w:color w:val="auto"/>
          <w:sz w:val="24"/>
          <w:szCs w:val="24"/>
          <w:highlight w:val="none"/>
          <w:lang w:val="en-US" w:eastAsia="zh-CN"/>
        </w:rPr>
        <w:t>如有</w:t>
      </w:r>
      <w:r>
        <w:rPr>
          <w:rFonts w:hint="eastAsia" w:ascii="Times New Roman" w:hAnsi="宋体" w:eastAsia="宋体" w:cs="宋体"/>
          <w:b/>
          <w:color w:val="auto"/>
          <w:sz w:val="24"/>
          <w:szCs w:val="24"/>
          <w:highlight w:val="none"/>
          <w:lang w:eastAsia="zh-CN"/>
        </w:rPr>
        <w:t>）</w:t>
      </w:r>
      <w:bookmarkEnd w:id="2326"/>
    </w:p>
    <w:p w14:paraId="2F4AAF91">
      <w:pPr>
        <w:pStyle w:val="23"/>
        <w:kinsoku/>
        <w:wordWrap w:val="0"/>
        <w:overflowPunct/>
        <w:bidi w:val="0"/>
        <w:spacing w:line="360" w:lineRule="auto"/>
        <w:rPr>
          <w:rFonts w:hint="eastAsia" w:ascii="宋体" w:hAnsi="宋体" w:eastAsia="宋体" w:cs="宋体"/>
          <w:b/>
          <w:bCs/>
          <w:color w:val="auto"/>
          <w:kern w:val="2"/>
          <w:sz w:val="21"/>
          <w:highlight w:val="none"/>
          <w:lang w:val="en-US" w:eastAsia="zh-CN" w:bidi="ar-SA"/>
        </w:rPr>
      </w:pPr>
      <w:r>
        <w:rPr>
          <w:rFonts w:hint="eastAsia" w:ascii="宋体" w:hAnsi="宋体" w:eastAsia="宋体" w:cs="宋体"/>
          <w:b/>
          <w:bCs/>
          <w:color w:val="auto"/>
          <w:highlight w:val="none"/>
        </w:rPr>
        <w:t>注：</w:t>
      </w:r>
      <w:r>
        <w:rPr>
          <w:rFonts w:hint="eastAsia" w:ascii="宋体" w:hAnsi="宋体" w:eastAsia="宋体" w:cs="宋体"/>
          <w:b/>
          <w:bCs/>
          <w:color w:val="auto"/>
          <w:kern w:val="2"/>
          <w:sz w:val="21"/>
          <w:highlight w:val="none"/>
          <w:lang w:val="en-US" w:eastAsia="zh-CN" w:bidi="ar-SA"/>
        </w:rPr>
        <w:t>格式自定义，需加盖公章或投标专用章或电子签章。</w:t>
      </w:r>
    </w:p>
    <w:p w14:paraId="1A16BE43">
      <w:pPr>
        <w:pStyle w:val="17"/>
        <w:jc w:val="both"/>
        <w:rPr>
          <w:rFonts w:hint="eastAsia"/>
          <w:color w:val="auto"/>
          <w:highlight w:val="none"/>
          <w:lang w:eastAsia="zh-CN"/>
        </w:rPr>
      </w:pPr>
    </w:p>
    <w:p w14:paraId="450D8707">
      <w:pPr>
        <w:rPr>
          <w:rFonts w:hint="default"/>
          <w:color w:val="auto"/>
          <w:highlight w:val="none"/>
          <w:lang w:val="en-US" w:eastAsia="zh-CN"/>
        </w:rPr>
      </w:pPr>
    </w:p>
    <w:sectPr>
      <w:pgSz w:w="11906" w:h="16838"/>
      <w:pgMar w:top="1440" w:right="1080" w:bottom="1440" w:left="1080" w:header="964"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DotumChe">
    <w:altName w:val="Malgun Gothic"/>
    <w:panose1 w:val="020B0609000101010101"/>
    <w:charset w:val="81"/>
    <w:family w:val="moder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onsolas">
    <w:panose1 w:val="020B0609020204030204"/>
    <w:charset w:val="00"/>
    <w:family w:val="auto"/>
    <w:pitch w:val="default"/>
    <w:sig w:usb0="E00006FF" w:usb1="0000FCFF" w:usb2="00000001" w:usb3="00000000" w:csb0="6000019F" w:csb1="DFD7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Dialog">
    <w:altName w:val="宋体"/>
    <w:panose1 w:val="00000000000000000000"/>
    <w:charset w:val="00"/>
    <w:family w:val="roman"/>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7643F">
    <w:pPr>
      <w:pStyle w:val="162"/>
      <w:ind w:right="42"/>
      <w:jc w:val="both"/>
      <w:rPr>
        <w:u w:val="singl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E45D1">
    <w:pPr>
      <w:pStyle w:val="2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3C6053B">
                          <w:pPr>
                            <w:pStyle w:val="2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&#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6fpxptIBAAClAwAADgAAAAAAAAABACAAAAAi&#10;AQAAZHJzL2Uyb0RvYy54bWxQSwUGAAAAAAYABgBZAQAAZgUAAAAA&#10;">
              <v:fill on="f" focussize="0,0"/>
              <v:stroke on="f" weight="1.25pt"/>
              <v:imagedata o:title=""/>
              <o:lock v:ext="edit" aspectratio="f"/>
              <v:textbox inset="0mm,0mm,0mm,0mm" style="mso-fit-shape-to-text:t;">
                <w:txbxContent>
                  <w:p w14:paraId="43C6053B">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070D8">
    <w:pPr>
      <w:pStyle w:val="162"/>
      <w:ind w:left="42" w:right="42"/>
      <w:rPr>
        <w:u w:val="single"/>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8F99DA">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C8F99DA">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AA1CA">
    <w:pPr>
      <w:pStyle w:val="28"/>
      <w:jc w:val="both"/>
      <w:rPr>
        <w:rFonts w:ascii="宋体" w:hAnsi="宋体"/>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63F8D2">
                          <w:pPr>
                            <w:pStyle w:val="28"/>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363F8D2">
                    <w:pPr>
                      <w:pStyle w:val="28"/>
                    </w:pPr>
                    <w:r>
                      <w:fldChar w:fldCharType="begin"/>
                    </w:r>
                    <w:r>
                      <w:instrText xml:space="preserve"> PAGE  \* MERGEFORMAT </w:instrText>
                    </w:r>
                    <w:r>
                      <w:fldChar w:fldCharType="separate"/>
                    </w:r>
                    <w:r>
                      <w:t>12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9D480">
    <w:pPr>
      <w:pStyle w:val="30"/>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073CE">
    <w:pPr>
      <w:pStyle w:val="30"/>
      <w:pBdr>
        <w:bottom w:val="none" w:color="auto" w:sz="0" w:space="1"/>
      </w:pBdr>
      <w:jc w:val="center"/>
      <w:rPr>
        <w:rFonts w:hint="eastAsia" w:eastAsia="宋体"/>
        <w:sz w:val="18"/>
        <w:szCs w:val="18"/>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5809E1"/>
    <w:multiLevelType w:val="singleLevel"/>
    <w:tmpl w:val="885809E1"/>
    <w:lvl w:ilvl="0" w:tentative="0">
      <w:start w:val="1"/>
      <w:numFmt w:val="decimal"/>
      <w:suff w:val="nothing"/>
      <w:lvlText w:val="%1"/>
      <w:lvlJc w:val="left"/>
      <w:pPr>
        <w:tabs>
          <w:tab w:val="left" w:pos="0"/>
        </w:tabs>
      </w:pPr>
      <w:rPr>
        <w:rFonts w:hint="default" w:ascii="宋体" w:hAnsi="宋体" w:eastAsia="宋体" w:cs="Wingdings"/>
      </w:rPr>
    </w:lvl>
  </w:abstractNum>
  <w:abstractNum w:abstractNumId="1">
    <w:nsid w:val="BECE9E1A"/>
    <w:multiLevelType w:val="singleLevel"/>
    <w:tmpl w:val="BECE9E1A"/>
    <w:lvl w:ilvl="0" w:tentative="0">
      <w:start w:val="1"/>
      <w:numFmt w:val="chineseCounting"/>
      <w:suff w:val="nothing"/>
      <w:lvlText w:val="%1、"/>
      <w:lvlJc w:val="left"/>
      <w:rPr>
        <w:rFonts w:hint="eastAsia"/>
      </w:rPr>
    </w:lvl>
  </w:abstractNum>
  <w:abstractNum w:abstractNumId="2">
    <w:nsid w:val="D364B05B"/>
    <w:multiLevelType w:val="singleLevel"/>
    <w:tmpl w:val="D364B05B"/>
    <w:lvl w:ilvl="0" w:tentative="0">
      <w:start w:val="7"/>
      <w:numFmt w:val="chineseCounting"/>
      <w:suff w:val="nothing"/>
      <w:lvlText w:val="%1、"/>
      <w:lvlJc w:val="left"/>
      <w:rPr>
        <w:rFonts w:hint="eastAsia"/>
      </w:rPr>
    </w:lvl>
  </w:abstractNum>
  <w:abstractNum w:abstractNumId="3">
    <w:nsid w:val="D8A6205C"/>
    <w:multiLevelType w:val="singleLevel"/>
    <w:tmpl w:val="D8A6205C"/>
    <w:lvl w:ilvl="0" w:tentative="0">
      <w:start w:val="3"/>
      <w:numFmt w:val="decimal"/>
      <w:suff w:val="space"/>
      <w:lvlText w:val="%1."/>
      <w:lvlJc w:val="left"/>
    </w:lvl>
  </w:abstractNum>
  <w:abstractNum w:abstractNumId="4">
    <w:nsid w:val="DC827AF0"/>
    <w:multiLevelType w:val="singleLevel"/>
    <w:tmpl w:val="DC827AF0"/>
    <w:lvl w:ilvl="0" w:tentative="0">
      <w:start w:val="1"/>
      <w:numFmt w:val="decimal"/>
      <w:suff w:val="nothing"/>
      <w:lvlText w:val="%1、"/>
      <w:lvlJc w:val="left"/>
    </w:lvl>
  </w:abstractNum>
  <w:abstractNum w:abstractNumId="5">
    <w:nsid w:val="DCBCD5CF"/>
    <w:multiLevelType w:val="singleLevel"/>
    <w:tmpl w:val="DCBCD5CF"/>
    <w:lvl w:ilvl="0" w:tentative="0">
      <w:start w:val="1"/>
      <w:numFmt w:val="chineseCounting"/>
      <w:suff w:val="space"/>
      <w:lvlText w:val="第%1章"/>
      <w:lvlJc w:val="left"/>
      <w:rPr>
        <w:rFonts w:hint="eastAsia"/>
      </w:rPr>
    </w:lvl>
  </w:abstractNum>
  <w:abstractNum w:abstractNumId="6">
    <w:nsid w:val="E25C63AF"/>
    <w:multiLevelType w:val="singleLevel"/>
    <w:tmpl w:val="E25C63AF"/>
    <w:lvl w:ilvl="0" w:tentative="0">
      <w:start w:val="8"/>
      <w:numFmt w:val="chineseCounting"/>
      <w:suff w:val="nothing"/>
      <w:lvlText w:val="%1、"/>
      <w:lvlJc w:val="left"/>
      <w:rPr>
        <w:rFonts w:hint="eastAsia"/>
      </w:rPr>
    </w:lvl>
  </w:abstractNum>
  <w:abstractNum w:abstractNumId="7">
    <w:nsid w:val="E3C0E210"/>
    <w:multiLevelType w:val="singleLevel"/>
    <w:tmpl w:val="E3C0E210"/>
    <w:lvl w:ilvl="0" w:tentative="0">
      <w:start w:val="1"/>
      <w:numFmt w:val="chineseCounting"/>
      <w:suff w:val="nothing"/>
      <w:lvlText w:val="（%1）"/>
      <w:lvlJc w:val="left"/>
      <w:pPr>
        <w:tabs>
          <w:tab w:val="left" w:pos="0"/>
        </w:tabs>
      </w:pPr>
      <w:rPr>
        <w:rFonts w:hint="eastAsia" w:ascii="宋体" w:hAnsi="宋体" w:eastAsia="宋体" w:cs="宋体"/>
        <w:b/>
        <w:sz w:val="24"/>
        <w:szCs w:val="24"/>
      </w:rPr>
    </w:lvl>
  </w:abstractNum>
  <w:abstractNum w:abstractNumId="8">
    <w:nsid w:val="16A9B27D"/>
    <w:multiLevelType w:val="singleLevel"/>
    <w:tmpl w:val="16A9B27D"/>
    <w:lvl w:ilvl="0" w:tentative="0">
      <w:start w:val="2"/>
      <w:numFmt w:val="chineseCounting"/>
      <w:suff w:val="nothing"/>
      <w:lvlText w:val="%1、"/>
      <w:lvlJc w:val="left"/>
      <w:rPr>
        <w:rFonts w:hint="eastAsia"/>
      </w:rPr>
    </w:lvl>
  </w:abstractNum>
  <w:abstractNum w:abstractNumId="9">
    <w:nsid w:val="1D131A86"/>
    <w:multiLevelType w:val="singleLevel"/>
    <w:tmpl w:val="1D131A86"/>
    <w:lvl w:ilvl="0" w:tentative="0">
      <w:start w:val="2"/>
      <w:numFmt w:val="chineseCounting"/>
      <w:suff w:val="space"/>
      <w:lvlText w:val="第%1章"/>
      <w:lvlJc w:val="left"/>
      <w:rPr>
        <w:rFonts w:hint="eastAsia"/>
      </w:rPr>
    </w:lvl>
  </w:abstractNum>
  <w:abstractNum w:abstractNumId="10">
    <w:nsid w:val="60610F13"/>
    <w:multiLevelType w:val="singleLevel"/>
    <w:tmpl w:val="60610F13"/>
    <w:lvl w:ilvl="0" w:tentative="0">
      <w:start w:val="2"/>
      <w:numFmt w:val="chineseCounting"/>
      <w:suff w:val="nothing"/>
      <w:lvlText w:val="%1、"/>
      <w:lvlJc w:val="left"/>
      <w:rPr>
        <w:rFonts w:hint="eastAsia"/>
      </w:rPr>
    </w:lvl>
  </w:abstractNum>
  <w:abstractNum w:abstractNumId="11">
    <w:nsid w:val="61D44AAE"/>
    <w:multiLevelType w:val="multilevel"/>
    <w:tmpl w:val="61D44AAE"/>
    <w:lvl w:ilvl="0" w:tentative="0">
      <w:start w:val="1"/>
      <w:numFmt w:val="decimal"/>
      <w:lvlText w:val="%1."/>
      <w:lvlJc w:val="left"/>
      <w:pPr>
        <w:tabs>
          <w:tab w:val="left" w:pos="425"/>
        </w:tabs>
        <w:ind w:left="425" w:hanging="425"/>
      </w:pPr>
      <w:rPr>
        <w:rFonts w:hint="eastAsia"/>
      </w:rPr>
    </w:lvl>
    <w:lvl w:ilvl="1" w:tentative="0">
      <w:start w:val="1"/>
      <w:numFmt w:val="decimal"/>
      <w:pStyle w:val="139"/>
      <w:lvlText w:val="%1.%2 "/>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
    <w:nsid w:val="632D813E"/>
    <w:multiLevelType w:val="singleLevel"/>
    <w:tmpl w:val="632D813E"/>
    <w:lvl w:ilvl="0" w:tentative="0">
      <w:start w:val="1"/>
      <w:numFmt w:val="chineseCounting"/>
      <w:suff w:val="nothing"/>
      <w:lvlText w:val="（%1）"/>
      <w:lvlJc w:val="left"/>
      <w:pPr>
        <w:tabs>
          <w:tab w:val="left" w:pos="0"/>
        </w:tabs>
      </w:pPr>
      <w:rPr>
        <w:rFonts w:hint="eastAsia" w:ascii="宋体" w:hAnsi="宋体" w:eastAsia="宋体" w:cs="宋体"/>
        <w:b/>
        <w:sz w:val="24"/>
        <w:szCs w:val="24"/>
      </w:rPr>
    </w:lvl>
  </w:abstractNum>
  <w:abstractNum w:abstractNumId="13">
    <w:nsid w:val="75AC1A74"/>
    <w:multiLevelType w:val="multilevel"/>
    <w:tmpl w:val="75AC1A74"/>
    <w:lvl w:ilvl="0" w:tentative="0">
      <w:start w:val="1"/>
      <w:numFmt w:val="decimal"/>
      <w:pStyle w:val="138"/>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13"/>
  </w:num>
  <w:num w:numId="2">
    <w:abstractNumId w:val="11"/>
  </w:num>
  <w:num w:numId="3">
    <w:abstractNumId w:val="5"/>
  </w:num>
  <w:num w:numId="4">
    <w:abstractNumId w:val="0"/>
  </w:num>
  <w:num w:numId="5">
    <w:abstractNumId w:val="9"/>
  </w:num>
  <w:num w:numId="6">
    <w:abstractNumId w:val="3"/>
  </w:num>
  <w:num w:numId="7">
    <w:abstractNumId w:val="8"/>
  </w:num>
  <w:num w:numId="8">
    <w:abstractNumId w:val="2"/>
  </w:num>
  <w:num w:numId="9">
    <w:abstractNumId w:val="12"/>
  </w:num>
  <w:num w:numId="10">
    <w:abstractNumId w:val="4"/>
  </w:num>
  <w:num w:numId="11">
    <w:abstractNumId w:val="1"/>
  </w:num>
  <w:num w:numId="12">
    <w:abstractNumId w:val="6"/>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5"/>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JkNGJjZmNkNjk2ZDUxOWJkMzZjZjM1ZGUyZWI1YjIifQ=="/>
  </w:docVars>
  <w:rsids>
    <w:rsidRoot w:val="00172A27"/>
    <w:rsid w:val="000002C6"/>
    <w:rsid w:val="00000373"/>
    <w:rsid w:val="000017F5"/>
    <w:rsid w:val="00001822"/>
    <w:rsid w:val="00004B33"/>
    <w:rsid w:val="00004C82"/>
    <w:rsid w:val="0000620C"/>
    <w:rsid w:val="00006509"/>
    <w:rsid w:val="00007884"/>
    <w:rsid w:val="00012489"/>
    <w:rsid w:val="00013360"/>
    <w:rsid w:val="000144F5"/>
    <w:rsid w:val="00017EAE"/>
    <w:rsid w:val="00020AE6"/>
    <w:rsid w:val="00020DDD"/>
    <w:rsid w:val="00022D97"/>
    <w:rsid w:val="00023B99"/>
    <w:rsid w:val="000249E3"/>
    <w:rsid w:val="00025C81"/>
    <w:rsid w:val="00026D7A"/>
    <w:rsid w:val="00027448"/>
    <w:rsid w:val="00044675"/>
    <w:rsid w:val="00051350"/>
    <w:rsid w:val="00051DA6"/>
    <w:rsid w:val="000538E7"/>
    <w:rsid w:val="000549CD"/>
    <w:rsid w:val="00056256"/>
    <w:rsid w:val="00060426"/>
    <w:rsid w:val="00070E4B"/>
    <w:rsid w:val="00073997"/>
    <w:rsid w:val="000755E6"/>
    <w:rsid w:val="00080340"/>
    <w:rsid w:val="00080654"/>
    <w:rsid w:val="00081BF7"/>
    <w:rsid w:val="00081D4D"/>
    <w:rsid w:val="0008217C"/>
    <w:rsid w:val="00082F97"/>
    <w:rsid w:val="00094DBF"/>
    <w:rsid w:val="00096255"/>
    <w:rsid w:val="000970F1"/>
    <w:rsid w:val="00097B62"/>
    <w:rsid w:val="00097CF8"/>
    <w:rsid w:val="000A335E"/>
    <w:rsid w:val="000A5BE3"/>
    <w:rsid w:val="000A66AB"/>
    <w:rsid w:val="000A7893"/>
    <w:rsid w:val="000B5B59"/>
    <w:rsid w:val="000B6494"/>
    <w:rsid w:val="000B665F"/>
    <w:rsid w:val="000B6B4C"/>
    <w:rsid w:val="000C0BC3"/>
    <w:rsid w:val="000C3AC5"/>
    <w:rsid w:val="000D0313"/>
    <w:rsid w:val="000D0CA3"/>
    <w:rsid w:val="000D648D"/>
    <w:rsid w:val="000D6656"/>
    <w:rsid w:val="000D7C54"/>
    <w:rsid w:val="000E2AC8"/>
    <w:rsid w:val="000E38CC"/>
    <w:rsid w:val="000E3B4C"/>
    <w:rsid w:val="000E6D5E"/>
    <w:rsid w:val="000E6ED0"/>
    <w:rsid w:val="000E74E5"/>
    <w:rsid w:val="000F0626"/>
    <w:rsid w:val="000F21FD"/>
    <w:rsid w:val="000F3957"/>
    <w:rsid w:val="000F45DF"/>
    <w:rsid w:val="000F7B08"/>
    <w:rsid w:val="00102D58"/>
    <w:rsid w:val="001050C2"/>
    <w:rsid w:val="0011135E"/>
    <w:rsid w:val="00111913"/>
    <w:rsid w:val="0011569F"/>
    <w:rsid w:val="001228AB"/>
    <w:rsid w:val="0012421A"/>
    <w:rsid w:val="00124533"/>
    <w:rsid w:val="00125820"/>
    <w:rsid w:val="00141633"/>
    <w:rsid w:val="00141DC9"/>
    <w:rsid w:val="001421C4"/>
    <w:rsid w:val="0014696C"/>
    <w:rsid w:val="00147F83"/>
    <w:rsid w:val="00151FD1"/>
    <w:rsid w:val="00160172"/>
    <w:rsid w:val="001713F8"/>
    <w:rsid w:val="00172A27"/>
    <w:rsid w:val="001741D3"/>
    <w:rsid w:val="00174462"/>
    <w:rsid w:val="001800BE"/>
    <w:rsid w:val="0018076A"/>
    <w:rsid w:val="00181431"/>
    <w:rsid w:val="00181E1A"/>
    <w:rsid w:val="00182BFF"/>
    <w:rsid w:val="00190972"/>
    <w:rsid w:val="00190994"/>
    <w:rsid w:val="00196F54"/>
    <w:rsid w:val="001A2738"/>
    <w:rsid w:val="001A2B6A"/>
    <w:rsid w:val="001A3B54"/>
    <w:rsid w:val="001A44F3"/>
    <w:rsid w:val="001A63DF"/>
    <w:rsid w:val="001B04FC"/>
    <w:rsid w:val="001C7F75"/>
    <w:rsid w:val="001D205C"/>
    <w:rsid w:val="001D5888"/>
    <w:rsid w:val="001D6369"/>
    <w:rsid w:val="001E24F6"/>
    <w:rsid w:val="001E2666"/>
    <w:rsid w:val="001E2D5B"/>
    <w:rsid w:val="001E2D7E"/>
    <w:rsid w:val="001E3A0D"/>
    <w:rsid w:val="001E6807"/>
    <w:rsid w:val="001E6FB1"/>
    <w:rsid w:val="001F009F"/>
    <w:rsid w:val="001F529F"/>
    <w:rsid w:val="00200120"/>
    <w:rsid w:val="002021DB"/>
    <w:rsid w:val="0020413A"/>
    <w:rsid w:val="00210E29"/>
    <w:rsid w:val="00216D04"/>
    <w:rsid w:val="002238FD"/>
    <w:rsid w:val="00224971"/>
    <w:rsid w:val="002250DB"/>
    <w:rsid w:val="00227C95"/>
    <w:rsid w:val="0023327C"/>
    <w:rsid w:val="00235297"/>
    <w:rsid w:val="00237725"/>
    <w:rsid w:val="00240CE8"/>
    <w:rsid w:val="0024650A"/>
    <w:rsid w:val="00247915"/>
    <w:rsid w:val="00252166"/>
    <w:rsid w:val="0025387F"/>
    <w:rsid w:val="00253E5B"/>
    <w:rsid w:val="002543BD"/>
    <w:rsid w:val="00256C1A"/>
    <w:rsid w:val="00257BDA"/>
    <w:rsid w:val="002601CD"/>
    <w:rsid w:val="002612A6"/>
    <w:rsid w:val="00261ABA"/>
    <w:rsid w:val="002621E6"/>
    <w:rsid w:val="002639D0"/>
    <w:rsid w:val="00265A92"/>
    <w:rsid w:val="002754E9"/>
    <w:rsid w:val="0027719D"/>
    <w:rsid w:val="00292759"/>
    <w:rsid w:val="00292985"/>
    <w:rsid w:val="002930E4"/>
    <w:rsid w:val="00293655"/>
    <w:rsid w:val="002A24B3"/>
    <w:rsid w:val="002A50D7"/>
    <w:rsid w:val="002A5E07"/>
    <w:rsid w:val="002A78C3"/>
    <w:rsid w:val="002B124F"/>
    <w:rsid w:val="002B1341"/>
    <w:rsid w:val="002B36B6"/>
    <w:rsid w:val="002B49D6"/>
    <w:rsid w:val="002B51EC"/>
    <w:rsid w:val="002C1C3B"/>
    <w:rsid w:val="002C1DB7"/>
    <w:rsid w:val="002C3E1F"/>
    <w:rsid w:val="002D19AA"/>
    <w:rsid w:val="002D6A9A"/>
    <w:rsid w:val="002E10F5"/>
    <w:rsid w:val="002E2AAF"/>
    <w:rsid w:val="002E3C6B"/>
    <w:rsid w:val="002E4DA3"/>
    <w:rsid w:val="00300D37"/>
    <w:rsid w:val="00301F2C"/>
    <w:rsid w:val="00302E02"/>
    <w:rsid w:val="00304DEE"/>
    <w:rsid w:val="00304EE8"/>
    <w:rsid w:val="003102BA"/>
    <w:rsid w:val="003116D5"/>
    <w:rsid w:val="003156C5"/>
    <w:rsid w:val="00316441"/>
    <w:rsid w:val="003212FD"/>
    <w:rsid w:val="003253B7"/>
    <w:rsid w:val="003262CE"/>
    <w:rsid w:val="00327B88"/>
    <w:rsid w:val="00327CE1"/>
    <w:rsid w:val="003305E0"/>
    <w:rsid w:val="003325E3"/>
    <w:rsid w:val="00333FD3"/>
    <w:rsid w:val="00335F89"/>
    <w:rsid w:val="0033754C"/>
    <w:rsid w:val="00337FD2"/>
    <w:rsid w:val="00343D89"/>
    <w:rsid w:val="003441EA"/>
    <w:rsid w:val="003563F0"/>
    <w:rsid w:val="00360CB5"/>
    <w:rsid w:val="00361FA2"/>
    <w:rsid w:val="003641F3"/>
    <w:rsid w:val="00364B9E"/>
    <w:rsid w:val="003667C1"/>
    <w:rsid w:val="00367508"/>
    <w:rsid w:val="003706F7"/>
    <w:rsid w:val="00372915"/>
    <w:rsid w:val="00374D44"/>
    <w:rsid w:val="00375901"/>
    <w:rsid w:val="00376CEC"/>
    <w:rsid w:val="00381AA7"/>
    <w:rsid w:val="00385A5D"/>
    <w:rsid w:val="0038601D"/>
    <w:rsid w:val="00395E01"/>
    <w:rsid w:val="00397031"/>
    <w:rsid w:val="003979B7"/>
    <w:rsid w:val="003A16E2"/>
    <w:rsid w:val="003A4116"/>
    <w:rsid w:val="003A564E"/>
    <w:rsid w:val="003B037C"/>
    <w:rsid w:val="003B3A98"/>
    <w:rsid w:val="003B3CA8"/>
    <w:rsid w:val="003B4B65"/>
    <w:rsid w:val="003B7453"/>
    <w:rsid w:val="003B7567"/>
    <w:rsid w:val="003C184D"/>
    <w:rsid w:val="003C5F6B"/>
    <w:rsid w:val="003D25AE"/>
    <w:rsid w:val="003D7039"/>
    <w:rsid w:val="003D7502"/>
    <w:rsid w:val="003E2F9C"/>
    <w:rsid w:val="003E40EA"/>
    <w:rsid w:val="003F2343"/>
    <w:rsid w:val="00400EF7"/>
    <w:rsid w:val="0040379A"/>
    <w:rsid w:val="0040583F"/>
    <w:rsid w:val="004121EA"/>
    <w:rsid w:val="00412720"/>
    <w:rsid w:val="004151F2"/>
    <w:rsid w:val="00416856"/>
    <w:rsid w:val="00421514"/>
    <w:rsid w:val="004215F0"/>
    <w:rsid w:val="00421E21"/>
    <w:rsid w:val="004228C2"/>
    <w:rsid w:val="004243AC"/>
    <w:rsid w:val="0043102F"/>
    <w:rsid w:val="004339C1"/>
    <w:rsid w:val="004431A1"/>
    <w:rsid w:val="004467EF"/>
    <w:rsid w:val="004503B5"/>
    <w:rsid w:val="0045075E"/>
    <w:rsid w:val="004524A2"/>
    <w:rsid w:val="00460FDE"/>
    <w:rsid w:val="00465951"/>
    <w:rsid w:val="00467CAA"/>
    <w:rsid w:val="004707D3"/>
    <w:rsid w:val="00472902"/>
    <w:rsid w:val="00472C7F"/>
    <w:rsid w:val="00473F85"/>
    <w:rsid w:val="00476676"/>
    <w:rsid w:val="00481C45"/>
    <w:rsid w:val="00494B82"/>
    <w:rsid w:val="004970E3"/>
    <w:rsid w:val="004A13AB"/>
    <w:rsid w:val="004A2B85"/>
    <w:rsid w:val="004A39CD"/>
    <w:rsid w:val="004A5D14"/>
    <w:rsid w:val="004B52F1"/>
    <w:rsid w:val="004B59EB"/>
    <w:rsid w:val="004B78F9"/>
    <w:rsid w:val="004D039B"/>
    <w:rsid w:val="004D14C0"/>
    <w:rsid w:val="004D3BAF"/>
    <w:rsid w:val="004D43B9"/>
    <w:rsid w:val="004E1CD6"/>
    <w:rsid w:val="004E2CDE"/>
    <w:rsid w:val="004E738A"/>
    <w:rsid w:val="004E7533"/>
    <w:rsid w:val="004F0A51"/>
    <w:rsid w:val="004F23B8"/>
    <w:rsid w:val="004F31F6"/>
    <w:rsid w:val="004F3D8F"/>
    <w:rsid w:val="004F4C36"/>
    <w:rsid w:val="004F5006"/>
    <w:rsid w:val="00503259"/>
    <w:rsid w:val="005042BD"/>
    <w:rsid w:val="00506562"/>
    <w:rsid w:val="005067DB"/>
    <w:rsid w:val="00507324"/>
    <w:rsid w:val="0050733F"/>
    <w:rsid w:val="00507B95"/>
    <w:rsid w:val="00510518"/>
    <w:rsid w:val="00511D16"/>
    <w:rsid w:val="005127D2"/>
    <w:rsid w:val="00520C88"/>
    <w:rsid w:val="00526A52"/>
    <w:rsid w:val="005279B1"/>
    <w:rsid w:val="00530B3B"/>
    <w:rsid w:val="00537757"/>
    <w:rsid w:val="00540E51"/>
    <w:rsid w:val="00550F01"/>
    <w:rsid w:val="00555596"/>
    <w:rsid w:val="00562DB0"/>
    <w:rsid w:val="0057213A"/>
    <w:rsid w:val="0057347B"/>
    <w:rsid w:val="00573FE3"/>
    <w:rsid w:val="00575C48"/>
    <w:rsid w:val="005762D9"/>
    <w:rsid w:val="00576948"/>
    <w:rsid w:val="00581AAE"/>
    <w:rsid w:val="00581C27"/>
    <w:rsid w:val="0058231E"/>
    <w:rsid w:val="00582AD2"/>
    <w:rsid w:val="00585A53"/>
    <w:rsid w:val="005867A1"/>
    <w:rsid w:val="005871F9"/>
    <w:rsid w:val="0059630F"/>
    <w:rsid w:val="0059644F"/>
    <w:rsid w:val="00597659"/>
    <w:rsid w:val="00597EEA"/>
    <w:rsid w:val="005A1AC6"/>
    <w:rsid w:val="005A4B84"/>
    <w:rsid w:val="005A633B"/>
    <w:rsid w:val="005B1EF4"/>
    <w:rsid w:val="005B3F92"/>
    <w:rsid w:val="005B536B"/>
    <w:rsid w:val="005B6138"/>
    <w:rsid w:val="005B61D5"/>
    <w:rsid w:val="005B6972"/>
    <w:rsid w:val="005B7F86"/>
    <w:rsid w:val="005C562F"/>
    <w:rsid w:val="005D0FBF"/>
    <w:rsid w:val="005D3E43"/>
    <w:rsid w:val="005D48DA"/>
    <w:rsid w:val="005D720C"/>
    <w:rsid w:val="005E17A8"/>
    <w:rsid w:val="005F090F"/>
    <w:rsid w:val="005F46E9"/>
    <w:rsid w:val="00600351"/>
    <w:rsid w:val="006056DB"/>
    <w:rsid w:val="00610167"/>
    <w:rsid w:val="00615C3A"/>
    <w:rsid w:val="00616026"/>
    <w:rsid w:val="00617BDD"/>
    <w:rsid w:val="00625255"/>
    <w:rsid w:val="00626A54"/>
    <w:rsid w:val="00642243"/>
    <w:rsid w:val="00644FB0"/>
    <w:rsid w:val="00651268"/>
    <w:rsid w:val="00656C99"/>
    <w:rsid w:val="00660850"/>
    <w:rsid w:val="00662413"/>
    <w:rsid w:val="00662DE4"/>
    <w:rsid w:val="006656A0"/>
    <w:rsid w:val="00670DF1"/>
    <w:rsid w:val="00674002"/>
    <w:rsid w:val="006742E7"/>
    <w:rsid w:val="00681259"/>
    <w:rsid w:val="00681AF2"/>
    <w:rsid w:val="00683510"/>
    <w:rsid w:val="006845A7"/>
    <w:rsid w:val="0068650F"/>
    <w:rsid w:val="00692E72"/>
    <w:rsid w:val="00694C05"/>
    <w:rsid w:val="006A107A"/>
    <w:rsid w:val="006A194E"/>
    <w:rsid w:val="006A22B0"/>
    <w:rsid w:val="006A3920"/>
    <w:rsid w:val="006A4F12"/>
    <w:rsid w:val="006A5023"/>
    <w:rsid w:val="006A5D25"/>
    <w:rsid w:val="006A6896"/>
    <w:rsid w:val="006B0B06"/>
    <w:rsid w:val="006B554A"/>
    <w:rsid w:val="006C16B5"/>
    <w:rsid w:val="006C2905"/>
    <w:rsid w:val="006D308A"/>
    <w:rsid w:val="006D49BF"/>
    <w:rsid w:val="006D5F0D"/>
    <w:rsid w:val="006D75AE"/>
    <w:rsid w:val="006E1615"/>
    <w:rsid w:val="006E45EA"/>
    <w:rsid w:val="006E4EC8"/>
    <w:rsid w:val="006F023C"/>
    <w:rsid w:val="006F08D7"/>
    <w:rsid w:val="006F1488"/>
    <w:rsid w:val="006F405A"/>
    <w:rsid w:val="00701326"/>
    <w:rsid w:val="0070693F"/>
    <w:rsid w:val="007132F4"/>
    <w:rsid w:val="00714497"/>
    <w:rsid w:val="007157A8"/>
    <w:rsid w:val="007164BB"/>
    <w:rsid w:val="007212FF"/>
    <w:rsid w:val="00723678"/>
    <w:rsid w:val="00724A87"/>
    <w:rsid w:val="00727C06"/>
    <w:rsid w:val="00733859"/>
    <w:rsid w:val="00734E32"/>
    <w:rsid w:val="007427C5"/>
    <w:rsid w:val="00751184"/>
    <w:rsid w:val="00763A5E"/>
    <w:rsid w:val="00767ADF"/>
    <w:rsid w:val="0077461B"/>
    <w:rsid w:val="00775B44"/>
    <w:rsid w:val="0078179D"/>
    <w:rsid w:val="007821C2"/>
    <w:rsid w:val="00786353"/>
    <w:rsid w:val="0079315E"/>
    <w:rsid w:val="00793CFF"/>
    <w:rsid w:val="00795103"/>
    <w:rsid w:val="007A3550"/>
    <w:rsid w:val="007A463D"/>
    <w:rsid w:val="007A5D21"/>
    <w:rsid w:val="007A6B93"/>
    <w:rsid w:val="007B457F"/>
    <w:rsid w:val="007B6E96"/>
    <w:rsid w:val="007B7962"/>
    <w:rsid w:val="007C04F1"/>
    <w:rsid w:val="007C2D2B"/>
    <w:rsid w:val="007C2E06"/>
    <w:rsid w:val="007C3E3B"/>
    <w:rsid w:val="007C4CF6"/>
    <w:rsid w:val="007C5614"/>
    <w:rsid w:val="007C738A"/>
    <w:rsid w:val="007D1D2C"/>
    <w:rsid w:val="007D1E9E"/>
    <w:rsid w:val="007D2E64"/>
    <w:rsid w:val="007D30AB"/>
    <w:rsid w:val="007D36F3"/>
    <w:rsid w:val="007D5161"/>
    <w:rsid w:val="007D5441"/>
    <w:rsid w:val="007E04C3"/>
    <w:rsid w:val="007E0C98"/>
    <w:rsid w:val="007E317F"/>
    <w:rsid w:val="007F11E4"/>
    <w:rsid w:val="007F2CB0"/>
    <w:rsid w:val="007F4768"/>
    <w:rsid w:val="00802512"/>
    <w:rsid w:val="00812761"/>
    <w:rsid w:val="008128B7"/>
    <w:rsid w:val="00814B39"/>
    <w:rsid w:val="008157A5"/>
    <w:rsid w:val="00821DB5"/>
    <w:rsid w:val="0082280D"/>
    <w:rsid w:val="00824077"/>
    <w:rsid w:val="0082792A"/>
    <w:rsid w:val="00831872"/>
    <w:rsid w:val="00832385"/>
    <w:rsid w:val="00833499"/>
    <w:rsid w:val="0083535F"/>
    <w:rsid w:val="008371AE"/>
    <w:rsid w:val="008374C1"/>
    <w:rsid w:val="00842AC7"/>
    <w:rsid w:val="00847308"/>
    <w:rsid w:val="008474EE"/>
    <w:rsid w:val="00854D34"/>
    <w:rsid w:val="008550CD"/>
    <w:rsid w:val="0086237E"/>
    <w:rsid w:val="008711CB"/>
    <w:rsid w:val="00874465"/>
    <w:rsid w:val="00876034"/>
    <w:rsid w:val="0087674A"/>
    <w:rsid w:val="00883373"/>
    <w:rsid w:val="0088519E"/>
    <w:rsid w:val="00890648"/>
    <w:rsid w:val="00890991"/>
    <w:rsid w:val="00891844"/>
    <w:rsid w:val="00894266"/>
    <w:rsid w:val="008972A1"/>
    <w:rsid w:val="008A051D"/>
    <w:rsid w:val="008A1B35"/>
    <w:rsid w:val="008A38CD"/>
    <w:rsid w:val="008A7024"/>
    <w:rsid w:val="008B2051"/>
    <w:rsid w:val="008C3577"/>
    <w:rsid w:val="008D1128"/>
    <w:rsid w:val="008D124C"/>
    <w:rsid w:val="008D7A8C"/>
    <w:rsid w:val="008E0455"/>
    <w:rsid w:val="008E09BD"/>
    <w:rsid w:val="008E3593"/>
    <w:rsid w:val="008E5970"/>
    <w:rsid w:val="008F109C"/>
    <w:rsid w:val="008F3FB2"/>
    <w:rsid w:val="0090214D"/>
    <w:rsid w:val="009045E4"/>
    <w:rsid w:val="009048C3"/>
    <w:rsid w:val="00915DED"/>
    <w:rsid w:val="00926962"/>
    <w:rsid w:val="009279F0"/>
    <w:rsid w:val="00927FD8"/>
    <w:rsid w:val="00932230"/>
    <w:rsid w:val="00932321"/>
    <w:rsid w:val="00940353"/>
    <w:rsid w:val="009453DF"/>
    <w:rsid w:val="009503FB"/>
    <w:rsid w:val="00957296"/>
    <w:rsid w:val="009609D7"/>
    <w:rsid w:val="00963E3D"/>
    <w:rsid w:val="009640B6"/>
    <w:rsid w:val="00965564"/>
    <w:rsid w:val="00966064"/>
    <w:rsid w:val="00966AE0"/>
    <w:rsid w:val="009710A7"/>
    <w:rsid w:val="00972F64"/>
    <w:rsid w:val="00974C2D"/>
    <w:rsid w:val="009847AF"/>
    <w:rsid w:val="0099001F"/>
    <w:rsid w:val="00992F2C"/>
    <w:rsid w:val="00993CE6"/>
    <w:rsid w:val="00995EA7"/>
    <w:rsid w:val="00996DF4"/>
    <w:rsid w:val="009970E2"/>
    <w:rsid w:val="009A2C70"/>
    <w:rsid w:val="009A2CFD"/>
    <w:rsid w:val="009A48D8"/>
    <w:rsid w:val="009B06AF"/>
    <w:rsid w:val="009B12F6"/>
    <w:rsid w:val="009B7D11"/>
    <w:rsid w:val="009C1D58"/>
    <w:rsid w:val="009C2662"/>
    <w:rsid w:val="009C59D6"/>
    <w:rsid w:val="009D0B3A"/>
    <w:rsid w:val="009D6045"/>
    <w:rsid w:val="009E491F"/>
    <w:rsid w:val="009E4BE5"/>
    <w:rsid w:val="009E5C84"/>
    <w:rsid w:val="009E6E17"/>
    <w:rsid w:val="009E774E"/>
    <w:rsid w:val="009F0924"/>
    <w:rsid w:val="009F26D9"/>
    <w:rsid w:val="009F2EA7"/>
    <w:rsid w:val="009F4AE6"/>
    <w:rsid w:val="009F6749"/>
    <w:rsid w:val="00A03E4E"/>
    <w:rsid w:val="00A0400E"/>
    <w:rsid w:val="00A050E2"/>
    <w:rsid w:val="00A05A49"/>
    <w:rsid w:val="00A06776"/>
    <w:rsid w:val="00A11963"/>
    <w:rsid w:val="00A17D53"/>
    <w:rsid w:val="00A2357C"/>
    <w:rsid w:val="00A23B78"/>
    <w:rsid w:val="00A2478F"/>
    <w:rsid w:val="00A25500"/>
    <w:rsid w:val="00A256F9"/>
    <w:rsid w:val="00A2612F"/>
    <w:rsid w:val="00A263D4"/>
    <w:rsid w:val="00A2742F"/>
    <w:rsid w:val="00A278A7"/>
    <w:rsid w:val="00A31ECD"/>
    <w:rsid w:val="00A32A04"/>
    <w:rsid w:val="00A32B54"/>
    <w:rsid w:val="00A35684"/>
    <w:rsid w:val="00A3622C"/>
    <w:rsid w:val="00A4614E"/>
    <w:rsid w:val="00A47C45"/>
    <w:rsid w:val="00A57868"/>
    <w:rsid w:val="00A62AAC"/>
    <w:rsid w:val="00A643B8"/>
    <w:rsid w:val="00A73BB7"/>
    <w:rsid w:val="00A73EE7"/>
    <w:rsid w:val="00A768D4"/>
    <w:rsid w:val="00A80912"/>
    <w:rsid w:val="00A83117"/>
    <w:rsid w:val="00A86A52"/>
    <w:rsid w:val="00A9777D"/>
    <w:rsid w:val="00AA04C6"/>
    <w:rsid w:val="00AA0EB9"/>
    <w:rsid w:val="00AA1BA2"/>
    <w:rsid w:val="00AA531F"/>
    <w:rsid w:val="00AB1A29"/>
    <w:rsid w:val="00AB3276"/>
    <w:rsid w:val="00AB463F"/>
    <w:rsid w:val="00AB608B"/>
    <w:rsid w:val="00AC3174"/>
    <w:rsid w:val="00AC31D1"/>
    <w:rsid w:val="00AC3DDD"/>
    <w:rsid w:val="00AC6CA0"/>
    <w:rsid w:val="00AD1B32"/>
    <w:rsid w:val="00AD3E0D"/>
    <w:rsid w:val="00AD7280"/>
    <w:rsid w:val="00AE252F"/>
    <w:rsid w:val="00AE2FE9"/>
    <w:rsid w:val="00AE4BF6"/>
    <w:rsid w:val="00AE5F62"/>
    <w:rsid w:val="00AE6840"/>
    <w:rsid w:val="00AE6AC8"/>
    <w:rsid w:val="00AF0C3A"/>
    <w:rsid w:val="00AF1010"/>
    <w:rsid w:val="00AF2546"/>
    <w:rsid w:val="00AF30D9"/>
    <w:rsid w:val="00AF54C9"/>
    <w:rsid w:val="00AF71A4"/>
    <w:rsid w:val="00B04786"/>
    <w:rsid w:val="00B061C6"/>
    <w:rsid w:val="00B13F3E"/>
    <w:rsid w:val="00B1481C"/>
    <w:rsid w:val="00B16399"/>
    <w:rsid w:val="00B2496A"/>
    <w:rsid w:val="00B25748"/>
    <w:rsid w:val="00B305A3"/>
    <w:rsid w:val="00B31145"/>
    <w:rsid w:val="00B37B21"/>
    <w:rsid w:val="00B453D8"/>
    <w:rsid w:val="00B459A4"/>
    <w:rsid w:val="00B53BBA"/>
    <w:rsid w:val="00B61523"/>
    <w:rsid w:val="00B70BDD"/>
    <w:rsid w:val="00B72BE8"/>
    <w:rsid w:val="00B73AE1"/>
    <w:rsid w:val="00B73EC4"/>
    <w:rsid w:val="00B73F5F"/>
    <w:rsid w:val="00B77659"/>
    <w:rsid w:val="00B83A21"/>
    <w:rsid w:val="00B84814"/>
    <w:rsid w:val="00B86095"/>
    <w:rsid w:val="00B95105"/>
    <w:rsid w:val="00BA07BB"/>
    <w:rsid w:val="00BA205C"/>
    <w:rsid w:val="00BA301B"/>
    <w:rsid w:val="00BA5874"/>
    <w:rsid w:val="00BA74DF"/>
    <w:rsid w:val="00BB0FDA"/>
    <w:rsid w:val="00BB1344"/>
    <w:rsid w:val="00BB21C1"/>
    <w:rsid w:val="00BB422D"/>
    <w:rsid w:val="00BB5672"/>
    <w:rsid w:val="00BC0D64"/>
    <w:rsid w:val="00BC1C05"/>
    <w:rsid w:val="00BC3E4F"/>
    <w:rsid w:val="00BC71B4"/>
    <w:rsid w:val="00BD00EF"/>
    <w:rsid w:val="00BD3538"/>
    <w:rsid w:val="00BE2D78"/>
    <w:rsid w:val="00BF23EE"/>
    <w:rsid w:val="00BF4D58"/>
    <w:rsid w:val="00C00D19"/>
    <w:rsid w:val="00C015D1"/>
    <w:rsid w:val="00C027F4"/>
    <w:rsid w:val="00C0434A"/>
    <w:rsid w:val="00C04A10"/>
    <w:rsid w:val="00C06073"/>
    <w:rsid w:val="00C07828"/>
    <w:rsid w:val="00C12C26"/>
    <w:rsid w:val="00C17C0C"/>
    <w:rsid w:val="00C22B14"/>
    <w:rsid w:val="00C25945"/>
    <w:rsid w:val="00C30A61"/>
    <w:rsid w:val="00C36823"/>
    <w:rsid w:val="00C36C94"/>
    <w:rsid w:val="00C40448"/>
    <w:rsid w:val="00C430E3"/>
    <w:rsid w:val="00C43AEB"/>
    <w:rsid w:val="00C503F3"/>
    <w:rsid w:val="00C51E9C"/>
    <w:rsid w:val="00C52F32"/>
    <w:rsid w:val="00C5306A"/>
    <w:rsid w:val="00C54765"/>
    <w:rsid w:val="00C554F2"/>
    <w:rsid w:val="00C610DC"/>
    <w:rsid w:val="00C70137"/>
    <w:rsid w:val="00C7626A"/>
    <w:rsid w:val="00C77C9D"/>
    <w:rsid w:val="00C809E9"/>
    <w:rsid w:val="00C91CAD"/>
    <w:rsid w:val="00C9406D"/>
    <w:rsid w:val="00C94D6A"/>
    <w:rsid w:val="00C966ED"/>
    <w:rsid w:val="00C96B87"/>
    <w:rsid w:val="00C97335"/>
    <w:rsid w:val="00CB180A"/>
    <w:rsid w:val="00CB21F8"/>
    <w:rsid w:val="00CB5088"/>
    <w:rsid w:val="00CB5662"/>
    <w:rsid w:val="00CB6FB1"/>
    <w:rsid w:val="00CC37D1"/>
    <w:rsid w:val="00CD0923"/>
    <w:rsid w:val="00CD1B6F"/>
    <w:rsid w:val="00CD2A69"/>
    <w:rsid w:val="00CD39A8"/>
    <w:rsid w:val="00CD5925"/>
    <w:rsid w:val="00CE0699"/>
    <w:rsid w:val="00CE7B73"/>
    <w:rsid w:val="00CF165A"/>
    <w:rsid w:val="00CF2542"/>
    <w:rsid w:val="00CF26B7"/>
    <w:rsid w:val="00CF7157"/>
    <w:rsid w:val="00D00584"/>
    <w:rsid w:val="00D10BB8"/>
    <w:rsid w:val="00D22652"/>
    <w:rsid w:val="00D27C5E"/>
    <w:rsid w:val="00D31356"/>
    <w:rsid w:val="00D35F7F"/>
    <w:rsid w:val="00D502DC"/>
    <w:rsid w:val="00D50EDD"/>
    <w:rsid w:val="00D5111D"/>
    <w:rsid w:val="00D52D20"/>
    <w:rsid w:val="00D55A1D"/>
    <w:rsid w:val="00D61442"/>
    <w:rsid w:val="00D64C76"/>
    <w:rsid w:val="00D6506A"/>
    <w:rsid w:val="00D72B98"/>
    <w:rsid w:val="00D76C36"/>
    <w:rsid w:val="00D77D60"/>
    <w:rsid w:val="00D80757"/>
    <w:rsid w:val="00D84945"/>
    <w:rsid w:val="00D84CF8"/>
    <w:rsid w:val="00D85C7F"/>
    <w:rsid w:val="00D87546"/>
    <w:rsid w:val="00D879C6"/>
    <w:rsid w:val="00D9220A"/>
    <w:rsid w:val="00D94968"/>
    <w:rsid w:val="00D95771"/>
    <w:rsid w:val="00D9669B"/>
    <w:rsid w:val="00D96842"/>
    <w:rsid w:val="00DA0681"/>
    <w:rsid w:val="00DA3E93"/>
    <w:rsid w:val="00DA3F6B"/>
    <w:rsid w:val="00DA4220"/>
    <w:rsid w:val="00DB5F1D"/>
    <w:rsid w:val="00DB7FA3"/>
    <w:rsid w:val="00DC01B6"/>
    <w:rsid w:val="00DC262D"/>
    <w:rsid w:val="00DC2688"/>
    <w:rsid w:val="00DC40C7"/>
    <w:rsid w:val="00DC785B"/>
    <w:rsid w:val="00DD7863"/>
    <w:rsid w:val="00DE30C8"/>
    <w:rsid w:val="00DE3C54"/>
    <w:rsid w:val="00DE4B8B"/>
    <w:rsid w:val="00DE7B53"/>
    <w:rsid w:val="00DE7E3D"/>
    <w:rsid w:val="00DF1354"/>
    <w:rsid w:val="00DF2011"/>
    <w:rsid w:val="00DF24C0"/>
    <w:rsid w:val="00DF6D77"/>
    <w:rsid w:val="00DF70B9"/>
    <w:rsid w:val="00E025EC"/>
    <w:rsid w:val="00E07ECF"/>
    <w:rsid w:val="00E11567"/>
    <w:rsid w:val="00E1222A"/>
    <w:rsid w:val="00E12259"/>
    <w:rsid w:val="00E1289E"/>
    <w:rsid w:val="00E12959"/>
    <w:rsid w:val="00E13205"/>
    <w:rsid w:val="00E17668"/>
    <w:rsid w:val="00E204E7"/>
    <w:rsid w:val="00E20624"/>
    <w:rsid w:val="00E207CA"/>
    <w:rsid w:val="00E2102E"/>
    <w:rsid w:val="00E2348F"/>
    <w:rsid w:val="00E23CFC"/>
    <w:rsid w:val="00E243A6"/>
    <w:rsid w:val="00E27C0E"/>
    <w:rsid w:val="00E34904"/>
    <w:rsid w:val="00E36C7A"/>
    <w:rsid w:val="00E3719D"/>
    <w:rsid w:val="00E37F8A"/>
    <w:rsid w:val="00E41262"/>
    <w:rsid w:val="00E45F72"/>
    <w:rsid w:val="00E47DD3"/>
    <w:rsid w:val="00E50619"/>
    <w:rsid w:val="00E52A89"/>
    <w:rsid w:val="00E5564D"/>
    <w:rsid w:val="00E56295"/>
    <w:rsid w:val="00E57CF2"/>
    <w:rsid w:val="00E60466"/>
    <w:rsid w:val="00E61193"/>
    <w:rsid w:val="00E62C30"/>
    <w:rsid w:val="00E637FA"/>
    <w:rsid w:val="00E64DE4"/>
    <w:rsid w:val="00E661FB"/>
    <w:rsid w:val="00E7085F"/>
    <w:rsid w:val="00E71667"/>
    <w:rsid w:val="00E73C68"/>
    <w:rsid w:val="00E74324"/>
    <w:rsid w:val="00E75AB2"/>
    <w:rsid w:val="00E75D58"/>
    <w:rsid w:val="00E8056B"/>
    <w:rsid w:val="00E80726"/>
    <w:rsid w:val="00E8331C"/>
    <w:rsid w:val="00E874E3"/>
    <w:rsid w:val="00E87950"/>
    <w:rsid w:val="00E91CB5"/>
    <w:rsid w:val="00E92150"/>
    <w:rsid w:val="00E92F1B"/>
    <w:rsid w:val="00E93156"/>
    <w:rsid w:val="00E93ED4"/>
    <w:rsid w:val="00E94F7E"/>
    <w:rsid w:val="00E96F1A"/>
    <w:rsid w:val="00E973EC"/>
    <w:rsid w:val="00EA0632"/>
    <w:rsid w:val="00EA38AC"/>
    <w:rsid w:val="00EA3FF0"/>
    <w:rsid w:val="00EB17EB"/>
    <w:rsid w:val="00EB3355"/>
    <w:rsid w:val="00EB339A"/>
    <w:rsid w:val="00EB78B4"/>
    <w:rsid w:val="00EC0BE3"/>
    <w:rsid w:val="00EC15B3"/>
    <w:rsid w:val="00EC3AEE"/>
    <w:rsid w:val="00EC7CFC"/>
    <w:rsid w:val="00EC7E78"/>
    <w:rsid w:val="00ED05C9"/>
    <w:rsid w:val="00ED121D"/>
    <w:rsid w:val="00ED1231"/>
    <w:rsid w:val="00ED37F0"/>
    <w:rsid w:val="00ED3ED0"/>
    <w:rsid w:val="00ED46E1"/>
    <w:rsid w:val="00ED4D44"/>
    <w:rsid w:val="00ED5B5A"/>
    <w:rsid w:val="00ED6EC6"/>
    <w:rsid w:val="00ED7348"/>
    <w:rsid w:val="00EE53AF"/>
    <w:rsid w:val="00EE6D0A"/>
    <w:rsid w:val="00EF079B"/>
    <w:rsid w:val="00EF1953"/>
    <w:rsid w:val="00EF455B"/>
    <w:rsid w:val="00EF4CA9"/>
    <w:rsid w:val="00EF4DE9"/>
    <w:rsid w:val="00EF7A96"/>
    <w:rsid w:val="00F027AD"/>
    <w:rsid w:val="00F121FF"/>
    <w:rsid w:val="00F20F67"/>
    <w:rsid w:val="00F23FFE"/>
    <w:rsid w:val="00F27604"/>
    <w:rsid w:val="00F30C12"/>
    <w:rsid w:val="00F311BB"/>
    <w:rsid w:val="00F3260F"/>
    <w:rsid w:val="00F338AF"/>
    <w:rsid w:val="00F35324"/>
    <w:rsid w:val="00F41154"/>
    <w:rsid w:val="00F41CC7"/>
    <w:rsid w:val="00F449D5"/>
    <w:rsid w:val="00F552AE"/>
    <w:rsid w:val="00F55344"/>
    <w:rsid w:val="00F55603"/>
    <w:rsid w:val="00F62AE6"/>
    <w:rsid w:val="00F64567"/>
    <w:rsid w:val="00F769C4"/>
    <w:rsid w:val="00F80003"/>
    <w:rsid w:val="00F85B69"/>
    <w:rsid w:val="00F8778A"/>
    <w:rsid w:val="00F90369"/>
    <w:rsid w:val="00F9227D"/>
    <w:rsid w:val="00F95709"/>
    <w:rsid w:val="00F9575F"/>
    <w:rsid w:val="00FA0208"/>
    <w:rsid w:val="00FA4F2B"/>
    <w:rsid w:val="00FA51B2"/>
    <w:rsid w:val="00FA60E4"/>
    <w:rsid w:val="00FA74C8"/>
    <w:rsid w:val="00FB0FDF"/>
    <w:rsid w:val="00FB753E"/>
    <w:rsid w:val="00FB7916"/>
    <w:rsid w:val="00FC3515"/>
    <w:rsid w:val="00FC3750"/>
    <w:rsid w:val="00FC4AC4"/>
    <w:rsid w:val="00FD3315"/>
    <w:rsid w:val="00FD57C8"/>
    <w:rsid w:val="00FE0E95"/>
    <w:rsid w:val="00FE19F2"/>
    <w:rsid w:val="00FE2D50"/>
    <w:rsid w:val="00FE4D43"/>
    <w:rsid w:val="00FF2B07"/>
    <w:rsid w:val="00FF7241"/>
    <w:rsid w:val="010109AE"/>
    <w:rsid w:val="010158D6"/>
    <w:rsid w:val="010576FD"/>
    <w:rsid w:val="011D6260"/>
    <w:rsid w:val="012A5EB6"/>
    <w:rsid w:val="013D7B76"/>
    <w:rsid w:val="01561897"/>
    <w:rsid w:val="0160084E"/>
    <w:rsid w:val="016F0A91"/>
    <w:rsid w:val="01736518"/>
    <w:rsid w:val="01782436"/>
    <w:rsid w:val="017C0E95"/>
    <w:rsid w:val="017C0EF4"/>
    <w:rsid w:val="01813F06"/>
    <w:rsid w:val="018462DE"/>
    <w:rsid w:val="018933D7"/>
    <w:rsid w:val="01911514"/>
    <w:rsid w:val="019D5939"/>
    <w:rsid w:val="01A97AEC"/>
    <w:rsid w:val="01D113CA"/>
    <w:rsid w:val="01D1397B"/>
    <w:rsid w:val="01EC48BE"/>
    <w:rsid w:val="02044508"/>
    <w:rsid w:val="02056D00"/>
    <w:rsid w:val="02241A8D"/>
    <w:rsid w:val="022664B5"/>
    <w:rsid w:val="022E32CA"/>
    <w:rsid w:val="02386205"/>
    <w:rsid w:val="02492244"/>
    <w:rsid w:val="024D6083"/>
    <w:rsid w:val="02592104"/>
    <w:rsid w:val="02634AFC"/>
    <w:rsid w:val="02687751"/>
    <w:rsid w:val="026B40EC"/>
    <w:rsid w:val="027A34B2"/>
    <w:rsid w:val="027F17F7"/>
    <w:rsid w:val="02811E15"/>
    <w:rsid w:val="028170B9"/>
    <w:rsid w:val="02887410"/>
    <w:rsid w:val="02911CF3"/>
    <w:rsid w:val="0292413C"/>
    <w:rsid w:val="029416F1"/>
    <w:rsid w:val="029A56AC"/>
    <w:rsid w:val="02A3686D"/>
    <w:rsid w:val="02A9135F"/>
    <w:rsid w:val="02BC4A08"/>
    <w:rsid w:val="02BE14D1"/>
    <w:rsid w:val="02CB787A"/>
    <w:rsid w:val="02DB104F"/>
    <w:rsid w:val="02E6194F"/>
    <w:rsid w:val="02EE38D7"/>
    <w:rsid w:val="02F53716"/>
    <w:rsid w:val="02FC5A50"/>
    <w:rsid w:val="03011852"/>
    <w:rsid w:val="03031C99"/>
    <w:rsid w:val="030671D3"/>
    <w:rsid w:val="03091BEE"/>
    <w:rsid w:val="030A497D"/>
    <w:rsid w:val="030B6266"/>
    <w:rsid w:val="031574BE"/>
    <w:rsid w:val="032843F8"/>
    <w:rsid w:val="032E1F77"/>
    <w:rsid w:val="03382666"/>
    <w:rsid w:val="034C0838"/>
    <w:rsid w:val="03542853"/>
    <w:rsid w:val="036453AD"/>
    <w:rsid w:val="03684064"/>
    <w:rsid w:val="036A1510"/>
    <w:rsid w:val="03934A6B"/>
    <w:rsid w:val="039C07E5"/>
    <w:rsid w:val="03A63068"/>
    <w:rsid w:val="03CC5ECA"/>
    <w:rsid w:val="03D829F0"/>
    <w:rsid w:val="03E86F77"/>
    <w:rsid w:val="03E91BF7"/>
    <w:rsid w:val="03EC6F38"/>
    <w:rsid w:val="03EF3B00"/>
    <w:rsid w:val="03F23A84"/>
    <w:rsid w:val="03FD65E4"/>
    <w:rsid w:val="04056C5C"/>
    <w:rsid w:val="0419203F"/>
    <w:rsid w:val="041F5954"/>
    <w:rsid w:val="042E63C1"/>
    <w:rsid w:val="044B59E2"/>
    <w:rsid w:val="045525AB"/>
    <w:rsid w:val="045E00D8"/>
    <w:rsid w:val="04621BD8"/>
    <w:rsid w:val="04682DC0"/>
    <w:rsid w:val="04803583"/>
    <w:rsid w:val="0482022F"/>
    <w:rsid w:val="04837BF7"/>
    <w:rsid w:val="049B424A"/>
    <w:rsid w:val="04C218DA"/>
    <w:rsid w:val="04C85C84"/>
    <w:rsid w:val="04C93246"/>
    <w:rsid w:val="04DD6074"/>
    <w:rsid w:val="04E151B7"/>
    <w:rsid w:val="04E34E40"/>
    <w:rsid w:val="04E60A4D"/>
    <w:rsid w:val="05030FD3"/>
    <w:rsid w:val="050F1DA7"/>
    <w:rsid w:val="0515262D"/>
    <w:rsid w:val="051A4ADF"/>
    <w:rsid w:val="05230637"/>
    <w:rsid w:val="053569B0"/>
    <w:rsid w:val="054A5B17"/>
    <w:rsid w:val="05582738"/>
    <w:rsid w:val="055E6569"/>
    <w:rsid w:val="056068E2"/>
    <w:rsid w:val="056501EA"/>
    <w:rsid w:val="05650C1B"/>
    <w:rsid w:val="056A0376"/>
    <w:rsid w:val="056D6095"/>
    <w:rsid w:val="056E4CE6"/>
    <w:rsid w:val="057629C5"/>
    <w:rsid w:val="0580326D"/>
    <w:rsid w:val="059C1D3E"/>
    <w:rsid w:val="05B272CE"/>
    <w:rsid w:val="05BB5D2E"/>
    <w:rsid w:val="05BE0876"/>
    <w:rsid w:val="05BF1068"/>
    <w:rsid w:val="05CB1CC4"/>
    <w:rsid w:val="05D7691B"/>
    <w:rsid w:val="05D907F4"/>
    <w:rsid w:val="05E857EE"/>
    <w:rsid w:val="061E1B94"/>
    <w:rsid w:val="063D7FE0"/>
    <w:rsid w:val="06494783"/>
    <w:rsid w:val="064F49ED"/>
    <w:rsid w:val="065728FF"/>
    <w:rsid w:val="065B5489"/>
    <w:rsid w:val="06753178"/>
    <w:rsid w:val="067E500B"/>
    <w:rsid w:val="068B49D6"/>
    <w:rsid w:val="06957C7F"/>
    <w:rsid w:val="069B15C8"/>
    <w:rsid w:val="06A420D7"/>
    <w:rsid w:val="06AE03A6"/>
    <w:rsid w:val="06DA7E12"/>
    <w:rsid w:val="06DF0467"/>
    <w:rsid w:val="070149ED"/>
    <w:rsid w:val="0705207B"/>
    <w:rsid w:val="07152BA6"/>
    <w:rsid w:val="071747CF"/>
    <w:rsid w:val="07200C9D"/>
    <w:rsid w:val="07250970"/>
    <w:rsid w:val="07351166"/>
    <w:rsid w:val="07370BC3"/>
    <w:rsid w:val="07430FE0"/>
    <w:rsid w:val="074C4FE4"/>
    <w:rsid w:val="07583E9D"/>
    <w:rsid w:val="075B47F0"/>
    <w:rsid w:val="076D5D46"/>
    <w:rsid w:val="077F5AC8"/>
    <w:rsid w:val="079D7FE9"/>
    <w:rsid w:val="07BF3D32"/>
    <w:rsid w:val="07C33EBD"/>
    <w:rsid w:val="07EF7453"/>
    <w:rsid w:val="07F14180"/>
    <w:rsid w:val="07F65ECA"/>
    <w:rsid w:val="08111F0D"/>
    <w:rsid w:val="0819779A"/>
    <w:rsid w:val="081E4EB5"/>
    <w:rsid w:val="0821406E"/>
    <w:rsid w:val="082A44B1"/>
    <w:rsid w:val="082C3BB0"/>
    <w:rsid w:val="082C6762"/>
    <w:rsid w:val="08520198"/>
    <w:rsid w:val="085432E6"/>
    <w:rsid w:val="086524E4"/>
    <w:rsid w:val="086C5BC7"/>
    <w:rsid w:val="086D46FA"/>
    <w:rsid w:val="0875716C"/>
    <w:rsid w:val="087B4623"/>
    <w:rsid w:val="087C75BF"/>
    <w:rsid w:val="08851957"/>
    <w:rsid w:val="088C1CC8"/>
    <w:rsid w:val="08961D22"/>
    <w:rsid w:val="089B03BE"/>
    <w:rsid w:val="08A50767"/>
    <w:rsid w:val="08A92ADB"/>
    <w:rsid w:val="08B246E3"/>
    <w:rsid w:val="08B721F0"/>
    <w:rsid w:val="08BA79E4"/>
    <w:rsid w:val="08BE66FB"/>
    <w:rsid w:val="08CF7100"/>
    <w:rsid w:val="08E105C1"/>
    <w:rsid w:val="08E963D2"/>
    <w:rsid w:val="08EF7240"/>
    <w:rsid w:val="08FE6230"/>
    <w:rsid w:val="0900210A"/>
    <w:rsid w:val="090B0982"/>
    <w:rsid w:val="090E5586"/>
    <w:rsid w:val="09215631"/>
    <w:rsid w:val="09243E27"/>
    <w:rsid w:val="09290427"/>
    <w:rsid w:val="095A396E"/>
    <w:rsid w:val="09693643"/>
    <w:rsid w:val="098034A2"/>
    <w:rsid w:val="09817D3B"/>
    <w:rsid w:val="09902FE9"/>
    <w:rsid w:val="09913F68"/>
    <w:rsid w:val="09922036"/>
    <w:rsid w:val="099636CD"/>
    <w:rsid w:val="09A5404E"/>
    <w:rsid w:val="09BC287C"/>
    <w:rsid w:val="09C92F06"/>
    <w:rsid w:val="09CD1CAA"/>
    <w:rsid w:val="09D36FD8"/>
    <w:rsid w:val="09E35745"/>
    <w:rsid w:val="09E55FF7"/>
    <w:rsid w:val="09ED541A"/>
    <w:rsid w:val="09EF4FDA"/>
    <w:rsid w:val="09F506BC"/>
    <w:rsid w:val="09F539C2"/>
    <w:rsid w:val="0A032908"/>
    <w:rsid w:val="0A0734BA"/>
    <w:rsid w:val="0A0D1961"/>
    <w:rsid w:val="0A1A1B4A"/>
    <w:rsid w:val="0A1B3165"/>
    <w:rsid w:val="0A233F07"/>
    <w:rsid w:val="0A2624F7"/>
    <w:rsid w:val="0A2966DA"/>
    <w:rsid w:val="0A4576DB"/>
    <w:rsid w:val="0A49354F"/>
    <w:rsid w:val="0A623460"/>
    <w:rsid w:val="0A753833"/>
    <w:rsid w:val="0A774CB6"/>
    <w:rsid w:val="0A7E70D2"/>
    <w:rsid w:val="0A8A2DF3"/>
    <w:rsid w:val="0A9F06CA"/>
    <w:rsid w:val="0AA94607"/>
    <w:rsid w:val="0AAA5CF5"/>
    <w:rsid w:val="0AB32846"/>
    <w:rsid w:val="0AC24887"/>
    <w:rsid w:val="0ACC3705"/>
    <w:rsid w:val="0ACF538E"/>
    <w:rsid w:val="0AD42F88"/>
    <w:rsid w:val="0AD6132A"/>
    <w:rsid w:val="0AD86040"/>
    <w:rsid w:val="0AE62493"/>
    <w:rsid w:val="0B08424C"/>
    <w:rsid w:val="0B084565"/>
    <w:rsid w:val="0B140D0F"/>
    <w:rsid w:val="0B1818D1"/>
    <w:rsid w:val="0B1947BD"/>
    <w:rsid w:val="0B342484"/>
    <w:rsid w:val="0B3705F5"/>
    <w:rsid w:val="0B473417"/>
    <w:rsid w:val="0B5E6AAF"/>
    <w:rsid w:val="0B6803D7"/>
    <w:rsid w:val="0B72270B"/>
    <w:rsid w:val="0B755EDB"/>
    <w:rsid w:val="0B8C59A8"/>
    <w:rsid w:val="0B963BC7"/>
    <w:rsid w:val="0B9759A3"/>
    <w:rsid w:val="0B9960DD"/>
    <w:rsid w:val="0B9C5A5D"/>
    <w:rsid w:val="0BBB1DD0"/>
    <w:rsid w:val="0BC07054"/>
    <w:rsid w:val="0BCF0C0B"/>
    <w:rsid w:val="0BD00188"/>
    <w:rsid w:val="0BD03BEF"/>
    <w:rsid w:val="0BD47724"/>
    <w:rsid w:val="0BD745B6"/>
    <w:rsid w:val="0BDF36A7"/>
    <w:rsid w:val="0BE07689"/>
    <w:rsid w:val="0BFC5445"/>
    <w:rsid w:val="0C0C04AC"/>
    <w:rsid w:val="0C0E340D"/>
    <w:rsid w:val="0C2A068E"/>
    <w:rsid w:val="0C30055C"/>
    <w:rsid w:val="0C326D79"/>
    <w:rsid w:val="0C375F42"/>
    <w:rsid w:val="0C486A95"/>
    <w:rsid w:val="0C623AA2"/>
    <w:rsid w:val="0C651042"/>
    <w:rsid w:val="0C67329B"/>
    <w:rsid w:val="0C6778F9"/>
    <w:rsid w:val="0C6A3DB9"/>
    <w:rsid w:val="0C7105FE"/>
    <w:rsid w:val="0C7E7D69"/>
    <w:rsid w:val="0C7F6978"/>
    <w:rsid w:val="0C8C1297"/>
    <w:rsid w:val="0C930218"/>
    <w:rsid w:val="0C977B85"/>
    <w:rsid w:val="0CA17E4B"/>
    <w:rsid w:val="0CC04268"/>
    <w:rsid w:val="0CC675F5"/>
    <w:rsid w:val="0CC86FEE"/>
    <w:rsid w:val="0CD11E71"/>
    <w:rsid w:val="0CD47981"/>
    <w:rsid w:val="0CD47E83"/>
    <w:rsid w:val="0CE410FC"/>
    <w:rsid w:val="0CE66FC8"/>
    <w:rsid w:val="0CF02C50"/>
    <w:rsid w:val="0D012A16"/>
    <w:rsid w:val="0D105681"/>
    <w:rsid w:val="0D2941EA"/>
    <w:rsid w:val="0D3535AA"/>
    <w:rsid w:val="0D3A3A47"/>
    <w:rsid w:val="0D461A80"/>
    <w:rsid w:val="0D4D0CB1"/>
    <w:rsid w:val="0D591F81"/>
    <w:rsid w:val="0D5F5E5E"/>
    <w:rsid w:val="0D6B41A7"/>
    <w:rsid w:val="0D6E33CB"/>
    <w:rsid w:val="0D6F6FA1"/>
    <w:rsid w:val="0D7776B3"/>
    <w:rsid w:val="0D796EE0"/>
    <w:rsid w:val="0D844FB0"/>
    <w:rsid w:val="0DAE7673"/>
    <w:rsid w:val="0DAF0B0B"/>
    <w:rsid w:val="0DAF68E7"/>
    <w:rsid w:val="0DB170C4"/>
    <w:rsid w:val="0DBB2A66"/>
    <w:rsid w:val="0DBD6642"/>
    <w:rsid w:val="0DC45B67"/>
    <w:rsid w:val="0DD54741"/>
    <w:rsid w:val="0DD92D33"/>
    <w:rsid w:val="0DE2251F"/>
    <w:rsid w:val="0DE35180"/>
    <w:rsid w:val="0DF1591A"/>
    <w:rsid w:val="0DFA7661"/>
    <w:rsid w:val="0DFD0FF8"/>
    <w:rsid w:val="0E016505"/>
    <w:rsid w:val="0E1405D0"/>
    <w:rsid w:val="0E182B48"/>
    <w:rsid w:val="0E196399"/>
    <w:rsid w:val="0E37626C"/>
    <w:rsid w:val="0E3B5B8A"/>
    <w:rsid w:val="0E4C6DB5"/>
    <w:rsid w:val="0E5F66AA"/>
    <w:rsid w:val="0E747886"/>
    <w:rsid w:val="0E7D7A6E"/>
    <w:rsid w:val="0E835B4B"/>
    <w:rsid w:val="0E8A4922"/>
    <w:rsid w:val="0E960A10"/>
    <w:rsid w:val="0E9B1A2D"/>
    <w:rsid w:val="0EB240DC"/>
    <w:rsid w:val="0EBD16CF"/>
    <w:rsid w:val="0EC04DCF"/>
    <w:rsid w:val="0ECA6616"/>
    <w:rsid w:val="0ED63951"/>
    <w:rsid w:val="0EDB10C6"/>
    <w:rsid w:val="0EEB34C0"/>
    <w:rsid w:val="0EED338F"/>
    <w:rsid w:val="0EEE5B5E"/>
    <w:rsid w:val="0EFA6253"/>
    <w:rsid w:val="0EFD3F3D"/>
    <w:rsid w:val="0F023519"/>
    <w:rsid w:val="0F023C71"/>
    <w:rsid w:val="0F0F0FF4"/>
    <w:rsid w:val="0F1722D4"/>
    <w:rsid w:val="0F223AFB"/>
    <w:rsid w:val="0F2A6A8B"/>
    <w:rsid w:val="0F2B7270"/>
    <w:rsid w:val="0F3650C3"/>
    <w:rsid w:val="0F40356E"/>
    <w:rsid w:val="0F4E27F3"/>
    <w:rsid w:val="0F4E4871"/>
    <w:rsid w:val="0F5074B0"/>
    <w:rsid w:val="0F5357EE"/>
    <w:rsid w:val="0F67675F"/>
    <w:rsid w:val="0F68174D"/>
    <w:rsid w:val="0F6F4433"/>
    <w:rsid w:val="0F857FCE"/>
    <w:rsid w:val="0F9931F5"/>
    <w:rsid w:val="0F993632"/>
    <w:rsid w:val="0FB41753"/>
    <w:rsid w:val="0FB86F8E"/>
    <w:rsid w:val="0FBB7BCD"/>
    <w:rsid w:val="0FCC2BBB"/>
    <w:rsid w:val="0FD16FD1"/>
    <w:rsid w:val="0FE76B2D"/>
    <w:rsid w:val="0FEA00E8"/>
    <w:rsid w:val="0FEF695B"/>
    <w:rsid w:val="0FF53BC7"/>
    <w:rsid w:val="100831B9"/>
    <w:rsid w:val="100839FD"/>
    <w:rsid w:val="101024C2"/>
    <w:rsid w:val="10155403"/>
    <w:rsid w:val="10164E7D"/>
    <w:rsid w:val="101C6C0F"/>
    <w:rsid w:val="103E15EE"/>
    <w:rsid w:val="10480E2B"/>
    <w:rsid w:val="104E106D"/>
    <w:rsid w:val="104E18F2"/>
    <w:rsid w:val="10640272"/>
    <w:rsid w:val="10656F92"/>
    <w:rsid w:val="10703CDD"/>
    <w:rsid w:val="10875BC0"/>
    <w:rsid w:val="1089436C"/>
    <w:rsid w:val="109610A6"/>
    <w:rsid w:val="109B6A4C"/>
    <w:rsid w:val="109D22F7"/>
    <w:rsid w:val="10A94C8B"/>
    <w:rsid w:val="10AE0D35"/>
    <w:rsid w:val="10BB6203"/>
    <w:rsid w:val="10BE300B"/>
    <w:rsid w:val="10BF0091"/>
    <w:rsid w:val="10C0526C"/>
    <w:rsid w:val="10C706E7"/>
    <w:rsid w:val="10CC7A8E"/>
    <w:rsid w:val="10CE68AC"/>
    <w:rsid w:val="10D74432"/>
    <w:rsid w:val="10D80DD3"/>
    <w:rsid w:val="10DC78E5"/>
    <w:rsid w:val="10DE5E7C"/>
    <w:rsid w:val="10E91FF6"/>
    <w:rsid w:val="10F35E62"/>
    <w:rsid w:val="10F53644"/>
    <w:rsid w:val="10FE03D8"/>
    <w:rsid w:val="110A5F0B"/>
    <w:rsid w:val="110C0505"/>
    <w:rsid w:val="110C6336"/>
    <w:rsid w:val="11196AE2"/>
    <w:rsid w:val="11240D44"/>
    <w:rsid w:val="112A5542"/>
    <w:rsid w:val="112F69DE"/>
    <w:rsid w:val="11350576"/>
    <w:rsid w:val="114143A2"/>
    <w:rsid w:val="114C2324"/>
    <w:rsid w:val="11530FAA"/>
    <w:rsid w:val="11681F6A"/>
    <w:rsid w:val="116C300E"/>
    <w:rsid w:val="117C6E96"/>
    <w:rsid w:val="1180073E"/>
    <w:rsid w:val="118E015A"/>
    <w:rsid w:val="118E4E2A"/>
    <w:rsid w:val="11910342"/>
    <w:rsid w:val="11986CDB"/>
    <w:rsid w:val="119D6066"/>
    <w:rsid w:val="11B321F6"/>
    <w:rsid w:val="11B47DB7"/>
    <w:rsid w:val="11CF33C8"/>
    <w:rsid w:val="11D023D0"/>
    <w:rsid w:val="11D16B44"/>
    <w:rsid w:val="11D26701"/>
    <w:rsid w:val="12033750"/>
    <w:rsid w:val="12056FC0"/>
    <w:rsid w:val="120E39AF"/>
    <w:rsid w:val="12136527"/>
    <w:rsid w:val="1216558B"/>
    <w:rsid w:val="121844B3"/>
    <w:rsid w:val="12252D44"/>
    <w:rsid w:val="123221C0"/>
    <w:rsid w:val="123A29EE"/>
    <w:rsid w:val="123D0A13"/>
    <w:rsid w:val="123E5E22"/>
    <w:rsid w:val="12491DC5"/>
    <w:rsid w:val="124A151E"/>
    <w:rsid w:val="124A4C38"/>
    <w:rsid w:val="12710C33"/>
    <w:rsid w:val="12907578"/>
    <w:rsid w:val="129E5B86"/>
    <w:rsid w:val="12A61726"/>
    <w:rsid w:val="12AE4C53"/>
    <w:rsid w:val="12B75467"/>
    <w:rsid w:val="12BB3E36"/>
    <w:rsid w:val="12E07B66"/>
    <w:rsid w:val="12E80E59"/>
    <w:rsid w:val="12FB5170"/>
    <w:rsid w:val="12FE0B37"/>
    <w:rsid w:val="130A62F8"/>
    <w:rsid w:val="1328023A"/>
    <w:rsid w:val="13286CF2"/>
    <w:rsid w:val="13336088"/>
    <w:rsid w:val="133C33F5"/>
    <w:rsid w:val="135A4219"/>
    <w:rsid w:val="135B25EE"/>
    <w:rsid w:val="13624948"/>
    <w:rsid w:val="136D14EF"/>
    <w:rsid w:val="137110F4"/>
    <w:rsid w:val="138B2789"/>
    <w:rsid w:val="138B2A3E"/>
    <w:rsid w:val="13961700"/>
    <w:rsid w:val="139F773F"/>
    <w:rsid w:val="13AC4EFD"/>
    <w:rsid w:val="13C7675A"/>
    <w:rsid w:val="13C9418D"/>
    <w:rsid w:val="13CD63CB"/>
    <w:rsid w:val="13D51DED"/>
    <w:rsid w:val="13DE7E36"/>
    <w:rsid w:val="13EB0CC8"/>
    <w:rsid w:val="13F549D0"/>
    <w:rsid w:val="13FD00B0"/>
    <w:rsid w:val="13FD7160"/>
    <w:rsid w:val="14032730"/>
    <w:rsid w:val="14080104"/>
    <w:rsid w:val="140C1EC0"/>
    <w:rsid w:val="14166EAE"/>
    <w:rsid w:val="1420262A"/>
    <w:rsid w:val="14225FD0"/>
    <w:rsid w:val="14251CB3"/>
    <w:rsid w:val="14267540"/>
    <w:rsid w:val="14314133"/>
    <w:rsid w:val="14322531"/>
    <w:rsid w:val="143368E6"/>
    <w:rsid w:val="14340C17"/>
    <w:rsid w:val="14374991"/>
    <w:rsid w:val="143F754A"/>
    <w:rsid w:val="144472C1"/>
    <w:rsid w:val="144A44EA"/>
    <w:rsid w:val="144B3DC2"/>
    <w:rsid w:val="14503CE0"/>
    <w:rsid w:val="14532588"/>
    <w:rsid w:val="1457788F"/>
    <w:rsid w:val="14756A79"/>
    <w:rsid w:val="147F1FFF"/>
    <w:rsid w:val="14801A26"/>
    <w:rsid w:val="1486781F"/>
    <w:rsid w:val="148804BE"/>
    <w:rsid w:val="1488418F"/>
    <w:rsid w:val="149C4727"/>
    <w:rsid w:val="14A12CBC"/>
    <w:rsid w:val="14B076FD"/>
    <w:rsid w:val="14B63D39"/>
    <w:rsid w:val="14DF1C80"/>
    <w:rsid w:val="14E07109"/>
    <w:rsid w:val="14F16A82"/>
    <w:rsid w:val="14FE398D"/>
    <w:rsid w:val="14FE5E73"/>
    <w:rsid w:val="15090370"/>
    <w:rsid w:val="150C7CA1"/>
    <w:rsid w:val="15100551"/>
    <w:rsid w:val="15115468"/>
    <w:rsid w:val="151526FE"/>
    <w:rsid w:val="151805FF"/>
    <w:rsid w:val="151922B1"/>
    <w:rsid w:val="151B4B8B"/>
    <w:rsid w:val="15285B65"/>
    <w:rsid w:val="152959E5"/>
    <w:rsid w:val="153201BE"/>
    <w:rsid w:val="153579FC"/>
    <w:rsid w:val="1536439B"/>
    <w:rsid w:val="1543499D"/>
    <w:rsid w:val="15483619"/>
    <w:rsid w:val="154865E6"/>
    <w:rsid w:val="1552315F"/>
    <w:rsid w:val="155F0CF8"/>
    <w:rsid w:val="1564708B"/>
    <w:rsid w:val="15683EDD"/>
    <w:rsid w:val="15690030"/>
    <w:rsid w:val="15757273"/>
    <w:rsid w:val="15757F0D"/>
    <w:rsid w:val="15816FF2"/>
    <w:rsid w:val="15875ABA"/>
    <w:rsid w:val="15891E65"/>
    <w:rsid w:val="15943CAE"/>
    <w:rsid w:val="15981002"/>
    <w:rsid w:val="159B67BE"/>
    <w:rsid w:val="15AA40AA"/>
    <w:rsid w:val="15B526AD"/>
    <w:rsid w:val="15B71EC8"/>
    <w:rsid w:val="15C471A6"/>
    <w:rsid w:val="15CA7173"/>
    <w:rsid w:val="15D43588"/>
    <w:rsid w:val="15DB5F65"/>
    <w:rsid w:val="15F570BD"/>
    <w:rsid w:val="15FC1A7D"/>
    <w:rsid w:val="16002065"/>
    <w:rsid w:val="160117E2"/>
    <w:rsid w:val="16117394"/>
    <w:rsid w:val="161269BB"/>
    <w:rsid w:val="1632187C"/>
    <w:rsid w:val="163976AD"/>
    <w:rsid w:val="1643219C"/>
    <w:rsid w:val="16437993"/>
    <w:rsid w:val="164408A0"/>
    <w:rsid w:val="164862B3"/>
    <w:rsid w:val="165517E6"/>
    <w:rsid w:val="16590390"/>
    <w:rsid w:val="1671475A"/>
    <w:rsid w:val="16757268"/>
    <w:rsid w:val="1679637E"/>
    <w:rsid w:val="167A5BFE"/>
    <w:rsid w:val="168017CA"/>
    <w:rsid w:val="16950DFD"/>
    <w:rsid w:val="16A029FF"/>
    <w:rsid w:val="16B529F1"/>
    <w:rsid w:val="16CF1F22"/>
    <w:rsid w:val="16D34B04"/>
    <w:rsid w:val="16D70102"/>
    <w:rsid w:val="16E8794F"/>
    <w:rsid w:val="16F774A3"/>
    <w:rsid w:val="16FB3CF3"/>
    <w:rsid w:val="170116A6"/>
    <w:rsid w:val="17047501"/>
    <w:rsid w:val="172B0451"/>
    <w:rsid w:val="17301DEF"/>
    <w:rsid w:val="17377504"/>
    <w:rsid w:val="173F10E6"/>
    <w:rsid w:val="17463BC0"/>
    <w:rsid w:val="174D07F9"/>
    <w:rsid w:val="175309C4"/>
    <w:rsid w:val="175C6E6A"/>
    <w:rsid w:val="17666E8F"/>
    <w:rsid w:val="176F0264"/>
    <w:rsid w:val="178C2512"/>
    <w:rsid w:val="17993591"/>
    <w:rsid w:val="179A754F"/>
    <w:rsid w:val="17B1680F"/>
    <w:rsid w:val="17BD6364"/>
    <w:rsid w:val="17C45856"/>
    <w:rsid w:val="17C61402"/>
    <w:rsid w:val="17C661B9"/>
    <w:rsid w:val="17CD01B0"/>
    <w:rsid w:val="17D06A48"/>
    <w:rsid w:val="17D15EA0"/>
    <w:rsid w:val="17D73602"/>
    <w:rsid w:val="17DC7A77"/>
    <w:rsid w:val="17E03135"/>
    <w:rsid w:val="17E75584"/>
    <w:rsid w:val="17EE50C1"/>
    <w:rsid w:val="180C06FF"/>
    <w:rsid w:val="18102E51"/>
    <w:rsid w:val="18176B5F"/>
    <w:rsid w:val="181B7756"/>
    <w:rsid w:val="183D0D8D"/>
    <w:rsid w:val="185201CB"/>
    <w:rsid w:val="185B2672"/>
    <w:rsid w:val="186B26F9"/>
    <w:rsid w:val="1872588E"/>
    <w:rsid w:val="18764836"/>
    <w:rsid w:val="1877488D"/>
    <w:rsid w:val="189A735D"/>
    <w:rsid w:val="189B7410"/>
    <w:rsid w:val="18C6242E"/>
    <w:rsid w:val="18C910B8"/>
    <w:rsid w:val="18D530D5"/>
    <w:rsid w:val="18DD3AD1"/>
    <w:rsid w:val="18EC0C7D"/>
    <w:rsid w:val="18F37798"/>
    <w:rsid w:val="18F50DD4"/>
    <w:rsid w:val="18F87436"/>
    <w:rsid w:val="19025373"/>
    <w:rsid w:val="19061961"/>
    <w:rsid w:val="190927A6"/>
    <w:rsid w:val="19165B03"/>
    <w:rsid w:val="191A11BB"/>
    <w:rsid w:val="191E2734"/>
    <w:rsid w:val="1923131F"/>
    <w:rsid w:val="192A6A43"/>
    <w:rsid w:val="192C6462"/>
    <w:rsid w:val="1940737B"/>
    <w:rsid w:val="194F425A"/>
    <w:rsid w:val="195A3C6C"/>
    <w:rsid w:val="196F2538"/>
    <w:rsid w:val="19864CBE"/>
    <w:rsid w:val="198A7CD2"/>
    <w:rsid w:val="198D0068"/>
    <w:rsid w:val="19940109"/>
    <w:rsid w:val="19A723AF"/>
    <w:rsid w:val="19AE0CD6"/>
    <w:rsid w:val="19B0270B"/>
    <w:rsid w:val="19B95844"/>
    <w:rsid w:val="19BB1581"/>
    <w:rsid w:val="19BD2247"/>
    <w:rsid w:val="19C473E6"/>
    <w:rsid w:val="19CA70F6"/>
    <w:rsid w:val="19CE07A9"/>
    <w:rsid w:val="19E77864"/>
    <w:rsid w:val="19F0567F"/>
    <w:rsid w:val="19F7143A"/>
    <w:rsid w:val="19FB4644"/>
    <w:rsid w:val="19FE425B"/>
    <w:rsid w:val="1A041EBA"/>
    <w:rsid w:val="1A046ED6"/>
    <w:rsid w:val="1A0A53A3"/>
    <w:rsid w:val="1A0D104E"/>
    <w:rsid w:val="1A116732"/>
    <w:rsid w:val="1A124C94"/>
    <w:rsid w:val="1A2541AB"/>
    <w:rsid w:val="1A395F6D"/>
    <w:rsid w:val="1A3B61E8"/>
    <w:rsid w:val="1A501DDF"/>
    <w:rsid w:val="1A6A0AC8"/>
    <w:rsid w:val="1A7917DF"/>
    <w:rsid w:val="1A8A0B48"/>
    <w:rsid w:val="1A8F689F"/>
    <w:rsid w:val="1A921D39"/>
    <w:rsid w:val="1AAD3B2C"/>
    <w:rsid w:val="1AAE0171"/>
    <w:rsid w:val="1AB210D9"/>
    <w:rsid w:val="1AB31AE8"/>
    <w:rsid w:val="1AB53632"/>
    <w:rsid w:val="1ABB07F6"/>
    <w:rsid w:val="1AC65D9C"/>
    <w:rsid w:val="1ACB25A9"/>
    <w:rsid w:val="1AD41399"/>
    <w:rsid w:val="1AE7709D"/>
    <w:rsid w:val="1AEC3207"/>
    <w:rsid w:val="1AEF04BF"/>
    <w:rsid w:val="1AF446CC"/>
    <w:rsid w:val="1AF85D60"/>
    <w:rsid w:val="1AFD700F"/>
    <w:rsid w:val="1B050638"/>
    <w:rsid w:val="1B0F0EC3"/>
    <w:rsid w:val="1B23169D"/>
    <w:rsid w:val="1B270FF4"/>
    <w:rsid w:val="1B283CC7"/>
    <w:rsid w:val="1B3B6AA9"/>
    <w:rsid w:val="1B406A32"/>
    <w:rsid w:val="1B426468"/>
    <w:rsid w:val="1B4374DF"/>
    <w:rsid w:val="1B453A7C"/>
    <w:rsid w:val="1B581F69"/>
    <w:rsid w:val="1B5E1F84"/>
    <w:rsid w:val="1B604CAA"/>
    <w:rsid w:val="1B634073"/>
    <w:rsid w:val="1B682180"/>
    <w:rsid w:val="1B6F72DB"/>
    <w:rsid w:val="1B7A275B"/>
    <w:rsid w:val="1B910BFE"/>
    <w:rsid w:val="1BA4516D"/>
    <w:rsid w:val="1BA96848"/>
    <w:rsid w:val="1BB97BE3"/>
    <w:rsid w:val="1BDC3BA4"/>
    <w:rsid w:val="1BFE65F1"/>
    <w:rsid w:val="1BFF6A4B"/>
    <w:rsid w:val="1C0C391D"/>
    <w:rsid w:val="1C0D1A1F"/>
    <w:rsid w:val="1C2E4BB2"/>
    <w:rsid w:val="1C4353EA"/>
    <w:rsid w:val="1C44449B"/>
    <w:rsid w:val="1C4B4C53"/>
    <w:rsid w:val="1C4F639C"/>
    <w:rsid w:val="1C593DCA"/>
    <w:rsid w:val="1C5D283F"/>
    <w:rsid w:val="1C630D3B"/>
    <w:rsid w:val="1C6310EA"/>
    <w:rsid w:val="1C7C0D30"/>
    <w:rsid w:val="1C824ABE"/>
    <w:rsid w:val="1C895DA7"/>
    <w:rsid w:val="1C89709B"/>
    <w:rsid w:val="1C8B3E61"/>
    <w:rsid w:val="1C8C5D58"/>
    <w:rsid w:val="1C9A34C1"/>
    <w:rsid w:val="1CA51C0B"/>
    <w:rsid w:val="1CB4152A"/>
    <w:rsid w:val="1CC133FA"/>
    <w:rsid w:val="1CC2475F"/>
    <w:rsid w:val="1CCC261D"/>
    <w:rsid w:val="1CDA15DF"/>
    <w:rsid w:val="1CF0536D"/>
    <w:rsid w:val="1D000247"/>
    <w:rsid w:val="1D0754D1"/>
    <w:rsid w:val="1D110F15"/>
    <w:rsid w:val="1D2C3EF7"/>
    <w:rsid w:val="1D380162"/>
    <w:rsid w:val="1D3E5527"/>
    <w:rsid w:val="1D540E0F"/>
    <w:rsid w:val="1D55227B"/>
    <w:rsid w:val="1D695032"/>
    <w:rsid w:val="1D706CFB"/>
    <w:rsid w:val="1D7270BD"/>
    <w:rsid w:val="1D857D18"/>
    <w:rsid w:val="1DB4564C"/>
    <w:rsid w:val="1DC54DDD"/>
    <w:rsid w:val="1DCF13B9"/>
    <w:rsid w:val="1DDC4C29"/>
    <w:rsid w:val="1DDE09A3"/>
    <w:rsid w:val="1DEF3A2A"/>
    <w:rsid w:val="1DF35E3F"/>
    <w:rsid w:val="1DF839A4"/>
    <w:rsid w:val="1E0C3AD2"/>
    <w:rsid w:val="1E121AFF"/>
    <w:rsid w:val="1E1F615E"/>
    <w:rsid w:val="1E1F7DE8"/>
    <w:rsid w:val="1E2F447D"/>
    <w:rsid w:val="1E301F4B"/>
    <w:rsid w:val="1E334369"/>
    <w:rsid w:val="1E370502"/>
    <w:rsid w:val="1E490D3D"/>
    <w:rsid w:val="1E502C6A"/>
    <w:rsid w:val="1E522210"/>
    <w:rsid w:val="1E5B28A6"/>
    <w:rsid w:val="1E7C11F0"/>
    <w:rsid w:val="1E98484E"/>
    <w:rsid w:val="1E9A4645"/>
    <w:rsid w:val="1EA62E6D"/>
    <w:rsid w:val="1EBD5517"/>
    <w:rsid w:val="1ED15B62"/>
    <w:rsid w:val="1ED50EC7"/>
    <w:rsid w:val="1ED647FD"/>
    <w:rsid w:val="1ED74974"/>
    <w:rsid w:val="1EDD3086"/>
    <w:rsid w:val="1EDD5C81"/>
    <w:rsid w:val="1EE37E04"/>
    <w:rsid w:val="1EE70FAF"/>
    <w:rsid w:val="1EEA29C8"/>
    <w:rsid w:val="1EF24CCE"/>
    <w:rsid w:val="1EF37C05"/>
    <w:rsid w:val="1EF44AC8"/>
    <w:rsid w:val="1EFD6441"/>
    <w:rsid w:val="1F046AB5"/>
    <w:rsid w:val="1F046FBF"/>
    <w:rsid w:val="1F0B480B"/>
    <w:rsid w:val="1F0F6D4B"/>
    <w:rsid w:val="1F101167"/>
    <w:rsid w:val="1F112A4B"/>
    <w:rsid w:val="1F135208"/>
    <w:rsid w:val="1F1819EC"/>
    <w:rsid w:val="1F2023A5"/>
    <w:rsid w:val="1F3315E1"/>
    <w:rsid w:val="1F4722EC"/>
    <w:rsid w:val="1F4C0D81"/>
    <w:rsid w:val="1F5164B0"/>
    <w:rsid w:val="1F5652AC"/>
    <w:rsid w:val="1F5F714E"/>
    <w:rsid w:val="1F615A55"/>
    <w:rsid w:val="1F6707F1"/>
    <w:rsid w:val="1F6764C9"/>
    <w:rsid w:val="1F6F66A7"/>
    <w:rsid w:val="1F9D7935"/>
    <w:rsid w:val="1FAA5DDC"/>
    <w:rsid w:val="1FAE1689"/>
    <w:rsid w:val="1FB807BB"/>
    <w:rsid w:val="1FC7052F"/>
    <w:rsid w:val="1FCA6F35"/>
    <w:rsid w:val="1FE17D2A"/>
    <w:rsid w:val="1FF7038E"/>
    <w:rsid w:val="20155066"/>
    <w:rsid w:val="202C0E83"/>
    <w:rsid w:val="20335707"/>
    <w:rsid w:val="2039358F"/>
    <w:rsid w:val="204460BE"/>
    <w:rsid w:val="2064422D"/>
    <w:rsid w:val="20702DB8"/>
    <w:rsid w:val="207266AF"/>
    <w:rsid w:val="207451CF"/>
    <w:rsid w:val="20774220"/>
    <w:rsid w:val="207B35B3"/>
    <w:rsid w:val="20830D1E"/>
    <w:rsid w:val="20936044"/>
    <w:rsid w:val="20B42344"/>
    <w:rsid w:val="20CB0AFA"/>
    <w:rsid w:val="20E13082"/>
    <w:rsid w:val="20E214B2"/>
    <w:rsid w:val="20E50DD4"/>
    <w:rsid w:val="20E93B5F"/>
    <w:rsid w:val="20ED086A"/>
    <w:rsid w:val="20F57588"/>
    <w:rsid w:val="210159DC"/>
    <w:rsid w:val="2114335C"/>
    <w:rsid w:val="21182AFF"/>
    <w:rsid w:val="21331DB1"/>
    <w:rsid w:val="213C7FB0"/>
    <w:rsid w:val="213D0923"/>
    <w:rsid w:val="21414E4E"/>
    <w:rsid w:val="214D719D"/>
    <w:rsid w:val="216144E1"/>
    <w:rsid w:val="21615B3B"/>
    <w:rsid w:val="21661585"/>
    <w:rsid w:val="216B73DA"/>
    <w:rsid w:val="21731794"/>
    <w:rsid w:val="217A05A8"/>
    <w:rsid w:val="217A168B"/>
    <w:rsid w:val="218E1C8B"/>
    <w:rsid w:val="21A40895"/>
    <w:rsid w:val="21A97314"/>
    <w:rsid w:val="21AE7BFC"/>
    <w:rsid w:val="21B2294E"/>
    <w:rsid w:val="21B7325D"/>
    <w:rsid w:val="21BB05DA"/>
    <w:rsid w:val="21C546BF"/>
    <w:rsid w:val="21C67DE4"/>
    <w:rsid w:val="21DA0E1E"/>
    <w:rsid w:val="21E01370"/>
    <w:rsid w:val="21F046BC"/>
    <w:rsid w:val="21FD273B"/>
    <w:rsid w:val="22052DC5"/>
    <w:rsid w:val="220910D5"/>
    <w:rsid w:val="22172573"/>
    <w:rsid w:val="22354961"/>
    <w:rsid w:val="22564E6B"/>
    <w:rsid w:val="226608B9"/>
    <w:rsid w:val="226A01EE"/>
    <w:rsid w:val="2270761C"/>
    <w:rsid w:val="22776D10"/>
    <w:rsid w:val="22863CA8"/>
    <w:rsid w:val="228E5F12"/>
    <w:rsid w:val="229D0C0C"/>
    <w:rsid w:val="229E3B36"/>
    <w:rsid w:val="22A20206"/>
    <w:rsid w:val="22B61584"/>
    <w:rsid w:val="22B64ECB"/>
    <w:rsid w:val="22B811CB"/>
    <w:rsid w:val="22CB0DD0"/>
    <w:rsid w:val="22CF286A"/>
    <w:rsid w:val="22D46F19"/>
    <w:rsid w:val="22E37192"/>
    <w:rsid w:val="22E67171"/>
    <w:rsid w:val="22EB1B91"/>
    <w:rsid w:val="22EC5307"/>
    <w:rsid w:val="22F26667"/>
    <w:rsid w:val="230B610D"/>
    <w:rsid w:val="23132C57"/>
    <w:rsid w:val="23190E9C"/>
    <w:rsid w:val="23226C92"/>
    <w:rsid w:val="23233EA2"/>
    <w:rsid w:val="23482A23"/>
    <w:rsid w:val="23490686"/>
    <w:rsid w:val="23596BF5"/>
    <w:rsid w:val="2366493C"/>
    <w:rsid w:val="236B0374"/>
    <w:rsid w:val="23737B15"/>
    <w:rsid w:val="237E4ACD"/>
    <w:rsid w:val="23971595"/>
    <w:rsid w:val="23A46C27"/>
    <w:rsid w:val="23AD4F01"/>
    <w:rsid w:val="23B420DB"/>
    <w:rsid w:val="23B5538A"/>
    <w:rsid w:val="23BE2751"/>
    <w:rsid w:val="23BF668B"/>
    <w:rsid w:val="23D16286"/>
    <w:rsid w:val="23DA620F"/>
    <w:rsid w:val="23DA639B"/>
    <w:rsid w:val="23E12BEE"/>
    <w:rsid w:val="23E744C6"/>
    <w:rsid w:val="23FB7A9A"/>
    <w:rsid w:val="23FE282D"/>
    <w:rsid w:val="24020C24"/>
    <w:rsid w:val="24101808"/>
    <w:rsid w:val="244947D0"/>
    <w:rsid w:val="24546D6F"/>
    <w:rsid w:val="2459792B"/>
    <w:rsid w:val="246F5418"/>
    <w:rsid w:val="24734ACE"/>
    <w:rsid w:val="24773EC3"/>
    <w:rsid w:val="247E7520"/>
    <w:rsid w:val="248A2D70"/>
    <w:rsid w:val="249B0F8A"/>
    <w:rsid w:val="24A02C19"/>
    <w:rsid w:val="24A948B4"/>
    <w:rsid w:val="24AF208D"/>
    <w:rsid w:val="24C056BD"/>
    <w:rsid w:val="24C94CDB"/>
    <w:rsid w:val="24D71F01"/>
    <w:rsid w:val="24DA2AF9"/>
    <w:rsid w:val="24DB5644"/>
    <w:rsid w:val="24DF1699"/>
    <w:rsid w:val="24E94952"/>
    <w:rsid w:val="24ED12D7"/>
    <w:rsid w:val="24ED41C9"/>
    <w:rsid w:val="24F02145"/>
    <w:rsid w:val="24FD644B"/>
    <w:rsid w:val="25025DD7"/>
    <w:rsid w:val="250C13F0"/>
    <w:rsid w:val="25121AC5"/>
    <w:rsid w:val="25135EFF"/>
    <w:rsid w:val="251604DE"/>
    <w:rsid w:val="25205075"/>
    <w:rsid w:val="253C3897"/>
    <w:rsid w:val="25410606"/>
    <w:rsid w:val="25433A5C"/>
    <w:rsid w:val="2546015B"/>
    <w:rsid w:val="2547698A"/>
    <w:rsid w:val="254A64D9"/>
    <w:rsid w:val="25593A27"/>
    <w:rsid w:val="25614B87"/>
    <w:rsid w:val="25687BD7"/>
    <w:rsid w:val="256B0FAF"/>
    <w:rsid w:val="256B534E"/>
    <w:rsid w:val="256B615B"/>
    <w:rsid w:val="256C171F"/>
    <w:rsid w:val="25973F8F"/>
    <w:rsid w:val="25AB38D0"/>
    <w:rsid w:val="25AB758B"/>
    <w:rsid w:val="25B516E0"/>
    <w:rsid w:val="25C57053"/>
    <w:rsid w:val="25C63637"/>
    <w:rsid w:val="25CF5E49"/>
    <w:rsid w:val="25DF4AD1"/>
    <w:rsid w:val="25E07E46"/>
    <w:rsid w:val="25E5119C"/>
    <w:rsid w:val="25E97009"/>
    <w:rsid w:val="25F05EB1"/>
    <w:rsid w:val="25FD46A8"/>
    <w:rsid w:val="2602641F"/>
    <w:rsid w:val="2605381D"/>
    <w:rsid w:val="26197026"/>
    <w:rsid w:val="26206B9B"/>
    <w:rsid w:val="26281BCA"/>
    <w:rsid w:val="265F0CE8"/>
    <w:rsid w:val="26606DD5"/>
    <w:rsid w:val="2664739D"/>
    <w:rsid w:val="267322EA"/>
    <w:rsid w:val="267C0B72"/>
    <w:rsid w:val="26804680"/>
    <w:rsid w:val="268532D8"/>
    <w:rsid w:val="26872150"/>
    <w:rsid w:val="269E5908"/>
    <w:rsid w:val="26A5092E"/>
    <w:rsid w:val="26AB5672"/>
    <w:rsid w:val="26AC1A34"/>
    <w:rsid w:val="26B07B9C"/>
    <w:rsid w:val="26B321E9"/>
    <w:rsid w:val="26B52136"/>
    <w:rsid w:val="26C746F8"/>
    <w:rsid w:val="26CC79EB"/>
    <w:rsid w:val="26D46F92"/>
    <w:rsid w:val="26E05F2F"/>
    <w:rsid w:val="26E46A56"/>
    <w:rsid w:val="26E53552"/>
    <w:rsid w:val="26E90667"/>
    <w:rsid w:val="26EC70D9"/>
    <w:rsid w:val="26EF794F"/>
    <w:rsid w:val="26F83C3A"/>
    <w:rsid w:val="26FA3495"/>
    <w:rsid w:val="27001050"/>
    <w:rsid w:val="27021C55"/>
    <w:rsid w:val="27134BA0"/>
    <w:rsid w:val="27157764"/>
    <w:rsid w:val="271A1C10"/>
    <w:rsid w:val="272B7A27"/>
    <w:rsid w:val="272C1E1E"/>
    <w:rsid w:val="272C2B1D"/>
    <w:rsid w:val="273B4FF0"/>
    <w:rsid w:val="27406EAE"/>
    <w:rsid w:val="27455AC0"/>
    <w:rsid w:val="274E56B5"/>
    <w:rsid w:val="2750455A"/>
    <w:rsid w:val="27654B07"/>
    <w:rsid w:val="276714B9"/>
    <w:rsid w:val="276C7278"/>
    <w:rsid w:val="276D5238"/>
    <w:rsid w:val="27763600"/>
    <w:rsid w:val="277A0927"/>
    <w:rsid w:val="277D38D4"/>
    <w:rsid w:val="278929B0"/>
    <w:rsid w:val="2793699B"/>
    <w:rsid w:val="27AE594A"/>
    <w:rsid w:val="27B4125E"/>
    <w:rsid w:val="27B9656F"/>
    <w:rsid w:val="27C44AC0"/>
    <w:rsid w:val="27CA6DAD"/>
    <w:rsid w:val="27CF0CF1"/>
    <w:rsid w:val="27D24516"/>
    <w:rsid w:val="27D3549C"/>
    <w:rsid w:val="27EC0A08"/>
    <w:rsid w:val="27FE087F"/>
    <w:rsid w:val="280062BA"/>
    <w:rsid w:val="282E701E"/>
    <w:rsid w:val="2833607F"/>
    <w:rsid w:val="283B0B46"/>
    <w:rsid w:val="28405D2C"/>
    <w:rsid w:val="28413CE8"/>
    <w:rsid w:val="284F698C"/>
    <w:rsid w:val="28501836"/>
    <w:rsid w:val="28526934"/>
    <w:rsid w:val="285506E9"/>
    <w:rsid w:val="285E4148"/>
    <w:rsid w:val="2863289F"/>
    <w:rsid w:val="28640ED2"/>
    <w:rsid w:val="287857D1"/>
    <w:rsid w:val="288A0DC3"/>
    <w:rsid w:val="28A770D5"/>
    <w:rsid w:val="28A91F56"/>
    <w:rsid w:val="28AA4623"/>
    <w:rsid w:val="28B8343F"/>
    <w:rsid w:val="28BB5D4B"/>
    <w:rsid w:val="28D83E85"/>
    <w:rsid w:val="28F673D4"/>
    <w:rsid w:val="28F71863"/>
    <w:rsid w:val="290E6D95"/>
    <w:rsid w:val="2919132D"/>
    <w:rsid w:val="291D1716"/>
    <w:rsid w:val="292329D0"/>
    <w:rsid w:val="292F43DA"/>
    <w:rsid w:val="29381B1B"/>
    <w:rsid w:val="2941424F"/>
    <w:rsid w:val="29415CCC"/>
    <w:rsid w:val="29491FC5"/>
    <w:rsid w:val="29510512"/>
    <w:rsid w:val="295377DC"/>
    <w:rsid w:val="2956613E"/>
    <w:rsid w:val="29757460"/>
    <w:rsid w:val="297914B7"/>
    <w:rsid w:val="298626C7"/>
    <w:rsid w:val="299A4CC0"/>
    <w:rsid w:val="29A22DDE"/>
    <w:rsid w:val="29D74F84"/>
    <w:rsid w:val="29E21E97"/>
    <w:rsid w:val="29E63DA7"/>
    <w:rsid w:val="29F350EC"/>
    <w:rsid w:val="29F45369"/>
    <w:rsid w:val="29F500DC"/>
    <w:rsid w:val="2A023339"/>
    <w:rsid w:val="2A0A5A97"/>
    <w:rsid w:val="2A123644"/>
    <w:rsid w:val="2A171D73"/>
    <w:rsid w:val="2A285235"/>
    <w:rsid w:val="2A3000C3"/>
    <w:rsid w:val="2A311DD6"/>
    <w:rsid w:val="2A33048C"/>
    <w:rsid w:val="2A3A2390"/>
    <w:rsid w:val="2A3D5441"/>
    <w:rsid w:val="2A3E6907"/>
    <w:rsid w:val="2A462B6E"/>
    <w:rsid w:val="2A4F21E5"/>
    <w:rsid w:val="2A5B6D98"/>
    <w:rsid w:val="2A6E1037"/>
    <w:rsid w:val="2A7B77B1"/>
    <w:rsid w:val="2A813652"/>
    <w:rsid w:val="2A817B2F"/>
    <w:rsid w:val="2A84085A"/>
    <w:rsid w:val="2A894439"/>
    <w:rsid w:val="2A90173C"/>
    <w:rsid w:val="2A962AC6"/>
    <w:rsid w:val="2AA671C5"/>
    <w:rsid w:val="2AD72BA9"/>
    <w:rsid w:val="2ADD1E1A"/>
    <w:rsid w:val="2ADF65DA"/>
    <w:rsid w:val="2AF858C0"/>
    <w:rsid w:val="2AFA767A"/>
    <w:rsid w:val="2AFD0385"/>
    <w:rsid w:val="2AFF2B21"/>
    <w:rsid w:val="2B026E03"/>
    <w:rsid w:val="2B075ACD"/>
    <w:rsid w:val="2B454AE8"/>
    <w:rsid w:val="2B4B1AC7"/>
    <w:rsid w:val="2B4B1FFE"/>
    <w:rsid w:val="2B4E68FF"/>
    <w:rsid w:val="2B531C96"/>
    <w:rsid w:val="2B5C3E79"/>
    <w:rsid w:val="2B66688B"/>
    <w:rsid w:val="2B6916F0"/>
    <w:rsid w:val="2B7328B9"/>
    <w:rsid w:val="2B742EAB"/>
    <w:rsid w:val="2B81797B"/>
    <w:rsid w:val="2B825104"/>
    <w:rsid w:val="2B8D7439"/>
    <w:rsid w:val="2B9605DB"/>
    <w:rsid w:val="2B9B776D"/>
    <w:rsid w:val="2BBC60CA"/>
    <w:rsid w:val="2BC86EE0"/>
    <w:rsid w:val="2BCE7263"/>
    <w:rsid w:val="2BDF21EC"/>
    <w:rsid w:val="2BF11EC9"/>
    <w:rsid w:val="2BF428B1"/>
    <w:rsid w:val="2C004CED"/>
    <w:rsid w:val="2C0404B3"/>
    <w:rsid w:val="2C210873"/>
    <w:rsid w:val="2C331FAA"/>
    <w:rsid w:val="2C340FFB"/>
    <w:rsid w:val="2C390667"/>
    <w:rsid w:val="2C3E068E"/>
    <w:rsid w:val="2C5F110B"/>
    <w:rsid w:val="2C671635"/>
    <w:rsid w:val="2C69046C"/>
    <w:rsid w:val="2C702D4F"/>
    <w:rsid w:val="2C714EF1"/>
    <w:rsid w:val="2C9B6EAF"/>
    <w:rsid w:val="2CA95524"/>
    <w:rsid w:val="2CA9575E"/>
    <w:rsid w:val="2CAA142C"/>
    <w:rsid w:val="2CB272D6"/>
    <w:rsid w:val="2CBA5D31"/>
    <w:rsid w:val="2CBE5537"/>
    <w:rsid w:val="2CBF27B6"/>
    <w:rsid w:val="2CD05FD9"/>
    <w:rsid w:val="2CD85839"/>
    <w:rsid w:val="2CFD0320"/>
    <w:rsid w:val="2D02293C"/>
    <w:rsid w:val="2D042E32"/>
    <w:rsid w:val="2D063373"/>
    <w:rsid w:val="2D5A1EAC"/>
    <w:rsid w:val="2D61760B"/>
    <w:rsid w:val="2D642D60"/>
    <w:rsid w:val="2D6D43F6"/>
    <w:rsid w:val="2D712CE9"/>
    <w:rsid w:val="2D7C3299"/>
    <w:rsid w:val="2D8B7E40"/>
    <w:rsid w:val="2D9120F0"/>
    <w:rsid w:val="2D9E7D36"/>
    <w:rsid w:val="2DA67550"/>
    <w:rsid w:val="2DB54A70"/>
    <w:rsid w:val="2DBE4508"/>
    <w:rsid w:val="2DBF5DAB"/>
    <w:rsid w:val="2DCA18FD"/>
    <w:rsid w:val="2E006AE7"/>
    <w:rsid w:val="2E0716B8"/>
    <w:rsid w:val="2E1F30B0"/>
    <w:rsid w:val="2E220FCB"/>
    <w:rsid w:val="2E22107F"/>
    <w:rsid w:val="2E431003"/>
    <w:rsid w:val="2E431353"/>
    <w:rsid w:val="2E5637C5"/>
    <w:rsid w:val="2E604F63"/>
    <w:rsid w:val="2E615735"/>
    <w:rsid w:val="2E765ACF"/>
    <w:rsid w:val="2E925544"/>
    <w:rsid w:val="2EB2167B"/>
    <w:rsid w:val="2EBD37BD"/>
    <w:rsid w:val="2EC80EED"/>
    <w:rsid w:val="2EC8793D"/>
    <w:rsid w:val="2ED0295A"/>
    <w:rsid w:val="2ED105CE"/>
    <w:rsid w:val="2EDB6164"/>
    <w:rsid w:val="2EDD100F"/>
    <w:rsid w:val="2EE36D66"/>
    <w:rsid w:val="2EFF40A9"/>
    <w:rsid w:val="2F006EA2"/>
    <w:rsid w:val="2F0B37BA"/>
    <w:rsid w:val="2F1E39A7"/>
    <w:rsid w:val="2F226BAA"/>
    <w:rsid w:val="2F25290C"/>
    <w:rsid w:val="2F2B6CD9"/>
    <w:rsid w:val="2F337D84"/>
    <w:rsid w:val="2F5200BF"/>
    <w:rsid w:val="2F5F7F2A"/>
    <w:rsid w:val="2F623B2A"/>
    <w:rsid w:val="2F683B53"/>
    <w:rsid w:val="2F7A39AF"/>
    <w:rsid w:val="2F7B5DF0"/>
    <w:rsid w:val="2FA653B8"/>
    <w:rsid w:val="2FAA4DE4"/>
    <w:rsid w:val="2FBF03BF"/>
    <w:rsid w:val="2FD22068"/>
    <w:rsid w:val="2FD32EAA"/>
    <w:rsid w:val="301411B9"/>
    <w:rsid w:val="301E0779"/>
    <w:rsid w:val="304009E9"/>
    <w:rsid w:val="304C0AE8"/>
    <w:rsid w:val="304E6CCE"/>
    <w:rsid w:val="3058721A"/>
    <w:rsid w:val="305A501C"/>
    <w:rsid w:val="306D418E"/>
    <w:rsid w:val="30792A97"/>
    <w:rsid w:val="307D2FCF"/>
    <w:rsid w:val="307F7850"/>
    <w:rsid w:val="30917C94"/>
    <w:rsid w:val="30AA2A27"/>
    <w:rsid w:val="30B62B49"/>
    <w:rsid w:val="30C909CC"/>
    <w:rsid w:val="30DD37B0"/>
    <w:rsid w:val="30E156D9"/>
    <w:rsid w:val="30F523E0"/>
    <w:rsid w:val="30F57494"/>
    <w:rsid w:val="30F80708"/>
    <w:rsid w:val="30F853DF"/>
    <w:rsid w:val="31045D83"/>
    <w:rsid w:val="31177CB4"/>
    <w:rsid w:val="311B068C"/>
    <w:rsid w:val="31214994"/>
    <w:rsid w:val="31325F24"/>
    <w:rsid w:val="3167764F"/>
    <w:rsid w:val="3171263F"/>
    <w:rsid w:val="31746EE9"/>
    <w:rsid w:val="31766DA3"/>
    <w:rsid w:val="319C3891"/>
    <w:rsid w:val="31A54044"/>
    <w:rsid w:val="31B23A98"/>
    <w:rsid w:val="31B3151A"/>
    <w:rsid w:val="31BE6501"/>
    <w:rsid w:val="31C3579A"/>
    <w:rsid w:val="31C522DB"/>
    <w:rsid w:val="31CF483D"/>
    <w:rsid w:val="31DA0B8E"/>
    <w:rsid w:val="31DF58A9"/>
    <w:rsid w:val="31E6247F"/>
    <w:rsid w:val="31ED2B17"/>
    <w:rsid w:val="31F66949"/>
    <w:rsid w:val="322521E7"/>
    <w:rsid w:val="3225497E"/>
    <w:rsid w:val="322847F8"/>
    <w:rsid w:val="32386C71"/>
    <w:rsid w:val="32403F22"/>
    <w:rsid w:val="32484DED"/>
    <w:rsid w:val="325447B7"/>
    <w:rsid w:val="32616672"/>
    <w:rsid w:val="32617BB1"/>
    <w:rsid w:val="326207A8"/>
    <w:rsid w:val="32690D38"/>
    <w:rsid w:val="3275447A"/>
    <w:rsid w:val="327627D0"/>
    <w:rsid w:val="327D7BAC"/>
    <w:rsid w:val="32811155"/>
    <w:rsid w:val="328D6C7F"/>
    <w:rsid w:val="329D373B"/>
    <w:rsid w:val="329D7FDA"/>
    <w:rsid w:val="32B32C67"/>
    <w:rsid w:val="32B377E0"/>
    <w:rsid w:val="32BB5A14"/>
    <w:rsid w:val="32BC57B2"/>
    <w:rsid w:val="32C166CE"/>
    <w:rsid w:val="32C67BFD"/>
    <w:rsid w:val="32CC41E5"/>
    <w:rsid w:val="32CD7A68"/>
    <w:rsid w:val="32CE5DB1"/>
    <w:rsid w:val="32D050B8"/>
    <w:rsid w:val="32D415F1"/>
    <w:rsid w:val="32E620B2"/>
    <w:rsid w:val="32E90D5A"/>
    <w:rsid w:val="32EC7D02"/>
    <w:rsid w:val="32F666BB"/>
    <w:rsid w:val="32F81F91"/>
    <w:rsid w:val="33167A2C"/>
    <w:rsid w:val="33184710"/>
    <w:rsid w:val="331D5DFF"/>
    <w:rsid w:val="33316A4F"/>
    <w:rsid w:val="33557C7F"/>
    <w:rsid w:val="33563A1C"/>
    <w:rsid w:val="335B5F60"/>
    <w:rsid w:val="33667330"/>
    <w:rsid w:val="33680FC2"/>
    <w:rsid w:val="33687D64"/>
    <w:rsid w:val="336B6871"/>
    <w:rsid w:val="336F6986"/>
    <w:rsid w:val="33724670"/>
    <w:rsid w:val="337B0641"/>
    <w:rsid w:val="338327B8"/>
    <w:rsid w:val="33955FA2"/>
    <w:rsid w:val="339A69BA"/>
    <w:rsid w:val="339C373D"/>
    <w:rsid w:val="33A67485"/>
    <w:rsid w:val="33CA680E"/>
    <w:rsid w:val="33CD1D2B"/>
    <w:rsid w:val="33D6087E"/>
    <w:rsid w:val="33E056E4"/>
    <w:rsid w:val="33E16B78"/>
    <w:rsid w:val="33ED2E8E"/>
    <w:rsid w:val="33F24339"/>
    <w:rsid w:val="33F30699"/>
    <w:rsid w:val="33F43B4A"/>
    <w:rsid w:val="33FE42DF"/>
    <w:rsid w:val="340232F4"/>
    <w:rsid w:val="34096012"/>
    <w:rsid w:val="3427048B"/>
    <w:rsid w:val="342B0B46"/>
    <w:rsid w:val="342F67E2"/>
    <w:rsid w:val="34594333"/>
    <w:rsid w:val="346654F9"/>
    <w:rsid w:val="34786031"/>
    <w:rsid w:val="348818E1"/>
    <w:rsid w:val="34A21E09"/>
    <w:rsid w:val="34B166F0"/>
    <w:rsid w:val="34B16F79"/>
    <w:rsid w:val="34B24B67"/>
    <w:rsid w:val="34CA0368"/>
    <w:rsid w:val="34CC0008"/>
    <w:rsid w:val="34DC751A"/>
    <w:rsid w:val="34E152BB"/>
    <w:rsid w:val="34EE0933"/>
    <w:rsid w:val="34EF3DA5"/>
    <w:rsid w:val="34F0618E"/>
    <w:rsid w:val="34F14D3E"/>
    <w:rsid w:val="34F4508A"/>
    <w:rsid w:val="3521584D"/>
    <w:rsid w:val="35251398"/>
    <w:rsid w:val="352E1B3E"/>
    <w:rsid w:val="3535179C"/>
    <w:rsid w:val="35380D04"/>
    <w:rsid w:val="35463A58"/>
    <w:rsid w:val="35493093"/>
    <w:rsid w:val="3552355C"/>
    <w:rsid w:val="356E4C24"/>
    <w:rsid w:val="35727C93"/>
    <w:rsid w:val="358759BA"/>
    <w:rsid w:val="358B073C"/>
    <w:rsid w:val="359526E7"/>
    <w:rsid w:val="359A11EC"/>
    <w:rsid w:val="359A58E9"/>
    <w:rsid w:val="359F6294"/>
    <w:rsid w:val="35BA1CC4"/>
    <w:rsid w:val="35C651C7"/>
    <w:rsid w:val="35CA3765"/>
    <w:rsid w:val="35D82C04"/>
    <w:rsid w:val="35E32C50"/>
    <w:rsid w:val="35E377F8"/>
    <w:rsid w:val="35E47B4B"/>
    <w:rsid w:val="35E5203B"/>
    <w:rsid w:val="35E97749"/>
    <w:rsid w:val="35EF5351"/>
    <w:rsid w:val="35F13C17"/>
    <w:rsid w:val="360016DD"/>
    <w:rsid w:val="36141E59"/>
    <w:rsid w:val="36265794"/>
    <w:rsid w:val="3628579D"/>
    <w:rsid w:val="36296C1A"/>
    <w:rsid w:val="36300FF3"/>
    <w:rsid w:val="365107A6"/>
    <w:rsid w:val="3655331B"/>
    <w:rsid w:val="365F1BC7"/>
    <w:rsid w:val="36706B22"/>
    <w:rsid w:val="367A6444"/>
    <w:rsid w:val="36AC6F16"/>
    <w:rsid w:val="36D54268"/>
    <w:rsid w:val="36D9658E"/>
    <w:rsid w:val="36E921AB"/>
    <w:rsid w:val="36ED4B0B"/>
    <w:rsid w:val="36F079B5"/>
    <w:rsid w:val="36F42A35"/>
    <w:rsid w:val="36F65C6F"/>
    <w:rsid w:val="36F77E93"/>
    <w:rsid w:val="37040AB5"/>
    <w:rsid w:val="370577DF"/>
    <w:rsid w:val="371D06C5"/>
    <w:rsid w:val="371D4C8E"/>
    <w:rsid w:val="37287433"/>
    <w:rsid w:val="37327918"/>
    <w:rsid w:val="37402797"/>
    <w:rsid w:val="37431F15"/>
    <w:rsid w:val="3744080C"/>
    <w:rsid w:val="37491BB0"/>
    <w:rsid w:val="374A457D"/>
    <w:rsid w:val="3759647E"/>
    <w:rsid w:val="37596543"/>
    <w:rsid w:val="37673ADE"/>
    <w:rsid w:val="376A4AB9"/>
    <w:rsid w:val="377D3A06"/>
    <w:rsid w:val="378C73DC"/>
    <w:rsid w:val="37903849"/>
    <w:rsid w:val="379F42DA"/>
    <w:rsid w:val="37A415BD"/>
    <w:rsid w:val="37B27AFF"/>
    <w:rsid w:val="37B53F1C"/>
    <w:rsid w:val="37D13825"/>
    <w:rsid w:val="37D5093C"/>
    <w:rsid w:val="37E33F70"/>
    <w:rsid w:val="37E4566D"/>
    <w:rsid w:val="37E66707"/>
    <w:rsid w:val="37E7365B"/>
    <w:rsid w:val="37ED1AD8"/>
    <w:rsid w:val="37EE0866"/>
    <w:rsid w:val="37EE4BF1"/>
    <w:rsid w:val="37F81029"/>
    <w:rsid w:val="37FD51B8"/>
    <w:rsid w:val="37FE1A05"/>
    <w:rsid w:val="380C6E1C"/>
    <w:rsid w:val="38154FE1"/>
    <w:rsid w:val="381E7F09"/>
    <w:rsid w:val="38214E99"/>
    <w:rsid w:val="38220D76"/>
    <w:rsid w:val="38243E74"/>
    <w:rsid w:val="38371239"/>
    <w:rsid w:val="383933CD"/>
    <w:rsid w:val="383E3D4F"/>
    <w:rsid w:val="38412981"/>
    <w:rsid w:val="385931C6"/>
    <w:rsid w:val="385A2199"/>
    <w:rsid w:val="385D038F"/>
    <w:rsid w:val="385E0B2F"/>
    <w:rsid w:val="386F129C"/>
    <w:rsid w:val="387E65C1"/>
    <w:rsid w:val="387F68B0"/>
    <w:rsid w:val="38866F61"/>
    <w:rsid w:val="3888043B"/>
    <w:rsid w:val="389117F0"/>
    <w:rsid w:val="389307DD"/>
    <w:rsid w:val="38A35E1B"/>
    <w:rsid w:val="38B574A0"/>
    <w:rsid w:val="38BB25BA"/>
    <w:rsid w:val="38BF0A78"/>
    <w:rsid w:val="38C430B9"/>
    <w:rsid w:val="38D36DCF"/>
    <w:rsid w:val="38D737E0"/>
    <w:rsid w:val="38D83E1C"/>
    <w:rsid w:val="38DA638D"/>
    <w:rsid w:val="38DE7C51"/>
    <w:rsid w:val="38E6065D"/>
    <w:rsid w:val="38EB3452"/>
    <w:rsid w:val="390B753A"/>
    <w:rsid w:val="391541A4"/>
    <w:rsid w:val="39161FEA"/>
    <w:rsid w:val="39162A46"/>
    <w:rsid w:val="39302DDF"/>
    <w:rsid w:val="39330AD4"/>
    <w:rsid w:val="39403992"/>
    <w:rsid w:val="39455C92"/>
    <w:rsid w:val="39472CE8"/>
    <w:rsid w:val="39487399"/>
    <w:rsid w:val="394A4DFF"/>
    <w:rsid w:val="395174D1"/>
    <w:rsid w:val="396A3EFF"/>
    <w:rsid w:val="39984A16"/>
    <w:rsid w:val="39A2212A"/>
    <w:rsid w:val="39B21596"/>
    <w:rsid w:val="39BD0DC4"/>
    <w:rsid w:val="39C04F3D"/>
    <w:rsid w:val="39CB75F7"/>
    <w:rsid w:val="39CC70C5"/>
    <w:rsid w:val="39E528B3"/>
    <w:rsid w:val="3A0F0F3F"/>
    <w:rsid w:val="3A2743DB"/>
    <w:rsid w:val="3A2C0E6D"/>
    <w:rsid w:val="3A324C12"/>
    <w:rsid w:val="3A335A0E"/>
    <w:rsid w:val="3A35641D"/>
    <w:rsid w:val="3A360FC4"/>
    <w:rsid w:val="3A395B59"/>
    <w:rsid w:val="3A3D0030"/>
    <w:rsid w:val="3A414B7F"/>
    <w:rsid w:val="3A47323B"/>
    <w:rsid w:val="3A507028"/>
    <w:rsid w:val="3A5C06B5"/>
    <w:rsid w:val="3A5D2243"/>
    <w:rsid w:val="3A6C1822"/>
    <w:rsid w:val="3A7C3B81"/>
    <w:rsid w:val="3A992884"/>
    <w:rsid w:val="3A9A04B7"/>
    <w:rsid w:val="3AA26EF5"/>
    <w:rsid w:val="3AAE5640"/>
    <w:rsid w:val="3AB17686"/>
    <w:rsid w:val="3AB75291"/>
    <w:rsid w:val="3AC85D79"/>
    <w:rsid w:val="3AE15A2F"/>
    <w:rsid w:val="3AE279BF"/>
    <w:rsid w:val="3AED5FA8"/>
    <w:rsid w:val="3AF70801"/>
    <w:rsid w:val="3AF85579"/>
    <w:rsid w:val="3AFE097A"/>
    <w:rsid w:val="3B135472"/>
    <w:rsid w:val="3B161A39"/>
    <w:rsid w:val="3B1C1386"/>
    <w:rsid w:val="3B1C38E0"/>
    <w:rsid w:val="3B240A35"/>
    <w:rsid w:val="3B2415F7"/>
    <w:rsid w:val="3B2D22F3"/>
    <w:rsid w:val="3B2F490A"/>
    <w:rsid w:val="3B3C3A5F"/>
    <w:rsid w:val="3B4C6A4C"/>
    <w:rsid w:val="3B625F08"/>
    <w:rsid w:val="3B65327C"/>
    <w:rsid w:val="3B760384"/>
    <w:rsid w:val="3B774193"/>
    <w:rsid w:val="3B7D58F1"/>
    <w:rsid w:val="3B9A4FEB"/>
    <w:rsid w:val="3BA1436A"/>
    <w:rsid w:val="3BAA3C2B"/>
    <w:rsid w:val="3BAE68E6"/>
    <w:rsid w:val="3BB4294B"/>
    <w:rsid w:val="3BB667B6"/>
    <w:rsid w:val="3BC949E4"/>
    <w:rsid w:val="3BCB19F5"/>
    <w:rsid w:val="3BCB6036"/>
    <w:rsid w:val="3BCD134B"/>
    <w:rsid w:val="3BCD1769"/>
    <w:rsid w:val="3BEE62A2"/>
    <w:rsid w:val="3BF5376E"/>
    <w:rsid w:val="3BFF467C"/>
    <w:rsid w:val="3C067A42"/>
    <w:rsid w:val="3C0931C2"/>
    <w:rsid w:val="3C141E15"/>
    <w:rsid w:val="3C152A8E"/>
    <w:rsid w:val="3C163548"/>
    <w:rsid w:val="3C196E25"/>
    <w:rsid w:val="3C1C6E07"/>
    <w:rsid w:val="3C227735"/>
    <w:rsid w:val="3C5E39E6"/>
    <w:rsid w:val="3C604D06"/>
    <w:rsid w:val="3C6447F8"/>
    <w:rsid w:val="3C756EFF"/>
    <w:rsid w:val="3C866B9C"/>
    <w:rsid w:val="3C8F4C48"/>
    <w:rsid w:val="3C9B53E8"/>
    <w:rsid w:val="3CAF31CA"/>
    <w:rsid w:val="3CB60009"/>
    <w:rsid w:val="3CBE1C6F"/>
    <w:rsid w:val="3CD95B4D"/>
    <w:rsid w:val="3CE22233"/>
    <w:rsid w:val="3CE81A7C"/>
    <w:rsid w:val="3CEA14BE"/>
    <w:rsid w:val="3CF03696"/>
    <w:rsid w:val="3CF309DA"/>
    <w:rsid w:val="3CF61143"/>
    <w:rsid w:val="3D0B24B6"/>
    <w:rsid w:val="3D112FE9"/>
    <w:rsid w:val="3D1816DB"/>
    <w:rsid w:val="3D200E84"/>
    <w:rsid w:val="3D242473"/>
    <w:rsid w:val="3D322498"/>
    <w:rsid w:val="3D386A2D"/>
    <w:rsid w:val="3D3B39E1"/>
    <w:rsid w:val="3D5246C3"/>
    <w:rsid w:val="3D5A4D9B"/>
    <w:rsid w:val="3D5D109F"/>
    <w:rsid w:val="3D5F0566"/>
    <w:rsid w:val="3D607B26"/>
    <w:rsid w:val="3D6E2ED8"/>
    <w:rsid w:val="3D7E37F1"/>
    <w:rsid w:val="3D80665A"/>
    <w:rsid w:val="3D995592"/>
    <w:rsid w:val="3D9B7D13"/>
    <w:rsid w:val="3DB01B74"/>
    <w:rsid w:val="3DB22121"/>
    <w:rsid w:val="3DB750E0"/>
    <w:rsid w:val="3DC31B09"/>
    <w:rsid w:val="3DCB01B4"/>
    <w:rsid w:val="3DD67EC3"/>
    <w:rsid w:val="3DE044E6"/>
    <w:rsid w:val="3DE26CCB"/>
    <w:rsid w:val="3E032A2B"/>
    <w:rsid w:val="3E0338DD"/>
    <w:rsid w:val="3E0E76A3"/>
    <w:rsid w:val="3E1A36B6"/>
    <w:rsid w:val="3E1D2FCD"/>
    <w:rsid w:val="3E2D0D25"/>
    <w:rsid w:val="3E3C4C34"/>
    <w:rsid w:val="3E425AE5"/>
    <w:rsid w:val="3E4C2099"/>
    <w:rsid w:val="3E666225"/>
    <w:rsid w:val="3E697330"/>
    <w:rsid w:val="3E6B78AD"/>
    <w:rsid w:val="3E71143D"/>
    <w:rsid w:val="3E7576D5"/>
    <w:rsid w:val="3E790E29"/>
    <w:rsid w:val="3E791760"/>
    <w:rsid w:val="3E7A1E86"/>
    <w:rsid w:val="3E886DC0"/>
    <w:rsid w:val="3E8A1D04"/>
    <w:rsid w:val="3E937DE7"/>
    <w:rsid w:val="3EA45424"/>
    <w:rsid w:val="3EB1469D"/>
    <w:rsid w:val="3EB224D1"/>
    <w:rsid w:val="3EB2553E"/>
    <w:rsid w:val="3ED83237"/>
    <w:rsid w:val="3EE5603F"/>
    <w:rsid w:val="3EE956F6"/>
    <w:rsid w:val="3EEA74ED"/>
    <w:rsid w:val="3EEF6B8A"/>
    <w:rsid w:val="3F06406B"/>
    <w:rsid w:val="3F074DE3"/>
    <w:rsid w:val="3F1E10DE"/>
    <w:rsid w:val="3F246766"/>
    <w:rsid w:val="3F250A76"/>
    <w:rsid w:val="3F274041"/>
    <w:rsid w:val="3F430EFB"/>
    <w:rsid w:val="3F473064"/>
    <w:rsid w:val="3F555316"/>
    <w:rsid w:val="3F6A6298"/>
    <w:rsid w:val="3F6B5736"/>
    <w:rsid w:val="3F6F33B2"/>
    <w:rsid w:val="3F7D3354"/>
    <w:rsid w:val="3F803DC6"/>
    <w:rsid w:val="3F824522"/>
    <w:rsid w:val="3F864100"/>
    <w:rsid w:val="3F8C0D3F"/>
    <w:rsid w:val="3F8E25D4"/>
    <w:rsid w:val="3F8F72A3"/>
    <w:rsid w:val="3F924ED8"/>
    <w:rsid w:val="3FA02ED0"/>
    <w:rsid w:val="3FAE3509"/>
    <w:rsid w:val="3FB164F9"/>
    <w:rsid w:val="3FC138BC"/>
    <w:rsid w:val="3FD140EA"/>
    <w:rsid w:val="3FD72465"/>
    <w:rsid w:val="3FDC4DCC"/>
    <w:rsid w:val="3FDF72DD"/>
    <w:rsid w:val="3FE65B91"/>
    <w:rsid w:val="3FEA70C9"/>
    <w:rsid w:val="3FEE1F49"/>
    <w:rsid w:val="3FEF0D33"/>
    <w:rsid w:val="3FF847A1"/>
    <w:rsid w:val="3FFD010D"/>
    <w:rsid w:val="40033B03"/>
    <w:rsid w:val="400B70DF"/>
    <w:rsid w:val="401949D0"/>
    <w:rsid w:val="401A06CA"/>
    <w:rsid w:val="401D5723"/>
    <w:rsid w:val="401F7FA9"/>
    <w:rsid w:val="40201B00"/>
    <w:rsid w:val="40264B87"/>
    <w:rsid w:val="402B6A76"/>
    <w:rsid w:val="403B36D1"/>
    <w:rsid w:val="403B5837"/>
    <w:rsid w:val="403F4787"/>
    <w:rsid w:val="4046131D"/>
    <w:rsid w:val="40472DBE"/>
    <w:rsid w:val="404E0DD7"/>
    <w:rsid w:val="40534AFF"/>
    <w:rsid w:val="40557FBF"/>
    <w:rsid w:val="40577D12"/>
    <w:rsid w:val="406160E7"/>
    <w:rsid w:val="4061780C"/>
    <w:rsid w:val="40646068"/>
    <w:rsid w:val="40660B15"/>
    <w:rsid w:val="40822CD5"/>
    <w:rsid w:val="40836E0E"/>
    <w:rsid w:val="408D41E4"/>
    <w:rsid w:val="408D72F4"/>
    <w:rsid w:val="409A07A9"/>
    <w:rsid w:val="40A24360"/>
    <w:rsid w:val="40AD52E9"/>
    <w:rsid w:val="40AE2A32"/>
    <w:rsid w:val="40B376E6"/>
    <w:rsid w:val="40BE247C"/>
    <w:rsid w:val="40C0464B"/>
    <w:rsid w:val="40D07068"/>
    <w:rsid w:val="40D76248"/>
    <w:rsid w:val="40DE337B"/>
    <w:rsid w:val="40DE730A"/>
    <w:rsid w:val="40E62981"/>
    <w:rsid w:val="40E62F2E"/>
    <w:rsid w:val="40F177F0"/>
    <w:rsid w:val="40F74D54"/>
    <w:rsid w:val="40F75A3B"/>
    <w:rsid w:val="40F80EFD"/>
    <w:rsid w:val="40FA32D9"/>
    <w:rsid w:val="40FD3E21"/>
    <w:rsid w:val="410712CB"/>
    <w:rsid w:val="411179A9"/>
    <w:rsid w:val="41130ED3"/>
    <w:rsid w:val="411462D3"/>
    <w:rsid w:val="412C0F94"/>
    <w:rsid w:val="412D4DAB"/>
    <w:rsid w:val="4137427C"/>
    <w:rsid w:val="41417BCD"/>
    <w:rsid w:val="416F7783"/>
    <w:rsid w:val="41745EB8"/>
    <w:rsid w:val="418374B9"/>
    <w:rsid w:val="4188024F"/>
    <w:rsid w:val="41933065"/>
    <w:rsid w:val="41933E8B"/>
    <w:rsid w:val="419578F9"/>
    <w:rsid w:val="41AA4248"/>
    <w:rsid w:val="41BE2108"/>
    <w:rsid w:val="41BF0840"/>
    <w:rsid w:val="41C21355"/>
    <w:rsid w:val="41D44E53"/>
    <w:rsid w:val="41F04267"/>
    <w:rsid w:val="421F7DBD"/>
    <w:rsid w:val="422C55F7"/>
    <w:rsid w:val="42386C12"/>
    <w:rsid w:val="42581F0F"/>
    <w:rsid w:val="4267581E"/>
    <w:rsid w:val="42680946"/>
    <w:rsid w:val="428F367A"/>
    <w:rsid w:val="42915E0F"/>
    <w:rsid w:val="42941B74"/>
    <w:rsid w:val="42A26893"/>
    <w:rsid w:val="42B87377"/>
    <w:rsid w:val="42BE6108"/>
    <w:rsid w:val="42C5471C"/>
    <w:rsid w:val="42D85B4A"/>
    <w:rsid w:val="42E53DD3"/>
    <w:rsid w:val="42EC1A8F"/>
    <w:rsid w:val="42ED05C5"/>
    <w:rsid w:val="42F440FC"/>
    <w:rsid w:val="43007537"/>
    <w:rsid w:val="43096E00"/>
    <w:rsid w:val="43373A5D"/>
    <w:rsid w:val="434452B2"/>
    <w:rsid w:val="43537822"/>
    <w:rsid w:val="43554E2C"/>
    <w:rsid w:val="437234AF"/>
    <w:rsid w:val="439A1AB1"/>
    <w:rsid w:val="439A3445"/>
    <w:rsid w:val="43A23DD3"/>
    <w:rsid w:val="43A37D22"/>
    <w:rsid w:val="43AC1726"/>
    <w:rsid w:val="43BD16CC"/>
    <w:rsid w:val="43C659A0"/>
    <w:rsid w:val="43D441A9"/>
    <w:rsid w:val="43D65525"/>
    <w:rsid w:val="43D700C1"/>
    <w:rsid w:val="43E0334B"/>
    <w:rsid w:val="43EA65F5"/>
    <w:rsid w:val="43EE4279"/>
    <w:rsid w:val="43F2336C"/>
    <w:rsid w:val="440D08FB"/>
    <w:rsid w:val="44234AB9"/>
    <w:rsid w:val="442E7829"/>
    <w:rsid w:val="44310B49"/>
    <w:rsid w:val="44390CF2"/>
    <w:rsid w:val="443A3C0A"/>
    <w:rsid w:val="443B24C9"/>
    <w:rsid w:val="444314F9"/>
    <w:rsid w:val="44520D67"/>
    <w:rsid w:val="445C6678"/>
    <w:rsid w:val="445D4AB6"/>
    <w:rsid w:val="446F6056"/>
    <w:rsid w:val="4473702F"/>
    <w:rsid w:val="4479214F"/>
    <w:rsid w:val="4480504C"/>
    <w:rsid w:val="449432A7"/>
    <w:rsid w:val="449D0312"/>
    <w:rsid w:val="44A21D28"/>
    <w:rsid w:val="44A4546E"/>
    <w:rsid w:val="44B163F7"/>
    <w:rsid w:val="44B408DE"/>
    <w:rsid w:val="44B46FA2"/>
    <w:rsid w:val="44C04A54"/>
    <w:rsid w:val="44C511E7"/>
    <w:rsid w:val="44CC2506"/>
    <w:rsid w:val="44CC5421"/>
    <w:rsid w:val="44D533DB"/>
    <w:rsid w:val="44DB3730"/>
    <w:rsid w:val="44EC22E1"/>
    <w:rsid w:val="44F715A8"/>
    <w:rsid w:val="44FD7A7E"/>
    <w:rsid w:val="45081814"/>
    <w:rsid w:val="451D7641"/>
    <w:rsid w:val="451F03F8"/>
    <w:rsid w:val="452135B5"/>
    <w:rsid w:val="4522137C"/>
    <w:rsid w:val="4523316F"/>
    <w:rsid w:val="452961BD"/>
    <w:rsid w:val="452A396D"/>
    <w:rsid w:val="452A4D88"/>
    <w:rsid w:val="45495888"/>
    <w:rsid w:val="45544139"/>
    <w:rsid w:val="45575E3C"/>
    <w:rsid w:val="455B2F06"/>
    <w:rsid w:val="45625524"/>
    <w:rsid w:val="456B71F2"/>
    <w:rsid w:val="45750F93"/>
    <w:rsid w:val="457B0D80"/>
    <w:rsid w:val="4588427E"/>
    <w:rsid w:val="458F4A00"/>
    <w:rsid w:val="45955F2E"/>
    <w:rsid w:val="459F0F91"/>
    <w:rsid w:val="45A52418"/>
    <w:rsid w:val="45AC0591"/>
    <w:rsid w:val="45B21560"/>
    <w:rsid w:val="45CF4C59"/>
    <w:rsid w:val="45D066F9"/>
    <w:rsid w:val="45E27B2B"/>
    <w:rsid w:val="45FD3DD3"/>
    <w:rsid w:val="46020B38"/>
    <w:rsid w:val="46023399"/>
    <w:rsid w:val="4604162C"/>
    <w:rsid w:val="460C5D3D"/>
    <w:rsid w:val="46224E44"/>
    <w:rsid w:val="463B55AE"/>
    <w:rsid w:val="46412B3C"/>
    <w:rsid w:val="46475481"/>
    <w:rsid w:val="466351F9"/>
    <w:rsid w:val="466548FC"/>
    <w:rsid w:val="467001B9"/>
    <w:rsid w:val="467A73AF"/>
    <w:rsid w:val="468A6FED"/>
    <w:rsid w:val="46916447"/>
    <w:rsid w:val="46A12324"/>
    <w:rsid w:val="46A876FC"/>
    <w:rsid w:val="46A96971"/>
    <w:rsid w:val="46BE067E"/>
    <w:rsid w:val="46CC35EB"/>
    <w:rsid w:val="46DC49E4"/>
    <w:rsid w:val="46E27B7E"/>
    <w:rsid w:val="46E56894"/>
    <w:rsid w:val="46EF68B9"/>
    <w:rsid w:val="46F01B3B"/>
    <w:rsid w:val="46FC2E01"/>
    <w:rsid w:val="46FF7A69"/>
    <w:rsid w:val="470411D3"/>
    <w:rsid w:val="47105DA2"/>
    <w:rsid w:val="471331F6"/>
    <w:rsid w:val="472D48E6"/>
    <w:rsid w:val="47405A98"/>
    <w:rsid w:val="47405F63"/>
    <w:rsid w:val="474216FC"/>
    <w:rsid w:val="47432C65"/>
    <w:rsid w:val="474456A1"/>
    <w:rsid w:val="475D43F2"/>
    <w:rsid w:val="47675D28"/>
    <w:rsid w:val="477B4679"/>
    <w:rsid w:val="478F46C5"/>
    <w:rsid w:val="479C47FA"/>
    <w:rsid w:val="47A90F89"/>
    <w:rsid w:val="47AF5FC1"/>
    <w:rsid w:val="47BA2AB0"/>
    <w:rsid w:val="47C75FBD"/>
    <w:rsid w:val="47D11A08"/>
    <w:rsid w:val="47D72A66"/>
    <w:rsid w:val="47E5680D"/>
    <w:rsid w:val="47E57A30"/>
    <w:rsid w:val="47E730E6"/>
    <w:rsid w:val="47E80DC6"/>
    <w:rsid w:val="47F818B6"/>
    <w:rsid w:val="47FD0BB6"/>
    <w:rsid w:val="48094368"/>
    <w:rsid w:val="480B68B5"/>
    <w:rsid w:val="481E34A2"/>
    <w:rsid w:val="482A0C93"/>
    <w:rsid w:val="483F6388"/>
    <w:rsid w:val="4841359F"/>
    <w:rsid w:val="485E09D1"/>
    <w:rsid w:val="48773573"/>
    <w:rsid w:val="487A3FA0"/>
    <w:rsid w:val="488C0C47"/>
    <w:rsid w:val="48910364"/>
    <w:rsid w:val="4894065C"/>
    <w:rsid w:val="489F42E4"/>
    <w:rsid w:val="48A209DA"/>
    <w:rsid w:val="48A35BE6"/>
    <w:rsid w:val="48B14A50"/>
    <w:rsid w:val="48B76A6B"/>
    <w:rsid w:val="48B86C82"/>
    <w:rsid w:val="48B956E0"/>
    <w:rsid w:val="48C128E7"/>
    <w:rsid w:val="48C84D57"/>
    <w:rsid w:val="48CA0473"/>
    <w:rsid w:val="48E879CD"/>
    <w:rsid w:val="48F63343"/>
    <w:rsid w:val="48FF396D"/>
    <w:rsid w:val="490D5E32"/>
    <w:rsid w:val="490F51DB"/>
    <w:rsid w:val="49302765"/>
    <w:rsid w:val="49326D57"/>
    <w:rsid w:val="4934252A"/>
    <w:rsid w:val="493D0DE9"/>
    <w:rsid w:val="493D4778"/>
    <w:rsid w:val="49490093"/>
    <w:rsid w:val="494F5F79"/>
    <w:rsid w:val="495805A1"/>
    <w:rsid w:val="495A53F8"/>
    <w:rsid w:val="49625B50"/>
    <w:rsid w:val="49730634"/>
    <w:rsid w:val="49767B6D"/>
    <w:rsid w:val="497751FB"/>
    <w:rsid w:val="497B7D8F"/>
    <w:rsid w:val="497D74D6"/>
    <w:rsid w:val="49AB7433"/>
    <w:rsid w:val="49BE5CF9"/>
    <w:rsid w:val="49C25AF1"/>
    <w:rsid w:val="49E14231"/>
    <w:rsid w:val="49EC38E9"/>
    <w:rsid w:val="49FC1958"/>
    <w:rsid w:val="4A0009D8"/>
    <w:rsid w:val="4A182C4E"/>
    <w:rsid w:val="4A192D1E"/>
    <w:rsid w:val="4A3B7FEC"/>
    <w:rsid w:val="4A443847"/>
    <w:rsid w:val="4A502B9D"/>
    <w:rsid w:val="4A58652C"/>
    <w:rsid w:val="4A5A4C32"/>
    <w:rsid w:val="4A5C3D91"/>
    <w:rsid w:val="4A675564"/>
    <w:rsid w:val="4A676728"/>
    <w:rsid w:val="4A6C4817"/>
    <w:rsid w:val="4A7939F6"/>
    <w:rsid w:val="4A7F7904"/>
    <w:rsid w:val="4A91002F"/>
    <w:rsid w:val="4A9531BA"/>
    <w:rsid w:val="4A983441"/>
    <w:rsid w:val="4AA73359"/>
    <w:rsid w:val="4ACB2505"/>
    <w:rsid w:val="4ACD59B3"/>
    <w:rsid w:val="4AD45EDF"/>
    <w:rsid w:val="4AD63088"/>
    <w:rsid w:val="4ADD5829"/>
    <w:rsid w:val="4AF074FE"/>
    <w:rsid w:val="4AF85F7F"/>
    <w:rsid w:val="4B0510C2"/>
    <w:rsid w:val="4B052BAD"/>
    <w:rsid w:val="4B0C0A77"/>
    <w:rsid w:val="4B0C1F17"/>
    <w:rsid w:val="4B1D007D"/>
    <w:rsid w:val="4B33417A"/>
    <w:rsid w:val="4B3C2D5F"/>
    <w:rsid w:val="4B43519F"/>
    <w:rsid w:val="4B4516E3"/>
    <w:rsid w:val="4B473D7C"/>
    <w:rsid w:val="4B490739"/>
    <w:rsid w:val="4B492FAA"/>
    <w:rsid w:val="4B5317A1"/>
    <w:rsid w:val="4B645481"/>
    <w:rsid w:val="4B6D6789"/>
    <w:rsid w:val="4B7A08F6"/>
    <w:rsid w:val="4B84364A"/>
    <w:rsid w:val="4B847423"/>
    <w:rsid w:val="4B8A12FC"/>
    <w:rsid w:val="4BA07416"/>
    <w:rsid w:val="4BA15A1F"/>
    <w:rsid w:val="4BA80FB2"/>
    <w:rsid w:val="4BAB2340"/>
    <w:rsid w:val="4BB3635C"/>
    <w:rsid w:val="4BB624F2"/>
    <w:rsid w:val="4BD33510"/>
    <w:rsid w:val="4BD40227"/>
    <w:rsid w:val="4BE158A6"/>
    <w:rsid w:val="4BE210FE"/>
    <w:rsid w:val="4BE91245"/>
    <w:rsid w:val="4BEE5222"/>
    <w:rsid w:val="4BF11EF5"/>
    <w:rsid w:val="4C01368D"/>
    <w:rsid w:val="4C08789B"/>
    <w:rsid w:val="4C1F7CAD"/>
    <w:rsid w:val="4C2741AC"/>
    <w:rsid w:val="4C393E13"/>
    <w:rsid w:val="4C3D6E3F"/>
    <w:rsid w:val="4C4234BF"/>
    <w:rsid w:val="4C460FAD"/>
    <w:rsid w:val="4C4F5ABB"/>
    <w:rsid w:val="4C544E3B"/>
    <w:rsid w:val="4C602A24"/>
    <w:rsid w:val="4C6F1FA6"/>
    <w:rsid w:val="4C762B19"/>
    <w:rsid w:val="4C832CF4"/>
    <w:rsid w:val="4C91632E"/>
    <w:rsid w:val="4CB15B6D"/>
    <w:rsid w:val="4CB5193B"/>
    <w:rsid w:val="4CBC1B35"/>
    <w:rsid w:val="4CBD4B38"/>
    <w:rsid w:val="4CCE56D7"/>
    <w:rsid w:val="4CE152F4"/>
    <w:rsid w:val="4CE5492D"/>
    <w:rsid w:val="4CE65D8F"/>
    <w:rsid w:val="4CEF13AC"/>
    <w:rsid w:val="4CFB2842"/>
    <w:rsid w:val="4D084917"/>
    <w:rsid w:val="4D105883"/>
    <w:rsid w:val="4D1A5045"/>
    <w:rsid w:val="4D271FB7"/>
    <w:rsid w:val="4D29409A"/>
    <w:rsid w:val="4D2B5A6D"/>
    <w:rsid w:val="4D4376C6"/>
    <w:rsid w:val="4D4963D8"/>
    <w:rsid w:val="4D692A68"/>
    <w:rsid w:val="4D8B6B25"/>
    <w:rsid w:val="4D92310A"/>
    <w:rsid w:val="4D927517"/>
    <w:rsid w:val="4D9A7FB4"/>
    <w:rsid w:val="4DA07CC2"/>
    <w:rsid w:val="4DA218C8"/>
    <w:rsid w:val="4DA71F8E"/>
    <w:rsid w:val="4DB97833"/>
    <w:rsid w:val="4DC411A9"/>
    <w:rsid w:val="4DCE24E5"/>
    <w:rsid w:val="4DF20FE8"/>
    <w:rsid w:val="4DF50D30"/>
    <w:rsid w:val="4DF7516B"/>
    <w:rsid w:val="4DF80D27"/>
    <w:rsid w:val="4E0C779B"/>
    <w:rsid w:val="4E0F0720"/>
    <w:rsid w:val="4E226209"/>
    <w:rsid w:val="4E242031"/>
    <w:rsid w:val="4E32782D"/>
    <w:rsid w:val="4E366C7F"/>
    <w:rsid w:val="4E486698"/>
    <w:rsid w:val="4E497515"/>
    <w:rsid w:val="4E5F42F3"/>
    <w:rsid w:val="4E62645A"/>
    <w:rsid w:val="4E765B46"/>
    <w:rsid w:val="4E773543"/>
    <w:rsid w:val="4E835D49"/>
    <w:rsid w:val="4E9C54E0"/>
    <w:rsid w:val="4EAD30F5"/>
    <w:rsid w:val="4EAD472D"/>
    <w:rsid w:val="4EB87086"/>
    <w:rsid w:val="4EBA062D"/>
    <w:rsid w:val="4EBA4D95"/>
    <w:rsid w:val="4EBC40BC"/>
    <w:rsid w:val="4EBE7CBA"/>
    <w:rsid w:val="4ED115D3"/>
    <w:rsid w:val="4ED35328"/>
    <w:rsid w:val="4EEC450C"/>
    <w:rsid w:val="4EF21678"/>
    <w:rsid w:val="4F0436D2"/>
    <w:rsid w:val="4F065DAE"/>
    <w:rsid w:val="4F085243"/>
    <w:rsid w:val="4F0F4751"/>
    <w:rsid w:val="4F1756BA"/>
    <w:rsid w:val="4F287318"/>
    <w:rsid w:val="4F2B6DCC"/>
    <w:rsid w:val="4F2D3DC6"/>
    <w:rsid w:val="4F463FFC"/>
    <w:rsid w:val="4F485845"/>
    <w:rsid w:val="4F4C46B0"/>
    <w:rsid w:val="4F5307C3"/>
    <w:rsid w:val="4F5A2274"/>
    <w:rsid w:val="4F6526C5"/>
    <w:rsid w:val="4F672357"/>
    <w:rsid w:val="4F6A0EDD"/>
    <w:rsid w:val="4F6E101C"/>
    <w:rsid w:val="4F784C39"/>
    <w:rsid w:val="4F793A80"/>
    <w:rsid w:val="4F9735BA"/>
    <w:rsid w:val="4F9A34F0"/>
    <w:rsid w:val="4F9B32AD"/>
    <w:rsid w:val="4FA32BB6"/>
    <w:rsid w:val="4FA823E2"/>
    <w:rsid w:val="4FB20A63"/>
    <w:rsid w:val="4FB619F0"/>
    <w:rsid w:val="4FBE5E3B"/>
    <w:rsid w:val="4FC4089E"/>
    <w:rsid w:val="4FD6264A"/>
    <w:rsid w:val="4FED56B0"/>
    <w:rsid w:val="4FEF14C5"/>
    <w:rsid w:val="4FF534DD"/>
    <w:rsid w:val="4FF7651C"/>
    <w:rsid w:val="501C681C"/>
    <w:rsid w:val="502437DF"/>
    <w:rsid w:val="502668B1"/>
    <w:rsid w:val="50294DC0"/>
    <w:rsid w:val="502C312E"/>
    <w:rsid w:val="504701E6"/>
    <w:rsid w:val="504D2962"/>
    <w:rsid w:val="505345C8"/>
    <w:rsid w:val="5061799D"/>
    <w:rsid w:val="50636358"/>
    <w:rsid w:val="50853698"/>
    <w:rsid w:val="50857654"/>
    <w:rsid w:val="508D33B8"/>
    <w:rsid w:val="50970229"/>
    <w:rsid w:val="509800A3"/>
    <w:rsid w:val="509F03AC"/>
    <w:rsid w:val="50A25074"/>
    <w:rsid w:val="50BA15E6"/>
    <w:rsid w:val="50C60989"/>
    <w:rsid w:val="50CD1A1D"/>
    <w:rsid w:val="50D06891"/>
    <w:rsid w:val="50D574AB"/>
    <w:rsid w:val="50ED04D2"/>
    <w:rsid w:val="5107796B"/>
    <w:rsid w:val="51084A3F"/>
    <w:rsid w:val="510C41C6"/>
    <w:rsid w:val="511B709E"/>
    <w:rsid w:val="51227C3E"/>
    <w:rsid w:val="51227DC1"/>
    <w:rsid w:val="5128155D"/>
    <w:rsid w:val="51301849"/>
    <w:rsid w:val="513C4D85"/>
    <w:rsid w:val="513D6716"/>
    <w:rsid w:val="513F7257"/>
    <w:rsid w:val="51457EE2"/>
    <w:rsid w:val="514B67D4"/>
    <w:rsid w:val="514C786D"/>
    <w:rsid w:val="51505775"/>
    <w:rsid w:val="51640AFB"/>
    <w:rsid w:val="516939C9"/>
    <w:rsid w:val="517E79F1"/>
    <w:rsid w:val="517F19B3"/>
    <w:rsid w:val="51874805"/>
    <w:rsid w:val="51A30759"/>
    <w:rsid w:val="51A44301"/>
    <w:rsid w:val="51A67586"/>
    <w:rsid w:val="51B03F2B"/>
    <w:rsid w:val="51B53A8D"/>
    <w:rsid w:val="51B977AB"/>
    <w:rsid w:val="51BF5929"/>
    <w:rsid w:val="51C2675A"/>
    <w:rsid w:val="51C321C0"/>
    <w:rsid w:val="51C80A05"/>
    <w:rsid w:val="51DB0638"/>
    <w:rsid w:val="51DE026E"/>
    <w:rsid w:val="51DE56F0"/>
    <w:rsid w:val="51FF3525"/>
    <w:rsid w:val="520C4428"/>
    <w:rsid w:val="52152BBB"/>
    <w:rsid w:val="52184C96"/>
    <w:rsid w:val="522940AB"/>
    <w:rsid w:val="522B41AB"/>
    <w:rsid w:val="52410C5B"/>
    <w:rsid w:val="5261015D"/>
    <w:rsid w:val="52621C25"/>
    <w:rsid w:val="52752D15"/>
    <w:rsid w:val="527A6AF2"/>
    <w:rsid w:val="528B2C62"/>
    <w:rsid w:val="52932D94"/>
    <w:rsid w:val="52A4202C"/>
    <w:rsid w:val="52AA44C3"/>
    <w:rsid w:val="52B70C28"/>
    <w:rsid w:val="52B75DE2"/>
    <w:rsid w:val="52B87828"/>
    <w:rsid w:val="52BB4154"/>
    <w:rsid w:val="52DE1CCE"/>
    <w:rsid w:val="52E30606"/>
    <w:rsid w:val="52ED0D39"/>
    <w:rsid w:val="53077844"/>
    <w:rsid w:val="53134713"/>
    <w:rsid w:val="53176412"/>
    <w:rsid w:val="531B7E68"/>
    <w:rsid w:val="53257431"/>
    <w:rsid w:val="533363F8"/>
    <w:rsid w:val="533F19F2"/>
    <w:rsid w:val="53401A87"/>
    <w:rsid w:val="53415573"/>
    <w:rsid w:val="53487ED5"/>
    <w:rsid w:val="534965AB"/>
    <w:rsid w:val="5353175A"/>
    <w:rsid w:val="535A0401"/>
    <w:rsid w:val="536078EC"/>
    <w:rsid w:val="536D3BEA"/>
    <w:rsid w:val="537921FC"/>
    <w:rsid w:val="537B65AD"/>
    <w:rsid w:val="539A24BA"/>
    <w:rsid w:val="539B0911"/>
    <w:rsid w:val="53A17D41"/>
    <w:rsid w:val="53A97401"/>
    <w:rsid w:val="53C17881"/>
    <w:rsid w:val="53C73BD7"/>
    <w:rsid w:val="53D11D42"/>
    <w:rsid w:val="53D1600F"/>
    <w:rsid w:val="53EE6ED8"/>
    <w:rsid w:val="53F71F19"/>
    <w:rsid w:val="54214DB2"/>
    <w:rsid w:val="542F3153"/>
    <w:rsid w:val="543A345C"/>
    <w:rsid w:val="544A1F9E"/>
    <w:rsid w:val="545008B9"/>
    <w:rsid w:val="545509EE"/>
    <w:rsid w:val="54560F22"/>
    <w:rsid w:val="545E02DE"/>
    <w:rsid w:val="546053D2"/>
    <w:rsid w:val="54643108"/>
    <w:rsid w:val="546D1D36"/>
    <w:rsid w:val="546F154C"/>
    <w:rsid w:val="546F3C12"/>
    <w:rsid w:val="54704746"/>
    <w:rsid w:val="54740E54"/>
    <w:rsid w:val="5476101E"/>
    <w:rsid w:val="549D5B6F"/>
    <w:rsid w:val="549E4D6D"/>
    <w:rsid w:val="54AF77DB"/>
    <w:rsid w:val="54B01229"/>
    <w:rsid w:val="54B034B9"/>
    <w:rsid w:val="54B82A12"/>
    <w:rsid w:val="54C172C8"/>
    <w:rsid w:val="54C74097"/>
    <w:rsid w:val="54C919FA"/>
    <w:rsid w:val="54CF5ECC"/>
    <w:rsid w:val="54D50A26"/>
    <w:rsid w:val="54E13693"/>
    <w:rsid w:val="54EE1F62"/>
    <w:rsid w:val="550169CD"/>
    <w:rsid w:val="551062F6"/>
    <w:rsid w:val="551F5792"/>
    <w:rsid w:val="552B41A8"/>
    <w:rsid w:val="552B7014"/>
    <w:rsid w:val="552E1F14"/>
    <w:rsid w:val="55317ADF"/>
    <w:rsid w:val="55350158"/>
    <w:rsid w:val="55446DD4"/>
    <w:rsid w:val="554A2436"/>
    <w:rsid w:val="555579F9"/>
    <w:rsid w:val="555E2700"/>
    <w:rsid w:val="5566080C"/>
    <w:rsid w:val="557A56A3"/>
    <w:rsid w:val="55865FA0"/>
    <w:rsid w:val="55937DD2"/>
    <w:rsid w:val="55967EEF"/>
    <w:rsid w:val="559D14F9"/>
    <w:rsid w:val="559E4AB5"/>
    <w:rsid w:val="55BC52DB"/>
    <w:rsid w:val="55C6536F"/>
    <w:rsid w:val="55D46D88"/>
    <w:rsid w:val="55D47278"/>
    <w:rsid w:val="55DD1D3A"/>
    <w:rsid w:val="55E42F09"/>
    <w:rsid w:val="55FA36A0"/>
    <w:rsid w:val="55FC08E0"/>
    <w:rsid w:val="56057E4C"/>
    <w:rsid w:val="560F5CF2"/>
    <w:rsid w:val="56251331"/>
    <w:rsid w:val="56284268"/>
    <w:rsid w:val="563417FB"/>
    <w:rsid w:val="564902D2"/>
    <w:rsid w:val="56617F2B"/>
    <w:rsid w:val="566D5795"/>
    <w:rsid w:val="567F7FE7"/>
    <w:rsid w:val="56836C41"/>
    <w:rsid w:val="568573A3"/>
    <w:rsid w:val="56877891"/>
    <w:rsid w:val="568F11A9"/>
    <w:rsid w:val="56941D42"/>
    <w:rsid w:val="56962A40"/>
    <w:rsid w:val="569755AF"/>
    <w:rsid w:val="569C7855"/>
    <w:rsid w:val="56B20823"/>
    <w:rsid w:val="56C65BD3"/>
    <w:rsid w:val="56E46ECC"/>
    <w:rsid w:val="56E9574A"/>
    <w:rsid w:val="56EA6FDF"/>
    <w:rsid w:val="56EA76B4"/>
    <w:rsid w:val="56F54B9D"/>
    <w:rsid w:val="570B230E"/>
    <w:rsid w:val="570E7A9B"/>
    <w:rsid w:val="57136DA6"/>
    <w:rsid w:val="571B17C8"/>
    <w:rsid w:val="57211EC3"/>
    <w:rsid w:val="572D53EA"/>
    <w:rsid w:val="57497744"/>
    <w:rsid w:val="574B75D2"/>
    <w:rsid w:val="575856B4"/>
    <w:rsid w:val="57592525"/>
    <w:rsid w:val="576C57C6"/>
    <w:rsid w:val="576D3FA0"/>
    <w:rsid w:val="576F73B7"/>
    <w:rsid w:val="57716556"/>
    <w:rsid w:val="578365C5"/>
    <w:rsid w:val="578860DC"/>
    <w:rsid w:val="578A302D"/>
    <w:rsid w:val="579F72CD"/>
    <w:rsid w:val="57A06C3C"/>
    <w:rsid w:val="57C0163E"/>
    <w:rsid w:val="57C11E0B"/>
    <w:rsid w:val="57CA617A"/>
    <w:rsid w:val="57CE0DED"/>
    <w:rsid w:val="57CE5417"/>
    <w:rsid w:val="57CE5F55"/>
    <w:rsid w:val="57CF0F77"/>
    <w:rsid w:val="57D861B8"/>
    <w:rsid w:val="57E00DE2"/>
    <w:rsid w:val="57E21753"/>
    <w:rsid w:val="57E82935"/>
    <w:rsid w:val="57EF0FF6"/>
    <w:rsid w:val="57F01655"/>
    <w:rsid w:val="57F06CB9"/>
    <w:rsid w:val="57F84937"/>
    <w:rsid w:val="580B0E5F"/>
    <w:rsid w:val="580D5D09"/>
    <w:rsid w:val="58231F10"/>
    <w:rsid w:val="58260A4F"/>
    <w:rsid w:val="582B58E0"/>
    <w:rsid w:val="583F6128"/>
    <w:rsid w:val="58643BB2"/>
    <w:rsid w:val="586D4ADE"/>
    <w:rsid w:val="58731218"/>
    <w:rsid w:val="587A405B"/>
    <w:rsid w:val="58855EFA"/>
    <w:rsid w:val="588760AB"/>
    <w:rsid w:val="588C7904"/>
    <w:rsid w:val="58AD791B"/>
    <w:rsid w:val="58AE227D"/>
    <w:rsid w:val="58B024A6"/>
    <w:rsid w:val="58B421F1"/>
    <w:rsid w:val="58B531C8"/>
    <w:rsid w:val="58C755A8"/>
    <w:rsid w:val="58C82F08"/>
    <w:rsid w:val="58DC4756"/>
    <w:rsid w:val="58E01EE2"/>
    <w:rsid w:val="58ED1174"/>
    <w:rsid w:val="58F63137"/>
    <w:rsid w:val="59040609"/>
    <w:rsid w:val="593A0BD0"/>
    <w:rsid w:val="594F07A1"/>
    <w:rsid w:val="595513AF"/>
    <w:rsid w:val="59575208"/>
    <w:rsid w:val="595E178F"/>
    <w:rsid w:val="596326ED"/>
    <w:rsid w:val="597725A2"/>
    <w:rsid w:val="5979451B"/>
    <w:rsid w:val="59796F2C"/>
    <w:rsid w:val="597B6F2E"/>
    <w:rsid w:val="5986066D"/>
    <w:rsid w:val="598C65D1"/>
    <w:rsid w:val="59900046"/>
    <w:rsid w:val="59901943"/>
    <w:rsid w:val="599113D8"/>
    <w:rsid w:val="5999618E"/>
    <w:rsid w:val="599E4A32"/>
    <w:rsid w:val="599E52A4"/>
    <w:rsid w:val="59A501A9"/>
    <w:rsid w:val="59A8214C"/>
    <w:rsid w:val="59A95CFE"/>
    <w:rsid w:val="59BB2CB6"/>
    <w:rsid w:val="59BC4885"/>
    <w:rsid w:val="59C10BF9"/>
    <w:rsid w:val="59C12EE9"/>
    <w:rsid w:val="59C64207"/>
    <w:rsid w:val="59DD33FF"/>
    <w:rsid w:val="59E762E5"/>
    <w:rsid w:val="59EB69E4"/>
    <w:rsid w:val="59F24B7E"/>
    <w:rsid w:val="59F74F4B"/>
    <w:rsid w:val="59FC1B2D"/>
    <w:rsid w:val="5A000A32"/>
    <w:rsid w:val="5A11553A"/>
    <w:rsid w:val="5A176BFD"/>
    <w:rsid w:val="5A312AB2"/>
    <w:rsid w:val="5A32474F"/>
    <w:rsid w:val="5A4002EB"/>
    <w:rsid w:val="5A4056A2"/>
    <w:rsid w:val="5A5469AC"/>
    <w:rsid w:val="5A74149B"/>
    <w:rsid w:val="5A7C0747"/>
    <w:rsid w:val="5A945A6B"/>
    <w:rsid w:val="5AA623FA"/>
    <w:rsid w:val="5AA961F5"/>
    <w:rsid w:val="5AAB14CE"/>
    <w:rsid w:val="5AB67032"/>
    <w:rsid w:val="5AD3273F"/>
    <w:rsid w:val="5ADA1926"/>
    <w:rsid w:val="5AE763C2"/>
    <w:rsid w:val="5AF42BE0"/>
    <w:rsid w:val="5AF45B6F"/>
    <w:rsid w:val="5B054BDF"/>
    <w:rsid w:val="5B0702C7"/>
    <w:rsid w:val="5B071E32"/>
    <w:rsid w:val="5B07490D"/>
    <w:rsid w:val="5B0A7104"/>
    <w:rsid w:val="5B0F0CD5"/>
    <w:rsid w:val="5B1153E2"/>
    <w:rsid w:val="5B124252"/>
    <w:rsid w:val="5B124712"/>
    <w:rsid w:val="5B144C15"/>
    <w:rsid w:val="5B177388"/>
    <w:rsid w:val="5B256FA3"/>
    <w:rsid w:val="5B3B727A"/>
    <w:rsid w:val="5B3F0948"/>
    <w:rsid w:val="5B4554E5"/>
    <w:rsid w:val="5B530A5F"/>
    <w:rsid w:val="5B5539FE"/>
    <w:rsid w:val="5B9425FE"/>
    <w:rsid w:val="5B9656AE"/>
    <w:rsid w:val="5B9B10B1"/>
    <w:rsid w:val="5BA83F49"/>
    <w:rsid w:val="5BB07D0E"/>
    <w:rsid w:val="5BB61073"/>
    <w:rsid w:val="5BBB3018"/>
    <w:rsid w:val="5BBE07A9"/>
    <w:rsid w:val="5BC67DAE"/>
    <w:rsid w:val="5BDC1A98"/>
    <w:rsid w:val="5BF448A5"/>
    <w:rsid w:val="5BF465E5"/>
    <w:rsid w:val="5C071544"/>
    <w:rsid w:val="5C0C5340"/>
    <w:rsid w:val="5C1D2993"/>
    <w:rsid w:val="5C223376"/>
    <w:rsid w:val="5C293C1E"/>
    <w:rsid w:val="5C310400"/>
    <w:rsid w:val="5C3B23A8"/>
    <w:rsid w:val="5C3C0960"/>
    <w:rsid w:val="5C5F0238"/>
    <w:rsid w:val="5C687C18"/>
    <w:rsid w:val="5C6D2F81"/>
    <w:rsid w:val="5C71180B"/>
    <w:rsid w:val="5C82737A"/>
    <w:rsid w:val="5C8450A4"/>
    <w:rsid w:val="5C8E0BBF"/>
    <w:rsid w:val="5C952632"/>
    <w:rsid w:val="5CA442C0"/>
    <w:rsid w:val="5CAF3952"/>
    <w:rsid w:val="5CB2466E"/>
    <w:rsid w:val="5CBC5220"/>
    <w:rsid w:val="5CC863AF"/>
    <w:rsid w:val="5CCB25AA"/>
    <w:rsid w:val="5CD122E2"/>
    <w:rsid w:val="5CE716A2"/>
    <w:rsid w:val="5CF465A7"/>
    <w:rsid w:val="5CF80DA1"/>
    <w:rsid w:val="5D1152AF"/>
    <w:rsid w:val="5D122F42"/>
    <w:rsid w:val="5D13277B"/>
    <w:rsid w:val="5D261F01"/>
    <w:rsid w:val="5D3F1487"/>
    <w:rsid w:val="5D417183"/>
    <w:rsid w:val="5D4A05C9"/>
    <w:rsid w:val="5D5757D7"/>
    <w:rsid w:val="5D7122B9"/>
    <w:rsid w:val="5D856508"/>
    <w:rsid w:val="5D8F59BF"/>
    <w:rsid w:val="5D97130E"/>
    <w:rsid w:val="5D99666A"/>
    <w:rsid w:val="5DA22CA8"/>
    <w:rsid w:val="5DA433DE"/>
    <w:rsid w:val="5DBE4B3E"/>
    <w:rsid w:val="5DD544E7"/>
    <w:rsid w:val="5DD76767"/>
    <w:rsid w:val="5DE01D94"/>
    <w:rsid w:val="5DE43A13"/>
    <w:rsid w:val="5DEF2063"/>
    <w:rsid w:val="5E0214A2"/>
    <w:rsid w:val="5E194201"/>
    <w:rsid w:val="5E277411"/>
    <w:rsid w:val="5E4664B3"/>
    <w:rsid w:val="5E4C33E8"/>
    <w:rsid w:val="5E520DDB"/>
    <w:rsid w:val="5E5A48CF"/>
    <w:rsid w:val="5E7A1E9D"/>
    <w:rsid w:val="5E99422F"/>
    <w:rsid w:val="5EA7111E"/>
    <w:rsid w:val="5EA87DAF"/>
    <w:rsid w:val="5EAB20C8"/>
    <w:rsid w:val="5EAF0AAE"/>
    <w:rsid w:val="5EB352DB"/>
    <w:rsid w:val="5EB461F5"/>
    <w:rsid w:val="5EC210C6"/>
    <w:rsid w:val="5ECA752D"/>
    <w:rsid w:val="5ED510A9"/>
    <w:rsid w:val="5ED9588F"/>
    <w:rsid w:val="5EDA24F3"/>
    <w:rsid w:val="5EDB1AE4"/>
    <w:rsid w:val="5EDB2570"/>
    <w:rsid w:val="5EEA4000"/>
    <w:rsid w:val="5EEB7F32"/>
    <w:rsid w:val="5EEE63C3"/>
    <w:rsid w:val="5EF37D51"/>
    <w:rsid w:val="5EF47BD8"/>
    <w:rsid w:val="5EF51D68"/>
    <w:rsid w:val="5EF57063"/>
    <w:rsid w:val="5EF9172B"/>
    <w:rsid w:val="5F02308A"/>
    <w:rsid w:val="5F0D6341"/>
    <w:rsid w:val="5F3C264A"/>
    <w:rsid w:val="5F404B76"/>
    <w:rsid w:val="5F4B43FA"/>
    <w:rsid w:val="5F4B55B6"/>
    <w:rsid w:val="5F526256"/>
    <w:rsid w:val="5F631E0F"/>
    <w:rsid w:val="5F67570E"/>
    <w:rsid w:val="5F6968C7"/>
    <w:rsid w:val="5F71130A"/>
    <w:rsid w:val="5F8222C9"/>
    <w:rsid w:val="5FAF2A65"/>
    <w:rsid w:val="5FB667EF"/>
    <w:rsid w:val="5FBC4558"/>
    <w:rsid w:val="5FC96D45"/>
    <w:rsid w:val="5FD76ECB"/>
    <w:rsid w:val="5FE50461"/>
    <w:rsid w:val="5FF03B7B"/>
    <w:rsid w:val="5FF74951"/>
    <w:rsid w:val="5FFE2805"/>
    <w:rsid w:val="60065AA7"/>
    <w:rsid w:val="60074BE5"/>
    <w:rsid w:val="600C5758"/>
    <w:rsid w:val="60193936"/>
    <w:rsid w:val="603C1F9A"/>
    <w:rsid w:val="60497B11"/>
    <w:rsid w:val="605C35F0"/>
    <w:rsid w:val="60622F52"/>
    <w:rsid w:val="60631009"/>
    <w:rsid w:val="60636B31"/>
    <w:rsid w:val="60762011"/>
    <w:rsid w:val="60A764D2"/>
    <w:rsid w:val="60AA24C3"/>
    <w:rsid w:val="60BF174F"/>
    <w:rsid w:val="60C465E3"/>
    <w:rsid w:val="60DC7CAC"/>
    <w:rsid w:val="60E51E0F"/>
    <w:rsid w:val="60E64F58"/>
    <w:rsid w:val="60EF3DE6"/>
    <w:rsid w:val="60F051A1"/>
    <w:rsid w:val="60F12F0B"/>
    <w:rsid w:val="60F53872"/>
    <w:rsid w:val="60FC0CA9"/>
    <w:rsid w:val="60FD51AE"/>
    <w:rsid w:val="60FE18C2"/>
    <w:rsid w:val="610C1348"/>
    <w:rsid w:val="611159D0"/>
    <w:rsid w:val="613B76A5"/>
    <w:rsid w:val="61415463"/>
    <w:rsid w:val="614233A0"/>
    <w:rsid w:val="61480A8F"/>
    <w:rsid w:val="614E2873"/>
    <w:rsid w:val="616960B7"/>
    <w:rsid w:val="616D4530"/>
    <w:rsid w:val="6178763D"/>
    <w:rsid w:val="61881189"/>
    <w:rsid w:val="61935EE5"/>
    <w:rsid w:val="61982223"/>
    <w:rsid w:val="619D2DE9"/>
    <w:rsid w:val="61A94B8A"/>
    <w:rsid w:val="61BD1825"/>
    <w:rsid w:val="61C97F53"/>
    <w:rsid w:val="61CC1E02"/>
    <w:rsid w:val="61D2230E"/>
    <w:rsid w:val="61DF0D1F"/>
    <w:rsid w:val="61E02A4A"/>
    <w:rsid w:val="61E259A8"/>
    <w:rsid w:val="61E64060"/>
    <w:rsid w:val="621C616D"/>
    <w:rsid w:val="6221258E"/>
    <w:rsid w:val="6239057C"/>
    <w:rsid w:val="6239557E"/>
    <w:rsid w:val="624E7039"/>
    <w:rsid w:val="625472E1"/>
    <w:rsid w:val="626D5765"/>
    <w:rsid w:val="6272433A"/>
    <w:rsid w:val="628073DB"/>
    <w:rsid w:val="628677B5"/>
    <w:rsid w:val="628D469A"/>
    <w:rsid w:val="62B43276"/>
    <w:rsid w:val="62BF7695"/>
    <w:rsid w:val="62C44F77"/>
    <w:rsid w:val="62D27BAF"/>
    <w:rsid w:val="62D43AB8"/>
    <w:rsid w:val="62DB131D"/>
    <w:rsid w:val="62E76403"/>
    <w:rsid w:val="62E82A09"/>
    <w:rsid w:val="62FF7577"/>
    <w:rsid w:val="630C7A8C"/>
    <w:rsid w:val="630F7340"/>
    <w:rsid w:val="63101042"/>
    <w:rsid w:val="63147933"/>
    <w:rsid w:val="631F38EE"/>
    <w:rsid w:val="63475F1B"/>
    <w:rsid w:val="63501F3B"/>
    <w:rsid w:val="6358087C"/>
    <w:rsid w:val="635A64BE"/>
    <w:rsid w:val="637569B2"/>
    <w:rsid w:val="637A5774"/>
    <w:rsid w:val="63A8690E"/>
    <w:rsid w:val="63AB78F6"/>
    <w:rsid w:val="63BC456C"/>
    <w:rsid w:val="63C5530C"/>
    <w:rsid w:val="63D464D8"/>
    <w:rsid w:val="63D95197"/>
    <w:rsid w:val="63FD122E"/>
    <w:rsid w:val="63FD6E15"/>
    <w:rsid w:val="640667D4"/>
    <w:rsid w:val="640D22C2"/>
    <w:rsid w:val="641C5084"/>
    <w:rsid w:val="64202C25"/>
    <w:rsid w:val="64261E4D"/>
    <w:rsid w:val="642F576B"/>
    <w:rsid w:val="643224B1"/>
    <w:rsid w:val="64337966"/>
    <w:rsid w:val="64451C8F"/>
    <w:rsid w:val="644753AB"/>
    <w:rsid w:val="644B5969"/>
    <w:rsid w:val="64511AA1"/>
    <w:rsid w:val="645270CD"/>
    <w:rsid w:val="64544542"/>
    <w:rsid w:val="645D2FEE"/>
    <w:rsid w:val="646060B0"/>
    <w:rsid w:val="64610C94"/>
    <w:rsid w:val="646403B2"/>
    <w:rsid w:val="64654742"/>
    <w:rsid w:val="64680CAD"/>
    <w:rsid w:val="64716BC8"/>
    <w:rsid w:val="64BD5616"/>
    <w:rsid w:val="64D05421"/>
    <w:rsid w:val="64D40F11"/>
    <w:rsid w:val="64D43BB1"/>
    <w:rsid w:val="64D46C3B"/>
    <w:rsid w:val="64D97511"/>
    <w:rsid w:val="64DE6AF0"/>
    <w:rsid w:val="64E231BA"/>
    <w:rsid w:val="64E73ED1"/>
    <w:rsid w:val="64FD0EE5"/>
    <w:rsid w:val="64FE14BE"/>
    <w:rsid w:val="64FF1717"/>
    <w:rsid w:val="65052DC0"/>
    <w:rsid w:val="6507607A"/>
    <w:rsid w:val="65222AC6"/>
    <w:rsid w:val="652A3D4D"/>
    <w:rsid w:val="652A709A"/>
    <w:rsid w:val="652C2653"/>
    <w:rsid w:val="6532373D"/>
    <w:rsid w:val="65352068"/>
    <w:rsid w:val="65390642"/>
    <w:rsid w:val="654F5CD6"/>
    <w:rsid w:val="65681C40"/>
    <w:rsid w:val="65703E31"/>
    <w:rsid w:val="65861335"/>
    <w:rsid w:val="658725D0"/>
    <w:rsid w:val="65874761"/>
    <w:rsid w:val="65986070"/>
    <w:rsid w:val="659D12FC"/>
    <w:rsid w:val="65A15251"/>
    <w:rsid w:val="65B07755"/>
    <w:rsid w:val="65BE0A85"/>
    <w:rsid w:val="65BE286F"/>
    <w:rsid w:val="65BE6299"/>
    <w:rsid w:val="65C54066"/>
    <w:rsid w:val="65CC77FF"/>
    <w:rsid w:val="65CD170E"/>
    <w:rsid w:val="65D06860"/>
    <w:rsid w:val="65D6792C"/>
    <w:rsid w:val="65D93FD0"/>
    <w:rsid w:val="65EB6188"/>
    <w:rsid w:val="66005434"/>
    <w:rsid w:val="66014531"/>
    <w:rsid w:val="66071A27"/>
    <w:rsid w:val="660D773F"/>
    <w:rsid w:val="661148BB"/>
    <w:rsid w:val="66142EF3"/>
    <w:rsid w:val="661B1975"/>
    <w:rsid w:val="66250163"/>
    <w:rsid w:val="662954BF"/>
    <w:rsid w:val="66314089"/>
    <w:rsid w:val="664C7E5B"/>
    <w:rsid w:val="66585E6F"/>
    <w:rsid w:val="66601A16"/>
    <w:rsid w:val="666940A1"/>
    <w:rsid w:val="66697903"/>
    <w:rsid w:val="666C48B2"/>
    <w:rsid w:val="6678753E"/>
    <w:rsid w:val="66833198"/>
    <w:rsid w:val="668F0090"/>
    <w:rsid w:val="66930BCF"/>
    <w:rsid w:val="669E4E46"/>
    <w:rsid w:val="66A91B94"/>
    <w:rsid w:val="66AD38D2"/>
    <w:rsid w:val="66C671F9"/>
    <w:rsid w:val="66CE2012"/>
    <w:rsid w:val="66D36E16"/>
    <w:rsid w:val="66D55130"/>
    <w:rsid w:val="66D659BE"/>
    <w:rsid w:val="66D74DE1"/>
    <w:rsid w:val="66DD2D03"/>
    <w:rsid w:val="66DD5641"/>
    <w:rsid w:val="66DE2AC5"/>
    <w:rsid w:val="66FB79D0"/>
    <w:rsid w:val="66FF30DD"/>
    <w:rsid w:val="670248FD"/>
    <w:rsid w:val="670E6634"/>
    <w:rsid w:val="671D4811"/>
    <w:rsid w:val="672C2727"/>
    <w:rsid w:val="67392F67"/>
    <w:rsid w:val="676B07FC"/>
    <w:rsid w:val="67892A30"/>
    <w:rsid w:val="678A1033"/>
    <w:rsid w:val="67AB22E1"/>
    <w:rsid w:val="67BE276F"/>
    <w:rsid w:val="67C769F8"/>
    <w:rsid w:val="67CE03F3"/>
    <w:rsid w:val="67CE3081"/>
    <w:rsid w:val="67D11DF2"/>
    <w:rsid w:val="67D15A64"/>
    <w:rsid w:val="67E50FB8"/>
    <w:rsid w:val="67F40F61"/>
    <w:rsid w:val="67F939ED"/>
    <w:rsid w:val="6814130C"/>
    <w:rsid w:val="68371A45"/>
    <w:rsid w:val="683C3B34"/>
    <w:rsid w:val="684225FF"/>
    <w:rsid w:val="68466F14"/>
    <w:rsid w:val="684E7F3E"/>
    <w:rsid w:val="6850739E"/>
    <w:rsid w:val="685713E3"/>
    <w:rsid w:val="6859650F"/>
    <w:rsid w:val="68596C41"/>
    <w:rsid w:val="68623BE2"/>
    <w:rsid w:val="686860C7"/>
    <w:rsid w:val="686D266F"/>
    <w:rsid w:val="68762A09"/>
    <w:rsid w:val="6893583B"/>
    <w:rsid w:val="68A22858"/>
    <w:rsid w:val="68A34A1A"/>
    <w:rsid w:val="68AF70CB"/>
    <w:rsid w:val="68B44AAA"/>
    <w:rsid w:val="68B63758"/>
    <w:rsid w:val="68C67195"/>
    <w:rsid w:val="68CB528F"/>
    <w:rsid w:val="68D64936"/>
    <w:rsid w:val="68D835A7"/>
    <w:rsid w:val="68D85C67"/>
    <w:rsid w:val="68E950A2"/>
    <w:rsid w:val="68EE6D45"/>
    <w:rsid w:val="68F262FB"/>
    <w:rsid w:val="69182D95"/>
    <w:rsid w:val="691E5913"/>
    <w:rsid w:val="69254B03"/>
    <w:rsid w:val="692D28D0"/>
    <w:rsid w:val="693C50ED"/>
    <w:rsid w:val="69556721"/>
    <w:rsid w:val="695660E0"/>
    <w:rsid w:val="695B566B"/>
    <w:rsid w:val="695F3B76"/>
    <w:rsid w:val="6977147D"/>
    <w:rsid w:val="697E527C"/>
    <w:rsid w:val="698E687F"/>
    <w:rsid w:val="699740CB"/>
    <w:rsid w:val="69A22A6D"/>
    <w:rsid w:val="69B9612C"/>
    <w:rsid w:val="69C009BB"/>
    <w:rsid w:val="69C03800"/>
    <w:rsid w:val="69CD731B"/>
    <w:rsid w:val="69E406D6"/>
    <w:rsid w:val="69E65148"/>
    <w:rsid w:val="69F30545"/>
    <w:rsid w:val="6A146FED"/>
    <w:rsid w:val="6A191109"/>
    <w:rsid w:val="6A22280F"/>
    <w:rsid w:val="6A2344AA"/>
    <w:rsid w:val="6A2B28CB"/>
    <w:rsid w:val="6A446772"/>
    <w:rsid w:val="6A5C6F5B"/>
    <w:rsid w:val="6A77703B"/>
    <w:rsid w:val="6A7E1DE9"/>
    <w:rsid w:val="6A9932EE"/>
    <w:rsid w:val="6AC647BD"/>
    <w:rsid w:val="6AD266B2"/>
    <w:rsid w:val="6AD36262"/>
    <w:rsid w:val="6ADB464B"/>
    <w:rsid w:val="6AE32C84"/>
    <w:rsid w:val="6AE4014E"/>
    <w:rsid w:val="6AE44C5B"/>
    <w:rsid w:val="6AF9003D"/>
    <w:rsid w:val="6AFC52B1"/>
    <w:rsid w:val="6AFE4B96"/>
    <w:rsid w:val="6AFF793F"/>
    <w:rsid w:val="6B0E2A20"/>
    <w:rsid w:val="6B10223D"/>
    <w:rsid w:val="6B4E56D4"/>
    <w:rsid w:val="6B515E39"/>
    <w:rsid w:val="6B580713"/>
    <w:rsid w:val="6B5B17FF"/>
    <w:rsid w:val="6B6C76BC"/>
    <w:rsid w:val="6B6F153C"/>
    <w:rsid w:val="6B7C279C"/>
    <w:rsid w:val="6B8141FA"/>
    <w:rsid w:val="6B862421"/>
    <w:rsid w:val="6B8C6F93"/>
    <w:rsid w:val="6BA2560E"/>
    <w:rsid w:val="6BAA53AC"/>
    <w:rsid w:val="6BAA605B"/>
    <w:rsid w:val="6BAD203B"/>
    <w:rsid w:val="6BB9469F"/>
    <w:rsid w:val="6BBB54B2"/>
    <w:rsid w:val="6BC369DA"/>
    <w:rsid w:val="6BC9041D"/>
    <w:rsid w:val="6BD11758"/>
    <w:rsid w:val="6BD7494C"/>
    <w:rsid w:val="6BEB17C8"/>
    <w:rsid w:val="6BEB2489"/>
    <w:rsid w:val="6BEE5FF0"/>
    <w:rsid w:val="6BEF6318"/>
    <w:rsid w:val="6BEF7CC8"/>
    <w:rsid w:val="6BF0154C"/>
    <w:rsid w:val="6C157858"/>
    <w:rsid w:val="6C223336"/>
    <w:rsid w:val="6C3604E3"/>
    <w:rsid w:val="6C3B14ED"/>
    <w:rsid w:val="6C3B30D7"/>
    <w:rsid w:val="6C4657A5"/>
    <w:rsid w:val="6C473936"/>
    <w:rsid w:val="6C5B62C8"/>
    <w:rsid w:val="6C6848A1"/>
    <w:rsid w:val="6C7A44CF"/>
    <w:rsid w:val="6C86270B"/>
    <w:rsid w:val="6C894E08"/>
    <w:rsid w:val="6C8D5450"/>
    <w:rsid w:val="6C983628"/>
    <w:rsid w:val="6CAC2215"/>
    <w:rsid w:val="6CB60BF8"/>
    <w:rsid w:val="6CBF3A5B"/>
    <w:rsid w:val="6CD2031E"/>
    <w:rsid w:val="6CE6212E"/>
    <w:rsid w:val="6CE727F8"/>
    <w:rsid w:val="6CF0234B"/>
    <w:rsid w:val="6CF712DF"/>
    <w:rsid w:val="6CFA54D0"/>
    <w:rsid w:val="6D0240E7"/>
    <w:rsid w:val="6D0417E8"/>
    <w:rsid w:val="6D073A75"/>
    <w:rsid w:val="6D087337"/>
    <w:rsid w:val="6D1019AB"/>
    <w:rsid w:val="6D116084"/>
    <w:rsid w:val="6D17542B"/>
    <w:rsid w:val="6D270AA3"/>
    <w:rsid w:val="6D32320E"/>
    <w:rsid w:val="6D335EE7"/>
    <w:rsid w:val="6D356BD3"/>
    <w:rsid w:val="6D402CB1"/>
    <w:rsid w:val="6D524436"/>
    <w:rsid w:val="6D606638"/>
    <w:rsid w:val="6D6457AB"/>
    <w:rsid w:val="6D6C58AC"/>
    <w:rsid w:val="6D765C85"/>
    <w:rsid w:val="6D7B7653"/>
    <w:rsid w:val="6D832D42"/>
    <w:rsid w:val="6D8831B2"/>
    <w:rsid w:val="6D8E0172"/>
    <w:rsid w:val="6D9C0135"/>
    <w:rsid w:val="6DA5796B"/>
    <w:rsid w:val="6DAA052B"/>
    <w:rsid w:val="6DAB251D"/>
    <w:rsid w:val="6DB06FCA"/>
    <w:rsid w:val="6DB30367"/>
    <w:rsid w:val="6DB34411"/>
    <w:rsid w:val="6DC42DE7"/>
    <w:rsid w:val="6DC71A17"/>
    <w:rsid w:val="6DD715C1"/>
    <w:rsid w:val="6DDE620C"/>
    <w:rsid w:val="6DF544AA"/>
    <w:rsid w:val="6E0537AB"/>
    <w:rsid w:val="6E210E8D"/>
    <w:rsid w:val="6E362F25"/>
    <w:rsid w:val="6E4919C0"/>
    <w:rsid w:val="6E55250B"/>
    <w:rsid w:val="6E587749"/>
    <w:rsid w:val="6E5C0265"/>
    <w:rsid w:val="6E680597"/>
    <w:rsid w:val="6E6B57C3"/>
    <w:rsid w:val="6E83431E"/>
    <w:rsid w:val="6E86034A"/>
    <w:rsid w:val="6E8C3BD9"/>
    <w:rsid w:val="6E946119"/>
    <w:rsid w:val="6E977A01"/>
    <w:rsid w:val="6EA5025E"/>
    <w:rsid w:val="6EA94F41"/>
    <w:rsid w:val="6EB14C0A"/>
    <w:rsid w:val="6EB367B4"/>
    <w:rsid w:val="6EC56AA2"/>
    <w:rsid w:val="6ECA3990"/>
    <w:rsid w:val="6EDA5882"/>
    <w:rsid w:val="6EF00D3B"/>
    <w:rsid w:val="6EF41717"/>
    <w:rsid w:val="6F0238BA"/>
    <w:rsid w:val="6F125A01"/>
    <w:rsid w:val="6F1A4757"/>
    <w:rsid w:val="6F2A21E0"/>
    <w:rsid w:val="6F32730A"/>
    <w:rsid w:val="6F386D10"/>
    <w:rsid w:val="6F52459C"/>
    <w:rsid w:val="6F5B4B08"/>
    <w:rsid w:val="6F5D5CA1"/>
    <w:rsid w:val="6F5E6BBD"/>
    <w:rsid w:val="6F607D06"/>
    <w:rsid w:val="6F683873"/>
    <w:rsid w:val="6F6E4719"/>
    <w:rsid w:val="6F6E7838"/>
    <w:rsid w:val="6F747267"/>
    <w:rsid w:val="6F760412"/>
    <w:rsid w:val="6F826DD7"/>
    <w:rsid w:val="6F89280C"/>
    <w:rsid w:val="6F8E1945"/>
    <w:rsid w:val="6F906888"/>
    <w:rsid w:val="6F9F65A3"/>
    <w:rsid w:val="6FA50D0B"/>
    <w:rsid w:val="6FB3608A"/>
    <w:rsid w:val="6FB41079"/>
    <w:rsid w:val="6FB42B0F"/>
    <w:rsid w:val="6FC07487"/>
    <w:rsid w:val="6FC714A1"/>
    <w:rsid w:val="6FCA4496"/>
    <w:rsid w:val="6FD23A7D"/>
    <w:rsid w:val="6FD258C2"/>
    <w:rsid w:val="6FDB080A"/>
    <w:rsid w:val="6FE14E3D"/>
    <w:rsid w:val="6FE60388"/>
    <w:rsid w:val="6FEB6904"/>
    <w:rsid w:val="6FED1473"/>
    <w:rsid w:val="6FF13575"/>
    <w:rsid w:val="70094676"/>
    <w:rsid w:val="700B2E7E"/>
    <w:rsid w:val="701D1C45"/>
    <w:rsid w:val="70201CD9"/>
    <w:rsid w:val="70273E2D"/>
    <w:rsid w:val="702A7789"/>
    <w:rsid w:val="702F3769"/>
    <w:rsid w:val="70386443"/>
    <w:rsid w:val="705E15EC"/>
    <w:rsid w:val="705E2865"/>
    <w:rsid w:val="7062754F"/>
    <w:rsid w:val="706763CB"/>
    <w:rsid w:val="706926A4"/>
    <w:rsid w:val="70706374"/>
    <w:rsid w:val="707A7390"/>
    <w:rsid w:val="707C202A"/>
    <w:rsid w:val="707E6C6A"/>
    <w:rsid w:val="70852536"/>
    <w:rsid w:val="708A3D15"/>
    <w:rsid w:val="7094107D"/>
    <w:rsid w:val="70986044"/>
    <w:rsid w:val="709F233E"/>
    <w:rsid w:val="70B04FD1"/>
    <w:rsid w:val="70D265C2"/>
    <w:rsid w:val="70DE5E77"/>
    <w:rsid w:val="70E36DCE"/>
    <w:rsid w:val="70ED1938"/>
    <w:rsid w:val="70EE0E31"/>
    <w:rsid w:val="710E1103"/>
    <w:rsid w:val="71155816"/>
    <w:rsid w:val="71235536"/>
    <w:rsid w:val="712453E6"/>
    <w:rsid w:val="712711B6"/>
    <w:rsid w:val="712C1BB8"/>
    <w:rsid w:val="7130483A"/>
    <w:rsid w:val="71306613"/>
    <w:rsid w:val="71314A5B"/>
    <w:rsid w:val="71392302"/>
    <w:rsid w:val="713C5401"/>
    <w:rsid w:val="715B318D"/>
    <w:rsid w:val="715E5756"/>
    <w:rsid w:val="716445BE"/>
    <w:rsid w:val="716A2246"/>
    <w:rsid w:val="716D5EA5"/>
    <w:rsid w:val="71736F50"/>
    <w:rsid w:val="718338FE"/>
    <w:rsid w:val="718957D5"/>
    <w:rsid w:val="718A344D"/>
    <w:rsid w:val="718D2E39"/>
    <w:rsid w:val="718E628B"/>
    <w:rsid w:val="719350A4"/>
    <w:rsid w:val="719512A9"/>
    <w:rsid w:val="719D059F"/>
    <w:rsid w:val="71A2103C"/>
    <w:rsid w:val="71A50F52"/>
    <w:rsid w:val="71BA5068"/>
    <w:rsid w:val="71BF0EB1"/>
    <w:rsid w:val="71C1729E"/>
    <w:rsid w:val="71D2010C"/>
    <w:rsid w:val="71D21D67"/>
    <w:rsid w:val="71D44ABB"/>
    <w:rsid w:val="71EC68D9"/>
    <w:rsid w:val="71EE499D"/>
    <w:rsid w:val="71F8315C"/>
    <w:rsid w:val="71F9128C"/>
    <w:rsid w:val="71FC19F9"/>
    <w:rsid w:val="72260F00"/>
    <w:rsid w:val="722D0D70"/>
    <w:rsid w:val="722F5521"/>
    <w:rsid w:val="723B3631"/>
    <w:rsid w:val="724501DD"/>
    <w:rsid w:val="724739C8"/>
    <w:rsid w:val="724A6915"/>
    <w:rsid w:val="724B7673"/>
    <w:rsid w:val="725561E1"/>
    <w:rsid w:val="725C2791"/>
    <w:rsid w:val="725E21F1"/>
    <w:rsid w:val="72683B2B"/>
    <w:rsid w:val="72792470"/>
    <w:rsid w:val="727A1D39"/>
    <w:rsid w:val="728526C9"/>
    <w:rsid w:val="72886215"/>
    <w:rsid w:val="729C4065"/>
    <w:rsid w:val="72A316C6"/>
    <w:rsid w:val="72BB7201"/>
    <w:rsid w:val="72C95E0F"/>
    <w:rsid w:val="72CF4138"/>
    <w:rsid w:val="72D46CB3"/>
    <w:rsid w:val="72D56249"/>
    <w:rsid w:val="72F32A50"/>
    <w:rsid w:val="72FB5142"/>
    <w:rsid w:val="72FE3844"/>
    <w:rsid w:val="730924AD"/>
    <w:rsid w:val="73154C19"/>
    <w:rsid w:val="731A55D9"/>
    <w:rsid w:val="732530A4"/>
    <w:rsid w:val="732755D9"/>
    <w:rsid w:val="73423499"/>
    <w:rsid w:val="734D29DE"/>
    <w:rsid w:val="735510F8"/>
    <w:rsid w:val="73552361"/>
    <w:rsid w:val="735E4620"/>
    <w:rsid w:val="7367203F"/>
    <w:rsid w:val="73696234"/>
    <w:rsid w:val="736C664F"/>
    <w:rsid w:val="73743C3A"/>
    <w:rsid w:val="738339EA"/>
    <w:rsid w:val="738803BC"/>
    <w:rsid w:val="73916C87"/>
    <w:rsid w:val="739217D5"/>
    <w:rsid w:val="7393325A"/>
    <w:rsid w:val="739A44BB"/>
    <w:rsid w:val="739C75F0"/>
    <w:rsid w:val="73B13A3B"/>
    <w:rsid w:val="73B67726"/>
    <w:rsid w:val="73D019E2"/>
    <w:rsid w:val="73E11E8E"/>
    <w:rsid w:val="73E21061"/>
    <w:rsid w:val="73E82D35"/>
    <w:rsid w:val="73EB6176"/>
    <w:rsid w:val="740E0FB7"/>
    <w:rsid w:val="741120F9"/>
    <w:rsid w:val="741A21DF"/>
    <w:rsid w:val="741B7888"/>
    <w:rsid w:val="741E6D35"/>
    <w:rsid w:val="74200660"/>
    <w:rsid w:val="7422193C"/>
    <w:rsid w:val="74247F29"/>
    <w:rsid w:val="742E2721"/>
    <w:rsid w:val="74336C32"/>
    <w:rsid w:val="74367725"/>
    <w:rsid w:val="74414257"/>
    <w:rsid w:val="744556BC"/>
    <w:rsid w:val="74474DDC"/>
    <w:rsid w:val="744A225B"/>
    <w:rsid w:val="7453015F"/>
    <w:rsid w:val="746D2F8F"/>
    <w:rsid w:val="74745479"/>
    <w:rsid w:val="748047B1"/>
    <w:rsid w:val="748B5B9F"/>
    <w:rsid w:val="748C3B60"/>
    <w:rsid w:val="749318CF"/>
    <w:rsid w:val="749D7361"/>
    <w:rsid w:val="74AA6209"/>
    <w:rsid w:val="74BB5404"/>
    <w:rsid w:val="74CE4047"/>
    <w:rsid w:val="74D30C31"/>
    <w:rsid w:val="74DD31F6"/>
    <w:rsid w:val="74E44E7D"/>
    <w:rsid w:val="74E56975"/>
    <w:rsid w:val="74F03E52"/>
    <w:rsid w:val="74F40D7A"/>
    <w:rsid w:val="74F62005"/>
    <w:rsid w:val="74F946E7"/>
    <w:rsid w:val="74F967E1"/>
    <w:rsid w:val="750A5E63"/>
    <w:rsid w:val="75171229"/>
    <w:rsid w:val="7518696C"/>
    <w:rsid w:val="751C1388"/>
    <w:rsid w:val="752F4037"/>
    <w:rsid w:val="75357DB4"/>
    <w:rsid w:val="755B4A35"/>
    <w:rsid w:val="755D199D"/>
    <w:rsid w:val="7577699C"/>
    <w:rsid w:val="75835C26"/>
    <w:rsid w:val="7586025E"/>
    <w:rsid w:val="75871955"/>
    <w:rsid w:val="759F2CDC"/>
    <w:rsid w:val="75A66E0A"/>
    <w:rsid w:val="75B015A8"/>
    <w:rsid w:val="75BF6A1B"/>
    <w:rsid w:val="75CB073B"/>
    <w:rsid w:val="75CD06A0"/>
    <w:rsid w:val="75D51566"/>
    <w:rsid w:val="75D94807"/>
    <w:rsid w:val="75DE6402"/>
    <w:rsid w:val="75DF6BF0"/>
    <w:rsid w:val="75E336B8"/>
    <w:rsid w:val="75EE1457"/>
    <w:rsid w:val="75EF3639"/>
    <w:rsid w:val="75F00F0C"/>
    <w:rsid w:val="75F1568F"/>
    <w:rsid w:val="75FD7697"/>
    <w:rsid w:val="760164F4"/>
    <w:rsid w:val="760A1289"/>
    <w:rsid w:val="760A43CB"/>
    <w:rsid w:val="761004F1"/>
    <w:rsid w:val="7642141B"/>
    <w:rsid w:val="76484AE6"/>
    <w:rsid w:val="76555B86"/>
    <w:rsid w:val="765E69CE"/>
    <w:rsid w:val="765F53F9"/>
    <w:rsid w:val="766723CB"/>
    <w:rsid w:val="76681882"/>
    <w:rsid w:val="76694FAD"/>
    <w:rsid w:val="766A703C"/>
    <w:rsid w:val="767B3E93"/>
    <w:rsid w:val="768751E8"/>
    <w:rsid w:val="76877E2F"/>
    <w:rsid w:val="768C0658"/>
    <w:rsid w:val="76936197"/>
    <w:rsid w:val="7694749C"/>
    <w:rsid w:val="76B40434"/>
    <w:rsid w:val="76B62F74"/>
    <w:rsid w:val="76D11871"/>
    <w:rsid w:val="76DA4682"/>
    <w:rsid w:val="76DC2585"/>
    <w:rsid w:val="76E049C7"/>
    <w:rsid w:val="77024BF4"/>
    <w:rsid w:val="770B1B6B"/>
    <w:rsid w:val="77101A03"/>
    <w:rsid w:val="771F4675"/>
    <w:rsid w:val="772C72CD"/>
    <w:rsid w:val="77545823"/>
    <w:rsid w:val="77582A5D"/>
    <w:rsid w:val="775F1345"/>
    <w:rsid w:val="775F74CF"/>
    <w:rsid w:val="776261AB"/>
    <w:rsid w:val="77750CCF"/>
    <w:rsid w:val="778901F1"/>
    <w:rsid w:val="77B96C23"/>
    <w:rsid w:val="77BC4273"/>
    <w:rsid w:val="77D0003C"/>
    <w:rsid w:val="77D401DC"/>
    <w:rsid w:val="77D73344"/>
    <w:rsid w:val="77DD6152"/>
    <w:rsid w:val="77ED2F50"/>
    <w:rsid w:val="77FD5F1C"/>
    <w:rsid w:val="7803186B"/>
    <w:rsid w:val="780340CB"/>
    <w:rsid w:val="78240EC4"/>
    <w:rsid w:val="78267116"/>
    <w:rsid w:val="78282FF5"/>
    <w:rsid w:val="782909D7"/>
    <w:rsid w:val="782B6B1D"/>
    <w:rsid w:val="78306A2D"/>
    <w:rsid w:val="78427187"/>
    <w:rsid w:val="78516149"/>
    <w:rsid w:val="78596233"/>
    <w:rsid w:val="786E6813"/>
    <w:rsid w:val="787B4617"/>
    <w:rsid w:val="788041AB"/>
    <w:rsid w:val="7883171E"/>
    <w:rsid w:val="7895695B"/>
    <w:rsid w:val="78987BDB"/>
    <w:rsid w:val="78AD2D80"/>
    <w:rsid w:val="78C975C5"/>
    <w:rsid w:val="78D17FD0"/>
    <w:rsid w:val="78E51C5C"/>
    <w:rsid w:val="78F115C2"/>
    <w:rsid w:val="78FB5444"/>
    <w:rsid w:val="79006B87"/>
    <w:rsid w:val="790316B0"/>
    <w:rsid w:val="7904683B"/>
    <w:rsid w:val="79110669"/>
    <w:rsid w:val="79121925"/>
    <w:rsid w:val="79195BB1"/>
    <w:rsid w:val="79197396"/>
    <w:rsid w:val="794964C4"/>
    <w:rsid w:val="795221D4"/>
    <w:rsid w:val="795F0221"/>
    <w:rsid w:val="79613012"/>
    <w:rsid w:val="796252FE"/>
    <w:rsid w:val="796B33C1"/>
    <w:rsid w:val="797F5550"/>
    <w:rsid w:val="798C3BD2"/>
    <w:rsid w:val="79953FBA"/>
    <w:rsid w:val="79963DBD"/>
    <w:rsid w:val="799A5532"/>
    <w:rsid w:val="799D4356"/>
    <w:rsid w:val="79C00345"/>
    <w:rsid w:val="79C502ED"/>
    <w:rsid w:val="79CF180D"/>
    <w:rsid w:val="79DA711C"/>
    <w:rsid w:val="79DB1F19"/>
    <w:rsid w:val="79DB395B"/>
    <w:rsid w:val="79E3496E"/>
    <w:rsid w:val="79FF60E2"/>
    <w:rsid w:val="7A1748C2"/>
    <w:rsid w:val="7A1C1AA5"/>
    <w:rsid w:val="7A2804E7"/>
    <w:rsid w:val="7A2A2771"/>
    <w:rsid w:val="7A3E3CB4"/>
    <w:rsid w:val="7A40712D"/>
    <w:rsid w:val="7A507324"/>
    <w:rsid w:val="7A5F2143"/>
    <w:rsid w:val="7A7A1FAC"/>
    <w:rsid w:val="7A8C4B1E"/>
    <w:rsid w:val="7A8E2A47"/>
    <w:rsid w:val="7A8E41EF"/>
    <w:rsid w:val="7A900B5E"/>
    <w:rsid w:val="7A95085F"/>
    <w:rsid w:val="7AA36E77"/>
    <w:rsid w:val="7AA76DD1"/>
    <w:rsid w:val="7AA86067"/>
    <w:rsid w:val="7AAA5C4B"/>
    <w:rsid w:val="7AB92AB9"/>
    <w:rsid w:val="7AC7106C"/>
    <w:rsid w:val="7ACA420E"/>
    <w:rsid w:val="7ACF3E00"/>
    <w:rsid w:val="7ADA2F8E"/>
    <w:rsid w:val="7AE1058E"/>
    <w:rsid w:val="7AE34562"/>
    <w:rsid w:val="7AE75258"/>
    <w:rsid w:val="7AF57FDD"/>
    <w:rsid w:val="7B004FE7"/>
    <w:rsid w:val="7B005536"/>
    <w:rsid w:val="7B082EBB"/>
    <w:rsid w:val="7B0E4E14"/>
    <w:rsid w:val="7B132478"/>
    <w:rsid w:val="7B1B0A51"/>
    <w:rsid w:val="7B1B49FF"/>
    <w:rsid w:val="7B387CC4"/>
    <w:rsid w:val="7B4B2FA7"/>
    <w:rsid w:val="7B4C4049"/>
    <w:rsid w:val="7B567B00"/>
    <w:rsid w:val="7B6139EC"/>
    <w:rsid w:val="7B752B14"/>
    <w:rsid w:val="7B8C7716"/>
    <w:rsid w:val="7B8F2B04"/>
    <w:rsid w:val="7B933FFC"/>
    <w:rsid w:val="7BB34D36"/>
    <w:rsid w:val="7BC321F4"/>
    <w:rsid w:val="7BD20F10"/>
    <w:rsid w:val="7BD830EB"/>
    <w:rsid w:val="7BE928AC"/>
    <w:rsid w:val="7BEC1A10"/>
    <w:rsid w:val="7BF7784F"/>
    <w:rsid w:val="7BF857C3"/>
    <w:rsid w:val="7BFA59F8"/>
    <w:rsid w:val="7BFD5C31"/>
    <w:rsid w:val="7BFF131E"/>
    <w:rsid w:val="7C0076D3"/>
    <w:rsid w:val="7C045EE0"/>
    <w:rsid w:val="7C16626D"/>
    <w:rsid w:val="7C1D75F4"/>
    <w:rsid w:val="7C217BBC"/>
    <w:rsid w:val="7C274292"/>
    <w:rsid w:val="7C3E2DB7"/>
    <w:rsid w:val="7C4A0BE0"/>
    <w:rsid w:val="7C51509B"/>
    <w:rsid w:val="7C572CA5"/>
    <w:rsid w:val="7C6245DF"/>
    <w:rsid w:val="7C6B1E45"/>
    <w:rsid w:val="7C7117A7"/>
    <w:rsid w:val="7C7A6994"/>
    <w:rsid w:val="7C802B69"/>
    <w:rsid w:val="7C9214AA"/>
    <w:rsid w:val="7C952974"/>
    <w:rsid w:val="7C9F3E41"/>
    <w:rsid w:val="7CA01689"/>
    <w:rsid w:val="7CA21815"/>
    <w:rsid w:val="7CAC3287"/>
    <w:rsid w:val="7CB373F3"/>
    <w:rsid w:val="7CBE6DCD"/>
    <w:rsid w:val="7CD91B6D"/>
    <w:rsid w:val="7CDF596B"/>
    <w:rsid w:val="7CE54755"/>
    <w:rsid w:val="7CF02147"/>
    <w:rsid w:val="7CF0428C"/>
    <w:rsid w:val="7CF0780B"/>
    <w:rsid w:val="7CF24091"/>
    <w:rsid w:val="7CF34E39"/>
    <w:rsid w:val="7CF70054"/>
    <w:rsid w:val="7D1144BC"/>
    <w:rsid w:val="7D14510A"/>
    <w:rsid w:val="7D1A3E4C"/>
    <w:rsid w:val="7D2B26D3"/>
    <w:rsid w:val="7D2F2037"/>
    <w:rsid w:val="7D351EEB"/>
    <w:rsid w:val="7D384692"/>
    <w:rsid w:val="7D4B5724"/>
    <w:rsid w:val="7D537B5C"/>
    <w:rsid w:val="7D55752F"/>
    <w:rsid w:val="7D652D10"/>
    <w:rsid w:val="7D6D095E"/>
    <w:rsid w:val="7D7055CB"/>
    <w:rsid w:val="7D7963EB"/>
    <w:rsid w:val="7D884C43"/>
    <w:rsid w:val="7D8D1888"/>
    <w:rsid w:val="7D8D3EFA"/>
    <w:rsid w:val="7D9700E8"/>
    <w:rsid w:val="7DC04C6D"/>
    <w:rsid w:val="7DC9385D"/>
    <w:rsid w:val="7DD02864"/>
    <w:rsid w:val="7DF35A5F"/>
    <w:rsid w:val="7DFF4B5B"/>
    <w:rsid w:val="7E021FE9"/>
    <w:rsid w:val="7E041C29"/>
    <w:rsid w:val="7E0B59D9"/>
    <w:rsid w:val="7E120E6D"/>
    <w:rsid w:val="7E182A1E"/>
    <w:rsid w:val="7E1A7AAC"/>
    <w:rsid w:val="7E2010C0"/>
    <w:rsid w:val="7E3C4853"/>
    <w:rsid w:val="7E445C1A"/>
    <w:rsid w:val="7E6F622C"/>
    <w:rsid w:val="7E706D55"/>
    <w:rsid w:val="7E861A37"/>
    <w:rsid w:val="7E957537"/>
    <w:rsid w:val="7E9F5752"/>
    <w:rsid w:val="7EA62C59"/>
    <w:rsid w:val="7ECF5717"/>
    <w:rsid w:val="7ED643C6"/>
    <w:rsid w:val="7EE0422B"/>
    <w:rsid w:val="7EF90044"/>
    <w:rsid w:val="7F003CA2"/>
    <w:rsid w:val="7F1B5896"/>
    <w:rsid w:val="7F2B1A9F"/>
    <w:rsid w:val="7F364DF4"/>
    <w:rsid w:val="7F3D6AAB"/>
    <w:rsid w:val="7F3D7973"/>
    <w:rsid w:val="7F437511"/>
    <w:rsid w:val="7F474FA1"/>
    <w:rsid w:val="7F4E51E4"/>
    <w:rsid w:val="7F4F7D9A"/>
    <w:rsid w:val="7F531882"/>
    <w:rsid w:val="7F54405B"/>
    <w:rsid w:val="7F567244"/>
    <w:rsid w:val="7F5D3766"/>
    <w:rsid w:val="7F6000C3"/>
    <w:rsid w:val="7F79597A"/>
    <w:rsid w:val="7F7F2E58"/>
    <w:rsid w:val="7F860A6E"/>
    <w:rsid w:val="7F9861D6"/>
    <w:rsid w:val="7FAE3AA2"/>
    <w:rsid w:val="7FAF2BD6"/>
    <w:rsid w:val="7FB46FEB"/>
    <w:rsid w:val="7FC51605"/>
    <w:rsid w:val="7FCB614F"/>
    <w:rsid w:val="7FCE2AAE"/>
    <w:rsid w:val="7FDA7C10"/>
    <w:rsid w:val="7FE13266"/>
    <w:rsid w:val="7FF25105"/>
    <w:rsid w:val="7FF470EE"/>
    <w:rsid w:val="7FFB3A83"/>
    <w:rsid w:val="7FFF02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2"/>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63"/>
    <w:qFormat/>
    <w:uiPriority w:val="0"/>
    <w:pPr>
      <w:keepNext/>
      <w:keepLines/>
      <w:spacing w:before="260" w:after="260" w:line="360" w:lineRule="auto"/>
      <w:jc w:val="center"/>
      <w:outlineLvl w:val="2"/>
    </w:pPr>
    <w:rPr>
      <w:b/>
      <w:bCs/>
      <w:sz w:val="30"/>
      <w:szCs w:val="32"/>
      <w:lang w:val="zh-CN"/>
    </w:rPr>
  </w:style>
  <w:style w:type="paragraph" w:styleId="6">
    <w:name w:val="heading 4"/>
    <w:basedOn w:val="1"/>
    <w:next w:val="1"/>
    <w:link w:val="64"/>
    <w:qFormat/>
    <w:uiPriority w:val="0"/>
    <w:pPr>
      <w:spacing w:before="156" w:beforeLines="50" w:after="156" w:afterLines="50"/>
      <w:ind w:left="284" w:hanging="284"/>
      <w:outlineLvl w:val="3"/>
    </w:pPr>
    <w:rPr>
      <w:rFonts w:ascii="Arial" w:hAnsi="Arial"/>
      <w:color w:val="000000"/>
      <w:sz w:val="24"/>
      <w:szCs w:val="24"/>
    </w:rPr>
  </w:style>
  <w:style w:type="paragraph" w:styleId="7">
    <w:name w:val="heading 5"/>
    <w:basedOn w:val="6"/>
    <w:next w:val="8"/>
    <w:link w:val="65"/>
    <w:qFormat/>
    <w:uiPriority w:val="0"/>
    <w:pPr>
      <w:spacing w:line="240" w:lineRule="exact"/>
      <w:outlineLvl w:val="4"/>
    </w:pPr>
  </w:style>
  <w:style w:type="paragraph" w:styleId="9">
    <w:name w:val="heading 6"/>
    <w:basedOn w:val="1"/>
    <w:next w:val="1"/>
    <w:link w:val="66"/>
    <w:unhideWhenUsed/>
    <w:qFormat/>
    <w:uiPriority w:val="0"/>
    <w:pPr>
      <w:keepNext/>
      <w:keepLines/>
      <w:spacing w:before="240" w:after="64" w:line="320" w:lineRule="auto"/>
      <w:outlineLvl w:val="5"/>
    </w:pPr>
    <w:rPr>
      <w:rFonts w:ascii="Cambria" w:hAnsi="Cambria"/>
      <w:b/>
      <w:bCs/>
      <w:sz w:val="24"/>
      <w:szCs w:val="24"/>
      <w:lang w:val="zh-CN"/>
    </w:rPr>
  </w:style>
  <w:style w:type="paragraph" w:styleId="10">
    <w:name w:val="heading 7"/>
    <w:basedOn w:val="1"/>
    <w:next w:val="8"/>
    <w:link w:val="67"/>
    <w:qFormat/>
    <w:uiPriority w:val="0"/>
    <w:pPr>
      <w:keepNext/>
      <w:keepLines/>
      <w:spacing w:before="240" w:after="64" w:line="360" w:lineRule="auto"/>
      <w:jc w:val="center"/>
      <w:outlineLvl w:val="6"/>
    </w:pPr>
    <w:rPr>
      <w:b/>
      <w:sz w:val="28"/>
      <w:lang w:val="zh-CN"/>
    </w:rPr>
  </w:style>
  <w:style w:type="paragraph" w:styleId="11">
    <w:name w:val="heading 8"/>
    <w:basedOn w:val="1"/>
    <w:next w:val="8"/>
    <w:link w:val="68"/>
    <w:qFormat/>
    <w:uiPriority w:val="0"/>
    <w:pPr>
      <w:keepNext/>
      <w:keepLines/>
      <w:spacing w:before="240" w:after="64" w:line="320" w:lineRule="auto"/>
      <w:outlineLvl w:val="7"/>
    </w:pPr>
    <w:rPr>
      <w:rFonts w:ascii="Arial" w:hAnsi="Arial" w:eastAsia="黑体"/>
      <w:sz w:val="24"/>
      <w:lang w:val="zh-CN"/>
    </w:rPr>
  </w:style>
  <w:style w:type="paragraph" w:styleId="12">
    <w:name w:val="heading 9"/>
    <w:basedOn w:val="1"/>
    <w:next w:val="8"/>
    <w:link w:val="69"/>
    <w:qFormat/>
    <w:uiPriority w:val="0"/>
    <w:pPr>
      <w:keepNext/>
      <w:keepLines/>
      <w:spacing w:before="240" w:after="64" w:line="320" w:lineRule="auto"/>
      <w:outlineLvl w:val="8"/>
    </w:pPr>
    <w:rPr>
      <w:rFonts w:ascii="Arial" w:hAnsi="Arial" w:eastAsia="黑体"/>
      <w:lang w:val="zh-CN"/>
    </w:rPr>
  </w:style>
  <w:style w:type="character" w:default="1" w:styleId="48">
    <w:name w:val="Default Paragraph Font"/>
    <w:unhideWhenUsed/>
    <w:qFormat/>
    <w:uiPriority w:val="1"/>
  </w:style>
  <w:style w:type="table" w:default="1" w:styleId="46">
    <w:name w:val="Normal Table"/>
    <w:unhideWhenUsed/>
    <w:qFormat/>
    <w:uiPriority w:val="99"/>
    <w:tblPr>
      <w:tblCellMar>
        <w:top w:w="0" w:type="dxa"/>
        <w:left w:w="108" w:type="dxa"/>
        <w:bottom w:w="0" w:type="dxa"/>
        <w:right w:w="108" w:type="dxa"/>
      </w:tblCellMar>
    </w:tblPr>
  </w:style>
  <w:style w:type="paragraph" w:customStyle="1" w:styleId="2">
    <w:name w:val="_Style 3"/>
    <w:basedOn w:val="1"/>
    <w:qFormat/>
    <w:uiPriority w:val="0"/>
    <w:pPr>
      <w:ind w:firstLine="420" w:firstLineChars="200"/>
    </w:pPr>
    <w:rPr>
      <w:rFonts w:ascii="@DotumChe" w:hAnsi="@DotumChe" w:eastAsia="@DotumChe" w:cs="@DotumChe"/>
      <w:sz w:val="20"/>
    </w:rPr>
  </w:style>
  <w:style w:type="paragraph" w:styleId="8">
    <w:name w:val="Normal Indent"/>
    <w:basedOn w:val="1"/>
    <w:next w:val="1"/>
    <w:link w:val="219"/>
    <w:qFormat/>
    <w:uiPriority w:val="0"/>
    <w:pPr>
      <w:ind w:firstLine="420" w:firstLineChars="200"/>
    </w:pPr>
  </w:style>
  <w:style w:type="paragraph" w:styleId="13">
    <w:name w:val="toc 7"/>
    <w:basedOn w:val="1"/>
    <w:next w:val="1"/>
    <w:qFormat/>
    <w:uiPriority w:val="0"/>
    <w:pPr>
      <w:ind w:left="1260"/>
      <w:jc w:val="left"/>
    </w:pPr>
    <w:rPr>
      <w:sz w:val="18"/>
      <w:szCs w:val="18"/>
    </w:rPr>
  </w:style>
  <w:style w:type="paragraph" w:styleId="14">
    <w:name w:val="Document Map"/>
    <w:basedOn w:val="1"/>
    <w:link w:val="83"/>
    <w:qFormat/>
    <w:uiPriority w:val="0"/>
    <w:pPr>
      <w:shd w:val="clear" w:color="auto" w:fill="000080"/>
    </w:pPr>
    <w:rPr>
      <w:lang w:val="zh-CN"/>
    </w:rPr>
  </w:style>
  <w:style w:type="paragraph" w:styleId="15">
    <w:name w:val="annotation text"/>
    <w:basedOn w:val="1"/>
    <w:link w:val="80"/>
    <w:qFormat/>
    <w:uiPriority w:val="0"/>
    <w:pPr>
      <w:jc w:val="left"/>
    </w:pPr>
    <w:rPr>
      <w:lang w:val="zh-CN"/>
    </w:rPr>
  </w:style>
  <w:style w:type="paragraph" w:styleId="16">
    <w:name w:val="Body Text 3"/>
    <w:basedOn w:val="1"/>
    <w:link w:val="82"/>
    <w:qFormat/>
    <w:uiPriority w:val="0"/>
    <w:pPr>
      <w:spacing w:after="120"/>
    </w:pPr>
    <w:rPr>
      <w:sz w:val="16"/>
      <w:szCs w:val="16"/>
      <w:lang w:val="zh-CN"/>
    </w:rPr>
  </w:style>
  <w:style w:type="paragraph" w:styleId="17">
    <w:name w:val="Body Text"/>
    <w:basedOn w:val="1"/>
    <w:next w:val="18"/>
    <w:link w:val="85"/>
    <w:qFormat/>
    <w:uiPriority w:val="0"/>
    <w:pPr>
      <w:spacing w:after="120"/>
    </w:pPr>
    <w:rPr>
      <w:lang w:val="zh-CN"/>
    </w:rPr>
  </w:style>
  <w:style w:type="paragraph" w:styleId="18">
    <w:name w:val="Title"/>
    <w:basedOn w:val="1"/>
    <w:next w:val="1"/>
    <w:link w:val="141"/>
    <w:qFormat/>
    <w:uiPriority w:val="10"/>
    <w:pPr>
      <w:spacing w:before="240" w:after="60"/>
      <w:jc w:val="center"/>
      <w:outlineLvl w:val="0"/>
    </w:pPr>
    <w:rPr>
      <w:rFonts w:ascii="Cambria" w:hAnsi="Cambria"/>
      <w:b/>
      <w:bCs/>
      <w:sz w:val="32"/>
      <w:szCs w:val="32"/>
      <w:lang w:val="zh-CN"/>
    </w:rPr>
  </w:style>
  <w:style w:type="paragraph" w:styleId="19">
    <w:name w:val="Body Text Indent"/>
    <w:basedOn w:val="1"/>
    <w:link w:val="84"/>
    <w:qFormat/>
    <w:uiPriority w:val="0"/>
    <w:pPr>
      <w:spacing w:after="120"/>
      <w:ind w:left="420" w:leftChars="200"/>
    </w:pPr>
    <w:rPr>
      <w:lang w:val="zh-CN"/>
    </w:rPr>
  </w:style>
  <w:style w:type="paragraph" w:styleId="20">
    <w:name w:val="Block Text"/>
    <w:basedOn w:val="1"/>
    <w:qFormat/>
    <w:uiPriority w:val="0"/>
    <w:pPr>
      <w:tabs>
        <w:tab w:val="left" w:pos="900"/>
      </w:tabs>
      <w:snapToGrid w:val="0"/>
      <w:spacing w:line="360" w:lineRule="auto"/>
      <w:ind w:left="-180" w:right="-334" w:firstLine="482"/>
    </w:pPr>
    <w:rPr>
      <w:rFonts w:ascii="仿宋_GB2312" w:eastAsia="仿宋_GB2312"/>
      <w:sz w:val="24"/>
    </w:rPr>
  </w:style>
  <w:style w:type="paragraph" w:styleId="21">
    <w:name w:val="toc 5"/>
    <w:basedOn w:val="1"/>
    <w:next w:val="1"/>
    <w:qFormat/>
    <w:uiPriority w:val="0"/>
    <w:pPr>
      <w:ind w:left="840"/>
      <w:jc w:val="left"/>
    </w:pPr>
    <w:rPr>
      <w:sz w:val="18"/>
      <w:szCs w:val="18"/>
    </w:rPr>
  </w:style>
  <w:style w:type="paragraph" w:styleId="22">
    <w:name w:val="toc 3"/>
    <w:basedOn w:val="1"/>
    <w:next w:val="1"/>
    <w:qFormat/>
    <w:uiPriority w:val="39"/>
    <w:pPr>
      <w:ind w:left="840" w:leftChars="400"/>
    </w:pPr>
  </w:style>
  <w:style w:type="paragraph" w:styleId="23">
    <w:name w:val="Plain Text"/>
    <w:basedOn w:val="1"/>
    <w:next w:val="1"/>
    <w:link w:val="76"/>
    <w:qFormat/>
    <w:uiPriority w:val="0"/>
    <w:rPr>
      <w:rFonts w:ascii="宋体" w:hAnsi="Courier New"/>
    </w:rPr>
  </w:style>
  <w:style w:type="paragraph" w:styleId="24">
    <w:name w:val="toc 8"/>
    <w:basedOn w:val="1"/>
    <w:next w:val="1"/>
    <w:qFormat/>
    <w:uiPriority w:val="0"/>
    <w:pPr>
      <w:ind w:left="1470"/>
      <w:jc w:val="left"/>
    </w:pPr>
    <w:rPr>
      <w:sz w:val="18"/>
      <w:szCs w:val="18"/>
    </w:rPr>
  </w:style>
  <w:style w:type="paragraph" w:styleId="25">
    <w:name w:val="Date"/>
    <w:basedOn w:val="1"/>
    <w:next w:val="1"/>
    <w:link w:val="89"/>
    <w:qFormat/>
    <w:uiPriority w:val="0"/>
    <w:pPr>
      <w:ind w:left="100" w:leftChars="2500"/>
    </w:pPr>
    <w:rPr>
      <w:rFonts w:ascii="宋体" w:hAnsi="Courier New"/>
      <w:b/>
      <w:bCs/>
      <w:sz w:val="28"/>
      <w:szCs w:val="21"/>
      <w:lang w:val="zh-CN"/>
    </w:rPr>
  </w:style>
  <w:style w:type="paragraph" w:styleId="26">
    <w:name w:val="Body Text Indent 2"/>
    <w:basedOn w:val="1"/>
    <w:link w:val="91"/>
    <w:qFormat/>
    <w:uiPriority w:val="0"/>
    <w:pPr>
      <w:spacing w:after="120" w:line="480" w:lineRule="auto"/>
      <w:ind w:left="420" w:leftChars="200"/>
    </w:pPr>
    <w:rPr>
      <w:lang w:val="zh-CN"/>
    </w:rPr>
  </w:style>
  <w:style w:type="paragraph" w:styleId="27">
    <w:name w:val="Balloon Text"/>
    <w:basedOn w:val="1"/>
    <w:link w:val="88"/>
    <w:semiHidden/>
    <w:qFormat/>
    <w:uiPriority w:val="99"/>
    <w:rPr>
      <w:sz w:val="18"/>
      <w:szCs w:val="18"/>
      <w:lang w:val="zh-CN"/>
    </w:rPr>
  </w:style>
  <w:style w:type="paragraph" w:styleId="28">
    <w:name w:val="footer"/>
    <w:basedOn w:val="1"/>
    <w:link w:val="90"/>
    <w:qFormat/>
    <w:uiPriority w:val="99"/>
    <w:pPr>
      <w:tabs>
        <w:tab w:val="center" w:pos="4153"/>
        <w:tab w:val="right" w:pos="8306"/>
      </w:tabs>
      <w:snapToGrid w:val="0"/>
      <w:jc w:val="left"/>
    </w:pPr>
    <w:rPr>
      <w:sz w:val="18"/>
      <w:lang w:val="zh-CN"/>
    </w:rPr>
  </w:style>
  <w:style w:type="paragraph" w:styleId="29">
    <w:name w:val="envelope return"/>
    <w:basedOn w:val="1"/>
    <w:qFormat/>
    <w:uiPriority w:val="0"/>
    <w:pPr>
      <w:snapToGrid w:val="0"/>
    </w:pPr>
    <w:rPr>
      <w:rFonts w:ascii="Arial" w:hAnsi="Arial"/>
    </w:rPr>
  </w:style>
  <w:style w:type="paragraph" w:styleId="30">
    <w:name w:val="header"/>
    <w:basedOn w:val="1"/>
    <w:link w:val="87"/>
    <w:qFormat/>
    <w:uiPriority w:val="0"/>
    <w:pPr>
      <w:pBdr>
        <w:bottom w:val="single" w:color="auto" w:sz="6" w:space="1"/>
      </w:pBdr>
      <w:tabs>
        <w:tab w:val="center" w:pos="4153"/>
        <w:tab w:val="right" w:pos="8306"/>
      </w:tabs>
      <w:snapToGrid w:val="0"/>
      <w:jc w:val="center"/>
    </w:pPr>
    <w:rPr>
      <w:sz w:val="18"/>
      <w:lang w:val="zh-CN"/>
    </w:rPr>
  </w:style>
  <w:style w:type="paragraph" w:styleId="31">
    <w:name w:val="toc 1"/>
    <w:basedOn w:val="1"/>
    <w:next w:val="1"/>
    <w:qFormat/>
    <w:uiPriority w:val="39"/>
  </w:style>
  <w:style w:type="paragraph" w:styleId="32">
    <w:name w:val="toc 4"/>
    <w:basedOn w:val="1"/>
    <w:next w:val="1"/>
    <w:qFormat/>
    <w:uiPriority w:val="0"/>
    <w:pPr>
      <w:ind w:left="630"/>
      <w:jc w:val="left"/>
    </w:pPr>
    <w:rPr>
      <w:sz w:val="18"/>
      <w:szCs w:val="18"/>
    </w:rPr>
  </w:style>
  <w:style w:type="paragraph" w:styleId="33">
    <w:name w:val="Subtitle"/>
    <w:basedOn w:val="1"/>
    <w:next w:val="1"/>
    <w:link w:val="218"/>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34">
    <w:name w:val="List"/>
    <w:qFormat/>
    <w:uiPriority w:val="0"/>
    <w:pPr>
      <w:widowControl w:val="0"/>
      <w:ind w:left="200" w:hanging="200" w:hangingChars="200"/>
      <w:jc w:val="both"/>
    </w:pPr>
    <w:rPr>
      <w:rFonts w:ascii="Times New Roman" w:hAnsi="Times New Roman" w:eastAsia="宋体" w:cs="Times New Roman"/>
      <w:kern w:val="2"/>
      <w:sz w:val="21"/>
      <w:szCs w:val="22"/>
      <w:lang w:val="en-US" w:eastAsia="zh-CN" w:bidi="ar-SA"/>
    </w:rPr>
  </w:style>
  <w:style w:type="paragraph" w:styleId="35">
    <w:name w:val="toc 6"/>
    <w:basedOn w:val="1"/>
    <w:next w:val="1"/>
    <w:qFormat/>
    <w:uiPriority w:val="0"/>
    <w:pPr>
      <w:ind w:left="1050"/>
      <w:jc w:val="left"/>
    </w:pPr>
    <w:rPr>
      <w:sz w:val="18"/>
      <w:szCs w:val="18"/>
    </w:rPr>
  </w:style>
  <w:style w:type="paragraph" w:styleId="36">
    <w:name w:val="Body Text Indent 3"/>
    <w:basedOn w:val="1"/>
    <w:link w:val="86"/>
    <w:qFormat/>
    <w:uiPriority w:val="0"/>
    <w:pPr>
      <w:spacing w:after="120"/>
      <w:ind w:left="420" w:leftChars="200"/>
    </w:pPr>
    <w:rPr>
      <w:sz w:val="16"/>
      <w:szCs w:val="16"/>
      <w:lang w:val="zh-CN"/>
    </w:rPr>
  </w:style>
  <w:style w:type="paragraph" w:styleId="37">
    <w:name w:val="toc 2"/>
    <w:basedOn w:val="1"/>
    <w:next w:val="1"/>
    <w:qFormat/>
    <w:uiPriority w:val="39"/>
    <w:pPr>
      <w:ind w:left="420" w:leftChars="200"/>
    </w:pPr>
  </w:style>
  <w:style w:type="paragraph" w:styleId="38">
    <w:name w:val="toc 9"/>
    <w:basedOn w:val="1"/>
    <w:next w:val="1"/>
    <w:qFormat/>
    <w:uiPriority w:val="0"/>
    <w:pPr>
      <w:ind w:left="1680"/>
      <w:jc w:val="left"/>
    </w:pPr>
    <w:rPr>
      <w:sz w:val="18"/>
      <w:szCs w:val="18"/>
    </w:rPr>
  </w:style>
  <w:style w:type="paragraph" w:styleId="39">
    <w:name w:val="Body Text 2"/>
    <w:basedOn w:val="1"/>
    <w:link w:val="116"/>
    <w:qFormat/>
    <w:uiPriority w:val="0"/>
    <w:rPr>
      <w:sz w:val="24"/>
      <w:lang w:val="zh-CN"/>
    </w:rPr>
  </w:style>
  <w:style w:type="paragraph" w:styleId="40">
    <w:name w:val="HTML Preformatted"/>
    <w:basedOn w:val="1"/>
    <w:link w:val="7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lang w:val="zh-CN"/>
    </w:rPr>
  </w:style>
  <w:style w:type="paragraph" w:styleId="41">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42">
    <w:name w:val="annotation subject"/>
    <w:basedOn w:val="15"/>
    <w:next w:val="15"/>
    <w:link w:val="81"/>
    <w:qFormat/>
    <w:uiPriority w:val="99"/>
    <w:rPr>
      <w:b/>
      <w:bCs/>
    </w:rPr>
  </w:style>
  <w:style w:type="paragraph" w:styleId="43">
    <w:name w:val="Body Text First Indent"/>
    <w:basedOn w:val="1"/>
    <w:link w:val="115"/>
    <w:qFormat/>
    <w:uiPriority w:val="0"/>
    <w:pPr>
      <w:ind w:firstLine="420" w:firstLineChars="100"/>
    </w:pPr>
  </w:style>
  <w:style w:type="paragraph" w:styleId="44">
    <w:name w:val="Body Text First Indent 2"/>
    <w:basedOn w:val="19"/>
    <w:next w:val="45"/>
    <w:link w:val="164"/>
    <w:qFormat/>
    <w:uiPriority w:val="0"/>
    <w:pPr>
      <w:ind w:firstLine="420" w:firstLineChars="200"/>
    </w:pPr>
    <w:rPr>
      <w:rFonts w:hAnsi="Calibri"/>
      <w:szCs w:val="24"/>
    </w:rPr>
  </w:style>
  <w:style w:type="paragraph" w:customStyle="1" w:styleId="45">
    <w:name w:val="表格文字"/>
    <w:basedOn w:val="34"/>
    <w:next w:val="1"/>
    <w:qFormat/>
    <w:uiPriority w:val="0"/>
    <w:pPr>
      <w:adjustRightInd w:val="0"/>
      <w:spacing w:line="420" w:lineRule="atLeast"/>
      <w:jc w:val="left"/>
      <w:textAlignment w:val="baseline"/>
    </w:pPr>
    <w:rPr>
      <w:kern w:val="0"/>
    </w:rPr>
  </w:style>
  <w:style w:type="table" w:styleId="47">
    <w:name w:val="Table Grid"/>
    <w:basedOn w:val="46"/>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9">
    <w:name w:val="Strong"/>
    <w:qFormat/>
    <w:uiPriority w:val="22"/>
    <w:rPr>
      <w:b/>
      <w:bCs/>
    </w:rPr>
  </w:style>
  <w:style w:type="character" w:styleId="50">
    <w:name w:val="page number"/>
    <w:basedOn w:val="48"/>
    <w:qFormat/>
    <w:uiPriority w:val="0"/>
  </w:style>
  <w:style w:type="character" w:styleId="51">
    <w:name w:val="FollowedHyperlink"/>
    <w:basedOn w:val="48"/>
    <w:qFormat/>
    <w:uiPriority w:val="99"/>
    <w:rPr>
      <w:color w:val="0066CD"/>
      <w:u w:val="none"/>
    </w:rPr>
  </w:style>
  <w:style w:type="character" w:styleId="52">
    <w:name w:val="Emphasis"/>
    <w:qFormat/>
    <w:uiPriority w:val="0"/>
    <w:rPr>
      <w:color w:val="C60A00"/>
    </w:rPr>
  </w:style>
  <w:style w:type="character" w:styleId="53">
    <w:name w:val="HTML Definition"/>
    <w:basedOn w:val="48"/>
    <w:qFormat/>
    <w:uiPriority w:val="0"/>
    <w:rPr>
      <w:i/>
    </w:rPr>
  </w:style>
  <w:style w:type="character" w:styleId="54">
    <w:name w:val="HTML Acronym"/>
    <w:basedOn w:val="48"/>
    <w:qFormat/>
    <w:uiPriority w:val="0"/>
  </w:style>
  <w:style w:type="character" w:styleId="55">
    <w:name w:val="Hyperlink"/>
    <w:basedOn w:val="48"/>
    <w:qFormat/>
    <w:uiPriority w:val="99"/>
    <w:rPr>
      <w:color w:val="0000FF"/>
      <w:u w:val="single"/>
    </w:rPr>
  </w:style>
  <w:style w:type="character" w:styleId="56">
    <w:name w:val="HTML Code"/>
    <w:basedOn w:val="48"/>
    <w:qFormat/>
    <w:uiPriority w:val="0"/>
    <w:rPr>
      <w:rFonts w:hint="default" w:ascii="Consolas" w:hAnsi="Consolas" w:eastAsia="Consolas" w:cs="Consolas"/>
      <w:color w:val="C7254E"/>
      <w:sz w:val="21"/>
      <w:szCs w:val="21"/>
      <w:shd w:val="clear" w:fill="F9F2F4"/>
    </w:rPr>
  </w:style>
  <w:style w:type="character" w:styleId="57">
    <w:name w:val="annotation reference"/>
    <w:basedOn w:val="48"/>
    <w:qFormat/>
    <w:uiPriority w:val="0"/>
    <w:rPr>
      <w:sz w:val="21"/>
      <w:szCs w:val="21"/>
    </w:rPr>
  </w:style>
  <w:style w:type="character" w:styleId="58">
    <w:name w:val="HTML Keyboard"/>
    <w:basedOn w:val="48"/>
    <w:qFormat/>
    <w:uiPriority w:val="0"/>
    <w:rPr>
      <w:rFonts w:hint="default" w:ascii="Consolas" w:hAnsi="Consolas" w:eastAsia="Consolas" w:cs="Consolas"/>
      <w:color w:val="FFFFFF"/>
      <w:sz w:val="21"/>
      <w:szCs w:val="21"/>
      <w:shd w:val="clear" w:fill="333333"/>
    </w:rPr>
  </w:style>
  <w:style w:type="character" w:styleId="59">
    <w:name w:val="HTML Sample"/>
    <w:basedOn w:val="48"/>
    <w:qFormat/>
    <w:uiPriority w:val="0"/>
    <w:rPr>
      <w:rFonts w:ascii="Consolas" w:hAnsi="Consolas" w:eastAsia="Consolas" w:cs="Consolas"/>
      <w:sz w:val="21"/>
      <w:szCs w:val="21"/>
    </w:rPr>
  </w:style>
  <w:style w:type="paragraph" w:customStyle="1" w:styleId="60">
    <w:name w:val="目录 21"/>
    <w:basedOn w:val="1"/>
    <w:next w:val="1"/>
    <w:qFormat/>
    <w:uiPriority w:val="0"/>
    <w:pPr>
      <w:spacing w:before="100" w:beforeAutospacing="1" w:after="100" w:afterAutospacing="1"/>
      <w:ind w:left="420" w:leftChars="200"/>
    </w:pPr>
  </w:style>
  <w:style w:type="character" w:customStyle="1" w:styleId="61">
    <w:name w:val="标题 1 Char"/>
    <w:link w:val="3"/>
    <w:qFormat/>
    <w:uiPriority w:val="0"/>
    <w:rPr>
      <w:rFonts w:eastAsia="宋体"/>
      <w:b/>
      <w:bCs/>
      <w:kern w:val="44"/>
      <w:sz w:val="44"/>
      <w:szCs w:val="44"/>
      <w:lang w:val="en-US" w:eastAsia="zh-CN" w:bidi="ar-SA"/>
    </w:rPr>
  </w:style>
  <w:style w:type="character" w:customStyle="1" w:styleId="62">
    <w:name w:val="标题 2 Char"/>
    <w:link w:val="4"/>
    <w:qFormat/>
    <w:uiPriority w:val="0"/>
    <w:rPr>
      <w:rFonts w:ascii="Arial" w:hAnsi="Arial" w:eastAsia="黑体"/>
      <w:b/>
      <w:bCs/>
      <w:kern w:val="2"/>
      <w:sz w:val="32"/>
      <w:szCs w:val="32"/>
      <w:lang w:val="en-US" w:eastAsia="zh-CN" w:bidi="ar-SA"/>
    </w:rPr>
  </w:style>
  <w:style w:type="character" w:customStyle="1" w:styleId="63">
    <w:name w:val="标题 3 Char"/>
    <w:link w:val="5"/>
    <w:qFormat/>
    <w:uiPriority w:val="0"/>
    <w:rPr>
      <w:b/>
      <w:bCs/>
      <w:kern w:val="2"/>
      <w:sz w:val="30"/>
      <w:szCs w:val="32"/>
      <w:lang w:val="zh-CN" w:eastAsia="zh-CN"/>
    </w:rPr>
  </w:style>
  <w:style w:type="character" w:customStyle="1" w:styleId="64">
    <w:name w:val="标题 4 Char"/>
    <w:link w:val="6"/>
    <w:qFormat/>
    <w:uiPriority w:val="0"/>
    <w:rPr>
      <w:rFonts w:ascii="Arial" w:hAnsi="Arial"/>
      <w:color w:val="000000"/>
      <w:kern w:val="2"/>
      <w:sz w:val="24"/>
      <w:szCs w:val="24"/>
      <w:lang w:val="zh-CN" w:eastAsia="zh-CN"/>
    </w:rPr>
  </w:style>
  <w:style w:type="character" w:customStyle="1" w:styleId="65">
    <w:name w:val="标题 5 Char"/>
    <w:link w:val="7"/>
    <w:qFormat/>
    <w:uiPriority w:val="0"/>
    <w:rPr>
      <w:rFonts w:ascii="Arial" w:hAnsi="Arial"/>
      <w:color w:val="000000"/>
      <w:kern w:val="2"/>
      <w:sz w:val="24"/>
      <w:szCs w:val="24"/>
      <w:lang w:val="zh-CN" w:eastAsia="zh-CN"/>
    </w:rPr>
  </w:style>
  <w:style w:type="character" w:customStyle="1" w:styleId="66">
    <w:name w:val="标题 6 Char"/>
    <w:link w:val="9"/>
    <w:qFormat/>
    <w:uiPriority w:val="0"/>
    <w:rPr>
      <w:rFonts w:ascii="Cambria" w:hAnsi="Cambria"/>
      <w:b/>
      <w:bCs/>
      <w:kern w:val="2"/>
      <w:sz w:val="24"/>
      <w:szCs w:val="24"/>
    </w:rPr>
  </w:style>
  <w:style w:type="character" w:customStyle="1" w:styleId="67">
    <w:name w:val="标题 7 Char"/>
    <w:link w:val="10"/>
    <w:qFormat/>
    <w:uiPriority w:val="0"/>
    <w:rPr>
      <w:b/>
      <w:kern w:val="2"/>
      <w:sz w:val="28"/>
      <w:lang w:val="zh-CN" w:eastAsia="zh-CN"/>
    </w:rPr>
  </w:style>
  <w:style w:type="character" w:customStyle="1" w:styleId="68">
    <w:name w:val="标题 8 Char"/>
    <w:link w:val="11"/>
    <w:qFormat/>
    <w:uiPriority w:val="0"/>
    <w:rPr>
      <w:rFonts w:ascii="Arial" w:hAnsi="Arial" w:eastAsia="黑体"/>
      <w:kern w:val="2"/>
      <w:sz w:val="24"/>
      <w:lang w:val="zh-CN" w:eastAsia="zh-CN"/>
    </w:rPr>
  </w:style>
  <w:style w:type="character" w:customStyle="1" w:styleId="69">
    <w:name w:val="标题 9 Char"/>
    <w:link w:val="12"/>
    <w:qFormat/>
    <w:uiPriority w:val="0"/>
    <w:rPr>
      <w:rFonts w:ascii="Arial" w:hAnsi="Arial" w:eastAsia="黑体"/>
      <w:kern w:val="2"/>
      <w:sz w:val="21"/>
      <w:lang w:val="zh-CN" w:eastAsia="zh-CN"/>
    </w:rPr>
  </w:style>
  <w:style w:type="character" w:customStyle="1" w:styleId="70">
    <w:name w:val="！正文（四号字） Char"/>
    <w:link w:val="71"/>
    <w:qFormat/>
    <w:uiPriority w:val="0"/>
    <w:rPr>
      <w:kern w:val="2"/>
      <w:sz w:val="24"/>
      <w:szCs w:val="28"/>
      <w:lang w:val="en-US" w:eastAsia="zh-CN" w:bidi="ar-SA"/>
    </w:rPr>
  </w:style>
  <w:style w:type="paragraph" w:customStyle="1" w:styleId="71">
    <w:name w:val="！正文（四号字）"/>
    <w:link w:val="70"/>
    <w:qFormat/>
    <w:uiPriority w:val="0"/>
    <w:pPr>
      <w:snapToGrid w:val="0"/>
      <w:spacing w:line="360" w:lineRule="auto"/>
      <w:ind w:firstLine="200" w:firstLineChars="200"/>
      <w:jc w:val="both"/>
    </w:pPr>
    <w:rPr>
      <w:rFonts w:ascii="Times New Roman" w:hAnsi="Times New Roman" w:eastAsia="宋体" w:cs="Times New Roman"/>
      <w:kern w:val="2"/>
      <w:sz w:val="24"/>
      <w:szCs w:val="28"/>
      <w:lang w:val="en-US" w:eastAsia="zh-CN" w:bidi="ar-SA"/>
    </w:rPr>
  </w:style>
  <w:style w:type="character" w:customStyle="1" w:styleId="72">
    <w:name w:val="Char Char12"/>
    <w:qFormat/>
    <w:uiPriority w:val="0"/>
    <w:rPr>
      <w:rFonts w:ascii="Arial" w:hAnsi="Arial" w:eastAsia="黑体"/>
      <w:b/>
      <w:bCs/>
      <w:kern w:val="2"/>
      <w:sz w:val="32"/>
      <w:szCs w:val="32"/>
      <w:lang w:val="en-US" w:eastAsia="zh-CN" w:bidi="ar-SA"/>
    </w:rPr>
  </w:style>
  <w:style w:type="character" w:customStyle="1" w:styleId="73">
    <w:name w:val="纯文本 Char"/>
    <w:qFormat/>
    <w:uiPriority w:val="0"/>
    <w:rPr>
      <w:rFonts w:ascii="宋体" w:hAnsi="Courier New" w:eastAsia="宋体"/>
      <w:kern w:val="2"/>
      <w:sz w:val="21"/>
      <w:lang w:val="en-US" w:eastAsia="zh-CN" w:bidi="ar-SA"/>
    </w:rPr>
  </w:style>
  <w:style w:type="character" w:customStyle="1" w:styleId="74">
    <w:name w:val="普通文字 Char2"/>
    <w:qFormat/>
    <w:uiPriority w:val="0"/>
    <w:rPr>
      <w:rFonts w:ascii="宋体" w:hAnsi="Courier New" w:eastAsia="宋体"/>
      <w:kern w:val="2"/>
      <w:sz w:val="21"/>
      <w:lang w:val="en-US" w:eastAsia="zh-CN" w:bidi="ar-SA"/>
    </w:rPr>
  </w:style>
  <w:style w:type="character" w:customStyle="1" w:styleId="75">
    <w:name w:val="Char Char3"/>
    <w:qFormat/>
    <w:uiPriority w:val="0"/>
    <w:rPr>
      <w:rFonts w:ascii="Arial" w:hAnsi="Arial" w:eastAsia="黑体"/>
      <w:b/>
      <w:bCs/>
      <w:kern w:val="2"/>
      <w:sz w:val="32"/>
      <w:szCs w:val="32"/>
      <w:lang w:val="en-US" w:eastAsia="zh-CN" w:bidi="ar-SA"/>
    </w:rPr>
  </w:style>
  <w:style w:type="character" w:customStyle="1" w:styleId="76">
    <w:name w:val="纯文本 Char1"/>
    <w:link w:val="23"/>
    <w:qFormat/>
    <w:uiPriority w:val="0"/>
    <w:rPr>
      <w:rFonts w:ascii="宋体" w:hAnsi="Courier New" w:eastAsia="宋体"/>
      <w:kern w:val="2"/>
      <w:sz w:val="21"/>
      <w:lang w:val="en-US" w:eastAsia="zh-CN" w:bidi="ar-SA"/>
    </w:rPr>
  </w:style>
  <w:style w:type="character" w:customStyle="1" w:styleId="77">
    <w:name w:val="apple-converted-space"/>
    <w:basedOn w:val="48"/>
    <w:qFormat/>
    <w:uiPriority w:val="0"/>
  </w:style>
  <w:style w:type="paragraph" w:customStyle="1" w:styleId="78">
    <w:name w:val="p15"/>
    <w:basedOn w:val="1"/>
    <w:qFormat/>
    <w:uiPriority w:val="0"/>
    <w:pPr>
      <w:widowControl/>
    </w:pPr>
    <w:rPr>
      <w:rFonts w:ascii="宋体" w:hAnsi="宋体" w:cs="宋体"/>
      <w:kern w:val="0"/>
      <w:szCs w:val="21"/>
    </w:rPr>
  </w:style>
  <w:style w:type="character" w:customStyle="1" w:styleId="79">
    <w:name w:val="HTML 预设格式 Char"/>
    <w:link w:val="40"/>
    <w:qFormat/>
    <w:uiPriority w:val="0"/>
    <w:rPr>
      <w:rFonts w:ascii="宋体" w:hAnsi="宋体" w:cs="宋体"/>
      <w:sz w:val="24"/>
      <w:szCs w:val="24"/>
    </w:rPr>
  </w:style>
  <w:style w:type="character" w:customStyle="1" w:styleId="80">
    <w:name w:val="批注文字 Char"/>
    <w:link w:val="15"/>
    <w:qFormat/>
    <w:uiPriority w:val="0"/>
    <w:rPr>
      <w:kern w:val="2"/>
      <w:sz w:val="21"/>
    </w:rPr>
  </w:style>
  <w:style w:type="character" w:customStyle="1" w:styleId="81">
    <w:name w:val="批注主题 Char"/>
    <w:link w:val="42"/>
    <w:qFormat/>
    <w:uiPriority w:val="99"/>
    <w:rPr>
      <w:b/>
      <w:bCs/>
      <w:kern w:val="2"/>
      <w:sz w:val="21"/>
    </w:rPr>
  </w:style>
  <w:style w:type="character" w:customStyle="1" w:styleId="82">
    <w:name w:val="正文文本 3 Char"/>
    <w:link w:val="16"/>
    <w:qFormat/>
    <w:uiPriority w:val="0"/>
    <w:rPr>
      <w:kern w:val="2"/>
      <w:sz w:val="16"/>
      <w:szCs w:val="16"/>
    </w:rPr>
  </w:style>
  <w:style w:type="character" w:customStyle="1" w:styleId="83">
    <w:name w:val="文档结构图 Char"/>
    <w:link w:val="14"/>
    <w:qFormat/>
    <w:uiPriority w:val="0"/>
    <w:rPr>
      <w:kern w:val="2"/>
      <w:sz w:val="21"/>
      <w:shd w:val="clear" w:color="auto" w:fill="000080"/>
    </w:rPr>
  </w:style>
  <w:style w:type="character" w:customStyle="1" w:styleId="84">
    <w:name w:val="正文文本缩进 Char"/>
    <w:link w:val="19"/>
    <w:qFormat/>
    <w:uiPriority w:val="0"/>
    <w:rPr>
      <w:kern w:val="2"/>
      <w:sz w:val="21"/>
    </w:rPr>
  </w:style>
  <w:style w:type="character" w:customStyle="1" w:styleId="85">
    <w:name w:val="正文文本 Char1"/>
    <w:link w:val="17"/>
    <w:qFormat/>
    <w:uiPriority w:val="99"/>
    <w:rPr>
      <w:kern w:val="2"/>
      <w:sz w:val="21"/>
    </w:rPr>
  </w:style>
  <w:style w:type="character" w:customStyle="1" w:styleId="86">
    <w:name w:val="正文文本缩进 3 Char"/>
    <w:link w:val="36"/>
    <w:qFormat/>
    <w:uiPriority w:val="0"/>
    <w:rPr>
      <w:kern w:val="2"/>
      <w:sz w:val="16"/>
      <w:szCs w:val="16"/>
    </w:rPr>
  </w:style>
  <w:style w:type="character" w:customStyle="1" w:styleId="87">
    <w:name w:val="页眉 Char"/>
    <w:link w:val="30"/>
    <w:qFormat/>
    <w:uiPriority w:val="0"/>
    <w:rPr>
      <w:kern w:val="2"/>
      <w:sz w:val="18"/>
    </w:rPr>
  </w:style>
  <w:style w:type="character" w:customStyle="1" w:styleId="88">
    <w:name w:val="批注框文本 Char"/>
    <w:link w:val="27"/>
    <w:qFormat/>
    <w:uiPriority w:val="99"/>
    <w:rPr>
      <w:kern w:val="2"/>
      <w:sz w:val="18"/>
      <w:szCs w:val="18"/>
    </w:rPr>
  </w:style>
  <w:style w:type="character" w:customStyle="1" w:styleId="89">
    <w:name w:val="日期 Char"/>
    <w:link w:val="25"/>
    <w:qFormat/>
    <w:uiPriority w:val="0"/>
    <w:rPr>
      <w:rFonts w:ascii="宋体" w:hAnsi="Courier New" w:cs="Courier New"/>
      <w:b/>
      <w:bCs/>
      <w:kern w:val="2"/>
      <w:sz w:val="28"/>
      <w:szCs w:val="21"/>
    </w:rPr>
  </w:style>
  <w:style w:type="character" w:customStyle="1" w:styleId="90">
    <w:name w:val="页脚 Char"/>
    <w:link w:val="28"/>
    <w:qFormat/>
    <w:uiPriority w:val="99"/>
    <w:rPr>
      <w:kern w:val="2"/>
      <w:sz w:val="18"/>
    </w:rPr>
  </w:style>
  <w:style w:type="character" w:customStyle="1" w:styleId="91">
    <w:name w:val="正文文本缩进 2 Char"/>
    <w:link w:val="26"/>
    <w:qFormat/>
    <w:uiPriority w:val="0"/>
    <w:rPr>
      <w:kern w:val="2"/>
      <w:sz w:val="21"/>
    </w:rPr>
  </w:style>
  <w:style w:type="paragraph" w:customStyle="1" w:styleId="92">
    <w:name w:val="正文4"/>
    <w:basedOn w:val="1"/>
    <w:qFormat/>
    <w:uiPriority w:val="0"/>
    <w:pPr>
      <w:ind w:firstLine="630"/>
    </w:pPr>
    <w:rPr>
      <w:sz w:val="28"/>
    </w:rPr>
  </w:style>
  <w:style w:type="paragraph" w:customStyle="1" w:styleId="93">
    <w:name w:val="Char1 Char Char Char Char Char Char Char Char Char Char Char Char Char Char Char Char Char Char Char"/>
    <w:basedOn w:val="1"/>
    <w:qFormat/>
    <w:uiPriority w:val="0"/>
    <w:pPr>
      <w:spacing w:line="360" w:lineRule="auto"/>
    </w:pPr>
  </w:style>
  <w:style w:type="paragraph" w:customStyle="1" w:styleId="94">
    <w:name w:val="默认段落字体 Para Char Char Char Char Char Char Char Char Char Char Char Char Char Char"/>
    <w:basedOn w:val="14"/>
    <w:qFormat/>
    <w:uiPriority w:val="0"/>
  </w:style>
  <w:style w:type="paragraph" w:customStyle="1" w:styleId="95">
    <w:name w:val="Char1"/>
    <w:basedOn w:val="1"/>
    <w:qFormat/>
    <w:uiPriority w:val="0"/>
    <w:pPr>
      <w:widowControl/>
      <w:spacing w:before="100" w:beforeAutospacing="1" w:after="100" w:afterAutospacing="1" w:line="330" w:lineRule="atLeast"/>
      <w:ind w:left="360"/>
      <w:jc w:val="left"/>
    </w:pPr>
    <w:rPr>
      <w:rFonts w:ascii="ˎ̥" w:hAnsi="ˎ̥" w:cs="宋体"/>
      <w:color w:val="51585D"/>
      <w:kern w:val="0"/>
      <w:sz w:val="24"/>
      <w:szCs w:val="18"/>
    </w:rPr>
  </w:style>
  <w:style w:type="paragraph" w:customStyle="1" w:styleId="96">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97">
    <w:name w:val="普通 (Web)"/>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8">
    <w:name w:val="列出段落1"/>
    <w:basedOn w:val="1"/>
    <w:qFormat/>
    <w:uiPriority w:val="34"/>
    <w:pPr>
      <w:spacing w:line="360" w:lineRule="auto"/>
      <w:ind w:firstLine="420" w:firstLineChars="200"/>
    </w:pPr>
    <w:rPr>
      <w:rFonts w:ascii="Calibri" w:hAnsi="Calibri"/>
      <w:szCs w:val="22"/>
    </w:rPr>
  </w:style>
  <w:style w:type="paragraph" w:customStyle="1" w:styleId="99">
    <w:name w:val="Char Char Char Char"/>
    <w:basedOn w:val="1"/>
    <w:qFormat/>
    <w:uiPriority w:val="0"/>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100">
    <w:name w:val="p0"/>
    <w:basedOn w:val="1"/>
    <w:qFormat/>
    <w:uiPriority w:val="0"/>
    <w:pPr>
      <w:widowControl/>
    </w:pPr>
    <w:rPr>
      <w:kern w:val="0"/>
      <w:szCs w:val="21"/>
    </w:rPr>
  </w:style>
  <w:style w:type="paragraph" w:customStyle="1" w:styleId="101">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02">
    <w:name w:val="Char Char Char Char1"/>
    <w:basedOn w:val="1"/>
    <w:qFormat/>
    <w:uiPriority w:val="0"/>
    <w:pPr>
      <w:tabs>
        <w:tab w:val="left" w:pos="425"/>
      </w:tabs>
      <w:ind w:left="425" w:hanging="425"/>
    </w:pPr>
    <w:rPr>
      <w:rFonts w:ascii="仿宋_GB2312" w:hAnsi="宋体" w:eastAsia="仿宋_GB2312"/>
      <w:b/>
      <w:kern w:val="24"/>
      <w:sz w:val="32"/>
      <w:szCs w:val="32"/>
    </w:rPr>
  </w:style>
  <w:style w:type="paragraph" w:customStyle="1" w:styleId="103">
    <w:name w:val="Char"/>
    <w:basedOn w:val="1"/>
    <w:qFormat/>
    <w:uiPriority w:val="0"/>
    <w:rPr>
      <w:sz w:val="24"/>
      <w:szCs w:val="24"/>
    </w:rPr>
  </w:style>
  <w:style w:type="paragraph" w:customStyle="1" w:styleId="104">
    <w:name w:val="Char2"/>
    <w:basedOn w:val="1"/>
    <w:qFormat/>
    <w:uiPriority w:val="0"/>
    <w:rPr>
      <w:sz w:val="24"/>
      <w:szCs w:val="24"/>
    </w:rPr>
  </w:style>
  <w:style w:type="paragraph" w:customStyle="1" w:styleId="10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6">
    <w:name w:val="Char Char Char Char Char1 Char"/>
    <w:basedOn w:val="1"/>
    <w:qFormat/>
    <w:uiPriority w:val="0"/>
    <w:rPr>
      <w:rFonts w:ascii="Tahoma" w:hAnsi="Tahoma"/>
      <w:sz w:val="24"/>
    </w:rPr>
  </w:style>
  <w:style w:type="paragraph" w:customStyle="1" w:styleId="107">
    <w:name w:val="纯文本1"/>
    <w:basedOn w:val="1"/>
    <w:qFormat/>
    <w:uiPriority w:val="0"/>
    <w:pPr>
      <w:adjustRightInd w:val="0"/>
      <w:jc w:val="left"/>
      <w:textAlignment w:val="baseline"/>
    </w:pPr>
    <w:rPr>
      <w:rFonts w:ascii="宋体" w:hAnsi="Courier New"/>
      <w:sz w:val="24"/>
    </w:rPr>
  </w:style>
  <w:style w:type="paragraph" w:customStyle="1" w:styleId="108">
    <w:name w:val="6'"/>
    <w:basedOn w:val="1"/>
    <w:qFormat/>
    <w:uiPriority w:val="0"/>
    <w:pPr>
      <w:autoSpaceDE w:val="0"/>
      <w:autoSpaceDN w:val="0"/>
      <w:adjustRightInd w:val="0"/>
      <w:snapToGrid w:val="0"/>
      <w:spacing w:line="320" w:lineRule="exact"/>
      <w:jc w:val="center"/>
      <w:textAlignment w:val="baseline"/>
    </w:pPr>
    <w:rPr>
      <w:spacing w:val="20"/>
      <w:kern w:val="28"/>
    </w:rPr>
  </w:style>
  <w:style w:type="character" w:customStyle="1" w:styleId="109">
    <w:name w:val="Char Char5"/>
    <w:qFormat/>
    <w:uiPriority w:val="0"/>
    <w:rPr>
      <w:rFonts w:ascii="宋体" w:hAnsi="Courier New" w:eastAsia="宋体"/>
      <w:kern w:val="2"/>
      <w:sz w:val="21"/>
      <w:lang w:val="en-US" w:eastAsia="zh-CN" w:bidi="ar-SA"/>
    </w:rPr>
  </w:style>
  <w:style w:type="paragraph" w:customStyle="1" w:styleId="110">
    <w:name w:val="公文标题"/>
    <w:basedOn w:val="5"/>
    <w:qFormat/>
    <w:uiPriority w:val="0"/>
    <w:pPr>
      <w:spacing w:line="240" w:lineRule="auto"/>
      <w:ind w:left="1469" w:right="1542"/>
    </w:pPr>
    <w:rPr>
      <w:bCs w:val="0"/>
      <w:sz w:val="44"/>
      <w:szCs w:val="24"/>
    </w:rPr>
  </w:style>
  <w:style w:type="paragraph" w:customStyle="1" w:styleId="111">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112">
    <w:name w:val="发文落款"/>
    <w:basedOn w:val="111"/>
    <w:qFormat/>
    <w:uiPriority w:val="0"/>
    <w:pPr>
      <w:ind w:left="4094" w:right="607" w:firstLine="0"/>
      <w:jc w:val="center"/>
    </w:pPr>
  </w:style>
  <w:style w:type="character" w:customStyle="1" w:styleId="113">
    <w:name w:val="孙普文字 Char"/>
    <w:qFormat/>
    <w:uiPriority w:val="0"/>
    <w:rPr>
      <w:rFonts w:ascii="宋体" w:hAnsi="Courier New" w:eastAsia="宋体"/>
      <w:kern w:val="2"/>
      <w:sz w:val="21"/>
      <w:lang w:val="en-US" w:eastAsia="zh-CN" w:bidi="ar-SA"/>
    </w:rPr>
  </w:style>
  <w:style w:type="paragraph" w:customStyle="1" w:styleId="114">
    <w:name w:val="formtable1"/>
    <w:basedOn w:val="1"/>
    <w:qFormat/>
    <w:uiPriority w:val="0"/>
    <w:pPr>
      <w:widowControl/>
      <w:pBdr>
        <w:left w:val="single" w:color="CCCCCC" w:sz="6" w:space="0"/>
      </w:pBdr>
      <w:spacing w:before="100" w:beforeAutospacing="1" w:after="100" w:afterAutospacing="1"/>
      <w:jc w:val="left"/>
    </w:pPr>
    <w:rPr>
      <w:rFonts w:ascii="宋体" w:hAnsi="宋体" w:cs="宋体"/>
      <w:kern w:val="0"/>
      <w:sz w:val="24"/>
      <w:szCs w:val="24"/>
    </w:rPr>
  </w:style>
  <w:style w:type="character" w:customStyle="1" w:styleId="115">
    <w:name w:val="正文首行缩进 Char"/>
    <w:link w:val="43"/>
    <w:qFormat/>
    <w:uiPriority w:val="0"/>
    <w:rPr>
      <w:kern w:val="2"/>
      <w:sz w:val="21"/>
    </w:rPr>
  </w:style>
  <w:style w:type="character" w:customStyle="1" w:styleId="116">
    <w:name w:val="正文文本 2 Char"/>
    <w:link w:val="39"/>
    <w:qFormat/>
    <w:uiPriority w:val="0"/>
    <w:rPr>
      <w:kern w:val="2"/>
      <w:sz w:val="24"/>
    </w:rPr>
  </w:style>
  <w:style w:type="character" w:customStyle="1" w:styleId="117">
    <w:name w:val="正文文本 Char"/>
    <w:qFormat/>
    <w:uiPriority w:val="0"/>
    <w:rPr>
      <w:rFonts w:ascii="仿宋_GB2312" w:eastAsia="仿宋_GB2312"/>
      <w:kern w:val="2"/>
      <w:sz w:val="28"/>
      <w:lang w:bidi="ar-SA"/>
    </w:rPr>
  </w:style>
  <w:style w:type="character" w:customStyle="1" w:styleId="118">
    <w:name w:val="正文首行缩进 Char1"/>
    <w:basedOn w:val="85"/>
    <w:qFormat/>
    <w:uiPriority w:val="0"/>
    <w:rPr>
      <w:kern w:val="2"/>
      <w:sz w:val="21"/>
    </w:rPr>
  </w:style>
  <w:style w:type="character" w:customStyle="1" w:styleId="119">
    <w:name w:val="HTML 预设格式 Char1"/>
    <w:qFormat/>
    <w:uiPriority w:val="0"/>
    <w:rPr>
      <w:rFonts w:ascii="Courier New" w:hAnsi="Courier New" w:cs="Courier New"/>
      <w:kern w:val="2"/>
    </w:rPr>
  </w:style>
  <w:style w:type="character" w:customStyle="1" w:styleId="120">
    <w:name w:val="正文文本 2 Char1"/>
    <w:qFormat/>
    <w:uiPriority w:val="0"/>
    <w:rPr>
      <w:kern w:val="2"/>
      <w:sz w:val="21"/>
    </w:rPr>
  </w:style>
  <w:style w:type="paragraph" w:customStyle="1" w:styleId="121">
    <w:name w:val="p17"/>
    <w:basedOn w:val="1"/>
    <w:qFormat/>
    <w:uiPriority w:val="0"/>
    <w:pPr>
      <w:widowControl/>
    </w:pPr>
    <w:rPr>
      <w:rFonts w:ascii="宋体" w:hAnsi="宋体" w:cs="宋体"/>
      <w:kern w:val="0"/>
      <w:szCs w:val="21"/>
    </w:rPr>
  </w:style>
  <w:style w:type="paragraph" w:customStyle="1" w:styleId="122">
    <w:name w:val="Char Char Char Char Char1 Char Char Char Char Char Char Char"/>
    <w:basedOn w:val="1"/>
    <w:qFormat/>
    <w:uiPriority w:val="0"/>
    <w:pPr>
      <w:spacing w:line="360" w:lineRule="auto"/>
    </w:pPr>
    <w:rPr>
      <w:rFonts w:ascii="Tahoma" w:hAnsi="Tahoma"/>
      <w:sz w:val="24"/>
    </w:rPr>
  </w:style>
  <w:style w:type="character" w:customStyle="1" w:styleId="123">
    <w:name w:val="纯文本 Char2"/>
    <w:qFormat/>
    <w:uiPriority w:val="0"/>
    <w:rPr>
      <w:rFonts w:ascii="宋体" w:hAnsi="Courier New"/>
      <w:kern w:val="2"/>
      <w:sz w:val="21"/>
    </w:rPr>
  </w:style>
  <w:style w:type="paragraph" w:customStyle="1" w:styleId="124">
    <w:name w:val="域名"/>
    <w:basedOn w:val="1"/>
    <w:qFormat/>
    <w:uiPriority w:val="0"/>
    <w:pPr>
      <w:adjustRightInd w:val="0"/>
      <w:spacing w:line="240" w:lineRule="exact"/>
      <w:textAlignment w:val="baseline"/>
    </w:pPr>
    <w:rPr>
      <w:rFonts w:ascii="宋体" w:eastAsia="仿宋_GB2312"/>
      <w:b/>
      <w:color w:val="FF0000"/>
      <w:kern w:val="0"/>
    </w:rPr>
  </w:style>
  <w:style w:type="paragraph" w:customStyle="1" w:styleId="125">
    <w:name w:val="xl22"/>
    <w:basedOn w:val="1"/>
    <w:qFormat/>
    <w:uiPriority w:val="0"/>
    <w:pPr>
      <w:widowControl/>
      <w:spacing w:before="100" w:beforeAutospacing="1" w:after="100" w:afterAutospacing="1"/>
      <w:jc w:val="center"/>
      <w:textAlignment w:val="center"/>
    </w:pPr>
    <w:rPr>
      <w:rFonts w:hint="eastAsia" w:ascii="仿宋_GB2312" w:hAnsi="宋体" w:eastAsia="仿宋_GB2312"/>
      <w:kern w:val="0"/>
      <w:sz w:val="24"/>
      <w:szCs w:val="24"/>
    </w:rPr>
  </w:style>
  <w:style w:type="character" w:customStyle="1" w:styleId="126">
    <w:name w:val="标题 2 Char1"/>
    <w:qFormat/>
    <w:uiPriority w:val="9"/>
    <w:rPr>
      <w:rFonts w:ascii="Arial" w:hAnsi="Arial" w:eastAsia="黑体"/>
      <w:b/>
      <w:bCs/>
      <w:kern w:val="2"/>
      <w:sz w:val="32"/>
      <w:szCs w:val="32"/>
    </w:rPr>
  </w:style>
  <w:style w:type="paragraph" w:customStyle="1" w:styleId="127">
    <w:name w:val="表格标题粗体_制度头表格"/>
    <w:qFormat/>
    <w:uiPriority w:val="0"/>
    <w:pPr>
      <w:jc w:val="center"/>
    </w:pPr>
    <w:rPr>
      <w:rFonts w:ascii="Times New Roman" w:hAnsi="Times New Roman" w:eastAsia="宋体" w:cs="Times New Roman"/>
      <w:b/>
      <w:sz w:val="21"/>
      <w:szCs w:val="21"/>
      <w:lang w:val="en-US" w:eastAsia="zh-CN" w:bidi="ar-SA"/>
    </w:rPr>
  </w:style>
  <w:style w:type="paragraph" w:customStyle="1" w:styleId="128">
    <w:name w:val="表格标题正常_制度头表格"/>
    <w:qFormat/>
    <w:uiPriority w:val="0"/>
    <w:pPr>
      <w:jc w:val="center"/>
    </w:pPr>
    <w:rPr>
      <w:rFonts w:ascii="Times New Roman" w:hAnsi="Times New Roman" w:eastAsia="宋体" w:cs="Times New Roman"/>
      <w:sz w:val="21"/>
      <w:lang w:val="en-US" w:eastAsia="zh-CN" w:bidi="ar-SA"/>
    </w:rPr>
  </w:style>
  <w:style w:type="paragraph" w:customStyle="1" w:styleId="129">
    <w:name w:val="表格内容靠左正常_制度头表格"/>
    <w:qFormat/>
    <w:uiPriority w:val="0"/>
    <w:rPr>
      <w:rFonts w:ascii="Times New Roman" w:hAnsi="Times New Roman" w:eastAsia="宋体" w:cs="Times New Roman"/>
      <w:sz w:val="21"/>
      <w:szCs w:val="21"/>
      <w:lang w:val="en-US" w:eastAsia="zh-CN" w:bidi="ar-SA"/>
    </w:rPr>
  </w:style>
  <w:style w:type="paragraph" w:customStyle="1" w:styleId="130">
    <w:name w:val="表格空行_制度头表格"/>
    <w:basedOn w:val="128"/>
    <w:qFormat/>
    <w:uiPriority w:val="0"/>
    <w:pPr>
      <w:tabs>
        <w:tab w:val="left" w:pos="2960"/>
      </w:tabs>
      <w:jc w:val="both"/>
    </w:pPr>
    <w:rPr>
      <w:rFonts w:eastAsia="黑体"/>
      <w:sz w:val="11"/>
      <w:szCs w:val="30"/>
    </w:rPr>
  </w:style>
  <w:style w:type="character" w:customStyle="1" w:styleId="131">
    <w:name w:val="Char Char26"/>
    <w:qFormat/>
    <w:uiPriority w:val="0"/>
    <w:rPr>
      <w:rFonts w:ascii="Arial" w:hAnsi="Arial" w:eastAsia="黑体"/>
      <w:b/>
      <w:bCs/>
      <w:kern w:val="2"/>
      <w:sz w:val="32"/>
      <w:szCs w:val="32"/>
      <w:lang w:val="en-US" w:eastAsia="zh-CN" w:bidi="ar-SA"/>
    </w:rPr>
  </w:style>
  <w:style w:type="paragraph" w:customStyle="1" w:styleId="132">
    <w:name w:val="11"/>
    <w:basedOn w:val="19"/>
    <w:link w:val="133"/>
    <w:qFormat/>
    <w:uiPriority w:val="0"/>
    <w:pPr>
      <w:spacing w:line="360" w:lineRule="auto"/>
    </w:pPr>
    <w:rPr>
      <w:rFonts w:hAnsi="宋体"/>
      <w:b/>
      <w:szCs w:val="21"/>
    </w:rPr>
  </w:style>
  <w:style w:type="character" w:customStyle="1" w:styleId="133">
    <w:name w:val="11 Char"/>
    <w:link w:val="132"/>
    <w:qFormat/>
    <w:uiPriority w:val="0"/>
    <w:rPr>
      <w:rFonts w:hAnsi="宋体"/>
      <w:b/>
      <w:kern w:val="2"/>
      <w:sz w:val="21"/>
      <w:szCs w:val="21"/>
    </w:rPr>
  </w:style>
  <w:style w:type="character" w:customStyle="1" w:styleId="134">
    <w:name w:val="正文文本缩进 Char1"/>
    <w:qFormat/>
    <w:uiPriority w:val="99"/>
  </w:style>
  <w:style w:type="paragraph" w:customStyle="1" w:styleId="135">
    <w:name w:val="英文1"/>
    <w:basedOn w:val="1"/>
    <w:qFormat/>
    <w:uiPriority w:val="0"/>
    <w:pPr>
      <w:tabs>
        <w:tab w:val="left" w:pos="1155"/>
      </w:tabs>
      <w:adjustRightInd w:val="0"/>
      <w:snapToGrid w:val="0"/>
      <w:spacing w:beforeLines="50" w:line="240" w:lineRule="exact"/>
      <w:ind w:left="733" w:leftChars="349" w:firstLine="373" w:firstLineChars="207"/>
    </w:pPr>
    <w:rPr>
      <w:rFonts w:ascii="Arial" w:hAnsi="Arial" w:cs="Arial"/>
      <w:sz w:val="18"/>
      <w:szCs w:val="24"/>
    </w:rPr>
  </w:style>
  <w:style w:type="paragraph" w:customStyle="1" w:styleId="136">
    <w:name w:val="中文1"/>
    <w:basedOn w:val="135"/>
    <w:qFormat/>
    <w:uiPriority w:val="0"/>
    <w:pPr>
      <w:spacing w:afterLines="150"/>
      <w:ind w:firstLine="371" w:firstLineChars="206"/>
    </w:pPr>
    <w:rPr>
      <w:rFonts w:ascii="宋体" w:hAnsi="宋体"/>
    </w:rPr>
  </w:style>
  <w:style w:type="paragraph" w:customStyle="1" w:styleId="137">
    <w:name w:val="样式 段后: 0.5 行1"/>
    <w:basedOn w:val="1"/>
    <w:qFormat/>
    <w:uiPriority w:val="0"/>
    <w:pPr>
      <w:snapToGrid w:val="0"/>
      <w:spacing w:afterLines="50"/>
    </w:pPr>
    <w:rPr>
      <w:rFonts w:cs="宋体"/>
      <w:sz w:val="24"/>
      <w:szCs w:val="24"/>
    </w:rPr>
  </w:style>
  <w:style w:type="paragraph" w:customStyle="1" w:styleId="138">
    <w:name w:val="样式 样式 样式1 + 段后: 0.5 行 + 段后: 0.5 行"/>
    <w:basedOn w:val="1"/>
    <w:qFormat/>
    <w:uiPriority w:val="0"/>
    <w:pPr>
      <w:numPr>
        <w:ilvl w:val="0"/>
        <w:numId w:val="1"/>
      </w:numPr>
      <w:adjustRightInd w:val="0"/>
      <w:snapToGrid w:val="0"/>
      <w:jc w:val="left"/>
      <w:outlineLvl w:val="0"/>
    </w:pPr>
    <w:rPr>
      <w:rFonts w:ascii="宋体" w:hAnsi="Arial" w:cs="宋体"/>
      <w:sz w:val="24"/>
    </w:rPr>
  </w:style>
  <w:style w:type="paragraph" w:customStyle="1" w:styleId="139">
    <w:name w:val="第二级"/>
    <w:basedOn w:val="1"/>
    <w:qFormat/>
    <w:uiPriority w:val="0"/>
    <w:pPr>
      <w:numPr>
        <w:ilvl w:val="1"/>
        <w:numId w:val="2"/>
      </w:numPr>
      <w:adjustRightInd w:val="0"/>
      <w:snapToGrid w:val="0"/>
      <w:spacing w:afterLines="50"/>
      <w:ind w:left="0" w:firstLine="0"/>
      <w:jc w:val="left"/>
      <w:outlineLvl w:val="1"/>
    </w:pPr>
    <w:rPr>
      <w:rFonts w:ascii="宋体" w:hAnsi="Arial"/>
      <w:sz w:val="24"/>
    </w:rPr>
  </w:style>
  <w:style w:type="paragraph" w:customStyle="1" w:styleId="140">
    <w:name w:val="样式 第二级 + 段后: 0.5 行"/>
    <w:basedOn w:val="139"/>
    <w:qFormat/>
    <w:uiPriority w:val="0"/>
    <w:pPr>
      <w:spacing w:afterLines="0"/>
      <w:ind w:left="567" w:hanging="567"/>
    </w:pPr>
    <w:rPr>
      <w:rFonts w:cs="宋体"/>
    </w:rPr>
  </w:style>
  <w:style w:type="character" w:customStyle="1" w:styleId="141">
    <w:name w:val="标题 Char"/>
    <w:link w:val="18"/>
    <w:qFormat/>
    <w:uiPriority w:val="10"/>
    <w:rPr>
      <w:rFonts w:ascii="Cambria" w:hAnsi="Cambria"/>
      <w:b/>
      <w:bCs/>
      <w:kern w:val="2"/>
      <w:sz w:val="32"/>
      <w:szCs w:val="32"/>
      <w:lang w:val="zh-CN" w:eastAsia="zh-CN"/>
    </w:rPr>
  </w:style>
  <w:style w:type="paragraph" w:customStyle="1" w:styleId="142">
    <w:name w:val="无间隔1"/>
    <w:link w:val="143"/>
    <w:qFormat/>
    <w:uiPriority w:val="1"/>
    <w:pPr>
      <w:widowControl w:val="0"/>
      <w:jc w:val="both"/>
    </w:pPr>
    <w:rPr>
      <w:rFonts w:ascii="Times New Roman" w:hAnsi="Times New Roman" w:eastAsia="宋体" w:cs="Times New Roman"/>
      <w:kern w:val="2"/>
      <w:sz w:val="24"/>
      <w:lang w:val="en-US" w:eastAsia="zh-CN" w:bidi="ar-SA"/>
    </w:rPr>
  </w:style>
  <w:style w:type="character" w:customStyle="1" w:styleId="143">
    <w:name w:val="无间隔 Char"/>
    <w:link w:val="142"/>
    <w:qFormat/>
    <w:uiPriority w:val="1"/>
    <w:rPr>
      <w:kern w:val="2"/>
      <w:sz w:val="24"/>
      <w:lang w:bidi="ar-SA"/>
    </w:rPr>
  </w:style>
  <w:style w:type="paragraph" w:customStyle="1" w:styleId="144">
    <w:name w:val="TOC 标题1"/>
    <w:basedOn w:val="3"/>
    <w:next w:val="1"/>
    <w:unhideWhenUsed/>
    <w:qFormat/>
    <w:uiPriority w:val="39"/>
    <w:pPr>
      <w:widowControl/>
      <w:adjustRightInd w:val="0"/>
      <w:spacing w:before="480" w:after="0" w:line="276" w:lineRule="auto"/>
      <w:jc w:val="left"/>
      <w:outlineLvl w:val="9"/>
    </w:pPr>
    <w:rPr>
      <w:rFonts w:ascii="Cambria" w:hAnsi="Cambria"/>
      <w:b w:val="0"/>
      <w:color w:val="365F91"/>
      <w:kern w:val="0"/>
      <w:sz w:val="28"/>
      <w:szCs w:val="28"/>
    </w:rPr>
  </w:style>
  <w:style w:type="character" w:customStyle="1" w:styleId="145">
    <w:name w:val="正文文本 3 Char1"/>
    <w:qFormat/>
    <w:uiPriority w:val="0"/>
    <w:rPr>
      <w:rFonts w:eastAsia="仿宋_GB2312"/>
      <w:sz w:val="16"/>
      <w:szCs w:val="16"/>
    </w:rPr>
  </w:style>
  <w:style w:type="character" w:customStyle="1" w:styleId="146">
    <w:name w:val="日期 Char1"/>
    <w:qFormat/>
    <w:uiPriority w:val="0"/>
    <w:rPr>
      <w:rFonts w:ascii="Times New Roman" w:hAnsi="Times New Roman" w:eastAsia="宋体" w:cs="Times New Roman"/>
      <w:szCs w:val="20"/>
    </w:rPr>
  </w:style>
  <w:style w:type="character" w:customStyle="1" w:styleId="147">
    <w:name w:val="！正文（四号字） Char Char"/>
    <w:qFormat/>
    <w:uiPriority w:val="0"/>
    <w:rPr>
      <w:rFonts w:eastAsia="Times New Roman"/>
      <w:kern w:val="2"/>
      <w:sz w:val="24"/>
      <w:szCs w:val="28"/>
      <w:lang w:val="en-US" w:eastAsia="zh-CN" w:bidi="ar-SA"/>
    </w:rPr>
  </w:style>
  <w:style w:type="character" w:customStyle="1" w:styleId="148">
    <w:name w:val="文档结构图 Char1"/>
    <w:qFormat/>
    <w:uiPriority w:val="0"/>
    <w:rPr>
      <w:rFonts w:ascii="宋体"/>
      <w:sz w:val="18"/>
      <w:szCs w:val="18"/>
    </w:rPr>
  </w:style>
  <w:style w:type="character" w:customStyle="1" w:styleId="149">
    <w:name w:val="Char Char13"/>
    <w:qFormat/>
    <w:uiPriority w:val="0"/>
    <w:rPr>
      <w:rFonts w:ascii="宋体" w:eastAsia="宋体"/>
      <w:kern w:val="2"/>
      <w:sz w:val="24"/>
      <w:lang w:val="en-US" w:eastAsia="zh-CN" w:bidi="ar-SA"/>
    </w:rPr>
  </w:style>
  <w:style w:type="character" w:customStyle="1" w:styleId="150">
    <w:name w:val="批注文字 Char1"/>
    <w:qFormat/>
    <w:uiPriority w:val="0"/>
    <w:rPr>
      <w:rFonts w:eastAsia="仿宋_GB2312"/>
      <w:sz w:val="30"/>
    </w:rPr>
  </w:style>
  <w:style w:type="character" w:customStyle="1" w:styleId="151">
    <w:name w:val="Comment Text Char"/>
    <w:qFormat/>
    <w:locked/>
    <w:uiPriority w:val="0"/>
    <w:rPr>
      <w:kern w:val="2"/>
      <w:sz w:val="24"/>
      <w:szCs w:val="24"/>
    </w:rPr>
  </w:style>
  <w:style w:type="character" w:customStyle="1" w:styleId="152">
    <w:name w:val="h Char1"/>
    <w:qFormat/>
    <w:locked/>
    <w:uiPriority w:val="0"/>
    <w:rPr>
      <w:rFonts w:eastAsia="仿宋_GB2312"/>
      <w:sz w:val="18"/>
    </w:rPr>
  </w:style>
  <w:style w:type="character" w:customStyle="1" w:styleId="153">
    <w:name w:val="Char Char10"/>
    <w:qFormat/>
    <w:uiPriority w:val="0"/>
    <w:rPr>
      <w:rFonts w:ascii="宋体" w:hAnsi="Courier New" w:eastAsia="宋体" w:cs="宋体"/>
      <w:kern w:val="2"/>
      <w:sz w:val="24"/>
      <w:szCs w:val="24"/>
      <w:lang w:val="en-US" w:eastAsia="zh-CN"/>
    </w:rPr>
  </w:style>
  <w:style w:type="character" w:customStyle="1" w:styleId="154">
    <w:name w:val="正文首行缩进 2 Char1"/>
    <w:qFormat/>
    <w:uiPriority w:val="0"/>
    <w:rPr>
      <w:rFonts w:ascii="宋体" w:hAnsi="宋体" w:eastAsia="仿宋_GB2312"/>
      <w:sz w:val="30"/>
      <w:szCs w:val="28"/>
    </w:rPr>
  </w:style>
  <w:style w:type="character" w:customStyle="1" w:styleId="155">
    <w:name w:val="批注主题 Char1"/>
    <w:qFormat/>
    <w:uiPriority w:val="0"/>
    <w:rPr>
      <w:rFonts w:eastAsia="仿宋_GB2312"/>
      <w:b/>
      <w:bCs/>
      <w:sz w:val="30"/>
    </w:rPr>
  </w:style>
  <w:style w:type="character" w:customStyle="1" w:styleId="156">
    <w:name w:val="Char Char22"/>
    <w:qFormat/>
    <w:uiPriority w:val="0"/>
    <w:rPr>
      <w:rFonts w:ascii="Arial" w:hAnsi="Arial" w:eastAsia="黑体"/>
      <w:b/>
      <w:bCs/>
      <w:kern w:val="2"/>
      <w:sz w:val="32"/>
      <w:szCs w:val="32"/>
      <w:lang w:val="en-US" w:eastAsia="zh-CN" w:bidi="ar-SA"/>
    </w:rPr>
  </w:style>
  <w:style w:type="character" w:customStyle="1" w:styleId="157">
    <w:name w:val="Char Char121"/>
    <w:qFormat/>
    <w:uiPriority w:val="0"/>
    <w:rPr>
      <w:rFonts w:eastAsia="仿宋_GB2312"/>
      <w:sz w:val="18"/>
    </w:rPr>
  </w:style>
  <w:style w:type="character" w:customStyle="1" w:styleId="158">
    <w:name w:val="Char Char11"/>
    <w:qFormat/>
    <w:uiPriority w:val="0"/>
    <w:rPr>
      <w:kern w:val="2"/>
      <w:sz w:val="26"/>
    </w:rPr>
  </w:style>
  <w:style w:type="character" w:customStyle="1" w:styleId="159">
    <w:name w:val="Comment Subject Char"/>
    <w:qFormat/>
    <w:locked/>
    <w:uiPriority w:val="0"/>
    <w:rPr>
      <w:b/>
      <w:bCs/>
      <w:kern w:val="2"/>
      <w:sz w:val="24"/>
      <w:szCs w:val="24"/>
    </w:rPr>
  </w:style>
  <w:style w:type="character" w:customStyle="1" w:styleId="160">
    <w:name w:val="正文文本缩进 3 Char1"/>
    <w:qFormat/>
    <w:uiPriority w:val="0"/>
    <w:rPr>
      <w:rFonts w:eastAsia="仿宋_GB2312"/>
      <w:sz w:val="16"/>
      <w:szCs w:val="16"/>
    </w:rPr>
  </w:style>
  <w:style w:type="character" w:customStyle="1" w:styleId="161">
    <w:name w:val="Footer-Even Char1"/>
    <w:qFormat/>
    <w:locked/>
    <w:uiPriority w:val="0"/>
    <w:rPr>
      <w:rFonts w:eastAsia="仿宋_GB2312"/>
      <w:sz w:val="18"/>
    </w:rPr>
  </w:style>
  <w:style w:type="paragraph" w:customStyle="1" w:styleId="162">
    <w:name w:val="bn"/>
    <w:basedOn w:val="1"/>
    <w:qFormat/>
    <w:uiPriority w:val="0"/>
    <w:pPr>
      <w:topLinePunct/>
      <w:snapToGrid w:val="0"/>
      <w:ind w:left="20" w:leftChars="20" w:right="20" w:rightChars="20"/>
      <w:jc w:val="center"/>
    </w:pPr>
    <w:rPr>
      <w:color w:val="000000"/>
      <w:kern w:val="18"/>
      <w:sz w:val="18"/>
      <w:szCs w:val="18"/>
    </w:rPr>
  </w:style>
  <w:style w:type="paragraph" w:customStyle="1" w:styleId="163">
    <w:name w:val="bg"/>
    <w:basedOn w:val="19"/>
    <w:qFormat/>
    <w:uiPriority w:val="0"/>
    <w:pPr>
      <w:topLinePunct/>
      <w:snapToGrid w:val="0"/>
      <w:spacing w:after="0"/>
      <w:ind w:left="0" w:leftChars="0"/>
      <w:jc w:val="center"/>
    </w:pPr>
    <w:rPr>
      <w:rFonts w:hAnsi="Calibri"/>
      <w:color w:val="000000"/>
      <w:sz w:val="18"/>
      <w:szCs w:val="18"/>
      <w:lang w:val="en-US"/>
    </w:rPr>
  </w:style>
  <w:style w:type="character" w:customStyle="1" w:styleId="164">
    <w:name w:val="正文首行缩进 2 Char"/>
    <w:link w:val="44"/>
    <w:qFormat/>
    <w:uiPriority w:val="0"/>
    <w:rPr>
      <w:rFonts w:hAnsi="Calibri"/>
      <w:kern w:val="2"/>
      <w:sz w:val="21"/>
      <w:szCs w:val="24"/>
    </w:rPr>
  </w:style>
  <w:style w:type="paragraph" w:customStyle="1" w:styleId="165">
    <w:name w:val="Char1 Char Char Char Char Char Char Char Char Char Char Char Char Char Char Char Char Char Char Char1"/>
    <w:basedOn w:val="1"/>
    <w:qFormat/>
    <w:uiPriority w:val="0"/>
    <w:pPr>
      <w:spacing w:line="360" w:lineRule="auto"/>
    </w:pPr>
  </w:style>
  <w:style w:type="paragraph" w:customStyle="1" w:styleId="166">
    <w:name w:val="Char Char Char Char Char Char Char Char Char Char Char Char"/>
    <w:basedOn w:val="1"/>
    <w:qFormat/>
    <w:uiPriority w:val="0"/>
    <w:pPr>
      <w:spacing w:line="360" w:lineRule="auto"/>
    </w:pPr>
  </w:style>
  <w:style w:type="paragraph" w:customStyle="1" w:styleId="167">
    <w:name w:val="修订1"/>
    <w:hidden/>
    <w:semiHidden/>
    <w:qFormat/>
    <w:uiPriority w:val="99"/>
    <w:rPr>
      <w:rFonts w:ascii="Times New Roman" w:hAnsi="Times New Roman" w:eastAsia="宋体" w:cs="Times New Roman"/>
      <w:kern w:val="2"/>
      <w:sz w:val="21"/>
      <w:lang w:val="en-US" w:eastAsia="zh-CN" w:bidi="ar-SA"/>
    </w:rPr>
  </w:style>
  <w:style w:type="table" w:customStyle="1" w:styleId="168">
    <w:name w:val="网格型1"/>
    <w:basedOn w:val="46"/>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9">
    <w:name w:val="批注主题 Char2"/>
    <w:qFormat/>
    <w:uiPriority w:val="99"/>
    <w:rPr>
      <w:rFonts w:eastAsia="仿宋_GB2312"/>
      <w:b/>
      <w:bCs/>
      <w:sz w:val="30"/>
    </w:rPr>
  </w:style>
  <w:style w:type="character" w:customStyle="1" w:styleId="170">
    <w:name w:val="正文文本缩进 3 Char2"/>
    <w:qFormat/>
    <w:uiPriority w:val="99"/>
    <w:rPr>
      <w:rFonts w:eastAsia="仿宋_GB2312"/>
      <w:sz w:val="16"/>
      <w:szCs w:val="16"/>
    </w:rPr>
  </w:style>
  <w:style w:type="character" w:customStyle="1" w:styleId="171">
    <w:name w:val="正文首行缩进 Char2"/>
    <w:qFormat/>
    <w:uiPriority w:val="99"/>
    <w:rPr>
      <w:rFonts w:eastAsia="仿宋_GB2312"/>
      <w:kern w:val="2"/>
      <w:sz w:val="30"/>
    </w:rPr>
  </w:style>
  <w:style w:type="character" w:customStyle="1" w:styleId="172">
    <w:name w:val="Char Char51"/>
    <w:qFormat/>
    <w:uiPriority w:val="0"/>
    <w:rPr>
      <w:rFonts w:ascii="宋体" w:hAnsi="Courier New" w:eastAsia="宋体"/>
      <w:kern w:val="2"/>
      <w:sz w:val="21"/>
      <w:lang w:val="en-US" w:eastAsia="zh-CN" w:bidi="ar-SA"/>
    </w:rPr>
  </w:style>
  <w:style w:type="character" w:customStyle="1" w:styleId="173">
    <w:name w:val="日期 Char2"/>
    <w:qFormat/>
    <w:uiPriority w:val="99"/>
    <w:rPr>
      <w:rFonts w:eastAsia="仿宋_GB2312"/>
      <w:sz w:val="30"/>
    </w:rPr>
  </w:style>
  <w:style w:type="paragraph" w:customStyle="1" w:styleId="174">
    <w:name w:val="Char11"/>
    <w:basedOn w:val="1"/>
    <w:qFormat/>
    <w:uiPriority w:val="0"/>
    <w:pPr>
      <w:widowControl/>
      <w:spacing w:before="100" w:beforeAutospacing="1" w:after="100" w:afterAutospacing="1" w:line="330" w:lineRule="atLeast"/>
      <w:ind w:left="360"/>
      <w:jc w:val="left"/>
    </w:pPr>
    <w:rPr>
      <w:rFonts w:ascii="ˎ̥" w:hAnsi="ˎ̥" w:cs="宋体"/>
      <w:color w:val="51585D"/>
      <w:kern w:val="0"/>
      <w:sz w:val="24"/>
      <w:szCs w:val="18"/>
    </w:rPr>
  </w:style>
  <w:style w:type="character" w:customStyle="1" w:styleId="175">
    <w:name w:val="正文文本 2 Char2"/>
    <w:basedOn w:val="48"/>
    <w:semiHidden/>
    <w:qFormat/>
    <w:uiPriority w:val="99"/>
  </w:style>
  <w:style w:type="character" w:customStyle="1" w:styleId="176">
    <w:name w:val="正文文本缩进 Char2"/>
    <w:basedOn w:val="48"/>
    <w:semiHidden/>
    <w:qFormat/>
    <w:uiPriority w:val="99"/>
  </w:style>
  <w:style w:type="character" w:customStyle="1" w:styleId="177">
    <w:name w:val="批注文字 Char2"/>
    <w:basedOn w:val="48"/>
    <w:semiHidden/>
    <w:qFormat/>
    <w:uiPriority w:val="99"/>
  </w:style>
  <w:style w:type="character" w:customStyle="1" w:styleId="178">
    <w:name w:val="日期 Char3"/>
    <w:basedOn w:val="48"/>
    <w:semiHidden/>
    <w:qFormat/>
    <w:uiPriority w:val="99"/>
  </w:style>
  <w:style w:type="character" w:customStyle="1" w:styleId="179">
    <w:name w:val="正文文本缩进 2 Char1"/>
    <w:basedOn w:val="48"/>
    <w:semiHidden/>
    <w:qFormat/>
    <w:uiPriority w:val="99"/>
  </w:style>
  <w:style w:type="character" w:customStyle="1" w:styleId="180">
    <w:name w:val="正文文本缩进 3 Char3"/>
    <w:semiHidden/>
    <w:qFormat/>
    <w:uiPriority w:val="99"/>
    <w:rPr>
      <w:sz w:val="16"/>
      <w:szCs w:val="16"/>
    </w:rPr>
  </w:style>
  <w:style w:type="character" w:customStyle="1" w:styleId="181">
    <w:name w:val="正文文本 Char2"/>
    <w:basedOn w:val="48"/>
    <w:semiHidden/>
    <w:qFormat/>
    <w:uiPriority w:val="99"/>
  </w:style>
  <w:style w:type="character" w:customStyle="1" w:styleId="182">
    <w:name w:val="正文首行缩进 Char3"/>
    <w:basedOn w:val="181"/>
    <w:semiHidden/>
    <w:qFormat/>
    <w:uiPriority w:val="99"/>
  </w:style>
  <w:style w:type="character" w:customStyle="1" w:styleId="183">
    <w:name w:val="页眉 Char1"/>
    <w:semiHidden/>
    <w:qFormat/>
    <w:uiPriority w:val="99"/>
    <w:rPr>
      <w:sz w:val="18"/>
      <w:szCs w:val="18"/>
    </w:rPr>
  </w:style>
  <w:style w:type="character" w:customStyle="1" w:styleId="184">
    <w:name w:val="纯文本 Char3"/>
    <w:semiHidden/>
    <w:qFormat/>
    <w:uiPriority w:val="99"/>
    <w:rPr>
      <w:rFonts w:ascii="宋体" w:hAnsi="Courier New" w:eastAsia="宋体" w:cs="Courier New"/>
      <w:szCs w:val="21"/>
    </w:rPr>
  </w:style>
  <w:style w:type="character" w:customStyle="1" w:styleId="185">
    <w:name w:val="批注主题 Char3"/>
    <w:semiHidden/>
    <w:qFormat/>
    <w:uiPriority w:val="99"/>
    <w:rPr>
      <w:b/>
      <w:bCs/>
    </w:rPr>
  </w:style>
  <w:style w:type="paragraph" w:customStyle="1" w:styleId="186">
    <w:name w:val="默认段落字体 Para Char Char Char Char"/>
    <w:basedOn w:val="1"/>
    <w:qFormat/>
    <w:uiPriority w:val="0"/>
    <w:rPr>
      <w:szCs w:val="24"/>
    </w:rPr>
  </w:style>
  <w:style w:type="character" w:customStyle="1" w:styleId="187">
    <w:name w:val="HTML 预设格式 Char2"/>
    <w:semiHidden/>
    <w:qFormat/>
    <w:uiPriority w:val="99"/>
    <w:rPr>
      <w:rFonts w:ascii="Courier New" w:hAnsi="Courier New" w:cs="Courier New"/>
      <w:sz w:val="20"/>
      <w:szCs w:val="20"/>
    </w:rPr>
  </w:style>
  <w:style w:type="character" w:customStyle="1" w:styleId="188">
    <w:name w:val="文档结构图 Char2"/>
    <w:semiHidden/>
    <w:qFormat/>
    <w:uiPriority w:val="99"/>
    <w:rPr>
      <w:rFonts w:ascii="宋体" w:eastAsia="宋体"/>
      <w:sz w:val="18"/>
      <w:szCs w:val="18"/>
    </w:rPr>
  </w:style>
  <w:style w:type="character" w:customStyle="1" w:styleId="189">
    <w:name w:val="页脚 Char1"/>
    <w:semiHidden/>
    <w:qFormat/>
    <w:uiPriority w:val="99"/>
    <w:rPr>
      <w:sz w:val="18"/>
      <w:szCs w:val="18"/>
    </w:rPr>
  </w:style>
  <w:style w:type="paragraph" w:customStyle="1" w:styleId="190">
    <w:name w:val="纯文本11"/>
    <w:basedOn w:val="1"/>
    <w:qFormat/>
    <w:uiPriority w:val="0"/>
    <w:pPr>
      <w:adjustRightInd w:val="0"/>
      <w:jc w:val="left"/>
      <w:textAlignment w:val="baseline"/>
    </w:pPr>
    <w:rPr>
      <w:rFonts w:ascii="宋体" w:hAnsi="Courier New"/>
      <w:sz w:val="24"/>
    </w:rPr>
  </w:style>
  <w:style w:type="character" w:customStyle="1" w:styleId="191">
    <w:name w:val="正文文本 3 Char2"/>
    <w:semiHidden/>
    <w:qFormat/>
    <w:uiPriority w:val="99"/>
    <w:rPr>
      <w:sz w:val="16"/>
      <w:szCs w:val="16"/>
    </w:rPr>
  </w:style>
  <w:style w:type="character" w:customStyle="1" w:styleId="192">
    <w:name w:val="正文首行缩进 2 Char2"/>
    <w:basedOn w:val="176"/>
    <w:semiHidden/>
    <w:qFormat/>
    <w:uiPriority w:val="99"/>
  </w:style>
  <w:style w:type="character" w:customStyle="1" w:styleId="193">
    <w:name w:val="标题 Char1"/>
    <w:qFormat/>
    <w:uiPriority w:val="10"/>
    <w:rPr>
      <w:rFonts w:ascii="Cambria" w:hAnsi="Cambria" w:eastAsia="宋体" w:cs="Times New Roman"/>
      <w:b/>
      <w:bCs/>
      <w:sz w:val="32"/>
      <w:szCs w:val="32"/>
    </w:rPr>
  </w:style>
  <w:style w:type="paragraph" w:customStyle="1" w:styleId="194">
    <w:name w:val="Char Char Char Char Char1 Char1"/>
    <w:basedOn w:val="1"/>
    <w:qFormat/>
    <w:uiPriority w:val="0"/>
    <w:rPr>
      <w:rFonts w:ascii="Tahoma" w:hAnsi="Tahoma"/>
      <w:sz w:val="24"/>
    </w:rPr>
  </w:style>
  <w:style w:type="paragraph" w:customStyle="1" w:styleId="195">
    <w:name w:val="by"/>
    <w:basedOn w:val="163"/>
    <w:qFormat/>
    <w:uiPriority w:val="0"/>
    <w:pPr>
      <w:autoSpaceDE w:val="0"/>
      <w:autoSpaceDN w:val="0"/>
      <w:adjustRightInd w:val="0"/>
      <w:spacing w:afterLines="10"/>
      <w:ind w:left="545" w:leftChars="25" w:right="52" w:rightChars="25" w:hanging="493" w:hangingChars="275"/>
      <w:jc w:val="both"/>
    </w:pPr>
    <w:rPr>
      <w:spacing w:val="2"/>
    </w:rPr>
  </w:style>
  <w:style w:type="character" w:customStyle="1" w:styleId="196">
    <w:name w:val="已访问的超链接1"/>
    <w:unhideWhenUsed/>
    <w:qFormat/>
    <w:uiPriority w:val="99"/>
    <w:rPr>
      <w:color w:val="800080"/>
      <w:u w:val="single"/>
    </w:rPr>
  </w:style>
  <w:style w:type="paragraph" w:customStyle="1" w:styleId="197">
    <w:name w:val="font5"/>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98">
    <w:name w:val="font6"/>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99">
    <w:name w:val="font7"/>
    <w:basedOn w:val="1"/>
    <w:qFormat/>
    <w:uiPriority w:val="0"/>
    <w:pPr>
      <w:widowControl/>
      <w:spacing w:before="100" w:beforeAutospacing="1" w:after="100" w:afterAutospacing="1"/>
      <w:jc w:val="left"/>
    </w:pPr>
    <w:rPr>
      <w:rFonts w:ascii="宋体" w:hAnsi="宋体" w:cs="宋体"/>
      <w:color w:val="333333"/>
      <w:kern w:val="0"/>
      <w:sz w:val="20"/>
    </w:rPr>
  </w:style>
  <w:style w:type="paragraph" w:customStyle="1" w:styleId="200">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01">
    <w:name w:val="xl6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0"/>
    </w:rPr>
  </w:style>
  <w:style w:type="paragraph" w:customStyle="1" w:styleId="202">
    <w:name w:val="xl6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0"/>
    </w:rPr>
  </w:style>
  <w:style w:type="paragraph" w:customStyle="1" w:styleId="203">
    <w:name w:val="xl65"/>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cs="宋体"/>
      <w:b/>
      <w:bCs/>
      <w:kern w:val="0"/>
      <w:sz w:val="20"/>
    </w:rPr>
  </w:style>
  <w:style w:type="paragraph" w:customStyle="1" w:styleId="204">
    <w:name w:val="xl66"/>
    <w:basedOn w:val="1"/>
    <w:qFormat/>
    <w:uiPriority w:val="0"/>
    <w:pPr>
      <w:widowControl/>
      <w:pBdr>
        <w:top w:val="single" w:color="auto" w:sz="8" w:space="0"/>
        <w:bottom w:val="single" w:color="auto" w:sz="8" w:space="0"/>
      </w:pBdr>
      <w:spacing w:before="100" w:beforeAutospacing="1" w:after="100" w:afterAutospacing="1"/>
      <w:jc w:val="center"/>
    </w:pPr>
    <w:rPr>
      <w:rFonts w:ascii="宋体" w:hAnsi="宋体" w:cs="宋体"/>
      <w:b/>
      <w:bCs/>
      <w:kern w:val="0"/>
      <w:sz w:val="20"/>
    </w:rPr>
  </w:style>
  <w:style w:type="paragraph" w:customStyle="1" w:styleId="205">
    <w:name w:val="xl67"/>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b/>
      <w:bCs/>
      <w:kern w:val="0"/>
      <w:sz w:val="20"/>
    </w:rPr>
  </w:style>
  <w:style w:type="paragraph" w:customStyle="1" w:styleId="206">
    <w:name w:val="xl68"/>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0"/>
    </w:rPr>
  </w:style>
  <w:style w:type="paragraph" w:customStyle="1" w:styleId="207">
    <w:name w:val="xl69"/>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cs="宋体"/>
      <w:kern w:val="0"/>
      <w:sz w:val="20"/>
    </w:rPr>
  </w:style>
  <w:style w:type="paragraph" w:customStyle="1" w:styleId="208">
    <w:name w:val="xl70"/>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 w:val="20"/>
    </w:rPr>
  </w:style>
  <w:style w:type="paragraph" w:customStyle="1" w:styleId="209">
    <w:name w:val="xl71"/>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cs="宋体"/>
      <w:color w:val="FF0000"/>
      <w:kern w:val="0"/>
      <w:sz w:val="20"/>
    </w:rPr>
  </w:style>
  <w:style w:type="paragraph" w:customStyle="1" w:styleId="210">
    <w:name w:val="xl72"/>
    <w:basedOn w:val="1"/>
    <w:qFormat/>
    <w:uiPriority w:val="0"/>
    <w:pPr>
      <w:widowControl/>
      <w:pBdr>
        <w:right w:val="single" w:color="auto" w:sz="8" w:space="0"/>
      </w:pBdr>
      <w:spacing w:before="100" w:beforeAutospacing="1" w:after="100" w:afterAutospacing="1"/>
      <w:jc w:val="left"/>
    </w:pPr>
    <w:rPr>
      <w:rFonts w:ascii="宋体" w:hAnsi="宋体" w:cs="宋体"/>
      <w:kern w:val="0"/>
      <w:sz w:val="20"/>
    </w:rPr>
  </w:style>
  <w:style w:type="paragraph" w:customStyle="1" w:styleId="211">
    <w:name w:val="xl73"/>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kern w:val="0"/>
      <w:sz w:val="20"/>
    </w:rPr>
  </w:style>
  <w:style w:type="paragraph" w:customStyle="1" w:styleId="212">
    <w:name w:val="xl74"/>
    <w:basedOn w:val="1"/>
    <w:qFormat/>
    <w:uiPriority w:val="0"/>
    <w:pPr>
      <w:widowControl/>
      <w:spacing w:before="100" w:beforeAutospacing="1" w:after="100" w:afterAutospacing="1"/>
      <w:jc w:val="left"/>
    </w:pPr>
    <w:rPr>
      <w:rFonts w:ascii="宋体" w:hAnsi="宋体" w:cs="宋体"/>
      <w:kern w:val="0"/>
      <w:sz w:val="20"/>
    </w:rPr>
  </w:style>
  <w:style w:type="paragraph" w:customStyle="1" w:styleId="213">
    <w:name w:val="xl75"/>
    <w:basedOn w:val="1"/>
    <w:qFormat/>
    <w:uiPriority w:val="0"/>
    <w:pPr>
      <w:widowControl/>
      <w:spacing w:before="100" w:beforeAutospacing="1" w:after="100" w:afterAutospacing="1"/>
      <w:jc w:val="center"/>
    </w:pPr>
    <w:rPr>
      <w:rFonts w:ascii="宋体" w:hAnsi="宋体" w:cs="宋体"/>
      <w:kern w:val="0"/>
      <w:sz w:val="20"/>
    </w:rPr>
  </w:style>
  <w:style w:type="paragraph" w:customStyle="1" w:styleId="214">
    <w:name w:val="xl76"/>
    <w:basedOn w:val="1"/>
    <w:qFormat/>
    <w:uiPriority w:val="0"/>
    <w:pPr>
      <w:widowControl/>
      <w:spacing w:before="100" w:beforeAutospacing="1" w:after="100" w:afterAutospacing="1"/>
      <w:jc w:val="left"/>
    </w:pPr>
    <w:rPr>
      <w:rFonts w:ascii="宋体" w:hAnsi="宋体" w:cs="宋体"/>
      <w:kern w:val="0"/>
      <w:sz w:val="20"/>
    </w:rPr>
  </w:style>
  <w:style w:type="paragraph" w:customStyle="1" w:styleId="215">
    <w:name w:val="font9"/>
    <w:basedOn w:val="1"/>
    <w:qFormat/>
    <w:uiPriority w:val="0"/>
    <w:pPr>
      <w:widowControl/>
      <w:spacing w:before="100" w:beforeAutospacing="1" w:after="100" w:afterAutospacing="1"/>
      <w:jc w:val="left"/>
    </w:pPr>
    <w:rPr>
      <w:rFonts w:ascii="MS Mincho" w:hAnsi="MS Mincho" w:eastAsia="MS Mincho" w:cs="宋体"/>
      <w:color w:val="000000"/>
      <w:kern w:val="0"/>
      <w:sz w:val="20"/>
    </w:rPr>
  </w:style>
  <w:style w:type="paragraph" w:customStyle="1" w:styleId="216">
    <w:name w:val="font10"/>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17">
    <w:name w:val="大标题"/>
    <w:basedOn w:val="12"/>
    <w:next w:val="12"/>
    <w:qFormat/>
    <w:uiPriority w:val="0"/>
    <w:pPr>
      <w:spacing w:line="360" w:lineRule="auto"/>
      <w:jc w:val="center"/>
    </w:pPr>
    <w:rPr>
      <w:b/>
      <w:sz w:val="32"/>
      <w:szCs w:val="21"/>
      <w:lang w:val="en-US"/>
    </w:rPr>
  </w:style>
  <w:style w:type="character" w:customStyle="1" w:styleId="218">
    <w:name w:val="副标题 Char"/>
    <w:basedOn w:val="48"/>
    <w:link w:val="33"/>
    <w:qFormat/>
    <w:uiPriority w:val="0"/>
    <w:rPr>
      <w:rFonts w:asciiTheme="majorHAnsi" w:hAnsiTheme="majorHAnsi" w:cstheme="majorBidi"/>
      <w:b/>
      <w:bCs/>
      <w:kern w:val="28"/>
      <w:sz w:val="32"/>
      <w:szCs w:val="32"/>
    </w:rPr>
  </w:style>
  <w:style w:type="character" w:customStyle="1" w:styleId="219">
    <w:name w:val="正文缩进 Char"/>
    <w:link w:val="8"/>
    <w:qFormat/>
    <w:locked/>
    <w:uiPriority w:val="0"/>
    <w:rPr>
      <w:kern w:val="2"/>
      <w:sz w:val="21"/>
    </w:rPr>
  </w:style>
  <w:style w:type="paragraph" w:customStyle="1" w:styleId="220">
    <w:name w:val="Char Char1 Char Char"/>
    <w:basedOn w:val="14"/>
    <w:qFormat/>
    <w:uiPriority w:val="0"/>
    <w:pPr>
      <w:adjustRightInd w:val="0"/>
      <w:spacing w:line="436" w:lineRule="exact"/>
      <w:ind w:left="357"/>
      <w:jc w:val="left"/>
      <w:outlineLvl w:val="3"/>
    </w:pPr>
    <w:rPr>
      <w:rFonts w:ascii="Tahoma" w:hAnsi="Tahoma"/>
      <w:b/>
      <w:sz w:val="24"/>
      <w:szCs w:val="24"/>
      <w:lang w:val="en-US"/>
    </w:rPr>
  </w:style>
  <w:style w:type="paragraph" w:customStyle="1" w:styleId="221">
    <w:name w:val="页脚1"/>
    <w:basedOn w:val="1"/>
    <w:qFormat/>
    <w:uiPriority w:val="0"/>
    <w:pPr>
      <w:tabs>
        <w:tab w:val="center" w:pos="4153"/>
        <w:tab w:val="right" w:pos="8306"/>
      </w:tabs>
      <w:snapToGrid w:val="0"/>
      <w:jc w:val="left"/>
    </w:pPr>
    <w:rPr>
      <w:sz w:val="18"/>
      <w:szCs w:val="18"/>
    </w:rPr>
  </w:style>
  <w:style w:type="paragraph" w:customStyle="1" w:styleId="222">
    <w:name w:val="段"/>
    <w:qFormat/>
    <w:uiPriority w:val="0"/>
    <w:pPr>
      <w:ind w:firstLine="200" w:firstLineChars="200"/>
      <w:jc w:val="both"/>
    </w:pPr>
    <w:rPr>
      <w:rFonts w:ascii="宋体" w:hAnsi="Times New Roman" w:eastAsia="宋体" w:cs="Times New Roman"/>
      <w:sz w:val="21"/>
      <w:lang w:val="en-US" w:eastAsia="zh-CN" w:bidi="ar-SA"/>
    </w:rPr>
  </w:style>
  <w:style w:type="paragraph" w:customStyle="1" w:styleId="223">
    <w:name w:val="正文首行缩进1"/>
    <w:basedOn w:val="1"/>
    <w:qFormat/>
    <w:uiPriority w:val="0"/>
    <w:pPr>
      <w:spacing w:beforeLines="50" w:line="360" w:lineRule="auto"/>
      <w:ind w:firstLine="200" w:firstLineChars="200"/>
    </w:pPr>
    <w:rPr>
      <w:sz w:val="24"/>
      <w:szCs w:val="24"/>
    </w:rPr>
  </w:style>
  <w:style w:type="paragraph" w:customStyle="1" w:styleId="224">
    <w:name w:val="南网格式"/>
    <w:basedOn w:val="1"/>
    <w:qFormat/>
    <w:uiPriority w:val="0"/>
    <w:pPr>
      <w:widowControl/>
      <w:spacing w:before="120" w:line="360" w:lineRule="auto"/>
      <w:jc w:val="left"/>
    </w:pPr>
    <w:rPr>
      <w:rFonts w:ascii="宋体" w:hAnsi="宋体" w:cstheme="minorBidi"/>
      <w:sz w:val="24"/>
      <w:szCs w:val="28"/>
      <w:lang w:val="zh-CN"/>
    </w:rPr>
  </w:style>
  <w:style w:type="paragraph" w:customStyle="1" w:styleId="225">
    <w:name w:val="无间隔2"/>
    <w:qFormat/>
    <w:uiPriority w:val="1"/>
    <w:pPr>
      <w:widowControl w:val="0"/>
      <w:jc w:val="both"/>
    </w:pPr>
    <w:rPr>
      <w:rFonts w:ascii="Calibri" w:hAnsi="Calibri" w:eastAsiaTheme="minorEastAsia" w:cstheme="minorBidi"/>
      <w:kern w:val="2"/>
      <w:sz w:val="21"/>
      <w:szCs w:val="22"/>
      <w:lang w:val="en-US" w:eastAsia="zh-CN" w:bidi="ar-SA"/>
    </w:rPr>
  </w:style>
  <w:style w:type="paragraph" w:customStyle="1" w:styleId="226">
    <w:name w:val="_Style 2"/>
    <w:basedOn w:val="3"/>
    <w:next w:val="1"/>
    <w:qFormat/>
    <w:uiPriority w:val="39"/>
    <w:pPr>
      <w:widowControl/>
      <w:tabs>
        <w:tab w:val="left" w:pos="720"/>
      </w:tabs>
      <w:spacing w:before="480" w:after="0" w:line="276" w:lineRule="auto"/>
      <w:outlineLvl w:val="9"/>
    </w:pPr>
    <w:rPr>
      <w:rFonts w:ascii="Cambria" w:hAnsi="Cambria"/>
      <w:color w:val="365F91"/>
      <w:kern w:val="0"/>
      <w:sz w:val="28"/>
      <w:szCs w:val="28"/>
    </w:rPr>
  </w:style>
  <w:style w:type="paragraph" w:customStyle="1" w:styleId="227">
    <w:name w:val="列出段落2"/>
    <w:basedOn w:val="1"/>
    <w:qFormat/>
    <w:uiPriority w:val="0"/>
    <w:pPr>
      <w:ind w:firstLine="420" w:firstLineChars="200"/>
    </w:pPr>
    <w:rPr>
      <w:rFonts w:ascii="Calibri" w:hAnsi="Calibri"/>
      <w:szCs w:val="22"/>
    </w:rPr>
  </w:style>
  <w:style w:type="paragraph" w:customStyle="1" w:styleId="228">
    <w:name w:val="标题1李洪"/>
    <w:basedOn w:val="1"/>
    <w:qFormat/>
    <w:uiPriority w:val="0"/>
    <w:pPr>
      <w:tabs>
        <w:tab w:val="left" w:pos="567"/>
      </w:tabs>
      <w:ind w:left="567" w:hanging="567"/>
    </w:pPr>
    <w:rPr>
      <w:sz w:val="20"/>
      <w:szCs w:val="24"/>
    </w:rPr>
  </w:style>
  <w:style w:type="paragraph" w:customStyle="1" w:styleId="229">
    <w:name w:val="标题 2李洪"/>
    <w:basedOn w:val="1"/>
    <w:qFormat/>
    <w:uiPriority w:val="0"/>
    <w:pPr>
      <w:tabs>
        <w:tab w:val="left" w:pos="567"/>
      </w:tabs>
      <w:ind w:left="567" w:hanging="567"/>
    </w:pPr>
    <w:rPr>
      <w:szCs w:val="24"/>
    </w:rPr>
  </w:style>
  <w:style w:type="paragraph" w:customStyle="1" w:styleId="230">
    <w:name w:val="样式1"/>
    <w:basedOn w:val="1"/>
    <w:qFormat/>
    <w:uiPriority w:val="0"/>
    <w:pPr>
      <w:spacing w:line="420" w:lineRule="auto"/>
      <w:jc w:val="center"/>
    </w:pPr>
    <w:rPr>
      <w:rFonts w:ascii="宋体" w:hAnsiTheme="minorHAnsi" w:eastAsiaTheme="minorEastAsia" w:cstheme="minorBidi"/>
      <w:sz w:val="24"/>
      <w:szCs w:val="22"/>
    </w:rPr>
  </w:style>
  <w:style w:type="paragraph" w:customStyle="1" w:styleId="231">
    <w:name w:val="正文5"/>
    <w:qFormat/>
    <w:uiPriority w:val="0"/>
    <w:pPr>
      <w:widowControl w:val="0"/>
      <w:autoSpaceDE w:val="0"/>
      <w:autoSpaceDN w:val="0"/>
      <w:adjustRightInd w:val="0"/>
      <w:spacing w:line="360" w:lineRule="atLeast"/>
      <w:ind w:left="425" w:hanging="425"/>
      <w:textAlignment w:val="bottom"/>
    </w:pPr>
    <w:rPr>
      <w:rFonts w:ascii="宋体" w:hAnsi="Times New Roman" w:eastAsia="宋体" w:cs="Times New Roman"/>
      <w:position w:val="-6"/>
      <w:sz w:val="32"/>
      <w:lang w:val="en-US" w:eastAsia="zh-CN" w:bidi="ar-SA"/>
    </w:rPr>
  </w:style>
  <w:style w:type="paragraph" w:customStyle="1" w:styleId="232">
    <w:name w:val="List Paragraph"/>
    <w:basedOn w:val="1"/>
    <w:qFormat/>
    <w:uiPriority w:val="34"/>
    <w:pPr>
      <w:ind w:firstLine="420" w:firstLineChars="200"/>
    </w:pPr>
    <w:rPr>
      <w:szCs w:val="24"/>
    </w:rPr>
  </w:style>
  <w:style w:type="character" w:customStyle="1" w:styleId="233">
    <w:name w:val="页码1"/>
    <w:qFormat/>
    <w:uiPriority w:val="0"/>
  </w:style>
  <w:style w:type="paragraph" w:customStyle="1" w:styleId="234">
    <w:name w:val="页眉1"/>
    <w:basedOn w:val="1"/>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22"/>
    </w:rPr>
  </w:style>
  <w:style w:type="character" w:customStyle="1" w:styleId="235">
    <w:name w:val="font11"/>
    <w:basedOn w:val="48"/>
    <w:qFormat/>
    <w:uiPriority w:val="0"/>
    <w:rPr>
      <w:rFonts w:hint="eastAsia" w:ascii="宋体" w:hAnsi="宋体" w:eastAsia="宋体" w:cs="宋体"/>
      <w:color w:val="000000"/>
      <w:sz w:val="18"/>
      <w:szCs w:val="18"/>
      <w:u w:val="none"/>
    </w:rPr>
  </w:style>
  <w:style w:type="paragraph" w:customStyle="1" w:styleId="236">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237">
    <w:name w:val="章标题"/>
    <w:next w:val="222"/>
    <w:qFormat/>
    <w:uiPriority w:val="0"/>
    <w:pPr>
      <w:spacing w:beforeLines="100" w:afterLines="100"/>
      <w:jc w:val="both"/>
      <w:outlineLvl w:val="1"/>
    </w:pPr>
    <w:rPr>
      <w:rFonts w:ascii="黑体" w:hAnsi="Times New Roman" w:eastAsia="黑体" w:cs="Times New Roman"/>
      <w:sz w:val="21"/>
      <w:lang w:val="en-US" w:eastAsia="zh-CN" w:bidi="ar-SA"/>
    </w:rPr>
  </w:style>
  <w:style w:type="paragraph" w:customStyle="1" w:styleId="238">
    <w:name w:val="一级条标题"/>
    <w:next w:val="222"/>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239">
    <w:name w:val="font01"/>
    <w:basedOn w:val="48"/>
    <w:qFormat/>
    <w:uiPriority w:val="0"/>
    <w:rPr>
      <w:rFonts w:hint="eastAsia" w:ascii="宋体" w:hAnsi="宋体" w:eastAsia="宋体" w:cs="宋体"/>
      <w:b/>
      <w:color w:val="000000"/>
      <w:sz w:val="28"/>
      <w:szCs w:val="28"/>
      <w:u w:val="none"/>
    </w:rPr>
  </w:style>
  <w:style w:type="character" w:customStyle="1" w:styleId="240">
    <w:name w:val="18"/>
    <w:qFormat/>
    <w:uiPriority w:val="0"/>
    <w:rPr>
      <w:rFonts w:hint="eastAsia" w:ascii="微软雅黑" w:hAnsi="微软雅黑" w:eastAsia="微软雅黑"/>
      <w:color w:val="000000"/>
      <w:sz w:val="21"/>
      <w:szCs w:val="21"/>
    </w:rPr>
  </w:style>
  <w:style w:type="character" w:customStyle="1" w:styleId="241">
    <w:name w:val="font21"/>
    <w:basedOn w:val="48"/>
    <w:unhideWhenUsed/>
    <w:qFormat/>
    <w:uiPriority w:val="0"/>
    <w:rPr>
      <w:rFonts w:hint="eastAsia" w:ascii="宋体" w:hAnsi="宋体" w:eastAsia="宋体"/>
      <w:color w:val="000000"/>
      <w:sz w:val="22"/>
    </w:rPr>
  </w:style>
  <w:style w:type="character" w:customStyle="1" w:styleId="242">
    <w:name w:val="v-line"/>
    <w:basedOn w:val="48"/>
    <w:qFormat/>
    <w:uiPriority w:val="0"/>
  </w:style>
  <w:style w:type="character" w:customStyle="1" w:styleId="243">
    <w:name w:val="img01"/>
    <w:basedOn w:val="48"/>
    <w:qFormat/>
    <w:uiPriority w:val="0"/>
  </w:style>
  <w:style w:type="character" w:customStyle="1" w:styleId="244">
    <w:name w:val="page-selected"/>
    <w:basedOn w:val="48"/>
    <w:qFormat/>
    <w:uiPriority w:val="0"/>
    <w:rPr>
      <w:color w:val="888888"/>
      <w:shd w:val="clear" w:fill="F2F2F2"/>
    </w:rPr>
  </w:style>
  <w:style w:type="character" w:customStyle="1" w:styleId="245">
    <w:name w:val="img02"/>
    <w:basedOn w:val="48"/>
    <w:qFormat/>
    <w:uiPriority w:val="0"/>
    <w:rPr>
      <w:color w:val="666666"/>
    </w:rPr>
  </w:style>
  <w:style w:type="character" w:customStyle="1" w:styleId="246">
    <w:name w:val="more"/>
    <w:basedOn w:val="48"/>
    <w:qFormat/>
    <w:uiPriority w:val="0"/>
    <w:rPr>
      <w:color w:val="0861B0"/>
      <w:sz w:val="24"/>
      <w:szCs w:val="24"/>
    </w:rPr>
  </w:style>
  <w:style w:type="character" w:customStyle="1" w:styleId="247">
    <w:name w:val="active7"/>
    <w:basedOn w:val="48"/>
    <w:qFormat/>
    <w:uiPriority w:val="0"/>
    <w:rPr>
      <w:color w:val="FFFFFF"/>
      <w:shd w:val="clear" w:fill="0861B0"/>
    </w:rPr>
  </w:style>
  <w:style w:type="character" w:customStyle="1" w:styleId="248">
    <w:name w:val="first-child"/>
    <w:basedOn w:val="48"/>
    <w:qFormat/>
    <w:uiPriority w:val="0"/>
    <w:rPr>
      <w:color w:val="333333"/>
    </w:rPr>
  </w:style>
  <w:style w:type="character" w:customStyle="1" w:styleId="249">
    <w:name w:val="first-child1"/>
    <w:basedOn w:val="48"/>
    <w:qFormat/>
    <w:uiPriority w:val="0"/>
    <w:rPr>
      <w:color w:val="333333"/>
      <w:sz w:val="24"/>
      <w:szCs w:val="24"/>
    </w:rPr>
  </w:style>
  <w:style w:type="character" w:customStyle="1" w:styleId="250">
    <w:name w:val="first-child2"/>
    <w:basedOn w:val="48"/>
    <w:qFormat/>
    <w:uiPriority w:val="0"/>
  </w:style>
  <w:style w:type="character" w:customStyle="1" w:styleId="251">
    <w:name w:val="first-child3"/>
    <w:basedOn w:val="48"/>
    <w:qFormat/>
    <w:uiPriority w:val="0"/>
    <w:rPr>
      <w:color w:val="0861B0"/>
      <w:sz w:val="24"/>
      <w:szCs w:val="24"/>
    </w:rPr>
  </w:style>
  <w:style w:type="character" w:customStyle="1" w:styleId="252">
    <w:name w:val="ca-lead"/>
    <w:basedOn w:val="48"/>
    <w:qFormat/>
    <w:uiPriority w:val="0"/>
  </w:style>
  <w:style w:type="character" w:customStyle="1" w:styleId="253">
    <w:name w:val="common-questions"/>
    <w:basedOn w:val="48"/>
    <w:qFormat/>
    <w:uiPriority w:val="0"/>
  </w:style>
  <w:style w:type="character" w:customStyle="1" w:styleId="254">
    <w:name w:val="money-service"/>
    <w:basedOn w:val="48"/>
    <w:qFormat/>
    <w:uiPriority w:val="0"/>
  </w:style>
  <w:style w:type="character" w:customStyle="1" w:styleId="255">
    <w:name w:val="download-center"/>
    <w:basedOn w:val="48"/>
    <w:qFormat/>
    <w:uiPriority w:val="0"/>
  </w:style>
  <w:style w:type="character" w:customStyle="1" w:styleId="256">
    <w:name w:val="img03"/>
    <w:basedOn w:val="48"/>
    <w:qFormat/>
    <w:uiPriority w:val="0"/>
  </w:style>
  <w:style w:type="character" w:customStyle="1" w:styleId="257">
    <w:name w:val="img04"/>
    <w:basedOn w:val="48"/>
    <w:qFormat/>
    <w:uiPriority w:val="0"/>
  </w:style>
  <w:style w:type="character" w:customStyle="1" w:styleId="258">
    <w:name w:val="img05"/>
    <w:basedOn w:val="48"/>
    <w:qFormat/>
    <w:uiPriority w:val="0"/>
  </w:style>
  <w:style w:type="character" w:customStyle="1" w:styleId="259">
    <w:name w:val="link-wrap"/>
    <w:basedOn w:val="48"/>
    <w:qFormat/>
    <w:uiPriority w:val="0"/>
    <w:rPr>
      <w:bdr w:val="single" w:color="ECECEC" w:sz="6" w:space="0"/>
    </w:rPr>
  </w:style>
  <w:style w:type="character" w:customStyle="1" w:styleId="260">
    <w:name w:val="page-first2"/>
    <w:basedOn w:val="48"/>
    <w:qFormat/>
    <w:uiPriority w:val="0"/>
    <w:rPr>
      <w:color w:val="CCCCCC"/>
    </w:rPr>
  </w:style>
  <w:style w:type="character" w:customStyle="1" w:styleId="261">
    <w:name w:val="page-next2"/>
    <w:basedOn w:val="48"/>
    <w:qFormat/>
    <w:uiPriority w:val="0"/>
    <w:rPr>
      <w:color w:val="CCCCCC"/>
    </w:rPr>
  </w:style>
  <w:style w:type="character" w:customStyle="1" w:styleId="262">
    <w:name w:val="pagesize-selected2"/>
    <w:basedOn w:val="48"/>
    <w:qFormat/>
    <w:uiPriority w:val="0"/>
    <w:rPr>
      <w:color w:val="888888"/>
    </w:rPr>
  </w:style>
  <w:style w:type="character" w:customStyle="1" w:styleId="263">
    <w:name w:val="page-end3"/>
    <w:basedOn w:val="48"/>
    <w:qFormat/>
    <w:uiPriority w:val="0"/>
    <w:rPr>
      <w:color w:val="CCCCCC"/>
    </w:rPr>
  </w:style>
  <w:style w:type="character" w:customStyle="1" w:styleId="264">
    <w:name w:val="hover13"/>
    <w:basedOn w:val="48"/>
    <w:qFormat/>
    <w:uiPriority w:val="0"/>
    <w:rPr>
      <w:shd w:val="clear" w:fill="F0F0F0"/>
    </w:rPr>
  </w:style>
  <w:style w:type="character" w:customStyle="1" w:styleId="265">
    <w:name w:val="fontstyle01"/>
    <w:basedOn w:val="48"/>
    <w:qFormat/>
    <w:uiPriority w:val="0"/>
    <w:rPr>
      <w:rFonts w:hint="eastAsia" w:ascii="仿宋_GB2312" w:eastAsia="仿宋_GB2312"/>
      <w:color w:val="000000"/>
      <w:sz w:val="28"/>
      <w:szCs w:val="28"/>
    </w:rPr>
  </w:style>
  <w:style w:type="character" w:customStyle="1" w:styleId="266">
    <w:name w:val="_Style 0"/>
    <w:qFormat/>
    <w:uiPriority w:val="21"/>
    <w:rPr>
      <w:i/>
      <w:iCs/>
      <w:color w:val="4472C4"/>
    </w:rPr>
  </w:style>
  <w:style w:type="paragraph" w:customStyle="1" w:styleId="267">
    <w:name w:val="Body text|1"/>
    <w:basedOn w:val="1"/>
    <w:qFormat/>
    <w:uiPriority w:val="0"/>
    <w:pPr>
      <w:spacing w:line="412" w:lineRule="auto"/>
      <w:ind w:firstLine="400"/>
    </w:pPr>
    <w:rPr>
      <w:rFonts w:ascii="宋体" w:hAnsi="宋体" w:eastAsia="宋体" w:cs="宋体"/>
      <w:color w:val="44505D"/>
      <w:sz w:val="28"/>
      <w:szCs w:val="28"/>
      <w:lang w:val="zh-TW" w:eastAsia="zh-TW" w:bidi="zh-TW"/>
    </w:rPr>
  </w:style>
  <w:style w:type="paragraph" w:customStyle="1" w:styleId="268">
    <w:name w:val="Body text|5"/>
    <w:basedOn w:val="1"/>
    <w:qFormat/>
    <w:uiPriority w:val="0"/>
    <w:pPr>
      <w:ind w:hanging="1840"/>
    </w:pPr>
    <w:rPr>
      <w:rFonts w:ascii="Calibri" w:hAnsi="Calibri" w:eastAsia="宋体" w:cs="Times New Roman"/>
      <w:sz w:val="10"/>
      <w:szCs w:val="10"/>
      <w:u w:val="single"/>
      <w:lang w:val="zh-CN"/>
    </w:rPr>
  </w:style>
  <w:style w:type="paragraph" w:customStyle="1" w:styleId="269">
    <w:name w:val="879"/>
    <w:basedOn w:val="1"/>
    <w:qFormat/>
    <w:uiPriority w:val="0"/>
    <w:pPr>
      <w:spacing w:line="560" w:lineRule="exact"/>
      <w:ind w:firstLine="880" w:firstLineChars="200"/>
    </w:pPr>
    <w:rPr>
      <w:rFonts w:eastAsia="仿宋_GB2312" w:asciiTheme="minorAscii" w:hAnsiTheme="minorAscii"/>
      <w:sz w:val="32"/>
    </w:rPr>
  </w:style>
  <w:style w:type="paragraph" w:customStyle="1" w:styleId="270">
    <w:name w:val="Table Paragraph"/>
    <w:basedOn w:val="1"/>
    <w:qFormat/>
    <w:uiPriority w:val="1"/>
    <w:pPr>
      <w:autoSpaceDE w:val="0"/>
      <w:autoSpaceDN w:val="0"/>
    </w:pPr>
    <w:rPr>
      <w:rFonts w:ascii="宋体" w:hAnsi="宋体" w:cs="宋体"/>
      <w:sz w:val="22"/>
      <w:lang w:eastAsia="en-US"/>
    </w:rPr>
  </w:style>
  <w:style w:type="paragraph" w:customStyle="1" w:styleId="271">
    <w:name w:val="Table Text"/>
    <w:basedOn w:val="1"/>
    <w:semiHidden/>
    <w:qFormat/>
    <w:uiPriority w:val="0"/>
    <w:rPr>
      <w:rFonts w:ascii="宋体" w:hAnsi="宋体" w:eastAsia="宋体" w:cs="宋体"/>
    </w:rPr>
  </w:style>
  <w:style w:type="character" w:customStyle="1" w:styleId="272">
    <w:name w:val="16"/>
    <w:qFormat/>
    <w:uiPriority w:val="0"/>
    <w:rPr>
      <w:rFonts w:hint="eastAsia" w:ascii="宋体" w:hAnsi="宋体" w:eastAsia="宋体"/>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glossaryDocument" Target="glossary/document.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becf65b2-db1e-4c09-9889-ae5f0e09f764}"/>
        <w:style w:val=""/>
        <w:category>
          <w:name w:val="常规"/>
          <w:gallery w:val="placeholder"/>
        </w:category>
        <w:types>
          <w:type w:val="bbPlcHdr"/>
        </w:types>
        <w:behaviors>
          <w:behavior w:val="content"/>
        </w:behaviors>
        <w:description w:val=""/>
        <w:guid w:val="{becf65b2-db1e-4c09-9889-ae5f0e09f764}"/>
      </w:docPartPr>
      <w:docPartBody>
        <w:p w14:paraId="768CECE1">
          <w:r>
            <w:rPr>
              <w:color w:val="808080"/>
            </w:rPr>
            <w:t>单击此处输入文字。</w:t>
          </w:r>
        </w:p>
      </w:docPartBody>
    </w:docPart>
    <w:docPart>
      <w:docPartPr>
        <w:name w:val="{cffb3edc-e619-452c-bec0-360005aadbfb}"/>
        <w:style w:val=""/>
        <w:category>
          <w:name w:val="常规"/>
          <w:gallery w:val="placeholder"/>
        </w:category>
        <w:types>
          <w:type w:val="bbPlcHdr"/>
        </w:types>
        <w:behaviors>
          <w:behavior w:val="content"/>
        </w:behaviors>
        <w:description w:val=""/>
        <w:guid w:val="{cffb3edc-e619-452c-bec0-360005aadbfb}"/>
      </w:docPartPr>
      <w:docPartBody>
        <w:p w14:paraId="74D8A87C">
          <w:r>
            <w:rPr>
              <w:rFonts w:hint="eastAsia" w:hAnsi="宋体" w:cs="宋体"/>
              <w:bCs/>
              <w:kern w:val="0"/>
              <w:sz w:val="21"/>
              <w:szCs w:val="21"/>
              <w:highlight w:val="none"/>
              <w:u w:val="none"/>
              <w:lang w:val="en-US" w:eastAsia="zh-CN" w:bidi="ar-SA"/>
            </w:rPr>
            <w:t>**（根据项目实际情况填写）【框架采购适用】框架采购有效期：**（根据项目实际情况填写，多标段项目划分清楚各自标段的信息）。</w:t>
          </w:r>
        </w:p>
      </w:docPartBody>
    </w:docPart>
    <w:docPart>
      <w:docPartPr>
        <w:name w:val="{5cccff90-4b06-4ed8-8ce5-42c021773252}"/>
        <w:style w:val=""/>
        <w:category>
          <w:name w:val="常规"/>
          <w:gallery w:val="placeholder"/>
        </w:category>
        <w:types>
          <w:type w:val="bbPlcHdr"/>
        </w:types>
        <w:behaviors>
          <w:behavior w:val="content"/>
        </w:behaviors>
        <w:description w:val=""/>
        <w:guid w:val="{5cccff90-4b06-4ed8-8ce5-42c021773252}"/>
      </w:docPartPr>
      <w:docPartBody>
        <w:p w14:paraId="632994F5">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60CB65-040D-4162-8F53-F001E445AFE8}">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73</Pages>
  <Words>4058</Words>
  <Characters>4563</Characters>
  <Lines>451</Lines>
  <Paragraphs>127</Paragraphs>
  <TotalTime>1</TotalTime>
  <ScaleCrop>false</ScaleCrop>
  <LinksUpToDate>false</LinksUpToDate>
  <CharactersWithSpaces>4742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2018-03-15T08:45:00Z</dcterms:created>
  <dc:creator>CHENJF</dc:creator>
  <cp:lastModifiedBy>郑浩民</cp:lastModifiedBy>
  <cp:lastPrinted>2018-08-20T09:04:00Z</cp:lastPrinted>
  <dcterms:modified xsi:type="dcterms:W3CDTF">2025-05-29T02:13:28Z</dcterms:modified>
  <dc:title>220kV及以上电网工程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状态">
    <vt:lpwstr>xxx</vt:lpwstr>
  </property>
  <property fmtid="{D5CDD505-2E9C-101B-9397-08002B2CF9AE}" pid="3" name="KSOProductBuildVer">
    <vt:lpwstr>2052-12.1.0.20784</vt:lpwstr>
  </property>
  <property fmtid="{D5CDD505-2E9C-101B-9397-08002B2CF9AE}" pid="4" name="ICV">
    <vt:lpwstr>E8A4E18A23D54C599725EF6DEB7E59A4_13</vt:lpwstr>
  </property>
  <property fmtid="{D5CDD505-2E9C-101B-9397-08002B2CF9AE}" pid="5" name="KSOTemplateDocerSaveRecord">
    <vt:lpwstr>eyJoZGlkIjoiMjNlNWNkMjJjZTllN2M1NWM5NmQ1YWU0NDA2MGE2NWIiLCJ1c2VySWQiOiIxNjg0NDk4Nzg1In0=</vt:lpwstr>
  </property>
</Properties>
</file>