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02E23">
      <w:pPr>
        <w:rPr>
          <w:rFonts w:hint="eastAsia" w:ascii="宋体" w:hAnsi="宋体"/>
          <w:b/>
          <w:color w:val="auto"/>
          <w:sz w:val="84"/>
          <w:szCs w:val="84"/>
          <w:highlight w:val="none"/>
        </w:rPr>
      </w:pPr>
      <w:bookmarkStart w:id="1" w:name="_GoBack"/>
    </w:p>
    <w:p w14:paraId="033E7799">
      <w:pPr>
        <w:pStyle w:val="7"/>
        <w:rPr>
          <w:rFonts w:hint="eastAsia" w:hAnsi="宋体"/>
          <w:b/>
          <w:color w:val="auto"/>
          <w:sz w:val="84"/>
          <w:szCs w:val="84"/>
          <w:highlight w:val="none"/>
        </w:rPr>
      </w:pPr>
    </w:p>
    <w:p w14:paraId="53ABAA08">
      <w:pPr>
        <w:rPr>
          <w:rFonts w:hint="eastAsia" w:ascii="宋体" w:hAnsi="宋体"/>
          <w:b/>
          <w:color w:val="auto"/>
          <w:sz w:val="84"/>
          <w:szCs w:val="84"/>
          <w:highlight w:val="none"/>
        </w:rPr>
      </w:pPr>
    </w:p>
    <w:p w14:paraId="2E612103">
      <w:pPr>
        <w:jc w:val="center"/>
        <w:rPr>
          <w:rFonts w:hint="eastAsia" w:ascii="宋体" w:hAnsi="宋体"/>
          <w:b/>
          <w:color w:val="auto"/>
          <w:sz w:val="84"/>
          <w:szCs w:val="84"/>
          <w:highlight w:val="none"/>
        </w:rPr>
      </w:pPr>
    </w:p>
    <w:p w14:paraId="1E867643">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广州市白云区螺涌村、松南村、松北村城中村改造项目AB3802044安置地块项目第三方</w:t>
      </w:r>
    </w:p>
    <w:p w14:paraId="17A14AA6">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检测监测服务合同</w:t>
      </w:r>
    </w:p>
    <w:p w14:paraId="229F8F94">
      <w:pPr>
        <w:jc w:val="center"/>
        <w:rPr>
          <w:rFonts w:hint="eastAsia" w:ascii="宋体" w:hAnsi="宋体"/>
          <w:color w:val="auto"/>
          <w:sz w:val="84"/>
          <w:szCs w:val="84"/>
          <w:highlight w:val="none"/>
        </w:rPr>
      </w:pPr>
    </w:p>
    <w:p w14:paraId="66F1DFC7">
      <w:pPr>
        <w:spacing w:line="360" w:lineRule="auto"/>
        <w:ind w:firstLine="689" w:firstLineChars="245"/>
        <w:rPr>
          <w:rFonts w:hint="eastAsia" w:ascii="宋体" w:hAnsi="宋体"/>
          <w:b/>
          <w:color w:val="auto"/>
          <w:sz w:val="28"/>
          <w:szCs w:val="28"/>
          <w:highlight w:val="none"/>
        </w:rPr>
      </w:pPr>
    </w:p>
    <w:p w14:paraId="3E20EDC0">
      <w:pPr>
        <w:spacing w:line="360" w:lineRule="auto"/>
        <w:ind w:firstLine="689" w:firstLineChars="245"/>
        <w:rPr>
          <w:rFonts w:hint="eastAsia" w:ascii="宋体" w:hAnsi="宋体"/>
          <w:b/>
          <w:color w:val="auto"/>
          <w:sz w:val="28"/>
          <w:szCs w:val="28"/>
          <w:highlight w:val="none"/>
        </w:rPr>
      </w:pPr>
    </w:p>
    <w:p w14:paraId="357F80B4">
      <w:pPr>
        <w:spacing w:line="360" w:lineRule="auto"/>
        <w:ind w:firstLine="689" w:firstLineChars="245"/>
        <w:rPr>
          <w:rFonts w:hint="eastAsia" w:ascii="宋体" w:hAnsi="宋体"/>
          <w:b/>
          <w:color w:val="auto"/>
          <w:sz w:val="28"/>
          <w:szCs w:val="28"/>
          <w:highlight w:val="none"/>
        </w:rPr>
      </w:pPr>
    </w:p>
    <w:p w14:paraId="369D3458">
      <w:pPr>
        <w:spacing w:line="360" w:lineRule="auto"/>
        <w:ind w:firstLine="1124" w:firstLineChars="400"/>
        <w:jc w:val="left"/>
        <w:rPr>
          <w:rFonts w:hint="eastAsia" w:ascii="宋体" w:hAnsi="宋体"/>
          <w:b/>
          <w:color w:val="auto"/>
          <w:sz w:val="28"/>
          <w:szCs w:val="28"/>
          <w:highlight w:val="none"/>
          <w:u w:val="single"/>
        </w:rPr>
      </w:pPr>
      <w:r>
        <w:rPr>
          <w:rFonts w:hint="eastAsia" w:ascii="宋体" w:hAnsi="宋体"/>
          <w:b/>
          <w:color w:val="auto"/>
          <w:sz w:val="28"/>
          <w:szCs w:val="28"/>
          <w:highlight w:val="none"/>
        </w:rPr>
        <w:t>合同编号：</w:t>
      </w:r>
      <w:r>
        <w:rPr>
          <w:rFonts w:hint="eastAsia" w:ascii="宋体" w:hAnsi="宋体"/>
          <w:b/>
          <w:color w:val="auto"/>
          <w:sz w:val="28"/>
          <w:szCs w:val="28"/>
          <w:highlight w:val="none"/>
          <w:u w:val="single"/>
        </w:rPr>
        <w:t xml:space="preserve">                                </w:t>
      </w:r>
    </w:p>
    <w:p w14:paraId="775C653A">
      <w:pPr>
        <w:pStyle w:val="3"/>
        <w:keepNext w:val="0"/>
        <w:keepLines w:val="0"/>
        <w:widowControl/>
        <w:spacing w:before="0" w:after="0" w:line="360" w:lineRule="auto"/>
        <w:ind w:left="2522" w:leftChars="532" w:hanging="1405" w:hangingChars="500"/>
        <w:jc w:val="left"/>
        <w:rPr>
          <w:rFonts w:hint="eastAsia" w:ascii="宋体" w:hAnsi="宋体" w:eastAsia="宋体"/>
          <w:bCs w:val="0"/>
          <w:color w:val="auto"/>
          <w:sz w:val="28"/>
          <w:szCs w:val="28"/>
          <w:highlight w:val="none"/>
          <w:u w:val="single"/>
        </w:rPr>
      </w:pPr>
      <w:r>
        <w:rPr>
          <w:rFonts w:hint="eastAsia" w:ascii="宋体" w:hAnsi="宋体" w:eastAsia="宋体"/>
          <w:bCs w:val="0"/>
          <w:color w:val="auto"/>
          <w:sz w:val="28"/>
          <w:szCs w:val="28"/>
          <w:highlight w:val="none"/>
        </w:rPr>
        <w:t>项目名称</w:t>
      </w:r>
      <w:r>
        <w:rPr>
          <w:rFonts w:hint="eastAsia" w:ascii="宋体" w:hAnsi="宋体"/>
          <w:b w:val="0"/>
          <w:color w:val="auto"/>
          <w:sz w:val="28"/>
          <w:szCs w:val="28"/>
          <w:highlight w:val="none"/>
        </w:rPr>
        <w:t>：</w:t>
      </w:r>
      <w:r>
        <w:rPr>
          <w:rFonts w:hint="eastAsia" w:ascii="宋体" w:hAnsi="宋体" w:eastAsia="宋体"/>
          <w:bCs w:val="0"/>
          <w:color w:val="auto"/>
          <w:sz w:val="28"/>
          <w:szCs w:val="28"/>
          <w:highlight w:val="none"/>
          <w:u w:val="single"/>
        </w:rPr>
        <w:t xml:space="preserve">广州市白云区螺涌村、松南村、松北村城中村改造项目AB3802044安置地块项目第三方检测监测服务  </w:t>
      </w:r>
    </w:p>
    <w:p w14:paraId="1347ADC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甲    方：</w:t>
      </w:r>
      <w:r>
        <w:rPr>
          <w:rFonts w:hint="eastAsia" w:ascii="宋体" w:hAnsi="宋体"/>
          <w:b/>
          <w:color w:val="auto"/>
          <w:sz w:val="28"/>
          <w:szCs w:val="28"/>
          <w:highlight w:val="none"/>
          <w:u w:val="single"/>
        </w:rPr>
        <w:t xml:space="preserve">广州湾区新岸城市开发投资有限公司 </w:t>
      </w:r>
    </w:p>
    <w:p w14:paraId="71E77AE0">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1</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4F256FA3">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2</w:t>
      </w:r>
      <w:r>
        <w:rPr>
          <w:rFonts w:hint="eastAsia" w:ascii="宋体" w:hAnsi="宋体"/>
          <w:b/>
          <w:color w:val="auto"/>
          <w:sz w:val="28"/>
          <w:szCs w:val="28"/>
          <w:highlight w:val="none"/>
          <w:lang w:val="en-US" w:eastAsia="zh-CN"/>
        </w:rPr>
        <w:t>（如有）</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29EBDD8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签订日期：</w:t>
      </w:r>
      <w:r>
        <w:rPr>
          <w:rFonts w:hint="eastAsia" w:ascii="宋体" w:hAnsi="宋体"/>
          <w:b/>
          <w:color w:val="auto"/>
          <w:sz w:val="28"/>
          <w:szCs w:val="28"/>
          <w:highlight w:val="none"/>
          <w:u w:val="single"/>
        </w:rPr>
        <w:t xml:space="preserve"> </w:t>
      </w:r>
      <w:r>
        <w:rPr>
          <w:rFonts w:ascii="宋体" w:hAnsi="宋体"/>
          <w:b/>
          <w:color w:val="auto"/>
          <w:sz w:val="28"/>
          <w:szCs w:val="28"/>
          <w:highlight w:val="none"/>
          <w:u w:val="single"/>
        </w:rPr>
        <w:t>202</w:t>
      </w:r>
      <w:r>
        <w:rPr>
          <w:rFonts w:hint="eastAsia" w:ascii="宋体" w:hAnsi="宋体"/>
          <w:b/>
          <w:color w:val="auto"/>
          <w:sz w:val="28"/>
          <w:szCs w:val="28"/>
          <w:highlight w:val="none"/>
          <w:u w:val="single"/>
        </w:rPr>
        <w:t xml:space="preserve">   年  月   日</w:t>
      </w:r>
    </w:p>
    <w:p w14:paraId="0D8388DF">
      <w:pPr>
        <w:rPr>
          <w:rFonts w:hint="eastAsia" w:ascii="宋体" w:hAnsi="宋体"/>
          <w:b/>
          <w:color w:val="auto"/>
          <w:sz w:val="28"/>
          <w:szCs w:val="28"/>
          <w:highlight w:val="none"/>
          <w:u w:val="single"/>
        </w:rPr>
      </w:pPr>
    </w:p>
    <w:p w14:paraId="59DBE832">
      <w:pPr>
        <w:spacing w:line="360" w:lineRule="auto"/>
        <w:rPr>
          <w:rFonts w:hint="eastAsia" w:ascii="宋体" w:hAnsi="宋体"/>
          <w:color w:val="auto"/>
          <w:sz w:val="24"/>
          <w:highlight w:val="none"/>
          <w:u w:val="single"/>
        </w:rPr>
      </w:pPr>
      <w:r>
        <w:rPr>
          <w:rFonts w:ascii="宋体" w:hAnsi="宋体"/>
          <w:color w:val="auto"/>
          <w:sz w:val="24"/>
          <w:highlight w:val="none"/>
        </w:rPr>
        <w:br w:type="page"/>
      </w:r>
      <w:r>
        <w:rPr>
          <w:rFonts w:hint="eastAsia" w:ascii="宋体" w:hAnsi="宋体"/>
          <w:color w:val="auto"/>
          <w:sz w:val="24"/>
          <w:highlight w:val="none"/>
        </w:rPr>
        <w:t>甲方（委托方）：</w:t>
      </w:r>
      <w:r>
        <w:rPr>
          <w:rFonts w:hint="eastAsia" w:ascii="宋体" w:hAnsi="宋体"/>
          <w:color w:val="auto"/>
          <w:sz w:val="24"/>
          <w:highlight w:val="none"/>
          <w:u w:val="single"/>
        </w:rPr>
        <w:t xml:space="preserve">广州湾区新岸城市开发投资有限公司    </w:t>
      </w:r>
    </w:p>
    <w:p w14:paraId="4C7F60AF">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吴家友       </w:t>
      </w:r>
    </w:p>
    <w:p w14:paraId="28E933C3">
      <w:pPr>
        <w:spacing w:line="360" w:lineRule="auto"/>
        <w:ind w:left="1560" w:hanging="1560" w:hangingChars="650"/>
        <w:rPr>
          <w:rFonts w:hint="eastAsia" w:ascii="宋体" w:hAnsi="宋体"/>
          <w:color w:val="auto"/>
          <w:sz w:val="24"/>
          <w:highlight w:val="none"/>
          <w:u w:val="single"/>
        </w:rPr>
      </w:pPr>
      <w:r>
        <w:rPr>
          <w:rFonts w:hint="eastAsia" w:ascii="宋体" w:hAnsi="宋体"/>
          <w:color w:val="auto"/>
          <w:sz w:val="24"/>
          <w:highlight w:val="none"/>
        </w:rPr>
        <w:t>乙方</w:t>
      </w:r>
      <w:r>
        <w:rPr>
          <w:rFonts w:hint="default" w:ascii="宋体" w:hAnsi="宋体"/>
          <w:color w:val="auto"/>
          <w:sz w:val="24"/>
          <w:highlight w:val="none"/>
          <w:lang w:val="en-US"/>
        </w:rPr>
        <w:t>1</w:t>
      </w:r>
      <w:r>
        <w:rPr>
          <w:rFonts w:hint="eastAsia" w:ascii="宋体" w:hAnsi="宋体"/>
          <w:color w:val="auto"/>
          <w:sz w:val="24"/>
          <w:highlight w:val="none"/>
        </w:rPr>
        <w:t>（受托方）：</w:t>
      </w:r>
      <w:r>
        <w:rPr>
          <w:rFonts w:hint="eastAsia" w:ascii="宋体" w:hAnsi="宋体"/>
          <w:color w:val="auto"/>
          <w:sz w:val="24"/>
          <w:highlight w:val="none"/>
          <w:u w:val="single"/>
        </w:rPr>
        <w:t xml:space="preserve">                                    </w:t>
      </w:r>
    </w:p>
    <w:p w14:paraId="13B73B1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084B6089">
      <w:pPr>
        <w:spacing w:line="360" w:lineRule="auto"/>
        <w:rPr>
          <w:rFonts w:hint="eastAsia" w:ascii="宋体" w:hAnsi="宋体"/>
          <w:color w:val="auto"/>
          <w:sz w:val="24"/>
          <w:highlight w:val="none"/>
        </w:rPr>
      </w:pPr>
      <w:r>
        <w:rPr>
          <w:rFonts w:hint="eastAsia" w:ascii="宋体" w:hAnsi="宋体"/>
          <w:color w:val="auto"/>
          <w:sz w:val="24"/>
          <w:highlight w:val="none"/>
        </w:rPr>
        <w:t>乙方</w:t>
      </w:r>
      <w:r>
        <w:rPr>
          <w:rFonts w:hint="default" w:ascii="宋体" w:hAnsi="宋体"/>
          <w:color w:val="auto"/>
          <w:sz w:val="24"/>
          <w:highlight w:val="none"/>
          <w:lang w:val="en-US"/>
        </w:rPr>
        <w:t>2</w:t>
      </w:r>
      <w:r>
        <w:rPr>
          <w:rFonts w:hint="eastAsia" w:ascii="宋体" w:hAnsi="宋体"/>
          <w:color w:val="auto"/>
          <w:sz w:val="24"/>
          <w:highlight w:val="none"/>
        </w:rPr>
        <w:t>（受托方</w:t>
      </w:r>
      <w:r>
        <w:rPr>
          <w:rFonts w:hint="default" w:ascii="宋体" w:hAnsi="宋体"/>
          <w:color w:val="auto"/>
          <w:sz w:val="24"/>
          <w:highlight w:val="none"/>
          <w:lang w:val="en-US"/>
        </w:rPr>
        <w:t>-</w:t>
      </w:r>
      <w:r>
        <w:rPr>
          <w:rFonts w:hint="eastAsia" w:ascii="宋体" w:hAnsi="宋体"/>
          <w:color w:val="auto"/>
          <w:sz w:val="24"/>
          <w:highlight w:val="none"/>
          <w:lang w:val="en-US" w:eastAsia="zh-CN"/>
        </w:rPr>
        <w:t>如有</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default" w:ascii="宋体" w:hAnsi="宋体"/>
          <w:color w:val="auto"/>
          <w:sz w:val="24"/>
          <w:highlight w:val="none"/>
          <w:u w:val="single"/>
          <w:lang w:val="en-US"/>
        </w:rPr>
        <w:t xml:space="preserve"> </w:t>
      </w:r>
      <w:r>
        <w:rPr>
          <w:rFonts w:hint="eastAsia" w:ascii="宋体" w:hAnsi="宋体"/>
          <w:color w:val="auto"/>
          <w:sz w:val="24"/>
          <w:highlight w:val="none"/>
          <w:u w:val="single"/>
        </w:rPr>
        <w:t xml:space="preserve">        </w:t>
      </w:r>
    </w:p>
    <w:p w14:paraId="15A7442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24072955">
      <w:pPr>
        <w:pStyle w:val="7"/>
        <w:spacing w:after="120" w:line="360" w:lineRule="auto"/>
        <w:ind w:firstLine="480" w:firstLineChars="200"/>
        <w:rPr>
          <w:color w:val="auto"/>
          <w:sz w:val="24"/>
          <w:szCs w:val="24"/>
          <w:highlight w:val="none"/>
        </w:rPr>
      </w:pPr>
    </w:p>
    <w:p w14:paraId="1BA7037B">
      <w:pPr>
        <w:pStyle w:val="7"/>
        <w:spacing w:after="120" w:line="360" w:lineRule="auto"/>
        <w:ind w:firstLine="480" w:firstLineChars="200"/>
        <w:rPr>
          <w:color w:val="auto"/>
          <w:sz w:val="24"/>
          <w:szCs w:val="24"/>
          <w:highlight w:val="none"/>
        </w:rPr>
      </w:pPr>
      <w:r>
        <w:rPr>
          <w:rFonts w:hint="eastAsia"/>
          <w:color w:val="auto"/>
          <w:sz w:val="24"/>
          <w:szCs w:val="24"/>
          <w:highlight w:val="none"/>
        </w:rPr>
        <w:t>本合同甲方委托乙方</w:t>
      </w:r>
      <w:bookmarkStart w:id="0" w:name="dw_detail_0_department_name"/>
      <w:bookmarkEnd w:id="0"/>
      <w:r>
        <w:rPr>
          <w:rFonts w:hint="eastAsia"/>
          <w:color w:val="auto"/>
          <w:sz w:val="24"/>
          <w:szCs w:val="24"/>
          <w:highlight w:val="none"/>
        </w:rPr>
        <w:t>进行</w:t>
      </w:r>
      <w:r>
        <w:rPr>
          <w:rFonts w:hint="eastAsia" w:hAnsi="宋体" w:cs="宋体"/>
          <w:color w:val="auto"/>
          <w:sz w:val="24"/>
          <w:szCs w:val="24"/>
          <w:highlight w:val="none"/>
        </w:rPr>
        <w:t>广州市白云区螺涌村、松南村、松北村城中村改造项目AB3802044安置地块项目第三方检测监测服务</w:t>
      </w:r>
      <w:r>
        <w:rPr>
          <w:rFonts w:hint="eastAsia"/>
          <w:color w:val="auto"/>
          <w:sz w:val="24"/>
          <w:szCs w:val="24"/>
          <w:highlight w:val="none"/>
        </w:rPr>
        <w:t>，并支付相应服务报酬。双方经过平等协商，在真实、充分地表达各自意愿的基础上，根据《中华人民共和国民法典》的规定，达成如下协议，并由双方共同恪守。</w:t>
      </w:r>
    </w:p>
    <w:p w14:paraId="64649AB8">
      <w:pPr>
        <w:pStyle w:val="7"/>
        <w:spacing w:after="120" w:line="360" w:lineRule="auto"/>
        <w:ind w:left="482"/>
        <w:rPr>
          <w:b/>
          <w:color w:val="auto"/>
          <w:sz w:val="24"/>
          <w:szCs w:val="24"/>
          <w:highlight w:val="none"/>
        </w:rPr>
      </w:pPr>
      <w:r>
        <w:rPr>
          <w:rFonts w:hint="eastAsia"/>
          <w:b/>
          <w:color w:val="auto"/>
          <w:sz w:val="24"/>
          <w:szCs w:val="24"/>
          <w:highlight w:val="none"/>
        </w:rPr>
        <w:t>第一条 服务内容</w:t>
      </w:r>
    </w:p>
    <w:p w14:paraId="4F663C79">
      <w:pPr>
        <w:pStyle w:val="7"/>
        <w:spacing w:line="360" w:lineRule="auto"/>
        <w:ind w:firstLine="482" w:firstLineChars="200"/>
        <w:rPr>
          <w:color w:val="auto"/>
          <w:sz w:val="24"/>
          <w:szCs w:val="24"/>
          <w:highlight w:val="none"/>
          <w:u w:val="single"/>
        </w:rPr>
      </w:pPr>
      <w:r>
        <w:rPr>
          <w:rFonts w:hint="eastAsia"/>
          <w:b/>
          <w:color w:val="auto"/>
          <w:sz w:val="24"/>
          <w:szCs w:val="24"/>
          <w:highlight w:val="none"/>
        </w:rPr>
        <w:t>（一）服务的目标：</w:t>
      </w:r>
      <w:r>
        <w:rPr>
          <w:rFonts w:hint="eastAsia"/>
          <w:color w:val="auto"/>
          <w:sz w:val="24"/>
          <w:szCs w:val="24"/>
          <w:highlight w:val="none"/>
          <w:u w:val="single"/>
        </w:rPr>
        <w:t>严格按照</w:t>
      </w:r>
      <w:r>
        <w:rPr>
          <w:rFonts w:hint="eastAsia" w:hAnsi="宋体"/>
          <w:color w:val="auto"/>
          <w:spacing w:val="-4"/>
          <w:sz w:val="24"/>
          <w:szCs w:val="24"/>
          <w:highlight w:val="none"/>
          <w:u w:val="single"/>
        </w:rPr>
        <w:t>国家、省、市有关规范规程和规定的要求</w:t>
      </w:r>
      <w:r>
        <w:rPr>
          <w:rFonts w:hint="eastAsia"/>
          <w:color w:val="auto"/>
          <w:sz w:val="24"/>
          <w:szCs w:val="24"/>
          <w:highlight w:val="none"/>
          <w:u w:val="single"/>
        </w:rPr>
        <w:t xml:space="preserve">进行各项检测、监测工作，及时提供检测、监测结果，出具检测、监测报告。 </w:t>
      </w:r>
    </w:p>
    <w:p w14:paraId="565490C0">
      <w:pPr>
        <w:tabs>
          <w:tab w:val="left" w:pos="7513"/>
        </w:tabs>
        <w:spacing w:line="360" w:lineRule="auto"/>
        <w:ind w:firstLine="482" w:firstLineChars="200"/>
        <w:rPr>
          <w:b/>
          <w:color w:val="auto"/>
          <w:sz w:val="24"/>
          <w:szCs w:val="24"/>
          <w:highlight w:val="none"/>
        </w:rPr>
      </w:pPr>
      <w:r>
        <w:rPr>
          <w:rFonts w:hint="eastAsia"/>
          <w:b/>
          <w:color w:val="auto"/>
          <w:sz w:val="24"/>
          <w:szCs w:val="24"/>
          <w:highlight w:val="none"/>
        </w:rPr>
        <w:t>（二）服务的内容</w:t>
      </w:r>
    </w:p>
    <w:p w14:paraId="6650451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1.第三方检测：</w:t>
      </w:r>
      <w:r>
        <w:rPr>
          <w:rFonts w:hint="eastAsia" w:ascii="宋体" w:hAnsi="Courier New"/>
          <w:color w:val="auto"/>
          <w:sz w:val="24"/>
          <w:szCs w:val="24"/>
          <w:highlight w:val="none"/>
          <w:u w:val="single"/>
        </w:rPr>
        <w:t>对本项目进行第三方检测及相关申报检测技术成果审批服务，以便为安全施工及工程验收提供依据，检测内容包括但不限于：地基基础工程检测、主体结构工程现场检测（含人防工程结构检测）、见证取样检测（含所有材料和设备检测）、室内环境检测、建筑节能工程检测（含幕墙门窗检测）、智能建筑工程检测、市政（道路</w:t>
      </w:r>
      <w:r>
        <w:rPr>
          <w:rFonts w:hint="eastAsia" w:ascii="宋体" w:hAnsi="Courier New"/>
          <w:color w:val="auto"/>
          <w:sz w:val="24"/>
          <w:szCs w:val="24"/>
          <w:highlight w:val="none"/>
          <w:u w:val="single"/>
          <w:lang w:val="en-US" w:eastAsia="zh-CN"/>
        </w:rPr>
        <w:t>、</w:t>
      </w:r>
      <w:r>
        <w:rPr>
          <w:rFonts w:hint="eastAsia" w:ascii="宋体" w:hAnsi="Courier New"/>
          <w:color w:val="auto"/>
          <w:sz w:val="24"/>
          <w:szCs w:val="24"/>
          <w:highlight w:val="none"/>
          <w:u w:val="single"/>
        </w:rPr>
        <w:t>园林、绿化）工程检测、光纤到户工程检测、燃气管道检测、发电机负载试验、人防设备安装质量检测、建筑消防检测、防雷检测及与本项目有关的其他检测内容。</w:t>
      </w:r>
    </w:p>
    <w:p w14:paraId="0B754F83">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p>
    <w:p w14:paraId="0ABD12E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p>
    <w:p w14:paraId="13DFA4F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p>
    <w:p w14:paraId="1860DAA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4</w:t>
      </w:r>
      <w:r>
        <w:rPr>
          <w:rFonts w:hint="eastAsia" w:ascii="宋体" w:hAnsi="Courier New"/>
          <w:color w:val="auto"/>
          <w:sz w:val="24"/>
          <w:szCs w:val="24"/>
          <w:highlight w:val="none"/>
          <w:u w:val="single"/>
        </w:rPr>
        <w:t>）室内环境检测：包括但不限于室内环境检测。</w:t>
      </w:r>
    </w:p>
    <w:p w14:paraId="6EE176F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5</w:t>
      </w:r>
      <w:r>
        <w:rPr>
          <w:rFonts w:hint="eastAsia" w:ascii="宋体" w:hAnsi="Courier New"/>
          <w:color w:val="auto"/>
          <w:sz w:val="24"/>
          <w:szCs w:val="24"/>
          <w:highlight w:val="none"/>
          <w:u w:val="singl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p>
    <w:p w14:paraId="0825124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6</w:t>
      </w:r>
      <w:r>
        <w:rPr>
          <w:rFonts w:hint="eastAsia" w:ascii="宋体" w:hAnsi="Courier New"/>
          <w:color w:val="auto"/>
          <w:sz w:val="24"/>
          <w:szCs w:val="24"/>
          <w:highlight w:val="none"/>
          <w:u w:val="single"/>
        </w:rPr>
        <w:t>）智能建筑工程检测：包括但不限于综合布线系统检测、安全防范系统检测、建筑设备监控系统检测、可视对讲检测、广播系统检测、机房工程系统检测、电源与接地系统检测、计算机网络系统检测、能耗监测系统检测。</w:t>
      </w:r>
    </w:p>
    <w:p w14:paraId="4611FD1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7</w:t>
      </w:r>
      <w:r>
        <w:rPr>
          <w:rFonts w:hint="eastAsia" w:ascii="宋体" w:hAnsi="Courier New"/>
          <w:color w:val="auto"/>
          <w:sz w:val="24"/>
          <w:szCs w:val="24"/>
          <w:highlight w:val="none"/>
          <w:u w:val="singl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Courier New"/>
          <w:color w:val="auto"/>
          <w:sz w:val="24"/>
          <w:szCs w:val="24"/>
          <w:highlight w:val="none"/>
          <w:u w:val="single"/>
        </w:rPr>
        <w:t>绿化工程等。</w:t>
      </w:r>
    </w:p>
    <w:p w14:paraId="5FEABC4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8</w:t>
      </w:r>
      <w:r>
        <w:rPr>
          <w:rFonts w:hint="eastAsia" w:ascii="宋体" w:hAnsi="Courier New"/>
          <w:color w:val="auto"/>
          <w:sz w:val="24"/>
          <w:szCs w:val="24"/>
          <w:highlight w:val="none"/>
          <w:u w:val="single"/>
        </w:rPr>
        <w:t>）建筑消防检测：包括但不限于建筑消防设施检测、系统功能检测。</w:t>
      </w:r>
    </w:p>
    <w:p w14:paraId="42C6275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9</w:t>
      </w:r>
      <w:r>
        <w:rPr>
          <w:rFonts w:hint="eastAsia" w:ascii="宋体" w:hAnsi="Courier New"/>
          <w:color w:val="auto"/>
          <w:sz w:val="24"/>
          <w:szCs w:val="24"/>
          <w:highlight w:val="none"/>
          <w:u w:val="single"/>
        </w:rPr>
        <w:t>）防雷检测：包括但不限于防雷装置检测、系统功能检测。</w:t>
      </w:r>
    </w:p>
    <w:p w14:paraId="6D2F401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0</w:t>
      </w:r>
      <w:r>
        <w:rPr>
          <w:rFonts w:hint="eastAsia" w:ascii="宋体" w:hAnsi="Courier New"/>
          <w:color w:val="auto"/>
          <w:sz w:val="24"/>
          <w:szCs w:val="24"/>
          <w:highlight w:val="none"/>
          <w:u w:val="single"/>
        </w:rPr>
        <w:t>）发电机负载试验。</w:t>
      </w:r>
    </w:p>
    <w:p w14:paraId="2D36DAB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）燃气管道检测。</w:t>
      </w:r>
    </w:p>
    <w:p w14:paraId="2A78282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）光纤到户工程检测。</w:t>
      </w:r>
    </w:p>
    <w:p w14:paraId="2FA0AA8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）人防设备安装质量检测。</w:t>
      </w:r>
    </w:p>
    <w:p w14:paraId="51504708">
      <w:pPr>
        <w:pStyle w:val="2"/>
        <w:rPr>
          <w:color w:val="auto"/>
          <w:highlight w:val="none"/>
        </w:rPr>
      </w:pPr>
    </w:p>
    <w:p w14:paraId="0866E524">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2.基坑监测等技术服务：</w:t>
      </w:r>
      <w:r>
        <w:rPr>
          <w:rFonts w:hint="eastAsia" w:ascii="宋体" w:hAnsi="Courier New"/>
          <w:color w:val="auto"/>
          <w:sz w:val="24"/>
          <w:szCs w:val="24"/>
          <w:highlight w:val="none"/>
          <w:u w:val="single"/>
        </w:rPr>
        <w:t>包含但不限于基坑监测、主体沉降观测、高支模监测及与本项目有关的其他监测内容。</w:t>
      </w:r>
    </w:p>
    <w:p w14:paraId="7FEFBD7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579C1CC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（2）主体沉降观测。</w:t>
      </w:r>
    </w:p>
    <w:p w14:paraId="2A9663A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（3）高支模监测：包括但不限于高支模立杆倾角、立杠位移、高支模立杆轴力、沉降。</w:t>
      </w:r>
    </w:p>
    <w:p w14:paraId="5933D103">
      <w:pPr>
        <w:pStyle w:val="2"/>
        <w:spacing w:line="360" w:lineRule="auto"/>
        <w:rPr>
          <w:rFonts w:ascii="宋体" w:hAnsi="Courier New"/>
          <w:color w:val="auto"/>
          <w:sz w:val="24"/>
          <w:szCs w:val="24"/>
          <w:highlight w:val="none"/>
        </w:rPr>
      </w:pPr>
      <w:r>
        <w:rPr>
          <w:rFonts w:hint="eastAsia" w:ascii="宋体" w:hAnsi="Courier New"/>
          <w:color w:val="auto"/>
          <w:sz w:val="24"/>
          <w:szCs w:val="24"/>
          <w:highlight w:val="none"/>
        </w:rPr>
        <w:t>3.具体检测（监测）服务内容及数量包括但不限于招标需求书、施工图纸、合同、工程量清单、甲方要求及招标过程中发出的相关文件所包含的全部内容，且需满足项目施工过程需要、竣工验收要求及相关主管监督部门的要求。</w:t>
      </w:r>
    </w:p>
    <w:p w14:paraId="59752633">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4.服务内容除以上工作外，还包括：</w:t>
      </w:r>
    </w:p>
    <w:p w14:paraId="398DADD2">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4D6DA630">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（2）在进行检测、监测任务的过程中与该工程相关的施工单位、监理单位、设计单位、建设主管部门等相关单位的协调工作。</w:t>
      </w:r>
    </w:p>
    <w:p w14:paraId="1A23FECF">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（3）乙方需按相关要求将工程检测、监测数据的有关信息通过连接系统进行传输报送，确保不因传输报送工作影响本工程项目的建设进度和竣工验收。上述工作发生的费用已包含在综合单价中。</w:t>
      </w:r>
    </w:p>
    <w:p w14:paraId="3047826D">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本项目实施期间，如因本项目验收需要，经甲方确认需增加《工程量清单》中没有的其他检测、监测项目，且乙方也具备相应资质，则乙方不得以任何理由拒绝为甲方提供检测、监测，并出具符合验收要求的检测、监测报告。</w:t>
      </w:r>
    </w:p>
    <w:p w14:paraId="0EAF4911">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5）乙方应具备自行完成约定项目的检测监测工作的能力，除另有约定外原则上不得转包和分包；如乙方检测、监测资质不能涵盖的项目，或根据建设主管部门的要求，需要由不同工程质量检测(监测)机构进行检测(监测)的，由乙方报甲方批准后委托有资质的相应单位实施，并按相关要求取得相应管理部门确认，确保不影响项目验收。乙方对该第三方出具的结果负责，此部分工作产生的费用由乙方自行承担并已包含于投标报价中。</w:t>
      </w:r>
    </w:p>
    <w:p w14:paraId="22A6694D">
      <w:pPr>
        <w:pStyle w:val="7"/>
        <w:spacing w:after="120" w:line="360" w:lineRule="auto"/>
        <w:ind w:left="482"/>
        <w:rPr>
          <w:b/>
          <w:color w:val="auto"/>
          <w:sz w:val="24"/>
          <w:szCs w:val="24"/>
          <w:highlight w:val="none"/>
        </w:rPr>
      </w:pPr>
      <w:r>
        <w:rPr>
          <w:rFonts w:hint="eastAsia"/>
          <w:b/>
          <w:color w:val="auto"/>
          <w:sz w:val="24"/>
          <w:szCs w:val="24"/>
          <w:highlight w:val="none"/>
        </w:rPr>
        <w:t>第二条 服务要求</w:t>
      </w:r>
    </w:p>
    <w:p w14:paraId="2716E3CA">
      <w:pPr>
        <w:pStyle w:val="7"/>
        <w:spacing w:after="120" w:line="360" w:lineRule="auto"/>
        <w:ind w:firstLine="480"/>
        <w:rPr>
          <w:color w:val="auto"/>
          <w:sz w:val="24"/>
          <w:szCs w:val="24"/>
          <w:highlight w:val="none"/>
          <w:u w:val="single"/>
        </w:rPr>
      </w:pPr>
      <w:r>
        <w:rPr>
          <w:rFonts w:hint="eastAsia"/>
          <w:b/>
          <w:color w:val="auto"/>
          <w:sz w:val="24"/>
          <w:szCs w:val="24"/>
          <w:highlight w:val="none"/>
        </w:rPr>
        <w:t>（一）服务地点：</w:t>
      </w:r>
      <w:r>
        <w:rPr>
          <w:rFonts w:hint="eastAsia"/>
          <w:color w:val="auto"/>
          <w:sz w:val="24"/>
          <w:highlight w:val="none"/>
          <w:u w:val="single"/>
        </w:rPr>
        <w:t>广州市白云区螺涌村、松南村、松北村城中村改造项目实施范围内</w:t>
      </w:r>
      <w:r>
        <w:rPr>
          <w:rFonts w:hint="eastAsia"/>
          <w:color w:val="auto"/>
          <w:sz w:val="24"/>
          <w:szCs w:val="24"/>
          <w:highlight w:val="none"/>
          <w:u w:val="single"/>
        </w:rPr>
        <w:t>。</w:t>
      </w:r>
    </w:p>
    <w:p w14:paraId="6C7A8999">
      <w:pPr>
        <w:tabs>
          <w:tab w:val="left" w:pos="7513"/>
        </w:tabs>
        <w:spacing w:line="360" w:lineRule="auto"/>
        <w:ind w:firstLine="482" w:firstLineChars="200"/>
        <w:rPr>
          <w:rFonts w:ascii="宋体" w:hAnsi="Courier New"/>
          <w:color w:val="auto"/>
          <w:sz w:val="24"/>
          <w:szCs w:val="24"/>
          <w:highlight w:val="none"/>
          <w:u w:val="single"/>
        </w:rPr>
      </w:pPr>
      <w:r>
        <w:rPr>
          <w:rFonts w:hint="eastAsia"/>
          <w:b/>
          <w:color w:val="auto"/>
          <w:sz w:val="24"/>
          <w:szCs w:val="24"/>
          <w:highlight w:val="none"/>
        </w:rPr>
        <w:t>（二）服务期限：</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2E498BCD">
      <w:pPr>
        <w:pStyle w:val="7"/>
        <w:spacing w:after="120" w:line="360" w:lineRule="auto"/>
        <w:ind w:firstLine="482" w:firstLineChars="200"/>
        <w:rPr>
          <w:b/>
          <w:color w:val="auto"/>
          <w:sz w:val="24"/>
          <w:szCs w:val="24"/>
          <w:highlight w:val="none"/>
        </w:rPr>
      </w:pPr>
      <w:r>
        <w:rPr>
          <w:rFonts w:hint="eastAsia"/>
          <w:b/>
          <w:color w:val="auto"/>
          <w:sz w:val="24"/>
          <w:szCs w:val="24"/>
          <w:highlight w:val="none"/>
        </w:rPr>
        <w:t>（三）服务进度</w:t>
      </w:r>
    </w:p>
    <w:p w14:paraId="101911E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rPr>
        <w:t>1.第三方检测服务进度：</w:t>
      </w:r>
      <w:r>
        <w:rPr>
          <w:rFonts w:hint="eastAsia"/>
          <w:color w:val="auto"/>
          <w:sz w:val="24"/>
          <w:szCs w:val="24"/>
          <w:highlight w:val="none"/>
          <w:u w:val="single"/>
        </w:rPr>
        <w:t>每项检测内容按甲方要求分批次进行，具体进度以甲方通知为准。乙方在收到甲方进场通知后2个工作日内进场确认现场试验检测条件，在条件满足要求的前提下3个工作日内完成现场工作。乙方完成现场工作后5个工作日内提交正式检测报告一式10份。</w:t>
      </w:r>
    </w:p>
    <w:p w14:paraId="5D2A57B0">
      <w:pPr>
        <w:pStyle w:val="5"/>
        <w:spacing w:line="360" w:lineRule="auto"/>
        <w:ind w:firstLine="480" w:firstLineChars="200"/>
        <w:rPr>
          <w:color w:val="auto"/>
          <w:sz w:val="24"/>
          <w:szCs w:val="24"/>
          <w:highlight w:val="none"/>
          <w:u w:val="single"/>
        </w:rPr>
      </w:pPr>
      <w:r>
        <w:rPr>
          <w:rFonts w:hint="eastAsia" w:ascii="宋体" w:hAnsi="Courier New"/>
          <w:color w:val="auto"/>
          <w:sz w:val="24"/>
          <w:szCs w:val="24"/>
          <w:highlight w:val="none"/>
        </w:rPr>
        <w:t>2.监测服务进度：</w:t>
      </w:r>
    </w:p>
    <w:p w14:paraId="6215E0C3">
      <w:pPr>
        <w:pStyle w:val="5"/>
        <w:spacing w:line="360" w:lineRule="auto"/>
        <w:ind w:firstLine="480" w:firstLineChars="200"/>
        <w:rPr>
          <w:color w:val="auto"/>
          <w:sz w:val="28"/>
          <w:szCs w:val="28"/>
          <w:highlight w:val="none"/>
        </w:rPr>
      </w:pPr>
      <w:r>
        <w:rPr>
          <w:rFonts w:hint="eastAsia" w:ascii="宋体" w:hAnsi="Courier New"/>
          <w:color w:val="auto"/>
          <w:sz w:val="24"/>
          <w:szCs w:val="24"/>
          <w:highlight w:val="none"/>
          <w:u w:val="single"/>
        </w:rPr>
        <w:t>（1）具体监测、观测时间参照既定监测方案，并随工程进度、测量反馈及甲方要求做相应的调整。乙方应严格按照设计要求及现场监理人员要求，配合工程进度，及时到现场进行监测、观测工作。</w:t>
      </w:r>
    </w:p>
    <w:p w14:paraId="6CDCCA0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（2）每次监测结束后，在当日提供监测结果电子版文件，在2个日历天内向甲方提交书面监测结果。并按政府监管部门的要求，将</w:t>
      </w:r>
      <w:r>
        <w:rPr>
          <w:rFonts w:hint="eastAsia"/>
          <w:color w:val="auto"/>
          <w:sz w:val="24"/>
          <w:szCs w:val="24"/>
          <w:highlight w:val="none"/>
          <w:u w:val="single"/>
          <w:lang w:val="en-US" w:eastAsia="zh-CN"/>
        </w:rPr>
        <w:t>基坑</w:t>
      </w:r>
      <w:r>
        <w:rPr>
          <w:rFonts w:hint="eastAsia"/>
          <w:color w:val="auto"/>
          <w:sz w:val="24"/>
          <w:szCs w:val="24"/>
          <w:highlight w:val="none"/>
          <w:u w:val="single"/>
        </w:rPr>
        <w:t>监测数据实时上传至</w:t>
      </w:r>
      <w:r>
        <w:rPr>
          <w:rFonts w:hint="eastAsia"/>
          <w:color w:val="auto"/>
          <w:sz w:val="24"/>
          <w:szCs w:val="24"/>
          <w:highlight w:val="none"/>
          <w:u w:val="single"/>
          <w:lang w:eastAsia="zh-CN"/>
        </w:rPr>
        <w:t>“</w:t>
      </w:r>
      <w:r>
        <w:rPr>
          <w:rFonts w:hint="eastAsia"/>
          <w:color w:val="auto"/>
          <w:sz w:val="24"/>
          <w:szCs w:val="24"/>
          <w:highlight w:val="none"/>
          <w:u w:val="single"/>
        </w:rPr>
        <w:t>广州市建设工程融合监管平台基坑监测预警系统</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将</w:t>
      </w:r>
      <w:r>
        <w:rPr>
          <w:rFonts w:hint="eastAsia" w:ascii="宋体" w:hAnsi="宋体" w:cs="宋体"/>
          <w:color w:val="auto"/>
          <w:sz w:val="24"/>
          <w:szCs w:val="24"/>
          <w:highlight w:val="none"/>
        </w:rPr>
        <w:t>高大模板监测数据实时上传至</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广州市建设工程融合监管平台高大支模及脚手架系统</w:t>
      </w:r>
      <w:r>
        <w:rPr>
          <w:rFonts w:hint="eastAsia" w:hAnsi="宋体" w:cs="宋体"/>
          <w:color w:val="auto"/>
          <w:sz w:val="24"/>
          <w:szCs w:val="24"/>
          <w:highlight w:val="none"/>
          <w:lang w:eastAsia="zh-CN"/>
        </w:rPr>
        <w:t>”</w:t>
      </w:r>
      <w:r>
        <w:rPr>
          <w:rFonts w:hint="eastAsia"/>
          <w:color w:val="auto"/>
          <w:sz w:val="24"/>
          <w:szCs w:val="24"/>
          <w:highlight w:val="none"/>
          <w:u w:val="single"/>
        </w:rPr>
        <w:t>。监测工作结束后10个工作日内提交监测总报告。</w:t>
      </w:r>
    </w:p>
    <w:p w14:paraId="6CD04F04">
      <w:pPr>
        <w:pStyle w:val="7"/>
        <w:spacing w:after="120" w:line="360" w:lineRule="auto"/>
        <w:ind w:firstLine="482" w:firstLineChars="200"/>
        <w:rPr>
          <w:b/>
          <w:color w:val="auto"/>
          <w:sz w:val="24"/>
          <w:szCs w:val="24"/>
          <w:highlight w:val="none"/>
        </w:rPr>
      </w:pPr>
      <w:r>
        <w:rPr>
          <w:rFonts w:hint="eastAsia"/>
          <w:b/>
          <w:color w:val="auto"/>
          <w:sz w:val="24"/>
          <w:szCs w:val="24"/>
          <w:highlight w:val="none"/>
        </w:rPr>
        <w:t>（四）服务质量要求：</w:t>
      </w:r>
    </w:p>
    <w:p w14:paraId="1A23241E">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1.第三方检测：按照相关规范进行检测，检验所使用仪器仪表必须经法定计量部门检定合格，性能应稳定可靠；提供公正、公平及高效的服务；出具公正的第三方检测报告。</w:t>
      </w:r>
    </w:p>
    <w:p w14:paraId="4393F8EA">
      <w:pPr>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2.监测服务：</w:t>
      </w:r>
    </w:p>
    <w:p w14:paraId="018379E8">
      <w:pPr>
        <w:pStyle w:val="7"/>
        <w:rPr>
          <w:color w:val="auto"/>
          <w:sz w:val="24"/>
          <w:szCs w:val="24"/>
          <w:highlight w:val="none"/>
          <w:u w:val="single"/>
        </w:rPr>
      </w:pPr>
    </w:p>
    <w:p w14:paraId="130242D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（1）各项监测、观测按国家、省、市现行有关规范和规定的要求及设计要求进行乙方对测量数据的准确性、可靠性及真实性负责。</w:t>
      </w:r>
    </w:p>
    <w:p w14:paraId="2B244E8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（2）乙方应根据甲方通知，及时组织人员进行监测、观测。</w:t>
      </w:r>
    </w:p>
    <w:p w14:paraId="544BEE57">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（3）根据监测、观测结果及时出具科学、公正的技术服务报告，满足工程质量验收及甲方要求。</w:t>
      </w:r>
    </w:p>
    <w:p w14:paraId="7AA512D0">
      <w:pPr>
        <w:pStyle w:val="7"/>
        <w:spacing w:after="120" w:line="360" w:lineRule="auto"/>
        <w:ind w:firstLine="480"/>
        <w:rPr>
          <w:rFonts w:hint="eastAsia"/>
          <w:b/>
          <w:color w:val="auto"/>
          <w:sz w:val="24"/>
          <w:szCs w:val="24"/>
          <w:highlight w:val="none"/>
        </w:rPr>
      </w:pPr>
      <w:r>
        <w:rPr>
          <w:rFonts w:hint="eastAsia" w:ascii="宋体" w:hAnsi="Courier New"/>
          <w:color w:val="auto"/>
          <w:sz w:val="24"/>
          <w:szCs w:val="24"/>
          <w:highlight w:val="none"/>
          <w:u w:val="single"/>
          <w:lang w:val="en-US" w:eastAsia="zh-CN"/>
        </w:rPr>
        <w:t>3.</w:t>
      </w:r>
      <w:r>
        <w:rPr>
          <w:rFonts w:hint="eastAsia" w:ascii="宋体" w:hAnsi="Courier New" w:eastAsia="宋体" w:cs="Times New Roman"/>
          <w:i w:val="0"/>
          <w:iCs w:val="0"/>
          <w:caps w:val="0"/>
          <w:color w:val="auto"/>
          <w:spacing w:val="0"/>
          <w:sz w:val="24"/>
          <w:szCs w:val="24"/>
          <w:highlight w:val="none"/>
          <w:u w:val="single"/>
          <w:shd w:val="clear"/>
        </w:rPr>
        <w:t>乙方须严格按照国家最新规范及甲方提供的技术标准执行</w:t>
      </w:r>
      <w:r>
        <w:rPr>
          <w:rFonts w:hint="eastAsia" w:ascii="宋体" w:hAnsi="Courier New" w:cs="Times New Roman"/>
          <w:i w:val="0"/>
          <w:iCs w:val="0"/>
          <w:caps w:val="0"/>
          <w:color w:val="auto"/>
          <w:spacing w:val="0"/>
          <w:sz w:val="24"/>
          <w:szCs w:val="24"/>
          <w:highlight w:val="none"/>
          <w:u w:val="single"/>
          <w:shd w:val="clear"/>
          <w:lang w:eastAsia="zh-CN"/>
        </w:rPr>
        <w:t>检测、监测服务</w:t>
      </w:r>
      <w:r>
        <w:rPr>
          <w:rFonts w:hint="eastAsia" w:ascii="宋体" w:hAnsi="Courier New" w:eastAsia="宋体" w:cs="Times New Roman"/>
          <w:i w:val="0"/>
          <w:iCs w:val="0"/>
          <w:caps w:val="0"/>
          <w:color w:val="auto"/>
          <w:spacing w:val="0"/>
          <w:sz w:val="24"/>
          <w:szCs w:val="24"/>
          <w:highlight w:val="none"/>
          <w:u w:val="single"/>
          <w:shd w:val="clear"/>
        </w:rPr>
        <w:t>，若标准更新，乙方需无偿按新标准调整。</w:t>
      </w:r>
    </w:p>
    <w:p w14:paraId="7ED81641">
      <w:pPr>
        <w:pStyle w:val="7"/>
        <w:spacing w:after="120" w:line="360" w:lineRule="auto"/>
        <w:ind w:firstLine="480"/>
        <w:rPr>
          <w:b/>
          <w:color w:val="auto"/>
          <w:sz w:val="24"/>
          <w:szCs w:val="24"/>
          <w:highlight w:val="none"/>
        </w:rPr>
      </w:pPr>
      <w:r>
        <w:rPr>
          <w:rFonts w:hint="eastAsia"/>
          <w:b/>
          <w:color w:val="auto"/>
          <w:sz w:val="24"/>
          <w:szCs w:val="24"/>
          <w:highlight w:val="none"/>
        </w:rPr>
        <w:t>第三条 甲方职责</w:t>
      </w:r>
    </w:p>
    <w:p w14:paraId="37FD099B">
      <w:pPr>
        <w:spacing w:line="360" w:lineRule="auto"/>
        <w:ind w:firstLine="480" w:firstLineChars="200"/>
        <w:rPr>
          <w:rFonts w:hint="eastAsia" w:hAnsi="宋体"/>
          <w:color w:val="auto"/>
          <w:sz w:val="24"/>
          <w:highlight w:val="none"/>
        </w:rPr>
      </w:pPr>
      <w:r>
        <w:rPr>
          <w:rFonts w:hint="eastAsia" w:hAnsi="宋体"/>
          <w:color w:val="auto"/>
          <w:sz w:val="24"/>
          <w:highlight w:val="none"/>
        </w:rPr>
        <w:t>（一）为保证乙方有效进行技术服务工作，甲方应当向乙方提供下列工作条件和协作事项：</w:t>
      </w:r>
    </w:p>
    <w:p w14:paraId="572D5232">
      <w:pPr>
        <w:spacing w:line="360" w:lineRule="auto"/>
        <w:ind w:firstLine="480" w:firstLineChars="200"/>
        <w:rPr>
          <w:rFonts w:hint="eastAsia" w:hAnsi="宋体"/>
          <w:color w:val="auto"/>
          <w:sz w:val="24"/>
          <w:highlight w:val="none"/>
        </w:rPr>
      </w:pPr>
      <w:r>
        <w:rPr>
          <w:rFonts w:hint="eastAsia" w:hAnsi="宋体"/>
          <w:color w:val="auto"/>
          <w:sz w:val="24"/>
          <w:highlight w:val="none"/>
        </w:rPr>
        <w:t>1.提供技术资料：</w:t>
      </w:r>
    </w:p>
    <w:p w14:paraId="6D8D876D">
      <w:pPr>
        <w:pStyle w:val="7"/>
        <w:spacing w:after="120" w:line="360" w:lineRule="auto"/>
        <w:ind w:firstLine="480"/>
        <w:rPr>
          <w:color w:val="auto"/>
          <w:sz w:val="24"/>
          <w:szCs w:val="24"/>
          <w:highlight w:val="none"/>
          <w:u w:val="single"/>
        </w:rPr>
      </w:pPr>
      <w:r>
        <w:rPr>
          <w:rFonts w:hint="eastAsia"/>
          <w:color w:val="auto"/>
          <w:spacing w:val="-4"/>
          <w:sz w:val="24"/>
          <w:szCs w:val="24"/>
          <w:highlight w:val="none"/>
          <w:u w:val="single"/>
        </w:rPr>
        <w:t>及时向乙方提供与其工作有关的资料和认为有必要提供的对乙方工作有帮助的有关资料及文件。</w:t>
      </w:r>
      <w:r>
        <w:rPr>
          <w:rFonts w:hint="eastAsia"/>
          <w:color w:val="auto"/>
          <w:sz w:val="24"/>
          <w:szCs w:val="24"/>
          <w:highlight w:val="none"/>
          <w:u w:val="single"/>
        </w:rPr>
        <w:t xml:space="preserve"> </w:t>
      </w:r>
    </w:p>
    <w:p w14:paraId="7D51C389">
      <w:pPr>
        <w:pStyle w:val="7"/>
        <w:spacing w:after="120" w:line="360" w:lineRule="auto"/>
        <w:ind w:firstLine="480"/>
        <w:rPr>
          <w:b/>
          <w:color w:val="auto"/>
          <w:sz w:val="24"/>
          <w:szCs w:val="24"/>
          <w:highlight w:val="none"/>
        </w:rPr>
      </w:pPr>
      <w:r>
        <w:rPr>
          <w:rFonts w:hint="eastAsia" w:ascii="仿宋_GB2312" w:hAnsi="宋体"/>
          <w:color w:val="auto"/>
          <w:sz w:val="24"/>
          <w:szCs w:val="32"/>
          <w:highlight w:val="none"/>
        </w:rPr>
        <w:t>2.提供工作条件：</w:t>
      </w:r>
    </w:p>
    <w:p w14:paraId="742C51B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(1)甲方应负责检测、监测服务所涉及的与甲方有关的所有外部关系的协调，为乙方履行职责提供外部条件。提供与其他组织相联系的渠道，以便乙方收集需要的信息。</w:t>
      </w:r>
    </w:p>
    <w:p w14:paraId="07DED1EA">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(2)</w:t>
      </w:r>
      <w:r>
        <w:rPr>
          <w:rFonts w:hint="eastAsia" w:hAnsi="宋体"/>
          <w:color w:val="auto"/>
          <w:sz w:val="24"/>
          <w:highlight w:val="none"/>
          <w:u w:val="single"/>
        </w:rPr>
        <w:t>负责提供检测、监测场地及安排施工单位负责现场测点保护工作。</w:t>
      </w:r>
      <w:r>
        <w:rPr>
          <w:rFonts w:hint="eastAsia" w:ascii="宋体" w:hAnsi="宋体"/>
          <w:color w:val="auto"/>
          <w:sz w:val="24"/>
          <w:highlight w:val="none"/>
          <w:u w:val="single"/>
        </w:rPr>
        <w:t xml:space="preserve">                                                               </w:t>
      </w:r>
    </w:p>
    <w:p w14:paraId="20D48CA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(3)</w:t>
      </w:r>
      <w:r>
        <w:rPr>
          <w:rFonts w:hint="eastAsia"/>
          <w:color w:val="auto"/>
          <w:sz w:val="24"/>
          <w:highlight w:val="none"/>
          <w:u w:val="single"/>
        </w:rPr>
        <w:t>现场提供水、电接驳点，水、电使用费由乙方自行承担。</w:t>
      </w:r>
      <w:r>
        <w:rPr>
          <w:rFonts w:hint="eastAsia" w:ascii="宋体" w:hAnsi="宋体"/>
          <w:color w:val="auto"/>
          <w:sz w:val="24"/>
          <w:highlight w:val="none"/>
          <w:u w:val="single"/>
        </w:rPr>
        <w:t xml:space="preserve">                                                               </w:t>
      </w:r>
    </w:p>
    <w:p w14:paraId="53D92AA8">
      <w:pPr>
        <w:pStyle w:val="7"/>
        <w:spacing w:after="120" w:line="360" w:lineRule="auto"/>
        <w:ind w:firstLine="198"/>
        <w:outlineLvl w:val="0"/>
        <w:rPr>
          <w:color w:val="auto"/>
          <w:spacing w:val="-4"/>
          <w:sz w:val="24"/>
          <w:szCs w:val="24"/>
          <w:highlight w:val="none"/>
          <w:u w:val="single"/>
        </w:rPr>
      </w:pPr>
      <w:r>
        <w:rPr>
          <w:rFonts w:hint="eastAsia"/>
          <w:b/>
          <w:color w:val="auto"/>
          <w:sz w:val="24"/>
          <w:szCs w:val="24"/>
          <w:highlight w:val="none"/>
        </w:rPr>
        <w:t xml:space="preserve">  </w:t>
      </w:r>
      <w:r>
        <w:rPr>
          <w:rFonts w:hint="eastAsia" w:ascii="仿宋_GB2312" w:hAnsi="宋体"/>
          <w:color w:val="auto"/>
          <w:sz w:val="24"/>
          <w:szCs w:val="32"/>
          <w:highlight w:val="none"/>
        </w:rPr>
        <w:t>3.甲方提供上述工作条件和协作事项的时间及方式：</w:t>
      </w:r>
      <w:r>
        <w:rPr>
          <w:rFonts w:hint="eastAsia" w:hAnsi="宋体"/>
          <w:color w:val="auto"/>
          <w:sz w:val="24"/>
          <w:szCs w:val="24"/>
          <w:highlight w:val="none"/>
          <w:u w:val="single"/>
        </w:rPr>
        <w:t>甲方</w:t>
      </w:r>
      <w:r>
        <w:rPr>
          <w:rFonts w:hint="eastAsia"/>
          <w:color w:val="auto"/>
          <w:spacing w:val="-4"/>
          <w:sz w:val="24"/>
          <w:szCs w:val="24"/>
          <w:highlight w:val="none"/>
          <w:u w:val="single"/>
        </w:rPr>
        <w:t>通知进场日期前一周。</w:t>
      </w:r>
    </w:p>
    <w:p w14:paraId="5E3B68F3">
      <w:pPr>
        <w:spacing w:line="360" w:lineRule="auto"/>
        <w:ind w:firstLine="480" w:firstLineChars="200"/>
        <w:rPr>
          <w:rFonts w:hint="eastAsia" w:hAnsi="宋体"/>
          <w:color w:val="auto"/>
          <w:sz w:val="24"/>
          <w:highlight w:val="none"/>
        </w:rPr>
      </w:pPr>
      <w:r>
        <w:rPr>
          <w:rFonts w:hint="eastAsia" w:hAnsi="宋体"/>
          <w:color w:val="auto"/>
          <w:sz w:val="24"/>
          <w:highlight w:val="none"/>
        </w:rPr>
        <w:t>（二）甲方应当对其所提供的上述资料的合法性、准确性和完整性负责，否则应承担因资料不合法、不准确和不完整所引发的所有法律责任。</w:t>
      </w:r>
    </w:p>
    <w:p w14:paraId="650978BC">
      <w:pPr>
        <w:pStyle w:val="7"/>
        <w:spacing w:line="360" w:lineRule="auto"/>
        <w:ind w:firstLine="482" w:firstLineChars="200"/>
        <w:rPr>
          <w:rFonts w:hint="eastAsia" w:hAnsi="宋体"/>
          <w:b/>
          <w:color w:val="auto"/>
          <w:sz w:val="24"/>
          <w:szCs w:val="24"/>
          <w:highlight w:val="none"/>
        </w:rPr>
      </w:pPr>
      <w:r>
        <w:rPr>
          <w:rFonts w:hint="eastAsia" w:hAnsi="宋体"/>
          <w:b/>
          <w:color w:val="auto"/>
          <w:sz w:val="24"/>
          <w:szCs w:val="24"/>
          <w:highlight w:val="none"/>
        </w:rPr>
        <w:t>第四条 乙方职责</w:t>
      </w:r>
    </w:p>
    <w:p w14:paraId="42E66DFB">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一）根据设计文件、施工组织设计、相关规范和相关行政职能部门要求和甲方要求，结合项目实际情况，编制检测方案，编制并申报基坑监测、主体沉降观测、高支模监测及与本项目有关的其他监测技术服务方案，按要求组织专家评审论证方案，并确保检测、基坑监测等方案符合有关规范要求及通过工程所在行政区域的相关建设行政主管部门和监督部门的审批，同时负责协调相关工作，保证技术成果能够通过相关部门认可，确保不因检测、监测、观测等工作影响本工程项目的建设进度、竣工验收和在城建档案馆备案，乙方需在投标报价中综合考虑该项专家评审及协调工作的费用。</w:t>
      </w:r>
    </w:p>
    <w:p w14:paraId="59AA0A86">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（二）在进行检测、监测、观测等服务过程中，与该工程相关的施工、监理、勘察设计、咨询等相关单位及建设行政主管部门和监督部门协调，乙方需在投标报价中综合考虑该项协调工作费用。</w:t>
      </w:r>
    </w:p>
    <w:p w14:paraId="754D9CC3">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（三）本项目已包含监督抽检的工作内容，监督抽检数量按建设行政主管部门要求实施，乙方需在投标报价中综合考虑该部分费用。</w:t>
      </w:r>
    </w:p>
    <w:p w14:paraId="09BC6140">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（四）负责检测数据的有关信息通过广州市建设工程质量检测监管信息网报送，乙方需在投标报价中综合考虑该项费用。</w:t>
      </w:r>
    </w:p>
    <w:p w14:paraId="46EA6E8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根据《广州市城乡建设委员会关于启用地下工程及深基坑安全监测信息管理系统的通知》要求，乙方需配合做好信息化管理工作。乙方需按广州市住房和城乡建设局的规定，开通基坑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基坑监测预警系统的能力及经验。根据《广州市住房和城乡建设委员会关于启用高大模板实时监测管理平台的通知》要求，乙方需配合做好信息化管理工作。乙方需按广州市住房和城乡建设局的规定，开通高大模板自动化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乙方需在投标报价中综合考虑该项费用。</w:t>
      </w:r>
    </w:p>
    <w:p w14:paraId="54B22805">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六）本项目实施期间，如因本项目验收需要，经甲方确认需增加《工程量清单》中没有的其他检测、监测项目，且乙方也具备相应资质，则乙方不得以任何理由拒绝为甲方提供检测、监测服务，并出具符合验收要求的检测、监测报告。若乙方资质不能涵盖的项目，由乙方报甲方批准后委托有资质的相应单位实施，乙方应对该第三方出具的结果负责，并按相关要求取得相应管理部门确认，确保不影响项目验收。</w:t>
      </w:r>
    </w:p>
    <w:p w14:paraId="558D69D6">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（七）负责检测、监测过程中检测和监测设备、人员的进退场以及检测、监测用水用电使用费。</w:t>
      </w:r>
    </w:p>
    <w:p w14:paraId="1E6A982C">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八）保证检测、监测人员的相对稳定并且具备相应资格，如需调整检测、监测人员，需在调整前的5个工作日内书面告知甲方，且调整人员的资质不得低于被调整人员的资质，项目负责人的调整应征得甲方书面同意。</w:t>
      </w:r>
    </w:p>
    <w:p w14:paraId="344D5833">
      <w:pPr>
        <w:autoSpaceDE w:val="0"/>
        <w:autoSpaceDN w:val="0"/>
        <w:adjustRightInd w:val="0"/>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（九）为便于甲乙双方及时沟通及协调，本项目实施期间，乙方应按甲方要求派1名工作人员驻场，乙方需在投标报价中综合考虑该项费用。</w:t>
      </w:r>
    </w:p>
    <w:p w14:paraId="6F5A201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（十）保证持有的检测、监测等资质满足地方管理要求。</w:t>
      </w:r>
    </w:p>
    <w:p w14:paraId="4E412B7E">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（十一）保证检测、监测等成果的公正性、准确性、及时性，并对检测、监测等结果和结论的真实性、准确性负责，保证检测、监测等工作符合合同约定及相关技术规范要求。</w:t>
      </w:r>
    </w:p>
    <w:p w14:paraId="511844C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二）检测报告盖有广东省建设厅核准的工程检测报告专用章、省级或以上质量技术监督局核准的计量认证合格“CMA”标志；监测报告盖有监测单位公章及省级或以上质量技术监督局核准的计量认证合格“CMA”标志，检测、监测报告具有法律效力。</w:t>
      </w:r>
    </w:p>
    <w:p w14:paraId="27415571">
      <w:pPr>
        <w:pStyle w:val="7"/>
        <w:spacing w:line="360" w:lineRule="auto"/>
        <w:ind w:firstLine="480" w:firstLineChars="200"/>
        <w:rPr>
          <w:rFonts w:hint="eastAsia" w:hAnsi="宋体"/>
          <w:color w:val="auto"/>
          <w:sz w:val="24"/>
          <w:szCs w:val="24"/>
          <w:highlight w:val="none"/>
        </w:rPr>
      </w:pPr>
      <w:r>
        <w:rPr>
          <w:rFonts w:hint="eastAsia" w:hAnsi="宋体"/>
          <w:color w:val="auto"/>
          <w:sz w:val="24"/>
          <w:highlight w:val="none"/>
        </w:rPr>
        <w:t>（十三）</w:t>
      </w:r>
      <w:r>
        <w:rPr>
          <w:rFonts w:hint="eastAsia" w:hAnsi="宋体"/>
          <w:color w:val="auto"/>
          <w:sz w:val="24"/>
          <w:szCs w:val="24"/>
          <w:highlight w:val="none"/>
        </w:rPr>
        <w:t>在检测、监测工作中，乙方应按安全防护有关规定进入现场作业，若发生安全事故，乙方自行承担一切责任。</w:t>
      </w:r>
    </w:p>
    <w:p w14:paraId="0436E94C">
      <w:pPr>
        <w:adjustRightInd w:val="0"/>
        <w:snapToGrid w:val="0"/>
        <w:spacing w:line="360"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（十四）</w:t>
      </w:r>
      <w:r>
        <w:rPr>
          <w:rFonts w:hint="eastAsia" w:ascii="宋体" w:hAnsi="宋体"/>
          <w:color w:val="auto"/>
          <w:sz w:val="24"/>
          <w:szCs w:val="24"/>
          <w:highlight w:val="none"/>
        </w:rPr>
        <w:t>乙方应在服务期内，办理派驻到项目所在地人员人身和自备财产的有关保险，保险时间应随服务时间的延长而顺延，并在出险后自行办理索赔。如果乙方不办理上述保险，则应对有关风险及后果自负其责。同时，乙方应该尽一切合理的努力，按甲方可接受的条件对乙方的责任、第三方的责任以及甲方为本次服务提供的财产等进行保险。上述有关费用由乙方承担。乙方不按上述约定购买保险或保险赔付额度不满足实际损失的所产生的后果，由乙方自行承担。</w:t>
      </w:r>
    </w:p>
    <w:p w14:paraId="4699EBB9">
      <w:pPr>
        <w:pStyle w:val="2"/>
        <w:rPr>
          <w:rFonts w:ascii="宋体" w:hAnsi="宋体"/>
          <w:color w:val="auto"/>
          <w:sz w:val="24"/>
          <w:szCs w:val="24"/>
          <w:highlight w:val="none"/>
        </w:rPr>
      </w:pPr>
      <w:r>
        <w:rPr>
          <w:rFonts w:hint="eastAsia" w:ascii="宋体" w:hAnsi="宋体"/>
          <w:color w:val="auto"/>
          <w:sz w:val="24"/>
          <w:szCs w:val="24"/>
          <w:highlight w:val="none"/>
        </w:rPr>
        <w:t>（十五）乙方在项目竣工验收备案后，需定期进行观测两年。</w:t>
      </w:r>
    </w:p>
    <w:p w14:paraId="1D8D89EA">
      <w:pPr>
        <w:pStyle w:val="7"/>
        <w:rPr>
          <w:color w:val="auto"/>
          <w:highlight w:val="none"/>
        </w:rPr>
      </w:pPr>
    </w:p>
    <w:p w14:paraId="3F56B722">
      <w:pPr>
        <w:pStyle w:val="7"/>
        <w:spacing w:after="120" w:line="360" w:lineRule="auto"/>
        <w:ind w:firstLine="198"/>
        <w:rPr>
          <w:b/>
          <w:color w:val="auto"/>
          <w:sz w:val="24"/>
          <w:szCs w:val="24"/>
          <w:highlight w:val="none"/>
        </w:rPr>
      </w:pPr>
      <w:r>
        <w:rPr>
          <w:rFonts w:hint="eastAsia"/>
          <w:b/>
          <w:color w:val="auto"/>
          <w:sz w:val="24"/>
          <w:szCs w:val="24"/>
          <w:highlight w:val="none"/>
        </w:rPr>
        <w:t xml:space="preserve">  第五条  服务报酬及支付方式</w:t>
      </w:r>
    </w:p>
    <w:p w14:paraId="06C47750">
      <w:pPr>
        <w:pStyle w:val="7"/>
        <w:spacing w:after="120" w:line="360" w:lineRule="auto"/>
        <w:ind w:left="438"/>
        <w:rPr>
          <w:b/>
          <w:color w:val="auto"/>
          <w:sz w:val="24"/>
          <w:szCs w:val="24"/>
          <w:highlight w:val="none"/>
        </w:rPr>
      </w:pPr>
      <w:r>
        <w:rPr>
          <w:rFonts w:hint="eastAsia"/>
          <w:b/>
          <w:color w:val="auto"/>
          <w:sz w:val="24"/>
          <w:szCs w:val="24"/>
          <w:highlight w:val="none"/>
        </w:rPr>
        <w:t>（一）服务收费计算方式</w:t>
      </w:r>
    </w:p>
    <w:p w14:paraId="63484180">
      <w:pPr>
        <w:pStyle w:val="2"/>
        <w:spacing w:line="360" w:lineRule="auto"/>
        <w:ind w:firstLine="540" w:firstLineChars="225"/>
        <w:rPr>
          <w:rFonts w:hint="eastAsia" w:ascii="宋体" w:hAnsi="宋体"/>
          <w:bCs/>
          <w:color w:val="auto"/>
          <w:sz w:val="24"/>
          <w:highlight w:val="none"/>
        </w:rPr>
      </w:pPr>
      <w:r>
        <w:rPr>
          <w:rFonts w:hint="eastAsia"/>
          <w:color w:val="auto"/>
          <w:sz w:val="24"/>
          <w:szCs w:val="24"/>
          <w:highlight w:val="none"/>
        </w:rPr>
        <w:t>1.</w:t>
      </w:r>
      <w:r>
        <w:rPr>
          <w:rFonts w:hint="eastAsia" w:ascii="宋体" w:hAnsi="宋体"/>
          <w:bCs/>
          <w:color w:val="auto"/>
          <w:sz w:val="24"/>
          <w:szCs w:val="24"/>
          <w:highlight w:val="none"/>
        </w:rPr>
        <w:t>服务费用：</w:t>
      </w:r>
      <w:r>
        <w:rPr>
          <w:rFonts w:hint="eastAsia" w:ascii="宋体" w:hAnsi="宋体" w:cs="宋体"/>
          <w:color w:val="auto"/>
          <w:sz w:val="24"/>
          <w:szCs w:val="24"/>
          <w:highlight w:val="none"/>
        </w:rPr>
        <w:t>本项目合同暂定价（含税）为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（本合同约定不含税价格不因国家税率变化而变化，若在合同履行期间，国家的税率调整，则不含税价不变，价税合计（总价）相应调整，以开具发票的时间为准）</w:t>
      </w:r>
      <w:r>
        <w:rPr>
          <w:rFonts w:hint="eastAsia" w:ascii="宋体" w:hAnsi="宋体"/>
          <w:bCs/>
          <w:color w:val="auto"/>
          <w:sz w:val="24"/>
          <w:highlight w:val="none"/>
        </w:rPr>
        <w:t>。</w:t>
      </w:r>
    </w:p>
    <w:p w14:paraId="7746F8DD">
      <w:pPr>
        <w:pStyle w:val="2"/>
        <w:spacing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（1）检测费用（含税）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2EB3D95D">
      <w:pPr>
        <w:pStyle w:val="2"/>
        <w:spacing w:after="120"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（2）监测费用（含税）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54F99741">
      <w:pPr>
        <w:pStyle w:val="2"/>
        <w:spacing w:after="120" w:line="360" w:lineRule="auto"/>
        <w:ind w:firstLine="540" w:firstLineChars="225"/>
        <w:rPr>
          <w:rFonts w:hint="eastAsia"/>
          <w:strike/>
          <w:color w:val="auto"/>
          <w:sz w:val="24"/>
          <w:szCs w:val="24"/>
          <w:highlight w:val="none"/>
        </w:rPr>
      </w:pPr>
      <w:r>
        <w:rPr>
          <w:rFonts w:hint="eastAsia" w:ascii="Times New Roman" w:hAnsi="Times New Roman"/>
          <w:color w:val="auto"/>
          <w:sz w:val="24"/>
          <w:szCs w:val="24"/>
          <w:highlight w:val="none"/>
        </w:rPr>
        <w:t>2.计</w:t>
      </w:r>
      <w:r>
        <w:rPr>
          <w:rFonts w:hint="eastAsia" w:hAnsi="宋体"/>
          <w:bCs/>
          <w:color w:val="auto"/>
          <w:sz w:val="24"/>
          <w:szCs w:val="24"/>
          <w:highlight w:val="none"/>
        </w:rPr>
        <w:t>算方式：服务费用采用</w:t>
      </w:r>
      <w:r>
        <w:rPr>
          <w:rFonts w:hint="eastAsia" w:hAnsi="宋体"/>
          <w:bCs/>
          <w:color w:val="auto"/>
          <w:sz w:val="24"/>
          <w:szCs w:val="24"/>
          <w:highlight w:val="none"/>
          <w:lang w:val="en-US" w:eastAsia="zh-CN"/>
        </w:rPr>
        <w:t>不含税全费用</w:t>
      </w:r>
      <w:r>
        <w:rPr>
          <w:rFonts w:hint="eastAsia" w:hAnsi="宋体"/>
          <w:bCs/>
          <w:color w:val="auto"/>
          <w:sz w:val="24"/>
          <w:szCs w:val="24"/>
          <w:highlight w:val="none"/>
        </w:rPr>
        <w:t>综合单价包干，按实际完成工程量进行结算。综合单价包括但不限于为实施和完成本项目全部第三方检测、监测工作所需的</w:t>
      </w:r>
      <w:r>
        <w:rPr>
          <w:rFonts w:hint="eastAsia" w:hAnsi="宋体"/>
          <w:color w:val="auto"/>
          <w:sz w:val="24"/>
          <w:highlight w:val="none"/>
        </w:rPr>
        <w:t>人工费、材料费、设备使用费、设备进出场费、检测费和损坏修复费（并且包括在建筑物全过程中检测频率不得少于设计文件和规范要求所规定的频率）、监测费、检测试验费、监测试验费、报告编写费、实物工作收费、技术工作收费、参加相关验收的费用、各项管理费、及乙方所有因工程质量检测和监测应交纳的政府规费、利润、税金（含增值税）、风险费用等</w:t>
      </w:r>
      <w:r>
        <w:rPr>
          <w:rFonts w:hint="eastAsia" w:hAnsi="宋体" w:cs="宋体"/>
          <w:color w:val="auto"/>
          <w:sz w:val="24"/>
          <w:highlight w:val="none"/>
        </w:rPr>
        <w:t>所有的一切相关费用</w:t>
      </w:r>
      <w:r>
        <w:rPr>
          <w:rFonts w:hint="eastAsia" w:hAnsi="宋体"/>
          <w:color w:val="auto"/>
          <w:sz w:val="24"/>
          <w:highlight w:val="none"/>
        </w:rPr>
        <w:t>，不论实际费用有无发生，亦不论各项费用有无涨落，均不再调整，具体详见附件3工程量清单。</w:t>
      </w:r>
    </w:p>
    <w:p w14:paraId="18293D57">
      <w:pPr>
        <w:spacing w:line="360" w:lineRule="auto"/>
        <w:ind w:firstLine="480" w:firstLineChars="200"/>
        <w:rPr>
          <w:color w:val="auto"/>
          <w:highlight w:val="none"/>
        </w:rPr>
      </w:pPr>
      <w:r>
        <w:rPr>
          <w:rFonts w:hint="eastAsia" w:ascii="宋体" w:hAnsi="宋体"/>
          <w:color w:val="auto"/>
          <w:sz w:val="24"/>
          <w:szCs w:val="20"/>
          <w:highlight w:val="none"/>
          <w:lang w:eastAsia="zh-CN"/>
        </w:rPr>
        <w:t>工程量清单外新增检测、监测内容的综合单价，按照如下标准确定：</w:t>
      </w:r>
    </w:p>
    <w:p w14:paraId="7A5A6DBF">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（1）中标的投标文件工程量清单中已有相同项目的适用综合单价，则沿用；</w:t>
      </w:r>
    </w:p>
    <w:p w14:paraId="62A7F946">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2）中标的投标文件工程量清单中已有类似项目的综合单价，则按类似项目的综合单价对相应子目、消耗量、单价等进行调整换算，原管理费、利润水平不变。如中标的投标文件工程量清单中类似项目的综合单价有两个以上，则由招标人按消耗量最少、管理费和利润取费最低的优先顺序选择类似项目综合单价进行换算。</w:t>
      </w:r>
    </w:p>
    <w:p w14:paraId="409A05A4">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（3）中标的投标文件工程量清单中没有相同项目或类似项目的，检测、监测内容的综合单价，</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照《广东省房屋建筑和市政工程工程质量安全检测收费指导价（粤建检协【2015】8号文）》相应的标准下浮50%计算。</w:t>
      </w:r>
    </w:p>
    <w:p w14:paraId="0BA0DFB0">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（4）中标的投标文件工程量清单中没有相同项目或类似项目的、</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照《广东省房屋建筑和市政工程工程质量安全检测收费指导价（粤建检协【2015】8号文）》相应的标准无法确定的，则由甲方和乙方根据市场情况协商检测、监测内容的综合单价。</w:t>
      </w:r>
    </w:p>
    <w:p w14:paraId="4291CE4B">
      <w:pPr>
        <w:spacing w:line="360" w:lineRule="auto"/>
        <w:ind w:firstLine="480" w:firstLineChars="200"/>
        <w:rPr>
          <w:rFonts w:hint="eastAsia" w:ascii="宋体" w:hAnsi="宋体"/>
          <w:color w:val="auto"/>
          <w:sz w:val="24"/>
          <w:szCs w:val="20"/>
          <w:highlight w:val="none"/>
        </w:rPr>
      </w:pPr>
      <w:r>
        <w:rPr>
          <w:rFonts w:hint="default" w:ascii="宋体" w:hAnsi="宋体"/>
          <w:color w:val="auto"/>
          <w:sz w:val="24"/>
          <w:szCs w:val="20"/>
          <w:highlight w:val="none"/>
          <w:lang w:val="en-US"/>
        </w:rPr>
        <w:t>3.</w:t>
      </w:r>
      <w:r>
        <w:rPr>
          <w:rFonts w:hint="eastAsia" w:ascii="宋体" w:hAnsi="宋体"/>
          <w:color w:val="auto"/>
          <w:sz w:val="24"/>
          <w:szCs w:val="20"/>
          <w:highlight w:val="none"/>
        </w:rPr>
        <w:t>合同的结算金额(含增值税)超出原已签订合同金额的10%或者超出金额为50万元以上时，均需签订补充协议。</w:t>
      </w:r>
    </w:p>
    <w:p w14:paraId="7EC5E7A8">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（二）服务费由甲方</w:t>
      </w:r>
      <w:r>
        <w:rPr>
          <w:rFonts w:hint="eastAsia" w:hAnsi="宋体"/>
          <w:color w:val="auto"/>
          <w:spacing w:val="-4"/>
          <w:sz w:val="24"/>
          <w:szCs w:val="24"/>
          <w:highlight w:val="none"/>
          <w:u w:val="single"/>
        </w:rPr>
        <w:t xml:space="preserve"> 分期 </w:t>
      </w:r>
      <w:r>
        <w:rPr>
          <w:rFonts w:hint="eastAsia" w:hAnsi="宋体"/>
          <w:b/>
          <w:color w:val="auto"/>
          <w:spacing w:val="-4"/>
          <w:sz w:val="24"/>
          <w:szCs w:val="24"/>
          <w:highlight w:val="none"/>
        </w:rPr>
        <w:t>支付乙方。</w:t>
      </w:r>
    </w:p>
    <w:p w14:paraId="20CB3A26">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1.第三方检测费用支付方式和时间如下：</w:t>
      </w:r>
    </w:p>
    <w:p w14:paraId="63FE3625">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（1）甲方通知乙方进场实施</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技术服务后，甲方向乙方支付</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技术服务暂定合同价款的10%作为预付款，预付款在前三次进度款中平均扣回。</w:t>
      </w:r>
    </w:p>
    <w:p w14:paraId="2C56A564">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2）进度款支付：每两个月计付一次，合同履行期间，乙方于每批次或单项完成后，编制已完成检测技术工作的支付申请报送甲方审核，当批次已完成的检测技术工作量以乙方向甲方提交的检测报告中已完成并经甲方确认的工作量为准。甲方在10个工作日内提出审核意见，支付申请经甲方审核后10个工作日内，甲方支付至该批次检测费的80%，且不超过合同单项检测技术工作合同暂定服务费合价的80%。</w:t>
      </w:r>
    </w:p>
    <w:p w14:paraId="6031D059">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（3）合同项下全部检测技术服务工作完成且通过竣工验收备案后10个工作日内，乙方向甲方报送完整的合同结算资料（包括提供符合政府主管部门检测要求的检测报告）。结算经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审定后，甲方收到乙方付款申请后10个工作日内付清结算检测费，并按照结算文件的约定支付余款。</w:t>
      </w:r>
    </w:p>
    <w:p w14:paraId="0365374E">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2.监测服务费用支付方式和时间如下：</w:t>
      </w:r>
    </w:p>
    <w:p w14:paraId="7BB0561C">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（1）甲方通知乙方进场实施监测技术服务后，甲方向乙方支付监测技术服务暂定合同价款的10%作为预付款，预付款在前三次进度款中平均扣回。</w:t>
      </w:r>
    </w:p>
    <w:p w14:paraId="27376EB3">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（2）进度款支付：每两个月计付一次，付款额度为实际完成工作量的80%，且累计付款金额不超过合同暂定服务费总价的80%。</w:t>
      </w:r>
    </w:p>
    <w:p w14:paraId="40ECF817">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（3）合同项下全部技术服务工作完成且通过竣工验收备案后10个工作日内，乙方向甲方报送完整的合同结算资料（包括相关部门认可的技术成果）。结算经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审定后，甲方收到乙方付款申请后10个工作日内付清结算监测费，并按照结算文件的约定支付余款。</w:t>
      </w:r>
    </w:p>
    <w:p w14:paraId="7DFD3581">
      <w:pPr>
        <w:pStyle w:val="10"/>
        <w:widowControl/>
        <w:pBdr>
          <w:top w:val="none" w:color="auto" w:sz="0" w:space="0"/>
          <w:left w:val="none" w:color="auto" w:sz="0" w:space="0"/>
          <w:bottom w:val="none" w:color="auto" w:sz="0" w:space="0"/>
          <w:right w:val="none" w:color="auto" w:sz="0" w:space="0"/>
        </w:pBdr>
        <w:shd w:val="clear" w:fill="FFFFFF"/>
        <w:spacing w:line="360" w:lineRule="auto"/>
        <w:jc w:val="left"/>
        <w:rPr>
          <w:rFonts w:hint="eastAsia" w:ascii="宋体" w:hAnsi="宋体" w:eastAsia="宋体" w:cs="Times New Roman"/>
          <w:color w:val="auto"/>
          <w:spacing w:val="-4"/>
          <w:kern w:val="2"/>
          <w:sz w:val="24"/>
          <w:szCs w:val="24"/>
          <w:highlight w:val="none"/>
          <w:lang w:bidi="ar-SA"/>
        </w:rPr>
      </w:pPr>
      <w:r>
        <w:rPr>
          <w:rFonts w:hint="eastAsia" w:ascii="宋体" w:hAnsi="宋体" w:eastAsia="宋体" w:cs="Times New Roman"/>
          <w:color w:val="auto"/>
          <w:spacing w:val="-4"/>
          <w:kern w:val="2"/>
          <w:sz w:val="24"/>
          <w:szCs w:val="24"/>
          <w:highlight w:val="none"/>
          <w:lang w:bidi="ar-SA"/>
        </w:rPr>
        <w:t xml:space="preserve">    3.</w:t>
      </w:r>
      <w:r>
        <w:rPr>
          <w:rFonts w:ascii="宋体" w:hAnsi="宋体" w:eastAsia="宋体" w:cs="Times New Roman"/>
          <w:i w:val="0"/>
          <w:iCs w:val="0"/>
          <w:caps w:val="0"/>
          <w:color w:val="auto"/>
          <w:spacing w:val="-4"/>
          <w:kern w:val="2"/>
          <w:sz w:val="24"/>
          <w:szCs w:val="24"/>
          <w:highlight w:val="none"/>
          <w:shd w:val="clear"/>
          <w:lang w:bidi="ar-SA"/>
        </w:rPr>
        <w:t>具备合同约定的付款条件，甲方收到乙方付款申请并经甲方确认后30日内支付</w:t>
      </w:r>
      <w:r>
        <w:rPr>
          <w:rFonts w:hint="eastAsia" w:ascii="宋体" w:hAnsi="宋体" w:eastAsia="宋体" w:cs="Times New Roman"/>
          <w:color w:val="auto"/>
          <w:spacing w:val="-4"/>
          <w:kern w:val="2"/>
          <w:sz w:val="24"/>
          <w:szCs w:val="24"/>
          <w:highlight w:val="none"/>
          <w:lang w:bidi="ar-SA"/>
        </w:rPr>
        <w:t>。在甲方向乙方支付服务费用前，乙方必须向甲方提供等额、有效、完税的增值税专用发票。因乙方提供的发票不规范、不合法引起税务问题的，乙方应承担赔偿责任，包括但不限于税款、附加费、滞纳金、罚款及相关损失。乙方不能及时提供符合甲方要求的合法发票，甲方有权顺延直至乙方提供后付款且无需承担任何责任。如给甲方造成严重损失，致使合同无法继续履行等情况的，甲方有权终止合同，且无需承担任何责任。乙方应就约定的合同价款和价外费用之金额按适用税率向甲方开具合法有效的增值税专用发票。上述增值税专用发票必须符合中国《增值税专用发票使用规定》等相关法律法规的相关要求</w:t>
      </w:r>
      <w:r>
        <w:rPr>
          <w:rFonts w:hint="eastAsia" w:ascii="宋体" w:hAnsi="宋体" w:eastAsia="宋体" w:cs="Times New Roman"/>
          <w:color w:val="auto"/>
          <w:spacing w:val="-4"/>
          <w:kern w:val="2"/>
          <w:sz w:val="24"/>
          <w:szCs w:val="24"/>
          <w:highlight w:val="none"/>
          <w:lang w:eastAsia="zh-CN" w:bidi="ar-SA"/>
        </w:rPr>
        <w:t>。</w:t>
      </w:r>
    </w:p>
    <w:p w14:paraId="5CE92FCC">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4.联合体各成员单位应收的款项，统一由联合体牵头单位负责向甲方提交请款资料；请款经监理人及甲方审核后，款项分别支付至联合体各成员单位账户，并由收款</w:t>
      </w:r>
      <w:r>
        <w:rPr>
          <w:rFonts w:hint="eastAsia" w:hAnsi="宋体"/>
          <w:color w:val="auto"/>
          <w:spacing w:val="-4"/>
          <w:sz w:val="24"/>
          <w:szCs w:val="24"/>
          <w:highlight w:val="none"/>
          <w:lang w:eastAsia="zh-CN"/>
        </w:rPr>
        <w:t>的</w:t>
      </w:r>
      <w:r>
        <w:rPr>
          <w:rFonts w:hint="eastAsia" w:hAnsi="宋体"/>
          <w:color w:val="auto"/>
          <w:spacing w:val="-4"/>
          <w:sz w:val="24"/>
          <w:szCs w:val="24"/>
          <w:highlight w:val="none"/>
          <w:lang w:val="en-US" w:eastAsia="zh-CN"/>
        </w:rPr>
        <w:t>各成员</w:t>
      </w:r>
      <w:r>
        <w:rPr>
          <w:rFonts w:hint="eastAsia" w:hAnsi="宋体"/>
          <w:color w:val="auto"/>
          <w:spacing w:val="-4"/>
          <w:sz w:val="24"/>
          <w:szCs w:val="24"/>
          <w:highlight w:val="none"/>
        </w:rPr>
        <w:t>单位</w:t>
      </w:r>
      <w:r>
        <w:rPr>
          <w:rFonts w:hint="eastAsia" w:hAnsi="宋体"/>
          <w:color w:val="auto"/>
          <w:spacing w:val="-4"/>
          <w:sz w:val="24"/>
          <w:szCs w:val="24"/>
          <w:highlight w:val="none"/>
          <w:lang w:val="en-US" w:eastAsia="zh-CN"/>
        </w:rPr>
        <w:t>分别</w:t>
      </w:r>
      <w:r>
        <w:rPr>
          <w:rFonts w:hint="eastAsia" w:hAnsi="宋体"/>
          <w:color w:val="auto"/>
          <w:spacing w:val="-4"/>
          <w:sz w:val="24"/>
          <w:szCs w:val="24"/>
          <w:highlight w:val="none"/>
        </w:rPr>
        <w:t>向甲方开具收款发票。</w:t>
      </w:r>
    </w:p>
    <w:p w14:paraId="2AD219B3">
      <w:pPr>
        <w:tabs>
          <w:tab w:val="left" w:pos="0"/>
        </w:tabs>
        <w:spacing w:before="120" w:beforeLines="50" w:after="120" w:afterLines="50" w:line="360" w:lineRule="auto"/>
        <w:ind w:firstLine="464" w:firstLineChars="200"/>
        <w:rPr>
          <w:color w:val="auto"/>
          <w:sz w:val="24"/>
          <w:highlight w:val="none"/>
        </w:rPr>
      </w:pPr>
      <w:r>
        <w:rPr>
          <w:rFonts w:hint="eastAsia" w:hAnsi="宋体"/>
          <w:color w:val="auto"/>
          <w:spacing w:val="-4"/>
          <w:sz w:val="24"/>
          <w:szCs w:val="24"/>
          <w:highlight w:val="none"/>
        </w:rPr>
        <w:t>5.</w:t>
      </w:r>
      <w:r>
        <w:rPr>
          <w:rFonts w:hint="eastAsia"/>
          <w:color w:val="auto"/>
          <w:sz w:val="24"/>
          <w:highlight w:val="none"/>
        </w:rPr>
        <w:t>甲方开票信息</w:t>
      </w:r>
    </w:p>
    <w:p w14:paraId="39D1671B">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76225295">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C045C4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6A98C999">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528C83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2CBD632C">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1AC6AC4A">
      <w:pPr>
        <w:pStyle w:val="2"/>
        <w:rPr>
          <w:color w:val="auto"/>
          <w:highlight w:val="none"/>
        </w:rPr>
      </w:pPr>
    </w:p>
    <w:p w14:paraId="65784514">
      <w:pPr>
        <w:tabs>
          <w:tab w:val="left" w:pos="0"/>
        </w:tabs>
        <w:spacing w:before="120" w:beforeLines="50" w:after="120" w:afterLines="50" w:line="360" w:lineRule="auto"/>
        <w:ind w:firstLine="464" w:firstLineChars="200"/>
        <w:rPr>
          <w:color w:val="auto"/>
          <w:sz w:val="24"/>
          <w:highlight w:val="none"/>
        </w:rPr>
      </w:pPr>
      <w:r>
        <w:rPr>
          <w:rFonts w:hAnsi="宋体"/>
          <w:color w:val="auto"/>
          <w:spacing w:val="-4"/>
          <w:sz w:val="24"/>
          <w:szCs w:val="24"/>
          <w:highlight w:val="none"/>
        </w:rPr>
        <w:t>6</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1</w:t>
      </w:r>
      <w:r>
        <w:rPr>
          <w:rFonts w:hint="eastAsia"/>
          <w:color w:val="auto"/>
          <w:sz w:val="24"/>
          <w:highlight w:val="none"/>
        </w:rPr>
        <w:t>开票信息</w:t>
      </w:r>
    </w:p>
    <w:p w14:paraId="48D22CD1">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4BA4EFF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50573480">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757AE4DC">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4B10C7F6">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315F2622">
      <w:pPr>
        <w:tabs>
          <w:tab w:val="left" w:pos="5225"/>
        </w:tabs>
        <w:ind w:firstLine="480" w:firstLineChars="200"/>
        <w:rPr>
          <w:rFonts w:hint="eastAsia"/>
          <w:color w:val="auto"/>
          <w:sz w:val="24"/>
          <w:highlight w:val="none"/>
        </w:rPr>
      </w:pPr>
      <w:r>
        <w:rPr>
          <w:rFonts w:hint="eastAsia"/>
          <w:color w:val="auto"/>
          <w:sz w:val="24"/>
          <w:highlight w:val="none"/>
        </w:rPr>
        <w:t>（6）电话：</w:t>
      </w:r>
    </w:p>
    <w:p w14:paraId="2F3DF1B6">
      <w:pPr>
        <w:tabs>
          <w:tab w:val="left" w:pos="0"/>
        </w:tabs>
        <w:spacing w:before="120" w:beforeLines="50" w:after="120" w:afterLines="50" w:line="360" w:lineRule="auto"/>
        <w:ind w:firstLine="464" w:firstLineChars="200"/>
        <w:rPr>
          <w:color w:val="auto"/>
          <w:sz w:val="24"/>
          <w:highlight w:val="none"/>
        </w:rPr>
      </w:pPr>
      <w:r>
        <w:rPr>
          <w:rFonts w:hint="default" w:hAnsi="宋体"/>
          <w:color w:val="auto"/>
          <w:spacing w:val="-4"/>
          <w:sz w:val="24"/>
          <w:szCs w:val="24"/>
          <w:highlight w:val="none"/>
          <w:lang w:val="en-US"/>
        </w:rPr>
        <w:t>6.1</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2</w:t>
      </w:r>
      <w:r>
        <w:rPr>
          <w:rFonts w:hint="eastAsia" w:hAnsi="宋体"/>
          <w:color w:val="auto"/>
          <w:spacing w:val="-4"/>
          <w:sz w:val="24"/>
          <w:szCs w:val="24"/>
          <w:highlight w:val="none"/>
          <w:lang w:val="en-US" w:eastAsia="zh-CN"/>
        </w:rPr>
        <w:t>（如有）</w:t>
      </w:r>
      <w:r>
        <w:rPr>
          <w:rFonts w:hint="eastAsia"/>
          <w:color w:val="auto"/>
          <w:sz w:val="24"/>
          <w:highlight w:val="none"/>
        </w:rPr>
        <w:t>开票信息</w:t>
      </w:r>
    </w:p>
    <w:p w14:paraId="6A472607">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61CD7CA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467CD7E">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2C63A6F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4E3A82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79AE9E11">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0D6EDBF5">
      <w:pPr>
        <w:pStyle w:val="12"/>
        <w:rPr>
          <w:color w:val="auto"/>
          <w:highlight w:val="none"/>
        </w:rPr>
      </w:pPr>
    </w:p>
    <w:p w14:paraId="5972B4B2">
      <w:pPr>
        <w:pStyle w:val="7"/>
        <w:spacing w:line="360" w:lineRule="auto"/>
        <w:ind w:firstLine="466" w:firstLineChars="200"/>
        <w:rPr>
          <w:rFonts w:hint="eastAsia" w:hAnsi="宋体"/>
          <w:b/>
          <w:bCs/>
          <w:color w:val="auto"/>
          <w:spacing w:val="-4"/>
          <w:sz w:val="24"/>
          <w:szCs w:val="24"/>
          <w:highlight w:val="none"/>
        </w:rPr>
      </w:pPr>
      <w:r>
        <w:rPr>
          <w:rFonts w:hint="eastAsia" w:hAnsi="宋体"/>
          <w:b/>
          <w:bCs/>
          <w:color w:val="auto"/>
          <w:spacing w:val="-4"/>
          <w:sz w:val="24"/>
          <w:szCs w:val="24"/>
          <w:highlight w:val="none"/>
        </w:rPr>
        <w:t>（三）支付申请资料</w:t>
      </w:r>
    </w:p>
    <w:p w14:paraId="4C78B080">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乙方向甲方申请进度款或结算款时，应提供以下资料，否则甲方有权拒绝付款：</w:t>
      </w:r>
    </w:p>
    <w:p w14:paraId="676E405C">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1.检测、监测费用请款书；</w:t>
      </w:r>
    </w:p>
    <w:p w14:paraId="0B69A90D">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2.经甲方现场代表或经甲方授权的现场监理代表签字的检测、监测工作量汇总表（含报告编号，不提供检测、监测报告）；</w:t>
      </w:r>
    </w:p>
    <w:p w14:paraId="7C625E2B">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3.甲方要求的其它相关资料。</w:t>
      </w:r>
    </w:p>
    <w:p w14:paraId="280CABFB">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第六条  双方确定因履行本协议应遵守的保密义务如下</w:t>
      </w:r>
    </w:p>
    <w:p w14:paraId="15EE382D">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（一）甲方：</w:t>
      </w:r>
    </w:p>
    <w:p w14:paraId="14B2EDDE">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对乙方提供的技术资料有保密责任，未经乙方许可，不得将乙方的技术资料转让或外传给第三方</w:t>
      </w:r>
      <w:r>
        <w:rPr>
          <w:rFonts w:hint="eastAsia" w:hAnsi="宋体"/>
          <w:color w:val="auto"/>
          <w:sz w:val="24"/>
          <w:szCs w:val="24"/>
          <w:highlight w:val="none"/>
        </w:rPr>
        <w:t>。</w:t>
      </w:r>
    </w:p>
    <w:p w14:paraId="2B9A965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w:t>
      </w:r>
    </w:p>
    <w:p w14:paraId="2CB7D60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2897E5C4">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720C6A62">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（二）乙方：</w:t>
      </w:r>
    </w:p>
    <w:p w14:paraId="1492F29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对甲方提供的技术资料有保密责任，未经甲方许可，不得将甲方的技术资料转让或外传给第三方</w:t>
      </w:r>
      <w:r>
        <w:rPr>
          <w:rFonts w:hint="eastAsia" w:hAnsi="宋体"/>
          <w:color w:val="auto"/>
          <w:sz w:val="24"/>
          <w:szCs w:val="24"/>
          <w:highlight w:val="none"/>
        </w:rPr>
        <w:t>。</w:t>
      </w:r>
      <w:r>
        <w:rPr>
          <w:rFonts w:hint="eastAsia" w:hAnsi="宋体"/>
          <w:color w:val="auto"/>
          <w:spacing w:val="-4"/>
          <w:sz w:val="24"/>
          <w:szCs w:val="24"/>
          <w:highlight w:val="none"/>
        </w:rPr>
        <w:t xml:space="preserve"> </w:t>
      </w:r>
    </w:p>
    <w:p w14:paraId="7D259D43">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 xml:space="preserve">。 </w:t>
      </w:r>
    </w:p>
    <w:p w14:paraId="109A96A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6EE70AD9">
      <w:pPr>
        <w:pStyle w:val="7"/>
        <w:tabs>
          <w:tab w:val="left" w:pos="1572"/>
        </w:tabs>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0E92B47F">
      <w:pPr>
        <w:pStyle w:val="7"/>
        <w:tabs>
          <w:tab w:val="left" w:pos="1572"/>
        </w:tabs>
        <w:spacing w:line="360" w:lineRule="auto"/>
        <w:ind w:firstLine="464" w:firstLineChars="200"/>
        <w:rPr>
          <w:rFonts w:hint="eastAsia" w:hAnsi="宋体"/>
          <w:color w:val="auto"/>
          <w:spacing w:val="-4"/>
          <w:sz w:val="24"/>
          <w:szCs w:val="24"/>
          <w:highlight w:val="none"/>
        </w:rPr>
      </w:pPr>
    </w:p>
    <w:p w14:paraId="521F1993">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第七条</w:t>
      </w:r>
      <w:r>
        <w:rPr>
          <w:rFonts w:hint="eastAsia" w:hAnsi="宋体"/>
          <w:color w:val="auto"/>
          <w:spacing w:val="-4"/>
          <w:sz w:val="24"/>
          <w:szCs w:val="24"/>
          <w:highlight w:val="none"/>
        </w:rPr>
        <w:t xml:space="preserve">  </w:t>
      </w:r>
      <w:r>
        <w:rPr>
          <w:rFonts w:hint="eastAsia" w:hAnsi="宋体"/>
          <w:color w:val="auto"/>
          <w:sz w:val="24"/>
          <w:szCs w:val="24"/>
          <w:highlight w:val="none"/>
        </w:rPr>
        <w:t>本协议的变更必须由双方协商一致，并以书面形式确定。但有下列情形之一的，一方可以向另一方提出变更合同权利与义务的请求，另一方应当在</w:t>
      </w:r>
      <w:r>
        <w:rPr>
          <w:rFonts w:hint="eastAsia" w:hAnsi="宋体"/>
          <w:color w:val="auto"/>
          <w:sz w:val="24"/>
          <w:szCs w:val="24"/>
          <w:highlight w:val="none"/>
          <w:u w:val="single"/>
        </w:rPr>
        <w:t xml:space="preserve"> 7 </w:t>
      </w:r>
      <w:r>
        <w:rPr>
          <w:rFonts w:hint="eastAsia" w:hAnsi="宋体"/>
          <w:color w:val="auto"/>
          <w:sz w:val="24"/>
          <w:szCs w:val="24"/>
          <w:highlight w:val="none"/>
        </w:rPr>
        <w:t>日内予以答复；逾期未予答复的，视为同意</w:t>
      </w:r>
      <w:r>
        <w:rPr>
          <w:rFonts w:hint="eastAsia" w:hAnsi="宋体"/>
          <w:color w:val="auto"/>
          <w:spacing w:val="-4"/>
          <w:sz w:val="24"/>
          <w:szCs w:val="24"/>
          <w:highlight w:val="none"/>
        </w:rPr>
        <w:t>：</w:t>
      </w:r>
    </w:p>
    <w:p w14:paraId="1CD6B5CD">
      <w:pPr>
        <w:pStyle w:val="7"/>
        <w:tabs>
          <w:tab w:val="left" w:pos="1572"/>
        </w:tabs>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1．</w:t>
      </w:r>
      <w:r>
        <w:rPr>
          <w:rFonts w:hint="eastAsia" w:hAnsi="宋体"/>
          <w:color w:val="auto"/>
          <w:spacing w:val="-4"/>
          <w:sz w:val="24"/>
          <w:szCs w:val="24"/>
          <w:highlight w:val="none"/>
          <w:u w:val="single"/>
        </w:rPr>
        <w:t>发生不可抗拒的自然灾害。</w:t>
      </w:r>
    </w:p>
    <w:p w14:paraId="18A651D4">
      <w:pPr>
        <w:pStyle w:val="7"/>
        <w:tabs>
          <w:tab w:val="left" w:pos="1572"/>
        </w:tabs>
        <w:spacing w:line="360" w:lineRule="auto"/>
        <w:ind w:firstLine="464" w:firstLineChars="200"/>
        <w:rPr>
          <w:rFonts w:hint="eastAsia" w:hAnsi="宋体"/>
          <w:color w:val="auto"/>
          <w:spacing w:val="-4"/>
          <w:sz w:val="24"/>
          <w:szCs w:val="24"/>
          <w:highlight w:val="none"/>
          <w:u w:val="single"/>
        </w:rPr>
      </w:pPr>
    </w:p>
    <w:p w14:paraId="307FD38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第八条 </w:t>
      </w:r>
      <w:r>
        <w:rPr>
          <w:rFonts w:hint="eastAsia" w:ascii="宋体" w:hAnsi="宋体"/>
          <w:color w:val="auto"/>
          <w:sz w:val="24"/>
          <w:highlight w:val="none"/>
        </w:rPr>
        <w:t xml:space="preserve"> </w:t>
      </w:r>
      <w:r>
        <w:rPr>
          <w:rFonts w:hint="eastAsia" w:ascii="宋体" w:hAnsi="宋体"/>
          <w:b/>
          <w:color w:val="auto"/>
          <w:sz w:val="24"/>
          <w:highlight w:val="none"/>
        </w:rPr>
        <w:t>验收标准</w:t>
      </w:r>
    </w:p>
    <w:p w14:paraId="1C7135C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双方确定以下列标准和方式对乙方的技术服务工作成果进行验收：</w:t>
      </w:r>
    </w:p>
    <w:p w14:paraId="10B58C0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（一）乙方完成技术服务工作的形式：</w:t>
      </w:r>
      <w:r>
        <w:rPr>
          <w:rFonts w:hint="eastAsia" w:ascii="Cambria" w:hAnsi="Cambria"/>
          <w:color w:val="auto"/>
          <w:spacing w:val="-4"/>
          <w:sz w:val="24"/>
          <w:szCs w:val="24"/>
          <w:highlight w:val="none"/>
          <w:u w:val="single"/>
        </w:rPr>
        <w:t>服务期内提供符合现行标准的检测、监测技术报告。</w:t>
      </w:r>
    </w:p>
    <w:p w14:paraId="5AF7963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（二）技术服务工作成果的验收标准：</w:t>
      </w:r>
      <w:r>
        <w:rPr>
          <w:rFonts w:hint="eastAsia" w:ascii="Cambria" w:hAnsi="Cambria"/>
          <w:color w:val="auto"/>
          <w:spacing w:val="-4"/>
          <w:sz w:val="24"/>
          <w:szCs w:val="24"/>
          <w:highlight w:val="none"/>
          <w:u w:val="single"/>
        </w:rPr>
        <w:t>须通过建设行政主管部门及接收单位验收。</w:t>
      </w:r>
    </w:p>
    <w:p w14:paraId="1693A78D">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（三）技术服务工作成果的验收方法：</w:t>
      </w:r>
      <w:r>
        <w:rPr>
          <w:rFonts w:hint="eastAsia" w:ascii="Cambria" w:hAnsi="Cambria"/>
          <w:color w:val="auto"/>
          <w:spacing w:val="-4"/>
          <w:sz w:val="24"/>
          <w:szCs w:val="24"/>
          <w:highlight w:val="none"/>
          <w:u w:val="single"/>
        </w:rPr>
        <w:t>提供符合政府主管部门检测要求的检测、监测报告。</w:t>
      </w:r>
    </w:p>
    <w:p w14:paraId="4566CDDF">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36B945E7">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第九条</w:t>
      </w:r>
      <w:r>
        <w:rPr>
          <w:rFonts w:hint="eastAsia" w:ascii="宋体" w:hAnsi="宋体"/>
          <w:color w:val="auto"/>
          <w:sz w:val="24"/>
          <w:highlight w:val="none"/>
        </w:rPr>
        <w:t xml:space="preserve">  </w:t>
      </w:r>
      <w:r>
        <w:rPr>
          <w:rFonts w:hint="eastAsia" w:ascii="宋体" w:hAnsi="宋体"/>
          <w:b/>
          <w:color w:val="auto"/>
          <w:sz w:val="24"/>
          <w:highlight w:val="none"/>
        </w:rPr>
        <w:t>知识产权</w:t>
      </w:r>
    </w:p>
    <w:p w14:paraId="63400C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与本合同有关的所有资料均属甲方所有，乙方在本合同有效期内或合同终止后不得泄露，也不得超越本合同范围使用。本合同所完成的技术服务成果的知识产权属甲方所有。</w:t>
      </w:r>
    </w:p>
    <w:p w14:paraId="7A30AC34">
      <w:pPr>
        <w:pStyle w:val="7"/>
        <w:rPr>
          <w:color w:val="auto"/>
          <w:highlight w:val="none"/>
        </w:rPr>
      </w:pPr>
    </w:p>
    <w:p w14:paraId="4003B195">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第十条  违约责任</w:t>
      </w:r>
    </w:p>
    <w:p w14:paraId="01B64FB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（一）乙方违反本协议第二条服务期限及进度约定，每逾期一天按该项目合同总价款项的</w:t>
      </w:r>
      <w:r>
        <w:rPr>
          <w:rFonts w:hint="eastAsia" w:ascii="宋体" w:hAnsi="宋体"/>
          <w:color w:val="auto"/>
          <w:sz w:val="24"/>
          <w:highlight w:val="none"/>
          <w:u w:val="single"/>
        </w:rPr>
        <w:t>万分之五</w:t>
      </w:r>
      <w:r>
        <w:rPr>
          <w:rFonts w:hint="eastAsia" w:ascii="宋体" w:hAnsi="宋体"/>
          <w:color w:val="auto"/>
          <w:sz w:val="24"/>
          <w:highlight w:val="none"/>
        </w:rPr>
        <w:t>减收服务费。逾期三十日以上，甲方有权单方解除合同，并要求乙方按本合同暂定总价的20%支付违约金。</w:t>
      </w:r>
    </w:p>
    <w:p w14:paraId="43C8888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(二）甲方违反本协议第五条支付时间约定，每逾期一日按应付款项的</w:t>
      </w:r>
      <w:r>
        <w:rPr>
          <w:rFonts w:hint="eastAsia" w:ascii="宋体" w:hAnsi="宋体"/>
          <w:color w:val="auto"/>
          <w:sz w:val="24"/>
          <w:highlight w:val="none"/>
          <w:u w:val="single"/>
        </w:rPr>
        <w:t>万分之五</w:t>
      </w:r>
      <w:r>
        <w:rPr>
          <w:rFonts w:hint="eastAsia" w:ascii="宋体" w:hAnsi="宋体"/>
          <w:color w:val="auto"/>
          <w:sz w:val="24"/>
          <w:highlight w:val="none"/>
        </w:rPr>
        <w:t>向乙方支付违约金</w:t>
      </w:r>
      <w:r>
        <w:rPr>
          <w:rFonts w:hint="eastAsia" w:ascii="宋体" w:hAnsi="宋体"/>
          <w:color w:val="auto"/>
          <w:sz w:val="24"/>
          <w:highlight w:val="none"/>
          <w:lang w:eastAsia="zh-CN"/>
        </w:rPr>
        <w:t>，违约金最高限额为甲方应付未付费用</w:t>
      </w:r>
      <w:r>
        <w:rPr>
          <w:rFonts w:hint="eastAsia" w:ascii="宋体" w:hAnsi="宋体"/>
          <w:color w:val="auto"/>
          <w:sz w:val="24"/>
          <w:highlight w:val="none"/>
          <w:lang w:val="en-US" w:eastAsia="zh-CN"/>
        </w:rPr>
        <w:t>10%</w:t>
      </w:r>
      <w:r>
        <w:rPr>
          <w:rFonts w:hint="eastAsia" w:ascii="宋体" w:hAnsi="宋体"/>
          <w:color w:val="auto"/>
          <w:sz w:val="24"/>
          <w:highlight w:val="none"/>
        </w:rPr>
        <w:t>。</w:t>
      </w:r>
    </w:p>
    <w:p w14:paraId="61729BA4">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三）乙方提供的检测方案、检测报告、监测方案、监测报告出现错误或不符合国家技术规范、标准及本合同的有关要求，应无偿返工或者采取补救措施予以完善。甲方有权不予结算直至满足要求止。如经催告后仍未改正或改正后仍无法满足合同约定要求的，甲方有权解除合同，并按本合同暂定总价的20%向乙方收取违约金，如因此给甲方造成损失的，乙方还需赔偿甲方所有损失。</w:t>
      </w:r>
    </w:p>
    <w:p w14:paraId="2D09D6F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hAnsi="宋体"/>
          <w:color w:val="auto"/>
          <w:sz w:val="24"/>
          <w:highlight w:val="none"/>
        </w:rPr>
        <w:t>（四）</w:t>
      </w:r>
      <w:r>
        <w:rPr>
          <w:rFonts w:hint="eastAsia" w:ascii="宋体" w:hAnsi="宋体"/>
          <w:color w:val="auto"/>
          <w:sz w:val="24"/>
          <w:szCs w:val="24"/>
          <w:highlight w:val="none"/>
        </w:rPr>
        <w:t>乙方应按本合同第四条约定履行义务。如因违反本合同约定，导致影响项目建设进度和竣工验收的，乙方除赔偿甲方因此造成的损失外，还应</w:t>
      </w:r>
      <w:r>
        <w:rPr>
          <w:rFonts w:hint="eastAsia" w:ascii="宋体" w:hAnsi="宋体"/>
          <w:color w:val="auto"/>
          <w:sz w:val="24"/>
          <w:highlight w:val="none"/>
        </w:rPr>
        <w:t>每延误一天按该项目合同暂定总价的</w:t>
      </w:r>
      <w:r>
        <w:rPr>
          <w:rFonts w:hint="eastAsia" w:ascii="宋体" w:hAnsi="宋体"/>
          <w:color w:val="auto"/>
          <w:sz w:val="24"/>
          <w:highlight w:val="none"/>
          <w:u w:val="single"/>
        </w:rPr>
        <w:t>万分之五</w:t>
      </w:r>
      <w:r>
        <w:rPr>
          <w:rFonts w:hint="eastAsia" w:ascii="宋体" w:hAnsi="宋体"/>
          <w:color w:val="auto"/>
          <w:sz w:val="24"/>
          <w:szCs w:val="24"/>
          <w:highlight w:val="none"/>
        </w:rPr>
        <w:t>向甲方支付违约金。</w:t>
      </w:r>
    </w:p>
    <w:p w14:paraId="366665A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（五）乙方出现本合同第六条的违约情况，给甲方造成损失的，乙方应赔偿甲方的损失。如因此造成甲方与第三方发生纠纷或损失的，甲方保留追究乙方责任和要求赔偿损失的权利。</w:t>
      </w:r>
    </w:p>
    <w:p w14:paraId="1BD1C95D">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（六）乙方人员对不合格工程出具合格检测报告或结论的，属严重违约，甲方有权单方解除合同，不予支付剩余合同款项，要求乙方承担本合同暂定总价30%的违约金，并赔偿由此造成甲方的损失。</w:t>
      </w:r>
    </w:p>
    <w:p w14:paraId="72734B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七）当乙方在服务期内如被主管部门取消资质、被降低资质等级或其他原因致使乙方不再符合本项目资质的要求时，甲方有权终止服务合同，要求乙方承担违约责任并赔偿甲方所有的经济损失，同时，甲方有权将本项目另行委托其它检测机构，另行委托所发生的费用由乙方承担。如因乙方资质不符合要求导致编制报告不符合要求，其责任由乙方承担。</w:t>
      </w:r>
    </w:p>
    <w:p w14:paraId="082A0474">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八）乙方委托第三方完成本合同相关工作的，应经甲方书面同意，且乙方应对第三方所完成工作负责并承担连带责任；乙方擅自分包或者转包项目的，甲方有权解除合同，乙方应承担违约责任，若因此造成甲方损失还须赔偿所有损失。</w:t>
      </w:r>
    </w:p>
    <w:p w14:paraId="3FD25AC2">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（九）乙方投入的人员与本合同约定及其投标（或报价）文件、检测、监测实施方案的承诺不符或未经甲方同意擅自更换项目负责人的，甲方有权单方解除合同并不予支付剩余合同款项。</w:t>
      </w:r>
    </w:p>
    <w:p w14:paraId="00442E50">
      <w:pPr>
        <w:rPr>
          <w:color w:val="auto"/>
          <w:highlight w:val="none"/>
        </w:rPr>
      </w:pPr>
    </w:p>
    <w:p w14:paraId="7031D2B4">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第十一条</w:t>
      </w:r>
      <w:r>
        <w:rPr>
          <w:rFonts w:hint="eastAsia" w:ascii="宋体" w:hAnsi="宋体"/>
          <w:color w:val="auto"/>
          <w:sz w:val="24"/>
          <w:highlight w:val="none"/>
        </w:rPr>
        <w:t xml:space="preserve">  双方确定，在本协议有效期内，甲方指定</w:t>
      </w:r>
      <w:r>
        <w:rPr>
          <w:rFonts w:hint="eastAsia" w:ascii="宋体" w:hAnsi="宋体"/>
          <w:color w:val="auto"/>
          <w:sz w:val="24"/>
          <w:highlight w:val="none"/>
          <w:u w:val="single"/>
        </w:rPr>
        <w:t xml:space="preserve">    （联系方式：   ）</w:t>
      </w:r>
      <w:r>
        <w:rPr>
          <w:rFonts w:hint="eastAsia" w:ascii="宋体" w:hAnsi="宋体"/>
          <w:color w:val="auto"/>
          <w:sz w:val="24"/>
          <w:highlight w:val="none"/>
        </w:rPr>
        <w:t>为甲方项目联系人，乙方指定</w:t>
      </w:r>
      <w:r>
        <w:rPr>
          <w:rFonts w:hint="eastAsia" w:ascii="宋体" w:hAnsi="宋体"/>
          <w:color w:val="auto"/>
          <w:spacing w:val="-4"/>
          <w:sz w:val="24"/>
          <w:szCs w:val="24"/>
          <w:highlight w:val="none"/>
          <w:u w:val="single"/>
        </w:rPr>
        <w:t xml:space="preserve">             </w:t>
      </w:r>
      <w:r>
        <w:rPr>
          <w:rFonts w:hint="eastAsia" w:ascii="宋体" w:hAnsi="宋体"/>
          <w:color w:val="auto"/>
          <w:sz w:val="24"/>
          <w:highlight w:val="none"/>
          <w:u w:val="single"/>
        </w:rPr>
        <w:t>（联系方式：   ）</w:t>
      </w:r>
      <w:r>
        <w:rPr>
          <w:rFonts w:hint="eastAsia" w:ascii="宋体" w:hAnsi="宋体"/>
          <w:color w:val="auto"/>
          <w:sz w:val="24"/>
          <w:highlight w:val="none"/>
        </w:rPr>
        <w:t>为乙方项目联系人。项目联系人承担以下责任：</w:t>
      </w:r>
      <w:r>
        <w:rPr>
          <w:rFonts w:hint="eastAsia" w:ascii="宋体" w:hAnsi="宋体"/>
          <w:color w:val="auto"/>
          <w:sz w:val="24"/>
          <w:highlight w:val="none"/>
          <w:u w:val="single"/>
        </w:rPr>
        <w:t xml:space="preserve"> 双方协调联系。</w:t>
      </w:r>
    </w:p>
    <w:p w14:paraId="0D7D8F30">
      <w:pPr>
        <w:pStyle w:val="7"/>
        <w:spacing w:line="360" w:lineRule="auto"/>
        <w:ind w:right="-113" w:firstLine="570"/>
        <w:rPr>
          <w:rFonts w:hint="eastAsia" w:hAnsi="宋体"/>
          <w:color w:val="auto"/>
          <w:sz w:val="24"/>
          <w:szCs w:val="24"/>
          <w:highlight w:val="none"/>
        </w:rPr>
      </w:pPr>
      <w:r>
        <w:rPr>
          <w:rFonts w:hint="eastAsia" w:hAnsi="宋体"/>
          <w:color w:val="auto"/>
          <w:sz w:val="24"/>
          <w:szCs w:val="24"/>
          <w:highlight w:val="none"/>
        </w:rPr>
        <w:t>一方变更项目联系人的，应当及时以书面形式通知另一方。未及时通知并影响本协议履行或造成损失的，应承担相应的责任。</w:t>
      </w:r>
    </w:p>
    <w:p w14:paraId="39FCDE6A">
      <w:pPr>
        <w:pStyle w:val="7"/>
        <w:spacing w:line="360" w:lineRule="auto"/>
        <w:ind w:right="-113" w:firstLine="570"/>
        <w:rPr>
          <w:rFonts w:hint="eastAsia" w:hAnsi="宋体"/>
          <w:color w:val="auto"/>
          <w:sz w:val="24"/>
          <w:szCs w:val="24"/>
          <w:highlight w:val="none"/>
        </w:rPr>
      </w:pPr>
    </w:p>
    <w:p w14:paraId="55ABAC7E">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 xml:space="preserve">第十二条 </w:t>
      </w:r>
      <w:r>
        <w:rPr>
          <w:rFonts w:hint="eastAsia" w:ascii="宋体" w:hAnsi="宋体"/>
          <w:color w:val="auto"/>
          <w:sz w:val="24"/>
          <w:highlight w:val="none"/>
        </w:rPr>
        <w:t>双方因履行本协议而发生的争议，应协商、调解解决。协商、调解不成的，向</w:t>
      </w:r>
      <w:r>
        <w:rPr>
          <w:rFonts w:hint="eastAsia" w:ascii="宋体" w:hAnsi="宋体"/>
          <w:color w:val="auto"/>
          <w:sz w:val="24"/>
          <w:highlight w:val="none"/>
          <w:u w:val="single"/>
        </w:rPr>
        <w:t>项目所在地人民法院提起诉讼</w:t>
      </w:r>
      <w:r>
        <w:rPr>
          <w:rFonts w:hint="eastAsia" w:ascii="宋体" w:hAnsi="宋体"/>
          <w:color w:val="auto"/>
          <w:sz w:val="24"/>
          <w:highlight w:val="none"/>
        </w:rPr>
        <w:t>。</w:t>
      </w:r>
    </w:p>
    <w:p w14:paraId="3359245F">
      <w:pPr>
        <w:pStyle w:val="7"/>
        <w:rPr>
          <w:color w:val="auto"/>
          <w:highlight w:val="none"/>
        </w:rPr>
      </w:pPr>
    </w:p>
    <w:p w14:paraId="3283AA3D">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第十三条 </w:t>
      </w:r>
      <w:r>
        <w:rPr>
          <w:rFonts w:hint="eastAsia" w:ascii="宋体" w:hAnsi="宋体"/>
          <w:color w:val="auto"/>
          <w:sz w:val="24"/>
          <w:highlight w:val="none"/>
        </w:rPr>
        <w:t>与履行本协议有关的下列技术文件，经双方以协商方式确认后，为本合同的组成部分：</w:t>
      </w:r>
    </w:p>
    <w:p w14:paraId="5571266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（一）技术背景资料：</w:t>
      </w:r>
      <w:r>
        <w:rPr>
          <w:rFonts w:hint="eastAsia" w:ascii="Cambria" w:hAnsi="Cambria"/>
          <w:color w:val="auto"/>
          <w:spacing w:val="-4"/>
          <w:sz w:val="24"/>
          <w:szCs w:val="24"/>
          <w:highlight w:val="none"/>
          <w:u w:val="single"/>
        </w:rPr>
        <w:t>无。</w:t>
      </w:r>
    </w:p>
    <w:p w14:paraId="3E47215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（二）可行性论证报告：</w:t>
      </w:r>
      <w:r>
        <w:rPr>
          <w:rFonts w:hint="eastAsia" w:ascii="Cambria" w:hAnsi="Cambria"/>
          <w:color w:val="auto"/>
          <w:spacing w:val="-4"/>
          <w:sz w:val="24"/>
          <w:szCs w:val="24"/>
          <w:highlight w:val="none"/>
          <w:u w:val="single"/>
        </w:rPr>
        <w:t>无。</w:t>
      </w:r>
    </w:p>
    <w:p w14:paraId="451EDEC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（三）技术评价报告：</w:t>
      </w:r>
      <w:r>
        <w:rPr>
          <w:rFonts w:hint="eastAsia" w:ascii="Cambria" w:hAnsi="Cambria"/>
          <w:color w:val="auto"/>
          <w:spacing w:val="-4"/>
          <w:sz w:val="24"/>
          <w:szCs w:val="24"/>
          <w:highlight w:val="none"/>
          <w:u w:val="single"/>
        </w:rPr>
        <w:t>无。</w:t>
      </w:r>
    </w:p>
    <w:p w14:paraId="2EFDFB9F">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（四）技术标准和规范：</w:t>
      </w:r>
      <w:r>
        <w:rPr>
          <w:rFonts w:hint="eastAsia" w:ascii="Cambria" w:hAnsi="Cambria"/>
          <w:color w:val="auto"/>
          <w:spacing w:val="-4"/>
          <w:sz w:val="24"/>
          <w:szCs w:val="24"/>
          <w:highlight w:val="none"/>
          <w:u w:val="single"/>
        </w:rPr>
        <w:t>甲、乙方提供的相关技术资料和现行标准、规范。</w:t>
      </w:r>
    </w:p>
    <w:p w14:paraId="616F3CB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（五）原始设计和工艺文件：</w:t>
      </w:r>
      <w:r>
        <w:rPr>
          <w:rFonts w:hint="eastAsia" w:ascii="Cambria" w:hAnsi="Cambria"/>
          <w:color w:val="auto"/>
          <w:spacing w:val="-4"/>
          <w:sz w:val="24"/>
          <w:szCs w:val="24"/>
          <w:highlight w:val="none"/>
          <w:u w:val="single"/>
        </w:rPr>
        <w:t>无。</w:t>
      </w:r>
    </w:p>
    <w:p w14:paraId="680CC9CE">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（六）其他：</w:t>
      </w:r>
      <w:r>
        <w:rPr>
          <w:rFonts w:hint="eastAsia" w:ascii="Cambria" w:hAnsi="Cambria"/>
          <w:color w:val="auto"/>
          <w:spacing w:val="-4"/>
          <w:sz w:val="24"/>
          <w:szCs w:val="24"/>
          <w:highlight w:val="none"/>
          <w:u w:val="single"/>
        </w:rPr>
        <w:t>无。</w:t>
      </w:r>
    </w:p>
    <w:p w14:paraId="2010C640">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5FD4C2B4">
      <w:pPr>
        <w:pStyle w:val="7"/>
        <w:spacing w:line="360" w:lineRule="auto"/>
        <w:ind w:firstLine="482" w:firstLineChars="200"/>
        <w:rPr>
          <w:rFonts w:hint="eastAsia" w:hAnsi="宋体"/>
          <w:color w:val="auto"/>
          <w:sz w:val="24"/>
          <w:szCs w:val="24"/>
          <w:highlight w:val="none"/>
        </w:rPr>
      </w:pPr>
      <w:r>
        <w:rPr>
          <w:rFonts w:hint="eastAsia" w:hAnsi="宋体"/>
          <w:b/>
          <w:color w:val="auto"/>
          <w:sz w:val="24"/>
          <w:szCs w:val="24"/>
          <w:highlight w:val="none"/>
        </w:rPr>
        <w:t xml:space="preserve">第十四条 </w:t>
      </w:r>
      <w:r>
        <w:rPr>
          <w:rFonts w:hint="eastAsia" w:hAnsi="宋体"/>
          <w:color w:val="auto"/>
          <w:sz w:val="24"/>
          <w:szCs w:val="24"/>
          <w:highlight w:val="none"/>
        </w:rPr>
        <w:t xml:space="preserve"> 双方约定本协议其他相关事项为：</w:t>
      </w:r>
    </w:p>
    <w:p w14:paraId="4C99CB1D">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u w:val="single"/>
        </w:rPr>
        <w:t xml:space="preserve">如有未尽事宜，双方另行协商，达成补充协议，补充协议与本协议有同等法律效力 </w:t>
      </w:r>
      <w:r>
        <w:rPr>
          <w:rFonts w:hint="eastAsia" w:hAnsi="宋体"/>
          <w:color w:val="auto"/>
          <w:sz w:val="24"/>
          <w:szCs w:val="24"/>
          <w:highlight w:val="none"/>
        </w:rPr>
        <w:t>。</w:t>
      </w:r>
    </w:p>
    <w:p w14:paraId="6C929452">
      <w:pPr>
        <w:pStyle w:val="7"/>
        <w:spacing w:line="360" w:lineRule="auto"/>
        <w:ind w:firstLine="480" w:firstLineChars="200"/>
        <w:rPr>
          <w:rFonts w:hint="eastAsia" w:hAnsi="宋体"/>
          <w:color w:val="auto"/>
          <w:sz w:val="24"/>
          <w:szCs w:val="24"/>
          <w:highlight w:val="none"/>
        </w:rPr>
      </w:pPr>
    </w:p>
    <w:p w14:paraId="560CAE1C">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第十五条  </w:t>
      </w: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份，均具有同等法律效力，经甲、乙双方签字盖公章或合同专用章后生效。</w:t>
      </w:r>
    </w:p>
    <w:p w14:paraId="40F1A6C7">
      <w:pPr>
        <w:pStyle w:val="7"/>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合同附件：1.保密协议</w:t>
      </w:r>
    </w:p>
    <w:p w14:paraId="0090F89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2.廉政合同</w:t>
      </w:r>
    </w:p>
    <w:p w14:paraId="4D35F2D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3.工程量清单</w:t>
      </w:r>
    </w:p>
    <w:p w14:paraId="18D6AE43">
      <w:pPr>
        <w:pStyle w:val="7"/>
        <w:spacing w:line="460" w:lineRule="exact"/>
        <w:ind w:firstLine="480" w:firstLineChars="200"/>
        <w:rPr>
          <w:rFonts w:hint="eastAsia" w:hAnsi="宋体"/>
          <w:color w:val="auto"/>
          <w:sz w:val="24"/>
          <w:szCs w:val="24"/>
          <w:highlight w:val="none"/>
        </w:rPr>
      </w:pPr>
      <w:r>
        <w:rPr>
          <w:rFonts w:hint="eastAsia" w:hAnsi="宋体"/>
          <w:color w:val="auto"/>
          <w:sz w:val="24"/>
          <w:szCs w:val="24"/>
          <w:highlight w:val="none"/>
        </w:rPr>
        <w:t>（本页以下无正文）</w:t>
      </w:r>
    </w:p>
    <w:p w14:paraId="6F92624F">
      <w:pPr>
        <w:pStyle w:val="7"/>
        <w:spacing w:line="460" w:lineRule="exact"/>
        <w:jc w:val="left"/>
        <w:rPr>
          <w:rFonts w:hint="eastAsia" w:hAnsi="宋体"/>
          <w:color w:val="auto"/>
          <w:sz w:val="24"/>
          <w:szCs w:val="24"/>
          <w:highlight w:val="none"/>
        </w:rPr>
      </w:pPr>
    </w:p>
    <w:p w14:paraId="2BC23741">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rPr>
        <w:t>甲     方：</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乙 </w:t>
      </w:r>
      <w:r>
        <w:rPr>
          <w:rFonts w:hint="default" w:hAnsi="宋体"/>
          <w:color w:val="auto"/>
          <w:sz w:val="24"/>
          <w:szCs w:val="24"/>
          <w:highlight w:val="none"/>
          <w:lang w:val="en-US"/>
        </w:rPr>
        <w:t xml:space="preserve"> </w:t>
      </w:r>
      <w:r>
        <w:rPr>
          <w:rFonts w:hint="eastAsia" w:hAnsi="宋体"/>
          <w:color w:val="auto"/>
          <w:sz w:val="24"/>
          <w:szCs w:val="24"/>
          <w:highlight w:val="none"/>
        </w:rPr>
        <w:t xml:space="preserve"> 方</w:t>
      </w:r>
      <w:r>
        <w:rPr>
          <w:rFonts w:hint="default" w:hAnsi="宋体"/>
          <w:color w:val="auto"/>
          <w:sz w:val="24"/>
          <w:szCs w:val="24"/>
          <w:highlight w:val="none"/>
          <w:lang w:val="en-US"/>
        </w:rPr>
        <w:t xml:space="preserve">  1</w:t>
      </w:r>
      <w:r>
        <w:rPr>
          <w:rFonts w:hint="eastAsia" w:hAnsi="宋体"/>
          <w:color w:val="auto"/>
          <w:sz w:val="24"/>
          <w:szCs w:val="24"/>
          <w:highlight w:val="none"/>
        </w:rPr>
        <w:t>：</w:t>
      </w:r>
      <w:r>
        <w:rPr>
          <w:rFonts w:hint="eastAsia" w:hAnsi="宋体"/>
          <w:color w:val="auto"/>
          <w:sz w:val="24"/>
          <w:szCs w:val="24"/>
          <w:highlight w:val="none"/>
          <w:u w:val="single"/>
        </w:rPr>
        <w:t xml:space="preserve">             </w:t>
      </w:r>
      <w:r>
        <w:rPr>
          <w:rFonts w:hint="eastAsia" w:hAnsi="宋体"/>
          <w:color w:val="auto"/>
          <w:sz w:val="24"/>
          <w:szCs w:val="24"/>
          <w:highlight w:val="none"/>
        </w:rPr>
        <w:t>（盖章）</w:t>
      </w:r>
    </w:p>
    <w:p w14:paraId="1B7F50A2">
      <w:pPr>
        <w:pStyle w:val="7"/>
        <w:spacing w:line="460" w:lineRule="exact"/>
        <w:jc w:val="left"/>
        <w:rPr>
          <w:rFonts w:hint="eastAsia" w:hAnsi="宋体"/>
          <w:color w:val="auto"/>
          <w:sz w:val="24"/>
          <w:szCs w:val="24"/>
          <w:highlight w:val="none"/>
        </w:rPr>
      </w:pPr>
    </w:p>
    <w:p w14:paraId="581B4AFB">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    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w:t>
      </w:r>
    </w:p>
    <w:p w14:paraId="70CB1B05">
      <w:pPr>
        <w:pStyle w:val="7"/>
        <w:spacing w:line="460" w:lineRule="exact"/>
        <w:rPr>
          <w:rFonts w:hint="eastAsia" w:hAnsi="宋体"/>
          <w:color w:val="auto"/>
          <w:sz w:val="24"/>
          <w:szCs w:val="24"/>
          <w:highlight w:val="none"/>
        </w:rPr>
      </w:pPr>
    </w:p>
    <w:p w14:paraId="2A1FB4F9">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（签名）    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07158FA4">
      <w:pPr>
        <w:pStyle w:val="7"/>
        <w:spacing w:line="460" w:lineRule="exact"/>
        <w:rPr>
          <w:rFonts w:hint="eastAsia" w:hAnsi="宋体"/>
          <w:color w:val="auto"/>
          <w:sz w:val="24"/>
          <w:szCs w:val="24"/>
          <w:highlight w:val="none"/>
        </w:rPr>
      </w:pPr>
    </w:p>
    <w:p w14:paraId="5826ED0A">
      <w:pPr>
        <w:pStyle w:val="7"/>
        <w:spacing w:line="460" w:lineRule="exact"/>
        <w:rPr>
          <w:rFonts w:hint="eastAsia" w:hAnsi="宋体"/>
          <w:color w:val="auto"/>
          <w:sz w:val="24"/>
          <w:szCs w:val="24"/>
          <w:highlight w:val="none"/>
        </w:rPr>
      </w:pPr>
      <w:r>
        <w:rPr>
          <w:rFonts w:hint="eastAsia" w:hAnsi="宋体"/>
          <w:color w:val="auto"/>
          <w:sz w:val="24"/>
          <w:szCs w:val="24"/>
          <w:highlight w:val="none"/>
        </w:rPr>
        <w:t xml:space="preserve"> </w:t>
      </w:r>
    </w:p>
    <w:p w14:paraId="0FA63D5F">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lang w:val="en-US" w:eastAsia="zh-CN"/>
        </w:rPr>
        <w:t>乙</w:t>
      </w:r>
      <w:r>
        <w:rPr>
          <w:rFonts w:hint="eastAsia" w:hAnsi="宋体"/>
          <w:color w:val="auto"/>
          <w:sz w:val="24"/>
          <w:szCs w:val="24"/>
          <w:highlight w:val="none"/>
        </w:rPr>
        <w:t>方</w:t>
      </w:r>
      <w:r>
        <w:rPr>
          <w:rFonts w:hint="default" w:hAnsi="宋体"/>
          <w:color w:val="auto"/>
          <w:sz w:val="24"/>
          <w:szCs w:val="24"/>
          <w:highlight w:val="none"/>
          <w:lang w:val="en-US"/>
        </w:rPr>
        <w:t>2</w:t>
      </w:r>
      <w:r>
        <w:rPr>
          <w:rFonts w:hint="eastAsia" w:hAnsi="宋体"/>
          <w:color w:val="auto"/>
          <w:sz w:val="24"/>
          <w:szCs w:val="24"/>
          <w:highlight w:val="none"/>
          <w:lang w:val="en-US" w:eastAsia="zh-CN"/>
        </w:rPr>
        <w:t>（如有）</w:t>
      </w:r>
      <w:r>
        <w:rPr>
          <w:rFonts w:hint="eastAsia" w:hAnsi="宋体"/>
          <w:color w:val="auto"/>
          <w:sz w:val="24"/>
          <w:szCs w:val="24"/>
          <w:highlight w:val="none"/>
        </w:rPr>
        <w:t>：</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w:t>
      </w:r>
    </w:p>
    <w:p w14:paraId="004F327A">
      <w:pPr>
        <w:pStyle w:val="7"/>
        <w:spacing w:line="460" w:lineRule="exact"/>
        <w:jc w:val="left"/>
        <w:rPr>
          <w:rFonts w:hint="eastAsia" w:hAnsi="宋体"/>
          <w:color w:val="auto"/>
          <w:sz w:val="24"/>
          <w:szCs w:val="24"/>
          <w:highlight w:val="none"/>
        </w:rPr>
      </w:pPr>
    </w:p>
    <w:p w14:paraId="5D9AC713">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6136BCAC">
      <w:pPr>
        <w:pStyle w:val="7"/>
        <w:spacing w:line="460" w:lineRule="exact"/>
        <w:rPr>
          <w:rFonts w:hint="eastAsia" w:hAnsi="宋体"/>
          <w:color w:val="auto"/>
          <w:sz w:val="24"/>
          <w:szCs w:val="24"/>
          <w:highlight w:val="none"/>
        </w:rPr>
      </w:pPr>
    </w:p>
    <w:p w14:paraId="37CEA454">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1CEEC49A">
      <w:pPr>
        <w:pStyle w:val="7"/>
        <w:spacing w:line="460" w:lineRule="exact"/>
        <w:jc w:val="center"/>
        <w:rPr>
          <w:rFonts w:hint="eastAsia" w:hAnsi="宋体"/>
          <w:color w:val="auto"/>
          <w:sz w:val="24"/>
          <w:szCs w:val="24"/>
          <w:highlight w:val="none"/>
        </w:rPr>
      </w:pPr>
    </w:p>
    <w:p w14:paraId="0719B865">
      <w:pPr>
        <w:pStyle w:val="7"/>
        <w:spacing w:line="460" w:lineRule="exact"/>
        <w:jc w:val="center"/>
        <w:rPr>
          <w:rFonts w:hint="eastAsia" w:hAnsi="宋体"/>
          <w:color w:val="auto"/>
          <w:sz w:val="24"/>
          <w:szCs w:val="24"/>
          <w:highlight w:val="none"/>
        </w:rPr>
      </w:pPr>
    </w:p>
    <w:p w14:paraId="2416CEF3">
      <w:pPr>
        <w:pStyle w:val="7"/>
        <w:spacing w:line="460" w:lineRule="exact"/>
        <w:jc w:val="center"/>
        <w:rPr>
          <w:rFonts w:hint="eastAsia" w:hAnsi="宋体"/>
          <w:color w:val="auto"/>
          <w:sz w:val="24"/>
          <w:szCs w:val="24"/>
          <w:highlight w:val="none"/>
        </w:rPr>
      </w:pPr>
    </w:p>
    <w:p w14:paraId="36FACBA9">
      <w:pPr>
        <w:pStyle w:val="7"/>
        <w:spacing w:line="460" w:lineRule="exact"/>
        <w:jc w:val="center"/>
        <w:rPr>
          <w:rFonts w:hint="eastAsia" w:hAnsi="宋体"/>
          <w:color w:val="auto"/>
          <w:sz w:val="24"/>
          <w:szCs w:val="24"/>
          <w:highlight w:val="none"/>
        </w:rPr>
      </w:pPr>
      <w:r>
        <w:rPr>
          <w:rFonts w:hint="default" w:hAnsi="宋体"/>
          <w:color w:val="auto"/>
          <w:sz w:val="24"/>
          <w:szCs w:val="24"/>
          <w:highlight w:val="none"/>
          <w:lang w:val="en-US"/>
        </w:rPr>
        <w:t xml:space="preserve">         </w:t>
      </w:r>
      <w:r>
        <w:rPr>
          <w:rFonts w:hint="eastAsia" w:hAnsi="宋体"/>
          <w:color w:val="auto"/>
          <w:sz w:val="24"/>
          <w:szCs w:val="24"/>
          <w:highlight w:val="none"/>
        </w:rPr>
        <w:t>签订日期：</w:t>
      </w:r>
      <w:r>
        <w:rPr>
          <w:rFonts w:hAnsi="宋体"/>
          <w:color w:val="auto"/>
          <w:sz w:val="24"/>
          <w:szCs w:val="24"/>
          <w:highlight w:val="none"/>
        </w:rPr>
        <w:t>202</w:t>
      </w:r>
      <w:r>
        <w:rPr>
          <w:rFonts w:hint="eastAsia" w:hAnsi="宋体"/>
          <w:color w:val="auto"/>
          <w:sz w:val="24"/>
          <w:szCs w:val="24"/>
          <w:highlight w:val="none"/>
          <w:lang w:val="en-US" w:eastAsia="zh-CN"/>
        </w:rPr>
        <w:t>5</w:t>
      </w:r>
      <w:r>
        <w:rPr>
          <w:rFonts w:hAnsi="宋体"/>
          <w:color w:val="auto"/>
          <w:sz w:val="24"/>
          <w:szCs w:val="24"/>
          <w:highlight w:val="none"/>
        </w:rPr>
        <w:t xml:space="preserve"> </w:t>
      </w:r>
      <w:r>
        <w:rPr>
          <w:rFonts w:hint="eastAsia" w:hAnsi="宋体"/>
          <w:color w:val="auto"/>
          <w:sz w:val="24"/>
          <w:szCs w:val="24"/>
          <w:highlight w:val="none"/>
        </w:rPr>
        <w:t>年    月    日</w:t>
      </w:r>
    </w:p>
    <w:p w14:paraId="0FE7BDCF">
      <w:pPr>
        <w:spacing w:line="460" w:lineRule="exact"/>
        <w:rPr>
          <w:rFonts w:hint="eastAsia" w:hAnsi="宋体"/>
          <w:b/>
          <w:color w:val="auto"/>
          <w:sz w:val="24"/>
          <w:szCs w:val="24"/>
          <w:highlight w:val="none"/>
        </w:rPr>
      </w:pPr>
      <w:r>
        <w:rPr>
          <w:rFonts w:hAnsi="宋体"/>
          <w:color w:val="auto"/>
          <w:sz w:val="24"/>
          <w:szCs w:val="24"/>
          <w:highlight w:val="none"/>
        </w:rPr>
        <w:br w:type="page"/>
      </w:r>
      <w:r>
        <w:rPr>
          <w:rFonts w:hAnsi="宋体"/>
          <w:b/>
          <w:color w:val="auto"/>
          <w:sz w:val="24"/>
          <w:szCs w:val="24"/>
          <w:highlight w:val="none"/>
        </w:rPr>
        <w:t>附件</w:t>
      </w:r>
      <w:r>
        <w:rPr>
          <w:rFonts w:hint="eastAsia" w:hAnsi="宋体"/>
          <w:b/>
          <w:color w:val="auto"/>
          <w:sz w:val="24"/>
          <w:szCs w:val="24"/>
          <w:highlight w:val="none"/>
        </w:rPr>
        <w:t>1：</w:t>
      </w:r>
    </w:p>
    <w:p w14:paraId="3CB7935E">
      <w:pPr>
        <w:spacing w:line="460" w:lineRule="exact"/>
        <w:jc w:val="center"/>
        <w:rPr>
          <w:rFonts w:hint="eastAsia" w:ascii="宋体" w:hAnsi="宋体" w:cs="长城行楷体"/>
          <w:b/>
          <w:color w:val="auto"/>
          <w:sz w:val="32"/>
          <w:highlight w:val="none"/>
        </w:rPr>
      </w:pPr>
      <w:r>
        <w:rPr>
          <w:rFonts w:hint="eastAsia" w:ascii="宋体" w:hAnsi="宋体" w:cs="长城行楷体"/>
          <w:b/>
          <w:color w:val="auto"/>
          <w:sz w:val="32"/>
          <w:highlight w:val="none"/>
        </w:rPr>
        <w:t>保密协议</w:t>
      </w:r>
    </w:p>
    <w:p w14:paraId="7770499E">
      <w:pPr>
        <w:autoSpaceDE w:val="0"/>
        <w:autoSpaceDN w:val="0"/>
        <w:spacing w:line="360" w:lineRule="auto"/>
        <w:ind w:firstLine="540"/>
        <w:rPr>
          <w:rFonts w:hint="eastAsia" w:ascii="宋体" w:hAnsi="宋体" w:cs="长城行楷体"/>
          <w:color w:val="auto"/>
          <w:sz w:val="24"/>
          <w:highlight w:val="none"/>
        </w:rPr>
      </w:pPr>
    </w:p>
    <w:p w14:paraId="67F215DF">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00560BCD">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2F89B50B">
      <w:pPr>
        <w:autoSpaceDE w:val="0"/>
        <w:autoSpaceDN w:val="0"/>
        <w:spacing w:line="500" w:lineRule="exact"/>
        <w:ind w:firstLine="539"/>
        <w:rPr>
          <w:rFonts w:hint="eastAsia" w:ascii="宋体" w:hAnsi="宋体" w:cs="长城行楷体"/>
          <w:color w:val="auto"/>
          <w:sz w:val="24"/>
          <w:highlight w:val="none"/>
        </w:rPr>
      </w:pPr>
    </w:p>
    <w:p w14:paraId="51E0D42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乙方作为甲方服务单位，乙方同意遵守甲方下列保密条款：</w:t>
      </w:r>
    </w:p>
    <w:p w14:paraId="28F0FEF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一、保密信息的范围</w:t>
      </w:r>
    </w:p>
    <w:p w14:paraId="30B16663">
      <w:pPr>
        <w:autoSpaceDE w:val="0"/>
        <w:autoSpaceDN w:val="0"/>
        <w:spacing w:line="500" w:lineRule="exact"/>
        <w:ind w:firstLine="539"/>
        <w:rPr>
          <w:rFonts w:hint="eastAsia" w:ascii="宋体" w:hAnsi="宋体"/>
          <w:color w:val="auto"/>
          <w:sz w:val="24"/>
          <w:highlight w:val="none"/>
          <w:lang w:val="zh-CN"/>
        </w:rPr>
      </w:pPr>
      <w:r>
        <w:rPr>
          <w:rFonts w:hint="eastAsia" w:ascii="宋体" w:hAnsi="宋体" w:cs="长城行楷体"/>
          <w:color w:val="auto"/>
          <w:sz w:val="24"/>
          <w:highlight w:val="none"/>
        </w:rPr>
        <w:t>“保密信息”在本保密协议中是指乙方在为甲方提供服务工作的过程中所获取的重要工作信息。</w:t>
      </w:r>
      <w:r>
        <w:rPr>
          <w:rFonts w:hint="eastAsia" w:ascii="宋体" w:hAnsi="宋体"/>
          <w:color w:val="auto"/>
          <w:sz w:val="24"/>
          <w:highlight w:val="none"/>
          <w:lang w:val="zh-CN"/>
        </w:rPr>
        <w:t>该保密信息包括但不限于投资计划、项目规模、项目计划、项目相关数据和图纸、招标文件资料及信息、合同、价格、成本、研究报告、会议资料和文件。</w:t>
      </w:r>
    </w:p>
    <w:p w14:paraId="0CFC46BA">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不论以何种形式或载于何种载体，无论在披露时是否以口头、图像或以书面方式表明其具有保密性，都视为甲方的保密信息。</w:t>
      </w:r>
    </w:p>
    <w:p w14:paraId="3532FEC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二、乙方的保密义务</w:t>
      </w:r>
    </w:p>
    <w:p w14:paraId="60274B1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乙方对已知悉的甲方保密信息，在此同意：</w:t>
      </w:r>
    </w:p>
    <w:p w14:paraId="1000F7D9">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（一）未经甲方事前书面批准，不论服务期间或以后，乙方及其工作人员不得以任何方式泄漏甲方的保密信息。</w:t>
      </w:r>
    </w:p>
    <w:p w14:paraId="0CB8415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（二）一旦服务工作终止，乙方及其工作人员将退还保存的属于甲方的所有保密信息及资料，如方案、制度、报告、合同等。</w:t>
      </w:r>
    </w:p>
    <w:p w14:paraId="2C4889B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三、保密期限</w:t>
      </w:r>
    </w:p>
    <w:p w14:paraId="3FD80C96">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保密期限包括但不限于：从获知甲方保密信息时起，至保密信息已由甲方通过合法途径让普通公众知悉时止。</w:t>
      </w:r>
    </w:p>
    <w:p w14:paraId="580E5B7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四、违约责任</w:t>
      </w:r>
    </w:p>
    <w:p w14:paraId="1D5BDB4D">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乙方违反本保密协议约定，要承担违约责任，甲方有权通过任何合理方式追究乙方的责任并终止服务合同。造成损失的，甲方有权要求乙方进行赔偿并追究乙方其他的法律责任。</w:t>
      </w:r>
    </w:p>
    <w:p w14:paraId="0BA42BC0">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五、其他约定</w:t>
      </w:r>
    </w:p>
    <w:p w14:paraId="259BEBD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本保密协议一式</w:t>
      </w:r>
      <w:r>
        <w:rPr>
          <w:rFonts w:hint="eastAsia" w:ascii="Calibri" w:hAnsi="Calibri" w:cs="长城行楷体"/>
          <w:color w:val="auto"/>
          <w:sz w:val="24"/>
          <w:szCs w:val="24"/>
          <w:highlight w:val="none"/>
          <w:u w:val="single"/>
        </w:rPr>
        <w:t>捌</w:t>
      </w:r>
      <w:r>
        <w:rPr>
          <w:rFonts w:hint="eastAsia" w:ascii="宋体" w:hAnsi="宋体" w:cs="长城行楷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份，均具有同等法律效力。本保密协议经甲、乙双方签字盖公章或合同专用章后生效。</w:t>
      </w:r>
    </w:p>
    <w:p w14:paraId="193FEAD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甲  方（公章）：                      乙  方（公章）：</w:t>
      </w:r>
    </w:p>
    <w:p w14:paraId="4BB9F425">
      <w:pPr>
        <w:autoSpaceDE w:val="0"/>
        <w:autoSpaceDN w:val="0"/>
        <w:spacing w:line="500" w:lineRule="exact"/>
        <w:ind w:firstLine="539"/>
        <w:rPr>
          <w:rFonts w:hint="eastAsia" w:ascii="宋体" w:hAnsi="宋体" w:cs="长城行楷体"/>
          <w:color w:val="auto"/>
          <w:sz w:val="24"/>
          <w:highlight w:val="none"/>
        </w:rPr>
      </w:pPr>
    </w:p>
    <w:p w14:paraId="59207E76">
      <w:pPr>
        <w:autoSpaceDE w:val="0"/>
        <w:autoSpaceDN w:val="0"/>
        <w:spacing w:line="500" w:lineRule="exact"/>
        <w:ind w:firstLine="539"/>
        <w:rPr>
          <w:rFonts w:hint="eastAsia" w:ascii="宋体" w:hAnsi="宋体" w:cs="长城行楷体"/>
          <w:color w:val="auto"/>
          <w:sz w:val="24"/>
          <w:highlight w:val="none"/>
        </w:rPr>
      </w:pPr>
    </w:p>
    <w:p w14:paraId="45FC3C39">
      <w:pPr>
        <w:autoSpaceDE w:val="0"/>
        <w:autoSpaceDN w:val="0"/>
        <w:spacing w:line="500" w:lineRule="exact"/>
        <w:ind w:firstLine="539"/>
        <w:rPr>
          <w:rFonts w:hint="eastAsia" w:ascii="宋体" w:hAnsi="宋体" w:cs="长城行楷体"/>
          <w:color w:val="auto"/>
          <w:sz w:val="24"/>
          <w:highlight w:val="none"/>
        </w:rPr>
      </w:pPr>
    </w:p>
    <w:p w14:paraId="6BECAA7A">
      <w:pPr>
        <w:autoSpaceDE w:val="0"/>
        <w:autoSpaceDN w:val="0"/>
        <w:spacing w:line="500" w:lineRule="exact"/>
        <w:ind w:firstLine="539"/>
        <w:jc w:val="right"/>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1EC5CCEC">
      <w:pPr>
        <w:pageBreakBefore/>
        <w:autoSpaceDE w:val="0"/>
        <w:autoSpaceDN w:val="0"/>
        <w:spacing w:line="460" w:lineRule="exact"/>
        <w:rPr>
          <w:rFonts w:hint="eastAsia" w:ascii="宋体" w:hAnsi="宋体" w:cs="长城行楷体"/>
          <w:b/>
          <w:color w:val="auto"/>
          <w:sz w:val="24"/>
          <w:highlight w:val="none"/>
        </w:rPr>
      </w:pPr>
      <w:r>
        <w:rPr>
          <w:rFonts w:hint="eastAsia" w:ascii="宋体" w:hAnsi="宋体"/>
          <w:b/>
          <w:color w:val="auto"/>
          <w:sz w:val="24"/>
          <w:highlight w:val="none"/>
        </w:rPr>
        <w:t>附件2：</w:t>
      </w:r>
    </w:p>
    <w:p w14:paraId="77821172">
      <w:pPr>
        <w:spacing w:line="460" w:lineRule="exact"/>
        <w:ind w:firstLine="540"/>
        <w:jc w:val="center"/>
        <w:rPr>
          <w:rFonts w:hint="eastAsia" w:ascii="宋体" w:hAnsi="宋体"/>
          <w:b/>
          <w:color w:val="auto"/>
          <w:sz w:val="32"/>
          <w:highlight w:val="none"/>
        </w:rPr>
      </w:pPr>
      <w:r>
        <w:rPr>
          <w:rFonts w:hint="eastAsia" w:ascii="宋体" w:hAnsi="宋体"/>
          <w:b/>
          <w:color w:val="auto"/>
          <w:sz w:val="32"/>
          <w:highlight w:val="none"/>
        </w:rPr>
        <w:t>廉政合同</w:t>
      </w:r>
    </w:p>
    <w:p w14:paraId="519E3082">
      <w:pPr>
        <w:autoSpaceDE w:val="0"/>
        <w:autoSpaceDN w:val="0"/>
        <w:spacing w:line="460" w:lineRule="exact"/>
        <w:rPr>
          <w:rFonts w:hint="eastAsia" w:ascii="宋体" w:hAnsi="宋体"/>
          <w:color w:val="auto"/>
          <w:sz w:val="24"/>
          <w:highlight w:val="none"/>
        </w:rPr>
      </w:pPr>
    </w:p>
    <w:p w14:paraId="02DDD511">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12D7A1C8">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196A971B">
      <w:pPr>
        <w:autoSpaceDE w:val="0"/>
        <w:autoSpaceDN w:val="0"/>
        <w:spacing w:line="500" w:lineRule="exact"/>
        <w:ind w:firstLine="540"/>
        <w:rPr>
          <w:rFonts w:hint="eastAsia" w:ascii="宋体" w:hAnsi="宋体"/>
          <w:color w:val="auto"/>
          <w:sz w:val="24"/>
          <w:highlight w:val="none"/>
          <w:lang w:val="zh-CN"/>
        </w:rPr>
      </w:pPr>
    </w:p>
    <w:p w14:paraId="32857E5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根据国家和省、市有关廉政建设规定，乙方作为甲方</w:t>
      </w:r>
      <w:r>
        <w:rPr>
          <w:rFonts w:hint="eastAsia" w:ascii="宋体" w:hAnsi="宋体"/>
          <w:color w:val="auto"/>
          <w:sz w:val="24"/>
          <w:highlight w:val="none"/>
          <w:lang w:val="en-US" w:eastAsia="zh-CN"/>
        </w:rPr>
        <w:t>本</w:t>
      </w:r>
      <w:r>
        <w:rPr>
          <w:rFonts w:hint="eastAsia" w:ascii="宋体" w:hAnsi="宋体"/>
          <w:color w:val="auto"/>
          <w:sz w:val="24"/>
          <w:highlight w:val="none"/>
          <w:lang w:val="zh-CN"/>
        </w:rPr>
        <w:t>项目的服务单位，乙方同意根据国家、省、市关于工程廉政建设的规定做好</w:t>
      </w:r>
      <w:r>
        <w:rPr>
          <w:rFonts w:hint="eastAsia" w:ascii="宋体" w:hAnsi="宋体"/>
          <w:color w:val="auto"/>
          <w:sz w:val="24"/>
          <w:highlight w:val="none"/>
          <w:lang w:val="en-US" w:eastAsia="zh-CN"/>
        </w:rPr>
        <w:t>本</w:t>
      </w:r>
      <w:r>
        <w:rPr>
          <w:rFonts w:hint="eastAsia" w:ascii="宋体" w:hAnsi="宋体"/>
          <w:color w:val="auto"/>
          <w:sz w:val="24"/>
          <w:highlight w:val="none"/>
          <w:lang w:val="zh-CN"/>
        </w:rPr>
        <w:t xml:space="preserve">项目的服务工作，同意签订廉政合同，具体内容如下： </w:t>
      </w:r>
    </w:p>
    <w:p w14:paraId="2E40641B">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1、双方权利和义务</w:t>
      </w:r>
    </w:p>
    <w:p w14:paraId="359A2165">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1.1  严格遵守中央和省、市有关廉政法律法规的规定，优质高效做好服务工作，严格按照合同规定执行。</w:t>
      </w:r>
    </w:p>
    <w:p w14:paraId="3425E7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1.2  认</w:t>
      </w:r>
      <w:r>
        <w:rPr>
          <w:rFonts w:hint="eastAsia" w:ascii="宋体" w:hAnsi="宋体"/>
          <w:color w:val="auto"/>
          <w:sz w:val="24"/>
          <w:highlight w:val="none"/>
        </w:rPr>
        <w:t>真</w:t>
      </w:r>
      <w:r>
        <w:rPr>
          <w:rFonts w:ascii="宋体" w:hAnsi="宋体"/>
          <w:color w:val="auto"/>
          <w:sz w:val="24"/>
          <w:highlight w:val="none"/>
        </w:rPr>
        <w:t>开展廉政教育</w:t>
      </w:r>
      <w:r>
        <w:rPr>
          <w:rFonts w:hint="eastAsia" w:ascii="宋体" w:hAnsi="宋体"/>
          <w:color w:val="auto"/>
          <w:sz w:val="24"/>
          <w:highlight w:val="none"/>
        </w:rPr>
        <w:t>和宣传工作，</w:t>
      </w:r>
      <w:r>
        <w:rPr>
          <w:rFonts w:ascii="宋体" w:hAnsi="宋体"/>
          <w:color w:val="auto"/>
          <w:sz w:val="24"/>
          <w:highlight w:val="none"/>
        </w:rPr>
        <w:t>建立健全廉政制度。</w:t>
      </w:r>
    </w:p>
    <w:p w14:paraId="7B35E9C1">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1.3  定期开展自查自纠，及时发现、提醒并纠正工作中违反廉政建设、廉洁自律规定的行为。定期组织风险排查、制定防控措施，切实加强廉政风险防控。</w:t>
      </w:r>
    </w:p>
    <w:p w14:paraId="062936E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1.4  </w:t>
      </w:r>
      <w:r>
        <w:rPr>
          <w:rFonts w:ascii="宋体" w:hAnsi="宋体"/>
          <w:color w:val="auto"/>
          <w:sz w:val="24"/>
          <w:highlight w:val="none"/>
        </w:rPr>
        <w:t>发现</w:t>
      </w:r>
      <w:r>
        <w:rPr>
          <w:rFonts w:hint="eastAsia" w:ascii="宋体" w:hAnsi="宋体"/>
          <w:color w:val="auto"/>
          <w:sz w:val="24"/>
          <w:highlight w:val="none"/>
        </w:rPr>
        <w:t>廉政、廉洁问题或线索</w:t>
      </w:r>
      <w:r>
        <w:rPr>
          <w:rFonts w:ascii="宋体" w:hAnsi="宋体"/>
          <w:color w:val="auto"/>
          <w:sz w:val="24"/>
          <w:highlight w:val="none"/>
        </w:rPr>
        <w:t>，</w:t>
      </w:r>
      <w:r>
        <w:rPr>
          <w:rFonts w:hint="eastAsia" w:ascii="宋体" w:hAnsi="宋体"/>
          <w:color w:val="auto"/>
          <w:sz w:val="24"/>
          <w:highlight w:val="none"/>
        </w:rPr>
        <w:t>主动</w:t>
      </w:r>
      <w:r>
        <w:rPr>
          <w:rFonts w:ascii="宋体" w:hAnsi="宋体"/>
          <w:color w:val="auto"/>
          <w:sz w:val="24"/>
          <w:highlight w:val="none"/>
        </w:rPr>
        <w:t>向</w:t>
      </w:r>
      <w:r>
        <w:rPr>
          <w:rFonts w:hint="eastAsia" w:ascii="宋体" w:hAnsi="宋体"/>
          <w:color w:val="auto"/>
          <w:sz w:val="24"/>
          <w:highlight w:val="none"/>
        </w:rPr>
        <w:t>双方纪检监察部门反映、</w:t>
      </w:r>
      <w:r>
        <w:rPr>
          <w:rFonts w:ascii="宋体" w:hAnsi="宋体"/>
          <w:color w:val="auto"/>
          <w:sz w:val="24"/>
          <w:highlight w:val="none"/>
        </w:rPr>
        <w:t>举报。</w:t>
      </w:r>
    </w:p>
    <w:p w14:paraId="3DF307D5">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1.5  积极配合有关部门对违反廉政建设、廉洁自律规定问题的调查核实。</w:t>
      </w:r>
    </w:p>
    <w:p w14:paraId="077A0D2C">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2、</w:t>
      </w:r>
      <w:r>
        <w:rPr>
          <w:rFonts w:ascii="宋体" w:hAnsi="宋体"/>
          <w:b/>
          <w:bCs/>
          <w:color w:val="auto"/>
          <w:sz w:val="24"/>
          <w:highlight w:val="none"/>
        </w:rPr>
        <w:t>甲方</w:t>
      </w:r>
      <w:r>
        <w:rPr>
          <w:rFonts w:hint="eastAsia" w:ascii="宋体" w:hAnsi="宋体"/>
          <w:b/>
          <w:bCs/>
          <w:color w:val="auto"/>
          <w:sz w:val="24"/>
          <w:highlight w:val="none"/>
        </w:rPr>
        <w:t>廉政责任</w:t>
      </w:r>
    </w:p>
    <w:p w14:paraId="435719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2.1  甲方及其工作人员要认真履行“一岗双责”职责，把确保廉政目标任务与工程建设业务工作一起布置，一并监管。 </w:t>
      </w:r>
    </w:p>
    <w:p w14:paraId="2DD151EA">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2</w:t>
      </w:r>
      <w:r>
        <w:rPr>
          <w:rFonts w:ascii="宋体" w:hAnsi="宋体"/>
          <w:color w:val="auto"/>
          <w:sz w:val="24"/>
          <w:highlight w:val="none"/>
        </w:rPr>
        <w:t xml:space="preserve">  甲方及其工作人员不得索要或接受乙方及其工作人员的礼金、有价证券和贵重物品，不得</w:t>
      </w:r>
      <w:r>
        <w:rPr>
          <w:rFonts w:hint="eastAsia" w:ascii="宋体" w:hAnsi="宋体"/>
          <w:color w:val="auto"/>
          <w:sz w:val="24"/>
          <w:highlight w:val="none"/>
        </w:rPr>
        <w:t>要求</w:t>
      </w:r>
      <w:r>
        <w:rPr>
          <w:rFonts w:ascii="宋体" w:hAnsi="宋体"/>
          <w:color w:val="auto"/>
          <w:sz w:val="24"/>
          <w:highlight w:val="none"/>
        </w:rPr>
        <w:t>乙方报销任何应由甲方或工作人员个人支付的费用等。</w:t>
      </w:r>
    </w:p>
    <w:p w14:paraId="4E17387E">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3</w:t>
      </w:r>
      <w:r>
        <w:rPr>
          <w:rFonts w:ascii="宋体" w:hAnsi="宋体"/>
          <w:color w:val="auto"/>
          <w:sz w:val="24"/>
          <w:highlight w:val="none"/>
        </w:rPr>
        <w:t xml:space="preserve">  甲方及其工作人员不得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的</w:t>
      </w:r>
      <w:r>
        <w:rPr>
          <w:rFonts w:ascii="宋体" w:hAnsi="宋体"/>
          <w:color w:val="auto"/>
          <w:sz w:val="24"/>
          <w:highlight w:val="none"/>
        </w:rPr>
        <w:t>宴请</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安排的</w:t>
      </w:r>
      <w:r>
        <w:rPr>
          <w:rFonts w:ascii="宋体" w:hAnsi="宋体"/>
          <w:color w:val="auto"/>
          <w:sz w:val="24"/>
          <w:highlight w:val="none"/>
        </w:rPr>
        <w:t>娱乐活动</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w:t>
      </w:r>
      <w:r>
        <w:rPr>
          <w:rFonts w:ascii="宋体" w:hAnsi="宋体"/>
          <w:color w:val="auto"/>
          <w:sz w:val="24"/>
          <w:highlight w:val="none"/>
        </w:rPr>
        <w:t>接受乙方及其工作人员提供的通讯工具、交通工具和办公用品等。</w:t>
      </w:r>
    </w:p>
    <w:p w14:paraId="0BE9F74D">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4</w:t>
      </w:r>
      <w:r>
        <w:rPr>
          <w:rFonts w:ascii="宋体" w:hAnsi="宋体"/>
          <w:color w:val="auto"/>
          <w:sz w:val="24"/>
          <w:highlight w:val="none"/>
        </w:rPr>
        <w:t xml:space="preserve">  甲方及其工作人员不得要求或者接受乙方及其工作人员为其住房装修、婚丧嫁娶活动、配偶子女的工作安排以及出国出境、旅游等提供方便等。</w:t>
      </w:r>
    </w:p>
    <w:p w14:paraId="3CC3A784">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5</w:t>
      </w:r>
      <w:r>
        <w:rPr>
          <w:rFonts w:ascii="宋体" w:hAnsi="宋体"/>
          <w:color w:val="auto"/>
          <w:sz w:val="24"/>
          <w:highlight w:val="none"/>
        </w:rPr>
        <w:t xml:space="preserve">  甲方工作人员</w:t>
      </w:r>
      <w:r>
        <w:rPr>
          <w:rFonts w:hint="eastAsia" w:ascii="宋体" w:hAnsi="宋体"/>
          <w:color w:val="auto"/>
          <w:sz w:val="24"/>
          <w:highlight w:val="none"/>
        </w:rPr>
        <w:t>的</w:t>
      </w:r>
      <w:r>
        <w:rPr>
          <w:rFonts w:ascii="宋体" w:hAnsi="宋体"/>
          <w:color w:val="auto"/>
          <w:sz w:val="24"/>
          <w:highlight w:val="none"/>
        </w:rPr>
        <w:t>配偶、子女</w:t>
      </w:r>
      <w:r>
        <w:rPr>
          <w:rFonts w:hint="eastAsia" w:ascii="宋体" w:hAnsi="宋体"/>
          <w:color w:val="auto"/>
          <w:sz w:val="24"/>
          <w:highlight w:val="none"/>
        </w:rPr>
        <w:t>，</w:t>
      </w:r>
      <w:r>
        <w:rPr>
          <w:rFonts w:ascii="宋体" w:hAnsi="宋体"/>
          <w:color w:val="auto"/>
          <w:sz w:val="24"/>
          <w:highlight w:val="none"/>
        </w:rPr>
        <w:t>不得从事与甲方有关的工程材料设备供应、工程分包、劳务等经济活动。</w:t>
      </w:r>
    </w:p>
    <w:p w14:paraId="18E56988">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6</w:t>
      </w:r>
      <w:r>
        <w:rPr>
          <w:rFonts w:ascii="宋体" w:hAnsi="宋体"/>
          <w:color w:val="auto"/>
          <w:sz w:val="24"/>
          <w:highlight w:val="none"/>
        </w:rPr>
        <w:t xml:space="preserve">  甲方及其工作人员不得向乙方推荐分包单位或推销材料，不得</w:t>
      </w:r>
      <w:r>
        <w:rPr>
          <w:rFonts w:hint="eastAsia" w:ascii="宋体" w:hAnsi="宋体"/>
          <w:color w:val="auto"/>
          <w:sz w:val="24"/>
          <w:highlight w:val="none"/>
        </w:rPr>
        <w:t>违反规定</w:t>
      </w:r>
      <w:r>
        <w:rPr>
          <w:rFonts w:ascii="宋体" w:hAnsi="宋体"/>
          <w:color w:val="auto"/>
          <w:sz w:val="24"/>
          <w:highlight w:val="none"/>
        </w:rPr>
        <w:t>要求乙方购买合同约定外的材料和设备。</w:t>
      </w:r>
    </w:p>
    <w:p w14:paraId="1A655B42">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7</w:t>
      </w:r>
      <w:r>
        <w:rPr>
          <w:rFonts w:ascii="宋体" w:hAnsi="宋体"/>
          <w:color w:val="auto"/>
          <w:sz w:val="24"/>
          <w:highlight w:val="none"/>
        </w:rPr>
        <w:t xml:space="preserve">  甲方及其工作人员要秉公办事，不准营私舞弊，不准利用职权从事各种</w:t>
      </w:r>
      <w:r>
        <w:rPr>
          <w:rFonts w:hint="eastAsia" w:ascii="宋体" w:hAnsi="宋体"/>
          <w:color w:val="auto"/>
          <w:sz w:val="24"/>
          <w:highlight w:val="none"/>
        </w:rPr>
        <w:t>与本项目有关的</w:t>
      </w:r>
      <w:r>
        <w:rPr>
          <w:rFonts w:ascii="宋体" w:hAnsi="宋体"/>
          <w:color w:val="auto"/>
          <w:sz w:val="24"/>
          <w:highlight w:val="none"/>
        </w:rPr>
        <w:t>个人有偿中介活动和安排个人施工队伍。</w:t>
      </w:r>
    </w:p>
    <w:p w14:paraId="569C5CFD">
      <w:pPr>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2.8  甲方及其工作人员不得</w:t>
      </w:r>
      <w:r>
        <w:rPr>
          <w:rFonts w:hint="eastAsia" w:ascii="宋体" w:hAnsi="宋体"/>
          <w:color w:val="auto"/>
          <w:sz w:val="24"/>
          <w:highlight w:val="none"/>
        </w:rPr>
        <w:t>违反规定</w:t>
      </w:r>
      <w:r>
        <w:rPr>
          <w:rFonts w:hint="eastAsia" w:ascii="宋体" w:hAnsi="宋体"/>
          <w:bCs/>
          <w:color w:val="auto"/>
          <w:sz w:val="24"/>
          <w:highlight w:val="none"/>
        </w:rPr>
        <w:t>与乙方及其工作人员发生利益输送行为。</w:t>
      </w:r>
    </w:p>
    <w:p w14:paraId="7AB8FFD3">
      <w:pPr>
        <w:spacing w:line="500" w:lineRule="exact"/>
        <w:ind w:firstLine="482" w:firstLineChars="200"/>
        <w:rPr>
          <w:rFonts w:hint="eastAsia" w:ascii="宋体" w:hAnsi="宋体"/>
          <w:b/>
          <w:bCs/>
          <w:color w:val="auto"/>
          <w:sz w:val="24"/>
          <w:highlight w:val="none"/>
        </w:rPr>
      </w:pPr>
      <w:r>
        <w:rPr>
          <w:rFonts w:ascii="宋体" w:hAnsi="宋体"/>
          <w:b/>
          <w:bCs/>
          <w:color w:val="auto"/>
          <w:sz w:val="24"/>
          <w:highlight w:val="none"/>
        </w:rPr>
        <w:t>3</w:t>
      </w:r>
      <w:r>
        <w:rPr>
          <w:rFonts w:hint="eastAsia" w:ascii="宋体" w:hAnsi="宋体"/>
          <w:b/>
          <w:bCs/>
          <w:color w:val="auto"/>
          <w:sz w:val="24"/>
          <w:highlight w:val="none"/>
        </w:rPr>
        <w:t>、乙方廉政责任</w:t>
      </w:r>
    </w:p>
    <w:p w14:paraId="48045A62">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3.1  坚持公平、公开、公正和诚信的原则，不得损害甲方利益，不得违反相关法律法规及规章制度。</w:t>
      </w:r>
    </w:p>
    <w:p w14:paraId="3B149C7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3.2  乙方不得以任何理由更换、修改已经甲方确认的技术服务结果、合同等资料。</w:t>
      </w:r>
    </w:p>
    <w:p w14:paraId="50E724B3">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3.3  乙方不得以任何理由向甲方及其工作人员行贿或馈赠礼金、有价证券、贵重礼品。</w:t>
      </w:r>
    </w:p>
    <w:p w14:paraId="4F34501F">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3.4  乙方不得以任何名义为甲方及其工作人员、亲属、子女报销应由甲方或工作人员个人支付的任何费用。</w:t>
      </w:r>
    </w:p>
    <w:p w14:paraId="330397F1">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3.5  乙方及其工作人员不得违反规定宴请甲方工作人员，不得安排甲方工作人员参加娱乐活动。</w:t>
      </w:r>
    </w:p>
    <w:p w14:paraId="6F38ACD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3.6  乙方及其工作人员不得为甲方及其工作人员购置或提供高档通讯工具、高档交通工具和高档办公用品等。</w:t>
      </w:r>
    </w:p>
    <w:p w14:paraId="059BADB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3.7  乙方及其工作人员不得索要或接受第三方的礼金、有价证券、贵重物品，不得以任何理由向的第三方透露甲方工程项目的任何信息。</w:t>
      </w:r>
    </w:p>
    <w:p w14:paraId="74EA7A2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3.8  乙方要秉公办事，不得营私舞弊。</w:t>
      </w:r>
    </w:p>
    <w:p w14:paraId="4E6CBBA5">
      <w:pPr>
        <w:autoSpaceDE w:val="0"/>
        <w:autoSpaceDN w:val="0"/>
        <w:spacing w:line="500" w:lineRule="exact"/>
        <w:ind w:firstLine="540"/>
        <w:rPr>
          <w:rFonts w:hint="eastAsia" w:ascii="宋体" w:hAnsi="宋体"/>
          <w:color w:val="auto"/>
          <w:sz w:val="24"/>
          <w:highlight w:val="none"/>
          <w:lang w:val="zh-CN"/>
        </w:rPr>
      </w:pPr>
      <w:r>
        <w:rPr>
          <w:rFonts w:hint="eastAsia" w:ascii="宋体" w:hAnsi="宋体"/>
          <w:bCs/>
          <w:color w:val="auto"/>
          <w:sz w:val="24"/>
          <w:highlight w:val="none"/>
        </w:rPr>
        <w:t>3.9  乙方及其工作人员不得</w:t>
      </w:r>
      <w:r>
        <w:rPr>
          <w:rFonts w:hint="eastAsia" w:ascii="宋体" w:hAnsi="宋体"/>
          <w:color w:val="auto"/>
          <w:sz w:val="24"/>
          <w:highlight w:val="none"/>
        </w:rPr>
        <w:t>违反规定</w:t>
      </w:r>
      <w:r>
        <w:rPr>
          <w:rFonts w:hint="eastAsia" w:ascii="宋体" w:hAnsi="宋体"/>
          <w:bCs/>
          <w:color w:val="auto"/>
          <w:sz w:val="24"/>
          <w:highlight w:val="none"/>
        </w:rPr>
        <w:t>与甲方及其工作人员发生利益输送行为。</w:t>
      </w:r>
    </w:p>
    <w:p w14:paraId="18E89628">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4、违约责任</w:t>
      </w:r>
    </w:p>
    <w:p w14:paraId="128A8116">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 xml:space="preserve">4.1  </w:t>
      </w:r>
      <w:r>
        <w:rPr>
          <w:rFonts w:hint="eastAsia" w:ascii="宋体" w:hAnsi="宋体"/>
          <w:color w:val="auto"/>
          <w:sz w:val="24"/>
          <w:highlight w:val="none"/>
        </w:rPr>
        <w:t>甲方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，依据</w:t>
      </w:r>
      <w:r>
        <w:rPr>
          <w:rFonts w:hint="eastAsia" w:ascii="宋体" w:hAnsi="宋体"/>
          <w:color w:val="auto"/>
          <w:sz w:val="24"/>
          <w:highlight w:val="none"/>
        </w:rPr>
        <w:t>委托方内部制度及</w:t>
      </w:r>
      <w:r>
        <w:rPr>
          <w:rFonts w:ascii="宋体" w:hAnsi="宋体"/>
          <w:color w:val="auto"/>
          <w:sz w:val="24"/>
          <w:highlight w:val="none"/>
        </w:rPr>
        <w:t>有关规定</w:t>
      </w:r>
      <w:r>
        <w:rPr>
          <w:rFonts w:hint="eastAsia" w:ascii="宋体" w:hAnsi="宋体"/>
          <w:color w:val="auto"/>
          <w:sz w:val="24"/>
          <w:highlight w:val="none"/>
        </w:rPr>
        <w:t>进行处理</w:t>
      </w:r>
      <w:r>
        <w:rPr>
          <w:rFonts w:ascii="宋体" w:hAnsi="宋体"/>
          <w:color w:val="auto"/>
          <w:sz w:val="24"/>
          <w:highlight w:val="none"/>
        </w:rPr>
        <w:t>；涉嫌犯罪的，移交司法机关追究刑事责任。</w:t>
      </w:r>
    </w:p>
    <w:p w14:paraId="3C97D7E0">
      <w:pPr>
        <w:spacing w:line="500" w:lineRule="exact"/>
        <w:ind w:firstLine="480" w:firstLineChars="200"/>
        <w:rPr>
          <w:rFonts w:hint="eastAsia" w:ascii="宋体" w:hAnsi="宋体"/>
          <w:color w:val="auto"/>
          <w:sz w:val="24"/>
          <w:highlight w:val="none"/>
          <w:lang w:val="zh-CN"/>
        </w:rPr>
      </w:pPr>
      <w:r>
        <w:rPr>
          <w:rFonts w:ascii="宋体" w:hAnsi="宋体"/>
          <w:color w:val="auto"/>
          <w:sz w:val="24"/>
          <w:highlight w:val="none"/>
        </w:rPr>
        <w:t>4.2</w:t>
      </w:r>
      <w:r>
        <w:rPr>
          <w:rFonts w:hint="eastAsia" w:ascii="宋体" w:hAnsi="宋体"/>
          <w:color w:val="auto"/>
          <w:sz w:val="24"/>
          <w:highlight w:val="none"/>
        </w:rPr>
        <w:t xml:space="preserve">  乙方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w:t>
      </w:r>
      <w:r>
        <w:rPr>
          <w:rFonts w:hint="eastAsia" w:ascii="宋体" w:hAnsi="宋体"/>
          <w:color w:val="auto"/>
          <w:sz w:val="24"/>
          <w:highlight w:val="none"/>
        </w:rPr>
        <w:t>由甲方告知并协助有关主管部门</w:t>
      </w:r>
      <w:r>
        <w:rPr>
          <w:rFonts w:ascii="宋体" w:hAnsi="宋体"/>
          <w:color w:val="auto"/>
          <w:sz w:val="24"/>
          <w:highlight w:val="none"/>
        </w:rPr>
        <w:t>依据</w:t>
      </w:r>
      <w:r>
        <w:rPr>
          <w:rFonts w:hint="eastAsia" w:ascii="宋体" w:hAnsi="宋体"/>
          <w:color w:val="auto"/>
          <w:sz w:val="24"/>
          <w:highlight w:val="none"/>
        </w:rPr>
        <w:t>相</w:t>
      </w:r>
      <w:r>
        <w:rPr>
          <w:rFonts w:ascii="宋体" w:hAnsi="宋体"/>
          <w:color w:val="auto"/>
          <w:sz w:val="24"/>
          <w:highlight w:val="none"/>
        </w:rPr>
        <w:t>关规定</w:t>
      </w:r>
      <w:r>
        <w:rPr>
          <w:rFonts w:hint="eastAsia" w:ascii="宋体" w:hAnsi="宋体"/>
          <w:color w:val="auto"/>
          <w:sz w:val="24"/>
          <w:highlight w:val="none"/>
        </w:rPr>
        <w:t>进行处理</w:t>
      </w:r>
      <w:r>
        <w:rPr>
          <w:rFonts w:ascii="宋体" w:hAnsi="宋体"/>
          <w:color w:val="auto"/>
          <w:sz w:val="24"/>
          <w:highlight w:val="none"/>
        </w:rPr>
        <w:t>；涉嫌犯罪的，</w:t>
      </w:r>
      <w:r>
        <w:rPr>
          <w:rFonts w:hint="eastAsia" w:ascii="宋体" w:hAnsi="宋体"/>
          <w:color w:val="auto"/>
          <w:sz w:val="24"/>
          <w:highlight w:val="none"/>
        </w:rPr>
        <w:t>由</w:t>
      </w:r>
      <w:r>
        <w:rPr>
          <w:rFonts w:ascii="宋体" w:hAnsi="宋体"/>
          <w:color w:val="auto"/>
          <w:sz w:val="24"/>
          <w:highlight w:val="none"/>
        </w:rPr>
        <w:t>司法机关追究刑事责任。</w:t>
      </w:r>
      <w:r>
        <w:rPr>
          <w:rFonts w:hint="eastAsia" w:ascii="宋体" w:hAnsi="宋体"/>
          <w:color w:val="auto"/>
          <w:sz w:val="24"/>
          <w:highlight w:val="none"/>
          <w:lang w:val="zh-CN"/>
        </w:rPr>
        <w:t>造成甲方经济损失的，应予赔偿。</w:t>
      </w:r>
    </w:p>
    <w:p w14:paraId="6D20D3C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5</w:t>
      </w:r>
      <w:r>
        <w:rPr>
          <w:rFonts w:ascii="宋体" w:hAnsi="宋体"/>
          <w:b/>
          <w:bCs/>
          <w:color w:val="auto"/>
          <w:sz w:val="24"/>
          <w:highlight w:val="none"/>
        </w:rPr>
        <w:t xml:space="preserve">  合同法律效力</w:t>
      </w:r>
    </w:p>
    <w:p w14:paraId="60E60236">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本合同作为</w:t>
      </w:r>
      <w:r>
        <w:rPr>
          <w:rFonts w:hint="eastAsia" w:ascii="宋体" w:hAnsi="宋体" w:cs="宋体"/>
          <w:color w:val="auto"/>
          <w:sz w:val="24"/>
          <w:szCs w:val="24"/>
          <w:highlight w:val="none"/>
        </w:rPr>
        <w:t>广州市白云区螺涌村、松南村、松北村城中村改造项目AB3802044安置地块项目第三方检测监测</w:t>
      </w:r>
      <w:r>
        <w:rPr>
          <w:rFonts w:hint="eastAsia" w:ascii="宋体" w:hAnsi="宋体"/>
          <w:color w:val="auto"/>
          <w:sz w:val="24"/>
          <w:highlight w:val="none"/>
          <w:u w:val="single"/>
        </w:rPr>
        <w:t>服务合同</w:t>
      </w:r>
      <w:r>
        <w:rPr>
          <w:rFonts w:ascii="宋体" w:hAnsi="宋体"/>
          <w:color w:val="auto"/>
          <w:sz w:val="24"/>
          <w:highlight w:val="none"/>
        </w:rPr>
        <w:t>的附件，与</w:t>
      </w:r>
      <w:r>
        <w:rPr>
          <w:rFonts w:hint="eastAsia" w:ascii="宋体" w:hAnsi="宋体"/>
          <w:color w:val="auto"/>
          <w:sz w:val="24"/>
          <w:highlight w:val="none"/>
        </w:rPr>
        <w:t>主</w:t>
      </w:r>
      <w:r>
        <w:rPr>
          <w:rFonts w:ascii="宋体" w:hAnsi="宋体"/>
          <w:color w:val="auto"/>
          <w:sz w:val="24"/>
          <w:highlight w:val="none"/>
        </w:rPr>
        <w:t>合同具有同等的法律效力，经双方签署后生效。</w:t>
      </w:r>
    </w:p>
    <w:p w14:paraId="0D057C2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6</w:t>
      </w:r>
      <w:r>
        <w:rPr>
          <w:rFonts w:ascii="宋体" w:hAnsi="宋体"/>
          <w:b/>
          <w:bCs/>
          <w:color w:val="auto"/>
          <w:sz w:val="24"/>
          <w:highlight w:val="none"/>
        </w:rPr>
        <w:t xml:space="preserve">  合同份数</w:t>
      </w:r>
    </w:p>
    <w:p w14:paraId="03D6F12C">
      <w:pPr>
        <w:pStyle w:val="12"/>
        <w:adjustRightInd w:val="0"/>
        <w:snapToGrid w:val="0"/>
        <w:spacing w:after="0" w:line="500" w:lineRule="exact"/>
        <w:ind w:firstLine="520" w:firstLineChars="217"/>
        <w:rPr>
          <w:rFonts w:hint="eastAsia" w:ascii="宋体" w:hAnsi="宋体"/>
          <w:color w:val="auto"/>
          <w:sz w:val="24"/>
          <w:highlight w:val="none"/>
        </w:rPr>
      </w:pP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w:t>
      </w:r>
      <w:r>
        <w:rPr>
          <w:rFonts w:hint="eastAsia" w:ascii="宋体" w:hAnsi="宋体" w:cs="长城行楷体"/>
          <w:color w:val="auto"/>
          <w:sz w:val="24"/>
          <w:highlight w:val="none"/>
        </w:rPr>
        <w:t>，均具有同等法律效力</w:t>
      </w:r>
      <w:r>
        <w:rPr>
          <w:rFonts w:ascii="宋体" w:hAnsi="宋体"/>
          <w:color w:val="auto"/>
          <w:sz w:val="24"/>
          <w:highlight w:val="none"/>
        </w:rPr>
        <w:t>。</w:t>
      </w:r>
    </w:p>
    <w:p w14:paraId="252D17AA">
      <w:pPr>
        <w:spacing w:line="460" w:lineRule="exact"/>
        <w:rPr>
          <w:rFonts w:hint="eastAsia" w:ascii="宋体" w:hAnsi="宋体"/>
          <w:color w:val="auto"/>
          <w:sz w:val="24"/>
          <w:highlight w:val="none"/>
        </w:rPr>
      </w:pPr>
    </w:p>
    <w:p w14:paraId="6B6E16C1">
      <w:pPr>
        <w:spacing w:line="460" w:lineRule="exact"/>
        <w:rPr>
          <w:rFonts w:hint="eastAsia" w:ascii="宋体" w:hAnsi="宋体"/>
          <w:color w:val="auto"/>
          <w:sz w:val="24"/>
          <w:highlight w:val="none"/>
        </w:rPr>
      </w:pPr>
    </w:p>
    <w:p w14:paraId="470B40A1">
      <w:pPr>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甲       方</w:t>
      </w:r>
      <w:r>
        <w:rPr>
          <w:rFonts w:ascii="宋体" w:hAnsi="宋体"/>
          <w:color w:val="auto"/>
          <w:sz w:val="24"/>
          <w:highlight w:val="none"/>
        </w:rPr>
        <w:t xml:space="preserve">：（公章）                 </w:t>
      </w:r>
      <w:r>
        <w:rPr>
          <w:rFonts w:hint="eastAsia" w:ascii="宋体" w:hAnsi="宋体"/>
          <w:color w:val="auto"/>
          <w:sz w:val="24"/>
          <w:highlight w:val="none"/>
        </w:rPr>
        <w:t xml:space="preserve"> 乙       方</w:t>
      </w:r>
      <w:r>
        <w:rPr>
          <w:rFonts w:ascii="宋体" w:hAnsi="宋体"/>
          <w:color w:val="auto"/>
          <w:sz w:val="24"/>
          <w:highlight w:val="none"/>
        </w:rPr>
        <w:t>：（公章）</w:t>
      </w:r>
    </w:p>
    <w:p w14:paraId="5D645444">
      <w:pPr>
        <w:tabs>
          <w:tab w:val="left" w:pos="525"/>
          <w:tab w:val="left" w:pos="1155"/>
        </w:tabs>
        <w:spacing w:line="4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p>
    <w:p w14:paraId="465C6BA7">
      <w:pPr>
        <w:spacing w:line="460" w:lineRule="exact"/>
        <w:ind w:firstLine="480" w:firstLineChars="200"/>
        <w:rPr>
          <w:rFonts w:hint="eastAsia" w:ascii="宋体" w:hAnsi="宋体"/>
          <w:color w:val="auto"/>
          <w:sz w:val="24"/>
          <w:highlight w:val="none"/>
        </w:rPr>
      </w:pPr>
    </w:p>
    <w:p w14:paraId="38774468">
      <w:pPr>
        <w:spacing w:line="460" w:lineRule="exact"/>
        <w:ind w:firstLine="480" w:firstLineChars="200"/>
        <w:rPr>
          <w:rFonts w:hint="eastAsia" w:ascii="宋体" w:hAnsi="宋体"/>
          <w:color w:val="auto"/>
          <w:sz w:val="24"/>
          <w:highlight w:val="none"/>
        </w:rPr>
      </w:pPr>
    </w:p>
    <w:p w14:paraId="4B07A91E">
      <w:pPr>
        <w:spacing w:line="460" w:lineRule="exact"/>
        <w:ind w:firstLine="480" w:firstLineChars="200"/>
        <w:rPr>
          <w:rFonts w:hint="eastAsia" w:ascii="宋体" w:hAnsi="宋体"/>
          <w:color w:val="auto"/>
          <w:sz w:val="24"/>
          <w:highlight w:val="none"/>
        </w:rPr>
      </w:pPr>
    </w:p>
    <w:p w14:paraId="0344B235">
      <w:pPr>
        <w:spacing w:line="460" w:lineRule="exact"/>
        <w:ind w:firstLine="480" w:firstLineChars="200"/>
        <w:rPr>
          <w:rFonts w:hint="eastAsia" w:ascii="宋体" w:hAnsi="宋体"/>
          <w:color w:val="auto"/>
          <w:sz w:val="24"/>
          <w:highlight w:val="none"/>
        </w:rPr>
      </w:pPr>
    </w:p>
    <w:p w14:paraId="621008B2">
      <w:pPr>
        <w:tabs>
          <w:tab w:val="left" w:pos="4320"/>
          <w:tab w:val="left" w:pos="6195"/>
        </w:tabs>
        <w:spacing w:line="460" w:lineRule="exact"/>
        <w:rPr>
          <w:rFonts w:hint="eastAsia"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p>
    <w:p w14:paraId="47B73ADC">
      <w:pPr>
        <w:autoSpaceDE w:val="0"/>
        <w:autoSpaceDN w:val="0"/>
        <w:spacing w:line="460" w:lineRule="exact"/>
        <w:ind w:firstLine="2400" w:firstLineChars="1000"/>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2A0860AE">
      <w:pPr>
        <w:spacing w:line="460" w:lineRule="exact"/>
        <w:rPr>
          <w:color w:val="auto"/>
          <w:highlight w:val="none"/>
        </w:rPr>
        <w:sectPr>
          <w:footerReference r:id="rId5" w:type="first"/>
          <w:headerReference r:id="rId3" w:type="default"/>
          <w:footerReference r:id="rId4" w:type="default"/>
          <w:pgSz w:w="11906" w:h="16838"/>
          <w:pgMar w:top="1418" w:right="1418" w:bottom="1418" w:left="1418" w:header="851" w:footer="851" w:gutter="0"/>
          <w:cols w:space="720" w:num="1"/>
          <w:titlePg/>
          <w:docGrid w:linePitch="312" w:charSpace="0"/>
        </w:sectPr>
      </w:pPr>
    </w:p>
    <w:p w14:paraId="24396400">
      <w:pPr>
        <w:spacing w:line="460" w:lineRule="exact"/>
        <w:rPr>
          <w:rFonts w:hint="eastAsia" w:hAnsi="宋体"/>
          <w:b/>
          <w:color w:val="auto"/>
          <w:sz w:val="24"/>
          <w:szCs w:val="24"/>
          <w:highlight w:val="none"/>
        </w:rPr>
      </w:pPr>
      <w:r>
        <w:rPr>
          <w:rFonts w:hint="eastAsia" w:hAnsi="宋体"/>
          <w:b/>
          <w:color w:val="auto"/>
          <w:sz w:val="24"/>
          <w:szCs w:val="24"/>
          <w:highlight w:val="none"/>
        </w:rPr>
        <w:t>附件3：</w:t>
      </w:r>
      <w:r>
        <w:rPr>
          <w:rFonts w:hint="eastAsia" w:hAnsi="宋体"/>
          <w:color w:val="auto"/>
          <w:sz w:val="24"/>
          <w:highlight w:val="none"/>
        </w:rPr>
        <w:t>工程量清单</w:t>
      </w:r>
    </w:p>
    <w:p w14:paraId="22CF7DA4">
      <w:pPr>
        <w:rPr>
          <w:color w:val="auto"/>
          <w:highlight w:val="none"/>
        </w:rPr>
      </w:pPr>
    </w:p>
    <w:bookmarkEnd w:id="1"/>
    <w:sectPr>
      <w:pgSz w:w="11906" w:h="16838"/>
      <w:pgMar w:top="1418" w:right="1418" w:bottom="1418" w:left="1418" w:header="851" w:footer="851"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长城行楷体">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3AE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r>
      <w:rPr>
        <w:lang w:val="zh-CN"/>
      </w:rPr>
      <w:t xml:space="preserve"> </w:t>
    </w:r>
  </w:p>
  <w:p w14:paraId="1753F996">
    <w:pPr>
      <w:pStyle w:val="8"/>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503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3C5B">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B75EE7"/>
    <w:rsid w:val="00165EE4"/>
    <w:rsid w:val="004C003A"/>
    <w:rsid w:val="005D7E17"/>
    <w:rsid w:val="007108FE"/>
    <w:rsid w:val="00726FC3"/>
    <w:rsid w:val="00745272"/>
    <w:rsid w:val="0076209B"/>
    <w:rsid w:val="00815631"/>
    <w:rsid w:val="00860767"/>
    <w:rsid w:val="009E5E4F"/>
    <w:rsid w:val="00B75EE7"/>
    <w:rsid w:val="00CE6CB3"/>
    <w:rsid w:val="00D475F5"/>
    <w:rsid w:val="00ED0588"/>
    <w:rsid w:val="00F01090"/>
    <w:rsid w:val="00F25ECF"/>
    <w:rsid w:val="021D3D58"/>
    <w:rsid w:val="05354389"/>
    <w:rsid w:val="06200572"/>
    <w:rsid w:val="066629BD"/>
    <w:rsid w:val="06AC2189"/>
    <w:rsid w:val="06ED17A5"/>
    <w:rsid w:val="089903B0"/>
    <w:rsid w:val="09657733"/>
    <w:rsid w:val="09C84FBA"/>
    <w:rsid w:val="0C1959B7"/>
    <w:rsid w:val="0C1A06F4"/>
    <w:rsid w:val="0D4955C5"/>
    <w:rsid w:val="0DE03EC2"/>
    <w:rsid w:val="0FC55EF5"/>
    <w:rsid w:val="10B9114E"/>
    <w:rsid w:val="13161BDA"/>
    <w:rsid w:val="149678F1"/>
    <w:rsid w:val="15456C5E"/>
    <w:rsid w:val="1745497E"/>
    <w:rsid w:val="19C1381C"/>
    <w:rsid w:val="1A753173"/>
    <w:rsid w:val="1B416BA3"/>
    <w:rsid w:val="1B7364E2"/>
    <w:rsid w:val="1BA23AE5"/>
    <w:rsid w:val="1C6E5569"/>
    <w:rsid w:val="20D7735B"/>
    <w:rsid w:val="2258574C"/>
    <w:rsid w:val="23D77B89"/>
    <w:rsid w:val="259F791D"/>
    <w:rsid w:val="26064C71"/>
    <w:rsid w:val="272A11D3"/>
    <w:rsid w:val="2A58526A"/>
    <w:rsid w:val="2B74267D"/>
    <w:rsid w:val="2D4A18E7"/>
    <w:rsid w:val="2EC678F9"/>
    <w:rsid w:val="2EC86572"/>
    <w:rsid w:val="2FF848D2"/>
    <w:rsid w:val="31D12D4B"/>
    <w:rsid w:val="334240BD"/>
    <w:rsid w:val="33596C67"/>
    <w:rsid w:val="36EA7C97"/>
    <w:rsid w:val="37241059"/>
    <w:rsid w:val="376E6B1A"/>
    <w:rsid w:val="3A1439A9"/>
    <w:rsid w:val="3BF06731"/>
    <w:rsid w:val="3DCF5128"/>
    <w:rsid w:val="42983A45"/>
    <w:rsid w:val="44F248E6"/>
    <w:rsid w:val="46785635"/>
    <w:rsid w:val="47926DE9"/>
    <w:rsid w:val="49482C4B"/>
    <w:rsid w:val="4C027F84"/>
    <w:rsid w:val="4EEE0E10"/>
    <w:rsid w:val="51976AB4"/>
    <w:rsid w:val="51E725DD"/>
    <w:rsid w:val="53D016AD"/>
    <w:rsid w:val="54CD3DD1"/>
    <w:rsid w:val="562E4292"/>
    <w:rsid w:val="56F76DEB"/>
    <w:rsid w:val="578506F9"/>
    <w:rsid w:val="57B260AB"/>
    <w:rsid w:val="58A522DB"/>
    <w:rsid w:val="5B170CF4"/>
    <w:rsid w:val="5C250EDC"/>
    <w:rsid w:val="5CDF02B3"/>
    <w:rsid w:val="5DA86E3E"/>
    <w:rsid w:val="60E46B64"/>
    <w:rsid w:val="61C96577"/>
    <w:rsid w:val="62891879"/>
    <w:rsid w:val="6311591D"/>
    <w:rsid w:val="64DB6C55"/>
    <w:rsid w:val="6A2F3D36"/>
    <w:rsid w:val="6A6F5A79"/>
    <w:rsid w:val="730B7B7D"/>
    <w:rsid w:val="790270ED"/>
    <w:rsid w:val="79381735"/>
    <w:rsid w:val="79F91C98"/>
    <w:rsid w:val="7F6001BA"/>
    <w:rsid w:val="7FDE6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宋体" w:cs="Times New Roman"/>
      <w:kern w:val="2"/>
      <w:sz w:val="21"/>
      <w:szCs w:val="3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4">
    <w:name w:val="annotation text"/>
    <w:basedOn w:val="1"/>
    <w:link w:val="19"/>
    <w:autoRedefine/>
    <w:qFormat/>
    <w:uiPriority w:val="0"/>
    <w:pPr>
      <w:jc w:val="left"/>
    </w:pPr>
  </w:style>
  <w:style w:type="paragraph" w:styleId="5">
    <w:name w:val="Body Text"/>
    <w:basedOn w:val="1"/>
    <w:next w:val="1"/>
    <w:autoRedefine/>
    <w:qFormat/>
    <w:uiPriority w:val="0"/>
    <w:pPr>
      <w:spacing w:after="120"/>
    </w:pPr>
  </w:style>
  <w:style w:type="paragraph" w:styleId="6">
    <w:name w:val="Body Text Indent"/>
    <w:basedOn w:val="1"/>
    <w:autoRedefine/>
    <w:qFormat/>
    <w:uiPriority w:val="0"/>
    <w:pPr>
      <w:ind w:firstLine="570"/>
    </w:pPr>
    <w:rPr>
      <w:rFonts w:ascii="Times New Roman"/>
      <w:sz w:val="28"/>
      <w:szCs w:val="20"/>
    </w:rPr>
  </w:style>
  <w:style w:type="paragraph" w:styleId="7">
    <w:name w:val="Plain Text"/>
    <w:basedOn w:val="1"/>
    <w:next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annotation subject"/>
    <w:basedOn w:val="4"/>
    <w:next w:val="4"/>
    <w:link w:val="20"/>
    <w:autoRedefine/>
    <w:qFormat/>
    <w:uiPriority w:val="0"/>
    <w:rPr>
      <w:b/>
      <w:bCs/>
    </w:rPr>
  </w:style>
  <w:style w:type="paragraph" w:styleId="12">
    <w:name w:val="Body Text First Indent"/>
    <w:basedOn w:val="5"/>
    <w:next w:val="5"/>
    <w:autoRedefine/>
    <w:qFormat/>
    <w:uiPriority w:val="0"/>
    <w:pPr>
      <w:ind w:firstLine="420"/>
    </w:pPr>
    <w:rPr>
      <w:rFonts w:ascii="Times New Roman"/>
      <w:szCs w:val="20"/>
    </w:rPr>
  </w:style>
  <w:style w:type="paragraph" w:styleId="13">
    <w:name w:val="Body Text First Indent 2"/>
    <w:basedOn w:val="6"/>
    <w:autoRedefine/>
    <w:qFormat/>
    <w:uiPriority w:val="0"/>
    <w:pPr>
      <w:ind w:firstLine="420" w:firstLineChars="200"/>
    </w:pPr>
    <w:rPr>
      <w:szCs w:val="24"/>
    </w:rPr>
  </w:style>
  <w:style w:type="character" w:styleId="16">
    <w:name w:val="annotation reference"/>
    <w:basedOn w:val="15"/>
    <w:autoRedefine/>
    <w:qFormat/>
    <w:uiPriority w:val="0"/>
    <w:rPr>
      <w:sz w:val="21"/>
      <w:szCs w:val="21"/>
    </w:rPr>
  </w:style>
  <w:style w:type="paragraph" w:customStyle="1" w:styleId="1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Revision"/>
    <w:autoRedefine/>
    <w:hidden/>
    <w:unhideWhenUsed/>
    <w:qFormat/>
    <w:uiPriority w:val="99"/>
    <w:rPr>
      <w:rFonts w:ascii="仿宋_GB2312" w:hAnsi="Times New Roman" w:eastAsia="宋体" w:cs="Times New Roman"/>
      <w:kern w:val="2"/>
      <w:sz w:val="21"/>
      <w:szCs w:val="32"/>
      <w:lang w:val="en-US" w:eastAsia="zh-CN" w:bidi="ar-SA"/>
    </w:rPr>
  </w:style>
  <w:style w:type="character" w:customStyle="1" w:styleId="19">
    <w:name w:val="批注文字 字符"/>
    <w:basedOn w:val="15"/>
    <w:link w:val="4"/>
    <w:autoRedefine/>
    <w:qFormat/>
    <w:uiPriority w:val="0"/>
    <w:rPr>
      <w:rFonts w:ascii="仿宋_GB2312" w:hAnsi="Times New Roman" w:eastAsia="宋体" w:cs="Times New Roman"/>
      <w:kern w:val="2"/>
      <w:sz w:val="21"/>
      <w:szCs w:val="32"/>
    </w:rPr>
  </w:style>
  <w:style w:type="character" w:customStyle="1" w:styleId="20">
    <w:name w:val="批注主题 字符"/>
    <w:basedOn w:val="19"/>
    <w:link w:val="11"/>
    <w:autoRedefine/>
    <w:qFormat/>
    <w:uiPriority w:val="0"/>
    <w:rPr>
      <w:rFonts w:ascii="仿宋_GB2312" w:hAnsi="Times New Roman" w:eastAsia="宋体" w:cs="Times New Roman"/>
      <w:b/>
      <w:bCs/>
      <w:kern w:val="2"/>
      <w:sz w:val="21"/>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12429</Words>
  <Characters>12617</Characters>
  <Lines>98</Lines>
  <Paragraphs>27</Paragraphs>
  <TotalTime>0</TotalTime>
  <ScaleCrop>false</ScaleCrop>
  <LinksUpToDate>false</LinksUpToDate>
  <CharactersWithSpaces>13543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2024-07-29T11:02:00Z</dcterms:created>
  <dc:creator>10263</dc:creator>
  <cp:lastModifiedBy>Luck swing</cp:lastModifiedBy>
  <dcterms:modified xsi:type="dcterms:W3CDTF">2025-05-28T06:14:04Z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A0A101CE263F47DB97E6EDFCE63FCF54</vt:lpwstr>
  </property>
  <property fmtid="{D5CDD505-2E9C-101B-9397-08002B2CF9AE}" pid="4" name="KSOTemplateDocerSaveRecord">
    <vt:lpwstr>eyJoZGlkIjoiYzFlYzU0ZWY2OTk0M2IwOGI2OGY0MWEzNDNiOWM4ODYiLCJ1c2VySWQiOiIzODA3ODM0MjUifQ==</vt:lpwstr>
  </property>
</Properties>
</file>