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AC22937">
      <w:pPr>
        <w:rPr>
          <w:color w:val="auto"/>
          <w:sz w:val="44"/>
          <w:szCs w:val="44"/>
          <w:highlight w:val="none"/>
        </w:rPr>
      </w:pPr>
      <w:r>
        <w:rPr>
          <w:rFonts w:hint="eastAsia"/>
          <w:color w:val="auto"/>
          <w:sz w:val="44"/>
          <w:szCs w:val="44"/>
          <w:highlight w:val="none"/>
        </w:rPr>
        <w:t>SF-20XX-XXXX</w:t>
      </w:r>
    </w:p>
    <w:p w14:paraId="2DCFBBCB">
      <w:pPr>
        <w:wordWrap w:val="0"/>
        <w:jc w:val="right"/>
        <w:rPr>
          <w:color w:val="auto"/>
          <w:sz w:val="32"/>
          <w:szCs w:val="32"/>
          <w:highlight w:val="none"/>
        </w:rPr>
      </w:pPr>
      <w:r>
        <w:rPr>
          <w:rFonts w:hint="eastAsia"/>
          <w:color w:val="auto"/>
          <w:sz w:val="32"/>
          <w:szCs w:val="32"/>
          <w:highlight w:val="none"/>
        </w:rPr>
        <w:t>项目编码：</w:t>
      </w:r>
      <w:r>
        <w:rPr>
          <w:color w:val="auto"/>
          <w:sz w:val="32"/>
          <w:szCs w:val="32"/>
          <w:highlight w:val="none"/>
          <w:u w:val="single"/>
        </w:rPr>
        <w:t xml:space="preserve">        </w:t>
      </w:r>
    </w:p>
    <w:p w14:paraId="1485665E">
      <w:pPr>
        <w:wordWrap w:val="0"/>
        <w:jc w:val="right"/>
        <w:rPr>
          <w:color w:val="auto"/>
          <w:sz w:val="32"/>
          <w:szCs w:val="32"/>
          <w:highlight w:val="none"/>
        </w:rPr>
      </w:pPr>
      <w:r>
        <w:rPr>
          <w:rFonts w:hint="eastAsia"/>
          <w:color w:val="auto"/>
          <w:sz w:val="32"/>
          <w:szCs w:val="32"/>
          <w:highlight w:val="none"/>
        </w:rPr>
        <w:t>工程编码：</w:t>
      </w:r>
      <w:r>
        <w:rPr>
          <w:color w:val="auto"/>
          <w:sz w:val="32"/>
          <w:szCs w:val="32"/>
          <w:highlight w:val="none"/>
          <w:u w:val="single"/>
        </w:rPr>
        <w:t xml:space="preserve">        </w:t>
      </w:r>
    </w:p>
    <w:p w14:paraId="6E7141FF">
      <w:pPr>
        <w:wordWrap w:val="0"/>
        <w:jc w:val="right"/>
        <w:rPr>
          <w:color w:val="auto"/>
          <w:sz w:val="32"/>
          <w:szCs w:val="32"/>
          <w:highlight w:val="none"/>
          <w:u w:val="single"/>
        </w:rPr>
      </w:pPr>
      <w:r>
        <w:rPr>
          <w:rFonts w:hint="eastAsia"/>
          <w:color w:val="auto"/>
          <w:sz w:val="32"/>
          <w:szCs w:val="32"/>
          <w:highlight w:val="none"/>
        </w:rPr>
        <w:t>合同编号：</w:t>
      </w:r>
      <w:r>
        <w:rPr>
          <w:color w:val="auto"/>
          <w:sz w:val="32"/>
          <w:szCs w:val="32"/>
          <w:highlight w:val="none"/>
          <w:u w:val="single"/>
        </w:rPr>
        <w:t xml:space="preserve">        </w:t>
      </w:r>
    </w:p>
    <w:p w14:paraId="25C9D5D9">
      <w:pPr>
        <w:jc w:val="center"/>
        <w:rPr>
          <w:color w:val="auto"/>
          <w:sz w:val="44"/>
          <w:szCs w:val="44"/>
          <w:highlight w:val="none"/>
        </w:rPr>
      </w:pPr>
    </w:p>
    <w:p w14:paraId="1DFA0CF3">
      <w:pPr>
        <w:jc w:val="center"/>
        <w:rPr>
          <w:color w:val="auto"/>
          <w:sz w:val="44"/>
          <w:szCs w:val="44"/>
          <w:highlight w:val="none"/>
        </w:rPr>
      </w:pPr>
    </w:p>
    <w:p w14:paraId="71A7A33C">
      <w:pPr>
        <w:jc w:val="center"/>
        <w:rPr>
          <w:color w:val="auto"/>
          <w:sz w:val="52"/>
          <w:szCs w:val="52"/>
          <w:highlight w:val="none"/>
        </w:rPr>
      </w:pPr>
      <w:r>
        <w:rPr>
          <w:rFonts w:hint="eastAsia"/>
          <w:color w:val="auto"/>
          <w:sz w:val="52"/>
          <w:szCs w:val="52"/>
          <w:highlight w:val="none"/>
        </w:rPr>
        <w:t>广州市建设工程总承包合同</w:t>
      </w:r>
    </w:p>
    <w:p w14:paraId="42C31095">
      <w:pPr>
        <w:jc w:val="center"/>
        <w:rPr>
          <w:color w:val="auto"/>
          <w:sz w:val="52"/>
          <w:szCs w:val="52"/>
          <w:highlight w:val="none"/>
        </w:rPr>
      </w:pPr>
    </w:p>
    <w:p w14:paraId="40A85C90">
      <w:pPr>
        <w:jc w:val="center"/>
        <w:rPr>
          <w:color w:val="auto"/>
          <w:sz w:val="52"/>
          <w:szCs w:val="52"/>
          <w:highlight w:val="none"/>
        </w:rPr>
      </w:pPr>
    </w:p>
    <w:p w14:paraId="79B7A20E">
      <w:pPr>
        <w:ind w:left="1600" w:hanging="1600" w:hangingChars="500"/>
        <w:rPr>
          <w:color w:val="auto"/>
          <w:sz w:val="32"/>
          <w:szCs w:val="32"/>
          <w:highlight w:val="none"/>
        </w:rPr>
      </w:pPr>
      <w:r>
        <w:rPr>
          <w:rFonts w:hint="eastAsia"/>
          <w:color w:val="auto"/>
          <w:sz w:val="32"/>
          <w:szCs w:val="32"/>
          <w:highlight w:val="none"/>
        </w:rPr>
        <w:t>工程名称：</w:t>
      </w:r>
      <w:r>
        <w:rPr>
          <w:rFonts w:hint="eastAsia"/>
          <w:color w:val="auto"/>
          <w:sz w:val="32"/>
          <w:szCs w:val="32"/>
          <w:highlight w:val="none"/>
          <w:u w:val="single"/>
        </w:rPr>
        <w:t xml:space="preserve">                                  </w:t>
      </w:r>
    </w:p>
    <w:p w14:paraId="675B4EBF">
      <w:pPr>
        <w:rPr>
          <w:rFonts w:hint="eastAsia" w:eastAsiaTheme="minorEastAsia"/>
          <w:color w:val="auto"/>
          <w:sz w:val="32"/>
          <w:szCs w:val="32"/>
          <w:highlight w:val="none"/>
          <w:lang w:eastAsia="zh-CN"/>
        </w:rPr>
      </w:pPr>
      <w:r>
        <w:rPr>
          <w:rFonts w:hint="eastAsia"/>
          <w:color w:val="auto"/>
          <w:sz w:val="32"/>
          <w:szCs w:val="32"/>
          <w:highlight w:val="none"/>
        </w:rPr>
        <w:t>工程地点：</w:t>
      </w:r>
      <w:r>
        <w:rPr>
          <w:rFonts w:hint="eastAsia"/>
          <w:color w:val="auto"/>
          <w:sz w:val="32"/>
          <w:szCs w:val="32"/>
          <w:highlight w:val="none"/>
          <w:u w:val="single"/>
          <w:lang w:eastAsia="zh-CN"/>
        </w:rPr>
        <w:t>广州市花都区花山镇106国道花山市场广场南侧</w:t>
      </w:r>
    </w:p>
    <w:p w14:paraId="170A8050">
      <w:pPr>
        <w:rPr>
          <w:color w:val="auto"/>
          <w:sz w:val="32"/>
          <w:szCs w:val="32"/>
          <w:highlight w:val="none"/>
        </w:rPr>
      </w:pPr>
      <w:r>
        <w:rPr>
          <w:rFonts w:hint="eastAsia"/>
          <w:color w:val="auto"/>
          <w:sz w:val="32"/>
          <w:szCs w:val="32"/>
          <w:highlight w:val="none"/>
        </w:rPr>
        <w:t>发 包 人：</w:t>
      </w:r>
      <w:r>
        <w:rPr>
          <w:rFonts w:hint="eastAsia"/>
          <w:color w:val="auto"/>
          <w:sz w:val="32"/>
          <w:szCs w:val="32"/>
          <w:highlight w:val="none"/>
          <w:u w:val="single"/>
        </w:rPr>
        <w:t>广州市花都区花山镇人民政府</w:t>
      </w:r>
    </w:p>
    <w:p w14:paraId="6BBABD96">
      <w:pPr>
        <w:rPr>
          <w:color w:val="auto"/>
          <w:sz w:val="32"/>
          <w:szCs w:val="32"/>
          <w:highlight w:val="none"/>
        </w:rPr>
      </w:pPr>
      <w:r>
        <w:rPr>
          <w:rFonts w:hint="eastAsia"/>
          <w:color w:val="auto"/>
          <w:sz w:val="32"/>
          <w:szCs w:val="32"/>
          <w:highlight w:val="none"/>
        </w:rPr>
        <w:t>承 包 人：</w:t>
      </w:r>
      <w:r>
        <w:rPr>
          <w:rFonts w:hint="eastAsia"/>
          <w:color w:val="auto"/>
          <w:sz w:val="32"/>
          <w:szCs w:val="32"/>
          <w:highlight w:val="none"/>
          <w:u w:val="single"/>
        </w:rPr>
        <w:t xml:space="preserve">                                     </w:t>
      </w:r>
    </w:p>
    <w:p w14:paraId="5D4622EA">
      <w:pPr>
        <w:rPr>
          <w:color w:val="auto"/>
          <w:sz w:val="32"/>
          <w:szCs w:val="32"/>
          <w:highlight w:val="none"/>
        </w:rPr>
      </w:pPr>
    </w:p>
    <w:p w14:paraId="1B865C99">
      <w:pPr>
        <w:rPr>
          <w:color w:val="auto"/>
          <w:sz w:val="44"/>
          <w:szCs w:val="44"/>
          <w:highlight w:val="none"/>
        </w:rPr>
      </w:pPr>
    </w:p>
    <w:p w14:paraId="5AD5A157">
      <w:pPr>
        <w:tabs>
          <w:tab w:val="left" w:pos="1701"/>
          <w:tab w:val="left" w:pos="1985"/>
        </w:tabs>
        <w:jc w:val="center"/>
        <w:rPr>
          <w:color w:val="auto"/>
          <w:sz w:val="32"/>
          <w:szCs w:val="32"/>
          <w:highlight w:val="none"/>
        </w:rPr>
      </w:pPr>
      <w:r>
        <w:rPr>
          <w:rFonts w:hint="eastAsia"/>
          <w:color w:val="auto"/>
          <w:sz w:val="32"/>
          <w:szCs w:val="32"/>
          <w:highlight w:val="none"/>
        </w:rPr>
        <w:t>广</w:t>
      </w:r>
      <w:r>
        <w:rPr>
          <w:color w:val="auto"/>
          <w:sz w:val="32"/>
          <w:szCs w:val="32"/>
          <w:highlight w:val="none"/>
        </w:rPr>
        <w:t xml:space="preserve"> </w:t>
      </w:r>
      <w:r>
        <w:rPr>
          <w:rFonts w:hint="eastAsia"/>
          <w:color w:val="auto"/>
          <w:sz w:val="32"/>
          <w:szCs w:val="32"/>
          <w:highlight w:val="none"/>
        </w:rPr>
        <w:t>州</w:t>
      </w:r>
      <w:r>
        <w:rPr>
          <w:color w:val="auto"/>
          <w:sz w:val="32"/>
          <w:szCs w:val="32"/>
          <w:highlight w:val="none"/>
        </w:rPr>
        <w:t xml:space="preserve"> </w:t>
      </w:r>
      <w:r>
        <w:rPr>
          <w:rFonts w:hint="eastAsia"/>
          <w:color w:val="auto"/>
          <w:sz w:val="32"/>
          <w:szCs w:val="32"/>
          <w:highlight w:val="none"/>
        </w:rPr>
        <w:t>市</w:t>
      </w:r>
      <w:r>
        <w:rPr>
          <w:color w:val="auto"/>
          <w:sz w:val="32"/>
          <w:szCs w:val="32"/>
          <w:highlight w:val="none"/>
        </w:rPr>
        <w:t xml:space="preserve"> </w:t>
      </w:r>
      <w:r>
        <w:rPr>
          <w:rFonts w:hint="eastAsia"/>
          <w:color w:val="auto"/>
          <w:sz w:val="32"/>
          <w:szCs w:val="32"/>
          <w:highlight w:val="none"/>
        </w:rPr>
        <w:t>住</w:t>
      </w:r>
      <w:r>
        <w:rPr>
          <w:color w:val="auto"/>
          <w:sz w:val="32"/>
          <w:szCs w:val="32"/>
          <w:highlight w:val="none"/>
        </w:rPr>
        <w:t xml:space="preserve"> </w:t>
      </w:r>
      <w:r>
        <w:rPr>
          <w:rFonts w:hint="eastAsia"/>
          <w:color w:val="auto"/>
          <w:sz w:val="32"/>
          <w:szCs w:val="32"/>
          <w:highlight w:val="none"/>
        </w:rPr>
        <w:t>房</w:t>
      </w:r>
      <w:r>
        <w:rPr>
          <w:color w:val="auto"/>
          <w:sz w:val="32"/>
          <w:szCs w:val="32"/>
          <w:highlight w:val="none"/>
        </w:rPr>
        <w:t xml:space="preserve"> </w:t>
      </w:r>
      <w:r>
        <w:rPr>
          <w:rFonts w:hint="eastAsia"/>
          <w:color w:val="auto"/>
          <w:sz w:val="32"/>
          <w:szCs w:val="32"/>
          <w:highlight w:val="none"/>
        </w:rPr>
        <w:t>和</w:t>
      </w:r>
      <w:r>
        <w:rPr>
          <w:color w:val="auto"/>
          <w:sz w:val="32"/>
          <w:szCs w:val="32"/>
          <w:highlight w:val="none"/>
        </w:rPr>
        <w:t xml:space="preserve"> </w:t>
      </w:r>
      <w:r>
        <w:rPr>
          <w:rFonts w:hint="eastAsia"/>
          <w:color w:val="auto"/>
          <w:sz w:val="32"/>
          <w:szCs w:val="32"/>
          <w:highlight w:val="none"/>
        </w:rPr>
        <w:t>城</w:t>
      </w:r>
      <w:r>
        <w:rPr>
          <w:color w:val="auto"/>
          <w:sz w:val="32"/>
          <w:szCs w:val="32"/>
          <w:highlight w:val="none"/>
        </w:rPr>
        <w:t xml:space="preserve"> </w:t>
      </w:r>
      <w:r>
        <w:rPr>
          <w:rFonts w:hint="eastAsia"/>
          <w:color w:val="auto"/>
          <w:sz w:val="32"/>
          <w:szCs w:val="32"/>
          <w:highlight w:val="none"/>
        </w:rPr>
        <w:t>乡</w:t>
      </w:r>
      <w:r>
        <w:rPr>
          <w:color w:val="auto"/>
          <w:sz w:val="32"/>
          <w:szCs w:val="32"/>
          <w:highlight w:val="none"/>
        </w:rPr>
        <w:t xml:space="preserve"> </w:t>
      </w:r>
      <w:r>
        <w:rPr>
          <w:rFonts w:hint="eastAsia"/>
          <w:color w:val="auto"/>
          <w:sz w:val="32"/>
          <w:szCs w:val="32"/>
          <w:highlight w:val="none"/>
        </w:rPr>
        <w:t>建</w:t>
      </w:r>
      <w:r>
        <w:rPr>
          <w:color w:val="auto"/>
          <w:sz w:val="32"/>
          <w:szCs w:val="32"/>
          <w:highlight w:val="none"/>
        </w:rPr>
        <w:t xml:space="preserve"> </w:t>
      </w:r>
      <w:r>
        <w:rPr>
          <w:rFonts w:hint="eastAsia"/>
          <w:color w:val="auto"/>
          <w:sz w:val="32"/>
          <w:szCs w:val="32"/>
          <w:highlight w:val="none"/>
        </w:rPr>
        <w:t>设</w:t>
      </w:r>
      <w:r>
        <w:rPr>
          <w:color w:val="auto"/>
          <w:sz w:val="32"/>
          <w:szCs w:val="32"/>
          <w:highlight w:val="none"/>
        </w:rPr>
        <w:t xml:space="preserve"> </w:t>
      </w:r>
      <w:r>
        <w:rPr>
          <w:rFonts w:hint="eastAsia"/>
          <w:color w:val="auto"/>
          <w:sz w:val="32"/>
          <w:szCs w:val="32"/>
          <w:highlight w:val="none"/>
        </w:rPr>
        <w:t>局</w:t>
      </w:r>
    </w:p>
    <w:p w14:paraId="660FBF22">
      <w:pPr>
        <w:tabs>
          <w:tab w:val="left" w:pos="1701"/>
          <w:tab w:val="left" w:pos="1985"/>
        </w:tabs>
        <w:wordWrap w:val="0"/>
        <w:jc w:val="right"/>
        <w:rPr>
          <w:color w:val="auto"/>
          <w:sz w:val="32"/>
          <w:szCs w:val="32"/>
          <w:highlight w:val="none"/>
        </w:rPr>
      </w:pPr>
      <w:r>
        <w:rPr>
          <w:rFonts w:hint="eastAsia"/>
          <w:color w:val="auto"/>
          <w:sz w:val="32"/>
          <w:szCs w:val="32"/>
          <w:highlight w:val="none"/>
        </w:rPr>
        <w:t>制定</w:t>
      </w:r>
      <w:r>
        <w:rPr>
          <w:color w:val="auto"/>
          <w:sz w:val="32"/>
          <w:szCs w:val="32"/>
          <w:highlight w:val="none"/>
        </w:rPr>
        <w:t xml:space="preserve">  </w:t>
      </w:r>
    </w:p>
    <w:p w14:paraId="3411FAED">
      <w:pPr>
        <w:tabs>
          <w:tab w:val="left" w:pos="1701"/>
          <w:tab w:val="left" w:pos="1985"/>
        </w:tabs>
        <w:jc w:val="center"/>
        <w:rPr>
          <w:color w:val="auto"/>
          <w:sz w:val="32"/>
          <w:szCs w:val="32"/>
          <w:highlight w:val="none"/>
        </w:rPr>
        <w:sectPr>
          <w:pgSz w:w="11906" w:h="16838"/>
          <w:pgMar w:top="1440" w:right="1416" w:bottom="1440" w:left="1800" w:header="851" w:footer="992" w:gutter="0"/>
          <w:cols w:space="425" w:num="1"/>
          <w:docGrid w:type="lines" w:linePitch="312" w:charSpace="0"/>
        </w:sectPr>
      </w:pPr>
      <w:r>
        <w:rPr>
          <w:rFonts w:hint="eastAsia"/>
          <w:color w:val="auto"/>
          <w:sz w:val="32"/>
          <w:szCs w:val="32"/>
          <w:highlight w:val="none"/>
        </w:rPr>
        <w:t>广</w:t>
      </w:r>
      <w:r>
        <w:rPr>
          <w:color w:val="auto"/>
          <w:sz w:val="32"/>
          <w:szCs w:val="32"/>
          <w:highlight w:val="none"/>
        </w:rPr>
        <w:t xml:space="preserve"> </w:t>
      </w:r>
      <w:r>
        <w:rPr>
          <w:rFonts w:hint="eastAsia"/>
          <w:color w:val="auto"/>
          <w:sz w:val="32"/>
          <w:szCs w:val="32"/>
          <w:highlight w:val="none"/>
        </w:rPr>
        <w:t>州</w:t>
      </w:r>
      <w:r>
        <w:rPr>
          <w:color w:val="auto"/>
          <w:sz w:val="32"/>
          <w:szCs w:val="32"/>
          <w:highlight w:val="none"/>
        </w:rPr>
        <w:t xml:space="preserve"> </w:t>
      </w:r>
      <w:r>
        <w:rPr>
          <w:rFonts w:hint="eastAsia"/>
          <w:color w:val="auto"/>
          <w:sz w:val="32"/>
          <w:szCs w:val="32"/>
          <w:highlight w:val="none"/>
        </w:rPr>
        <w:t>市</w:t>
      </w:r>
      <w:r>
        <w:rPr>
          <w:color w:val="auto"/>
          <w:sz w:val="32"/>
          <w:szCs w:val="32"/>
          <w:highlight w:val="none"/>
        </w:rPr>
        <w:t xml:space="preserve"> </w:t>
      </w:r>
      <w:r>
        <w:rPr>
          <w:rFonts w:hint="eastAsia"/>
          <w:color w:val="auto"/>
          <w:sz w:val="32"/>
          <w:szCs w:val="32"/>
          <w:highlight w:val="none"/>
        </w:rPr>
        <w:t>市</w:t>
      </w:r>
      <w:r>
        <w:rPr>
          <w:color w:val="auto"/>
          <w:sz w:val="32"/>
          <w:szCs w:val="32"/>
          <w:highlight w:val="none"/>
        </w:rPr>
        <w:t xml:space="preserve"> </w:t>
      </w:r>
      <w:r>
        <w:rPr>
          <w:rFonts w:hint="eastAsia"/>
          <w:color w:val="auto"/>
          <w:sz w:val="32"/>
          <w:szCs w:val="32"/>
          <w:highlight w:val="none"/>
        </w:rPr>
        <w:t>场</w:t>
      </w:r>
      <w:r>
        <w:rPr>
          <w:color w:val="auto"/>
          <w:sz w:val="32"/>
          <w:szCs w:val="32"/>
          <w:highlight w:val="none"/>
        </w:rPr>
        <w:t xml:space="preserve"> </w:t>
      </w:r>
      <w:r>
        <w:rPr>
          <w:rFonts w:hint="eastAsia"/>
          <w:color w:val="auto"/>
          <w:sz w:val="32"/>
          <w:szCs w:val="32"/>
          <w:highlight w:val="none"/>
        </w:rPr>
        <w:t>监</w:t>
      </w:r>
      <w:r>
        <w:rPr>
          <w:color w:val="auto"/>
          <w:sz w:val="32"/>
          <w:szCs w:val="32"/>
          <w:highlight w:val="none"/>
        </w:rPr>
        <w:t xml:space="preserve"> </w:t>
      </w:r>
      <w:r>
        <w:rPr>
          <w:rFonts w:hint="eastAsia"/>
          <w:color w:val="auto"/>
          <w:sz w:val="32"/>
          <w:szCs w:val="32"/>
          <w:highlight w:val="none"/>
        </w:rPr>
        <w:t>督</w:t>
      </w:r>
      <w:r>
        <w:rPr>
          <w:color w:val="auto"/>
          <w:sz w:val="32"/>
          <w:szCs w:val="32"/>
          <w:highlight w:val="none"/>
        </w:rPr>
        <w:t xml:space="preserve"> </w:t>
      </w:r>
      <w:r>
        <w:rPr>
          <w:rFonts w:hint="eastAsia"/>
          <w:color w:val="auto"/>
          <w:sz w:val="32"/>
          <w:szCs w:val="32"/>
          <w:highlight w:val="none"/>
        </w:rPr>
        <w:t>管</w:t>
      </w:r>
      <w:r>
        <w:rPr>
          <w:color w:val="auto"/>
          <w:sz w:val="32"/>
          <w:szCs w:val="32"/>
          <w:highlight w:val="none"/>
        </w:rPr>
        <w:t xml:space="preserve"> </w:t>
      </w:r>
      <w:r>
        <w:rPr>
          <w:rFonts w:hint="eastAsia"/>
          <w:color w:val="auto"/>
          <w:sz w:val="32"/>
          <w:szCs w:val="32"/>
          <w:highlight w:val="none"/>
        </w:rPr>
        <w:t>理</w:t>
      </w:r>
      <w:r>
        <w:rPr>
          <w:color w:val="auto"/>
          <w:sz w:val="32"/>
          <w:szCs w:val="32"/>
          <w:highlight w:val="none"/>
        </w:rPr>
        <w:t xml:space="preserve"> </w:t>
      </w:r>
      <w:r>
        <w:rPr>
          <w:rFonts w:hint="eastAsia"/>
          <w:color w:val="auto"/>
          <w:sz w:val="32"/>
          <w:szCs w:val="32"/>
          <w:highlight w:val="none"/>
        </w:rPr>
        <w:t>局</w:t>
      </w:r>
    </w:p>
    <w:p w14:paraId="05D654C0">
      <w:pPr>
        <w:jc w:val="center"/>
        <w:rPr>
          <w:rFonts w:hint="eastAsia" w:ascii="仿宋_GB2312" w:hAnsi="仿宋_GB2312" w:eastAsia="仿宋_GB2312" w:cs="仿宋_GB2312"/>
          <w:color w:val="auto"/>
          <w:sz w:val="44"/>
          <w:szCs w:val="44"/>
          <w:highlight w:val="none"/>
        </w:rPr>
      </w:pPr>
      <w:r>
        <w:rPr>
          <w:rFonts w:hint="eastAsia" w:ascii="仿宋_GB2312" w:hAnsi="仿宋_GB2312" w:eastAsia="仿宋_GB2312" w:cs="仿宋_GB2312"/>
          <w:color w:val="auto"/>
          <w:sz w:val="44"/>
          <w:szCs w:val="44"/>
          <w:highlight w:val="none"/>
        </w:rPr>
        <w:t>第一部分 协 议 书</w:t>
      </w:r>
    </w:p>
    <w:p w14:paraId="4AFB21CB">
      <w:pPr>
        <w:ind w:left="420" w:leftChars="200"/>
        <w:rPr>
          <w:rFonts w:hint="eastAsia" w:ascii="仿宋_GB2312" w:hAnsi="仿宋_GB2312" w:eastAsia="仿宋_GB2312" w:cs="仿宋_GB2312"/>
          <w:color w:val="auto"/>
          <w:sz w:val="24"/>
          <w:highlight w:val="none"/>
        </w:rPr>
      </w:pPr>
    </w:p>
    <w:p w14:paraId="624E1F28">
      <w:pPr>
        <w:ind w:left="420" w:left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发包人:（全称）</w:t>
      </w:r>
      <w:r>
        <w:rPr>
          <w:rFonts w:hint="eastAsia" w:ascii="仿宋_GB2312" w:hAnsi="仿宋_GB2312" w:eastAsia="仿宋_GB2312" w:cs="仿宋_GB2312"/>
          <w:color w:val="auto"/>
          <w:sz w:val="24"/>
          <w:highlight w:val="none"/>
          <w:u w:val="single"/>
        </w:rPr>
        <w:t>广州市花都区花山镇人民政府</w:t>
      </w:r>
    </w:p>
    <w:p w14:paraId="40C54B69">
      <w:pPr>
        <w:ind w:left="420" w:left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承包人:（全称）</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 xml:space="preserve">                           </w:t>
      </w:r>
    </w:p>
    <w:p w14:paraId="30428EEE">
      <w:pPr>
        <w:ind w:left="420" w:left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承包人（承包人为联合体时）：</w:t>
      </w:r>
    </w:p>
    <w:p w14:paraId="2BBCBFF0">
      <w:pPr>
        <w:ind w:left="420" w:left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(牵头单位全称)</w:t>
      </w:r>
      <w:r>
        <w:rPr>
          <w:rFonts w:hint="eastAsia" w:ascii="仿宋_GB2312" w:hAnsi="仿宋_GB2312" w:eastAsia="仿宋_GB2312" w:cs="仿宋_GB2312"/>
          <w:color w:val="auto"/>
          <w:sz w:val="24"/>
          <w:highlight w:val="none"/>
          <w:u w:val="single"/>
        </w:rPr>
        <w:t xml:space="preserve">    </w:t>
      </w:r>
    </w:p>
    <w:p w14:paraId="72A72620">
      <w:pPr>
        <w:ind w:left="420" w:left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(成员单位全称)</w:t>
      </w:r>
      <w:r>
        <w:rPr>
          <w:rFonts w:hint="eastAsia" w:ascii="仿宋_GB2312" w:hAnsi="仿宋_GB2312" w:eastAsia="仿宋_GB2312" w:cs="仿宋_GB2312"/>
          <w:color w:val="auto"/>
          <w:sz w:val="24"/>
          <w:highlight w:val="none"/>
          <w:u w:val="single"/>
        </w:rPr>
        <w:t xml:space="preserve">    </w:t>
      </w:r>
    </w:p>
    <w:p w14:paraId="082349D7">
      <w:pPr>
        <w:ind w:firstLine="480" w:firstLineChars="200"/>
        <w:rPr>
          <w:rFonts w:hint="eastAsia" w:ascii="仿宋_GB2312" w:hAnsi="仿宋_GB2312" w:eastAsia="仿宋_GB2312" w:cs="仿宋_GB2312"/>
          <w:color w:val="auto"/>
          <w:sz w:val="24"/>
          <w:highlight w:val="none"/>
        </w:rPr>
      </w:pPr>
    </w:p>
    <w:p w14:paraId="00DD512D">
      <w:pPr>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依照《中华人民共和国民法典》、《中华人民共和国建筑法》及其他有关法律法规，遵循平等、自愿、公平和诚实信用的原则，发包人和承包人就本工程项目采用工程总承包（EPC）实施的有关事项达成一致意见，订立本合同。</w:t>
      </w:r>
    </w:p>
    <w:p w14:paraId="73955A51">
      <w:pPr>
        <w:ind w:firstLine="480" w:firstLineChars="200"/>
        <w:rPr>
          <w:rFonts w:hint="eastAsia" w:ascii="仿宋_GB2312" w:hAnsi="仿宋_GB2312" w:eastAsia="仿宋_GB2312" w:cs="仿宋_GB2312"/>
          <w:color w:val="auto"/>
          <w:sz w:val="24"/>
          <w:highlight w:val="none"/>
        </w:rPr>
      </w:pPr>
    </w:p>
    <w:p w14:paraId="3C7A948D">
      <w:pP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一、工程概况</w:t>
      </w:r>
    </w:p>
    <w:p w14:paraId="4D0CBE3F">
      <w:pPr>
        <w:ind w:firstLine="424" w:firstLineChars="17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立项批文编号或广东省企业基本建设投资项目备案证备案项目编号：</w:t>
      </w:r>
      <w:r>
        <w:rPr>
          <w:rFonts w:hint="eastAsia" w:ascii="仿宋_GB2312" w:hAnsi="仿宋_GB2312" w:eastAsia="仿宋_GB2312" w:cs="仿宋_GB2312"/>
          <w:color w:val="auto"/>
          <w:sz w:val="24"/>
          <w:highlight w:val="none"/>
          <w:u w:val="single"/>
        </w:rPr>
        <w:t xml:space="preserve">       </w:t>
      </w:r>
    </w:p>
    <w:p w14:paraId="2562D95C">
      <w:pPr>
        <w:ind w:firstLine="424" w:firstLineChars="17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项目名称：</w:t>
      </w:r>
      <w:r>
        <w:rPr>
          <w:rFonts w:hint="eastAsia" w:ascii="仿宋_GB2312" w:hAnsi="仿宋_GB2312" w:eastAsia="仿宋_GB2312" w:cs="仿宋_GB2312"/>
          <w:color w:val="auto"/>
          <w:sz w:val="24"/>
          <w:highlight w:val="none"/>
          <w:u w:val="single"/>
        </w:rPr>
        <w:t xml:space="preserve">           </w:t>
      </w:r>
    </w:p>
    <w:p w14:paraId="5EAF27DC">
      <w:pPr>
        <w:ind w:firstLine="424" w:firstLineChars="177"/>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建设地点：</w:t>
      </w:r>
      <w:r>
        <w:rPr>
          <w:rFonts w:hint="eastAsia" w:ascii="仿宋_GB2312" w:hAnsi="仿宋_GB2312" w:eastAsia="仿宋_GB2312" w:cs="仿宋_GB2312"/>
          <w:color w:val="auto"/>
          <w:sz w:val="24"/>
          <w:highlight w:val="none"/>
          <w:u w:val="single"/>
          <w:lang w:eastAsia="zh-CN"/>
        </w:rPr>
        <w:t>广州市花都区花山镇106国道花山市场广场南侧</w:t>
      </w:r>
    </w:p>
    <w:p w14:paraId="37A3961C">
      <w:pPr>
        <w:ind w:firstLine="424" w:firstLineChars="17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合同类型：□设计、采购、施工合同     ☑勘察、设计、施工合同</w:t>
      </w:r>
    </w:p>
    <w:p w14:paraId="222736D1">
      <w:pPr>
        <w:ind w:firstLine="424" w:firstLineChars="17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□设计、施工合同           □其它：</w:t>
      </w:r>
      <w:r>
        <w:rPr>
          <w:rFonts w:hint="eastAsia" w:ascii="仿宋_GB2312" w:hAnsi="仿宋_GB2312" w:eastAsia="仿宋_GB2312" w:cs="仿宋_GB2312"/>
          <w:color w:val="auto"/>
          <w:sz w:val="24"/>
          <w:highlight w:val="none"/>
          <w:u w:val="single"/>
        </w:rPr>
        <w:t xml:space="preserve"> / </w:t>
      </w:r>
    </w:p>
    <w:p w14:paraId="3D232510">
      <w:pPr>
        <w:ind w:firstLine="424" w:firstLineChars="17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合同签订阶段：☑可行性研究批准立项或者备案后</w:t>
      </w:r>
    </w:p>
    <w:p w14:paraId="38ECD51F">
      <w:pPr>
        <w:ind w:firstLine="424" w:firstLineChars="17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□初步设计批准后</w:t>
      </w:r>
    </w:p>
    <w:p w14:paraId="1E83E289">
      <w:pPr>
        <w:ind w:firstLine="424" w:firstLineChars="17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□其它阶段：</w:t>
      </w:r>
      <w:r>
        <w:rPr>
          <w:rFonts w:hint="eastAsia" w:ascii="仿宋_GB2312" w:hAnsi="仿宋_GB2312" w:eastAsia="仿宋_GB2312" w:cs="仿宋_GB2312"/>
          <w:color w:val="auto"/>
          <w:sz w:val="24"/>
          <w:highlight w:val="none"/>
          <w:u w:val="single"/>
        </w:rPr>
        <w:t xml:space="preserve"> / </w:t>
      </w:r>
    </w:p>
    <w:p w14:paraId="39ED57CA">
      <w:pPr>
        <w:ind w:firstLine="424" w:firstLineChars="17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工程规模：</w:t>
      </w:r>
    </w:p>
    <w:p w14:paraId="777716ED">
      <w:pPr>
        <w:ind w:firstLine="424" w:firstLineChars="177"/>
        <w:rPr>
          <w:rFonts w:hint="eastAsia" w:ascii="仿宋_GB2312" w:hAnsi="仿宋_GB2312" w:eastAsia="仿宋" w:cs="仿宋_GB2312"/>
          <w:color w:val="auto"/>
          <w:sz w:val="24"/>
          <w:highlight w:val="none"/>
          <w:u w:val="single"/>
        </w:rPr>
      </w:pPr>
      <w:r>
        <w:rPr>
          <w:rFonts w:hint="eastAsia" w:ascii="仿宋_GB2312" w:hAnsi="仿宋_GB2312" w:eastAsia="仿宋_GB2312" w:cs="仿宋_GB2312"/>
          <w:color w:val="auto"/>
          <w:sz w:val="24"/>
          <w:highlight w:val="none"/>
          <w:u w:val="single"/>
        </w:rPr>
        <w:t>本项目新建1座机械式智慧立体停车场，总占地面积415</w:t>
      </w:r>
      <w:r>
        <w:rPr>
          <w:rFonts w:hint="eastAsia" w:ascii="仿宋" w:hAnsi="仿宋" w:eastAsia="仿宋" w:cs="仿宋"/>
          <w:color w:val="auto"/>
          <w:sz w:val="24"/>
          <w:highlight w:val="none"/>
          <w:u w:val="single"/>
        </w:rPr>
        <w:t>㎡，设5层停车设备层，设3个停车出入口，共81个停车泊位。项目建设有建筑工程、</w:t>
      </w:r>
      <w:r>
        <w:rPr>
          <w:rFonts w:hint="eastAsia" w:ascii="仿宋_GB2312" w:hAnsi="仿宋_GB2312" w:eastAsia="仿宋_GB2312" w:cs="仿宋_GB2312"/>
          <w:color w:val="auto"/>
          <w:sz w:val="24"/>
          <w:highlight w:val="none"/>
          <w:u w:val="single"/>
        </w:rPr>
        <w:t>电气工程</w:t>
      </w:r>
      <w:r>
        <w:rPr>
          <w:rFonts w:hint="eastAsia" w:ascii="仿宋" w:hAnsi="仿宋" w:eastAsia="仿宋" w:cs="仿宋"/>
          <w:color w:val="auto"/>
          <w:sz w:val="24"/>
          <w:highlight w:val="none"/>
          <w:u w:val="single"/>
        </w:rPr>
        <w:t>、</w:t>
      </w:r>
      <w:r>
        <w:rPr>
          <w:rFonts w:hint="eastAsia" w:ascii="仿宋_GB2312" w:hAnsi="仿宋_GB2312" w:eastAsia="仿宋_GB2312" w:cs="仿宋_GB2312"/>
          <w:color w:val="auto"/>
          <w:sz w:val="24"/>
          <w:highlight w:val="none"/>
          <w:u w:val="single"/>
        </w:rPr>
        <w:t>弱电工程（含智能化、视频监控系统等）</w:t>
      </w:r>
      <w:r>
        <w:rPr>
          <w:rFonts w:hint="eastAsia" w:ascii="仿宋" w:hAnsi="仿宋" w:eastAsia="仿宋" w:cs="仿宋"/>
          <w:color w:val="auto"/>
          <w:sz w:val="24"/>
          <w:highlight w:val="none"/>
          <w:u w:val="single"/>
        </w:rPr>
        <w:t>等配套设施。</w:t>
      </w:r>
    </w:p>
    <w:p w14:paraId="41E74930">
      <w:pPr>
        <w:ind w:firstLine="424" w:firstLineChars="17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结构形式：</w:t>
      </w:r>
      <w:r>
        <w:rPr>
          <w:rFonts w:hint="eastAsia" w:ascii="仿宋_GB2312" w:hAnsi="仿宋_GB2312" w:eastAsia="仿宋_GB2312" w:cs="仿宋_GB2312"/>
          <w:color w:val="auto"/>
          <w:sz w:val="24"/>
          <w:highlight w:val="none"/>
          <w:u w:val="single"/>
        </w:rPr>
        <w:t xml:space="preserve">     </w:t>
      </w:r>
    </w:p>
    <w:p w14:paraId="1FEE1438">
      <w:pPr>
        <w:autoSpaceDE w:val="0"/>
        <w:autoSpaceDN w:val="0"/>
        <w:adjustRightInd w:val="0"/>
        <w:ind w:firstLine="424" w:firstLineChars="177"/>
        <w:jc w:val="left"/>
        <w:rPr>
          <w:rFonts w:ascii="仿宋" w:hAnsi="Times New Roman" w:eastAsia="仿宋" w:cs="仿宋"/>
          <w:color w:val="auto"/>
          <w:kern w:val="0"/>
          <w:sz w:val="24"/>
          <w:highlight w:val="none"/>
        </w:rPr>
      </w:pPr>
      <w:r>
        <w:rPr>
          <w:rFonts w:hint="eastAsia" w:ascii="仿宋_GB2312" w:hAnsi="仿宋_GB2312" w:eastAsia="仿宋_GB2312" w:cs="仿宋_GB2312"/>
          <w:color w:val="auto"/>
          <w:sz w:val="24"/>
          <w:highlight w:val="none"/>
        </w:rPr>
        <w:t>☑</w:t>
      </w:r>
      <w:r>
        <w:rPr>
          <w:rFonts w:hint="eastAsia" w:ascii="仿宋" w:hAnsi="Times New Roman" w:eastAsia="仿宋" w:cs="仿宋"/>
          <w:color w:val="auto"/>
          <w:kern w:val="0"/>
          <w:sz w:val="24"/>
          <w:highlight w:val="none"/>
        </w:rPr>
        <w:t>本项目不含装配式建筑</w:t>
      </w:r>
    </w:p>
    <w:p w14:paraId="0CFD5FB6">
      <w:pPr>
        <w:autoSpaceDE w:val="0"/>
        <w:autoSpaceDN w:val="0"/>
        <w:adjustRightInd w:val="0"/>
        <w:ind w:firstLine="424" w:firstLineChars="177"/>
        <w:jc w:val="left"/>
        <w:rPr>
          <w:rFonts w:ascii="仿宋" w:hAnsi="Times New Roman" w:eastAsia="仿宋" w:cs="仿宋"/>
          <w:color w:val="auto"/>
          <w:kern w:val="0"/>
          <w:sz w:val="24"/>
          <w:highlight w:val="none"/>
        </w:rPr>
      </w:pPr>
      <w:r>
        <w:rPr>
          <w:rFonts w:hint="eastAsia" w:ascii="仿宋" w:hAnsi="Times New Roman" w:eastAsia="仿宋" w:cs="仿宋"/>
          <w:color w:val="auto"/>
          <w:kern w:val="0"/>
          <w:sz w:val="24"/>
          <w:highlight w:val="none"/>
        </w:rPr>
        <w:t>□本项目含装配式建筑，各装配式单体工程名称：</w:t>
      </w:r>
    </w:p>
    <w:p w14:paraId="2AD746FB">
      <w:pPr>
        <w:autoSpaceDE w:val="0"/>
        <w:autoSpaceDN w:val="0"/>
        <w:adjustRightInd w:val="0"/>
        <w:ind w:firstLine="424" w:firstLineChars="177"/>
        <w:jc w:val="left"/>
        <w:rPr>
          <w:rFonts w:ascii="仿宋" w:hAnsi="Times New Roman" w:eastAsia="仿宋" w:cs="仿宋"/>
          <w:color w:val="auto"/>
          <w:kern w:val="0"/>
          <w:sz w:val="24"/>
          <w:highlight w:val="none"/>
        </w:rPr>
      </w:pPr>
      <w:r>
        <w:rPr>
          <w:rFonts w:hint="eastAsia" w:ascii="仿宋" w:hAnsi="Times New Roman" w:eastAsia="仿宋" w:cs="仿宋"/>
          <w:color w:val="auto"/>
          <w:kern w:val="0"/>
          <w:sz w:val="24"/>
          <w:highlight w:val="none"/>
        </w:rPr>
        <w:t>各装配式单体工程装配率或评价等级：</w:t>
      </w:r>
    </w:p>
    <w:p w14:paraId="05ACFDD2">
      <w:pPr>
        <w:autoSpaceDE w:val="0"/>
        <w:autoSpaceDN w:val="0"/>
        <w:adjustRightInd w:val="0"/>
        <w:ind w:firstLine="424" w:firstLineChars="177"/>
        <w:jc w:val="left"/>
        <w:rPr>
          <w:rFonts w:ascii="仿宋" w:hAnsi="Times New Roman" w:eastAsia="仿宋" w:cs="仿宋"/>
          <w:color w:val="auto"/>
          <w:kern w:val="0"/>
          <w:sz w:val="24"/>
          <w:highlight w:val="none"/>
        </w:rPr>
      </w:pPr>
      <w:r>
        <w:rPr>
          <w:rFonts w:ascii="仿宋" w:hAnsi="Times New Roman" w:eastAsia="仿宋" w:cs="仿宋"/>
          <w:color w:val="auto"/>
          <w:kern w:val="0"/>
          <w:sz w:val="24"/>
          <w:highlight w:val="none"/>
        </w:rPr>
        <w:t xml:space="preserve">BIM </w:t>
      </w:r>
      <w:r>
        <w:rPr>
          <w:rFonts w:hint="eastAsia" w:ascii="仿宋" w:hAnsi="Times New Roman" w:eastAsia="仿宋" w:cs="仿宋"/>
          <w:color w:val="auto"/>
          <w:kern w:val="0"/>
          <w:sz w:val="24"/>
          <w:highlight w:val="none"/>
        </w:rPr>
        <w:t>技术应用：☑本项目不采用</w:t>
      </w:r>
      <w:r>
        <w:rPr>
          <w:rFonts w:ascii="仿宋" w:hAnsi="Times New Roman" w:eastAsia="仿宋" w:cs="仿宋"/>
          <w:color w:val="auto"/>
          <w:kern w:val="0"/>
          <w:sz w:val="24"/>
          <w:highlight w:val="none"/>
        </w:rPr>
        <w:t xml:space="preserve">BIM </w:t>
      </w:r>
      <w:r>
        <w:rPr>
          <w:rFonts w:hint="eastAsia" w:ascii="仿宋" w:hAnsi="Times New Roman" w:eastAsia="仿宋" w:cs="仿宋"/>
          <w:color w:val="auto"/>
          <w:kern w:val="0"/>
          <w:sz w:val="24"/>
          <w:highlight w:val="none"/>
        </w:rPr>
        <w:t>技术应用</w:t>
      </w:r>
    </w:p>
    <w:p w14:paraId="200D6B86">
      <w:pPr>
        <w:ind w:firstLine="424" w:firstLineChars="177"/>
        <w:rPr>
          <w:rFonts w:ascii="仿宋" w:hAnsi="Times New Roman" w:eastAsia="仿宋" w:cs="仿宋"/>
          <w:color w:val="auto"/>
          <w:kern w:val="0"/>
          <w:sz w:val="24"/>
          <w:highlight w:val="none"/>
        </w:rPr>
      </w:pPr>
      <w:r>
        <w:rPr>
          <w:rFonts w:hint="eastAsia" w:ascii="仿宋_GB2312" w:hAnsi="仿宋_GB2312" w:eastAsia="仿宋_GB2312" w:cs="仿宋_GB2312"/>
          <w:color w:val="auto"/>
          <w:sz w:val="24"/>
          <w:highlight w:val="none"/>
        </w:rPr>
        <w:t>□</w:t>
      </w:r>
      <w:r>
        <w:rPr>
          <w:rFonts w:hint="eastAsia" w:ascii="仿宋" w:hAnsi="Times New Roman" w:eastAsia="仿宋" w:cs="仿宋"/>
          <w:color w:val="auto"/>
          <w:kern w:val="0"/>
          <w:sz w:val="24"/>
          <w:highlight w:val="none"/>
        </w:rPr>
        <w:t>本项目采用</w:t>
      </w:r>
      <w:r>
        <w:rPr>
          <w:rFonts w:ascii="仿宋" w:hAnsi="Times New Roman" w:eastAsia="仿宋" w:cs="仿宋"/>
          <w:color w:val="auto"/>
          <w:kern w:val="0"/>
          <w:sz w:val="24"/>
          <w:highlight w:val="none"/>
        </w:rPr>
        <w:t xml:space="preserve">BIM </w:t>
      </w:r>
      <w:r>
        <w:rPr>
          <w:rFonts w:hint="eastAsia" w:ascii="仿宋" w:hAnsi="Times New Roman" w:eastAsia="仿宋" w:cs="仿宋"/>
          <w:color w:val="auto"/>
          <w:kern w:val="0"/>
          <w:sz w:val="24"/>
          <w:highlight w:val="none"/>
        </w:rPr>
        <w:t>技术应用：</w:t>
      </w:r>
    </w:p>
    <w:p w14:paraId="5AFB987B">
      <w:pPr>
        <w:autoSpaceDE w:val="0"/>
        <w:autoSpaceDN w:val="0"/>
        <w:adjustRightInd w:val="0"/>
        <w:ind w:firstLine="283" w:firstLineChars="118"/>
        <w:jc w:val="left"/>
        <w:rPr>
          <w:rFonts w:ascii="宋体" w:hAnsi="Times New Roman" w:eastAsia="宋体" w:cs="宋体"/>
          <w:color w:val="auto"/>
          <w:kern w:val="0"/>
          <w:sz w:val="24"/>
          <w:highlight w:val="none"/>
        </w:rPr>
      </w:pPr>
      <w:r>
        <w:rPr>
          <w:rFonts w:ascii="仿宋" w:hAnsi="Times New Roman" w:eastAsia="仿宋" w:cs="仿宋"/>
          <w:color w:val="auto"/>
          <w:kern w:val="0"/>
          <w:sz w:val="24"/>
          <w:highlight w:val="none"/>
        </w:rPr>
        <w:t>1</w:t>
      </w:r>
      <w:r>
        <w:rPr>
          <w:rFonts w:hint="eastAsia" w:ascii="仿宋" w:hAnsi="Times New Roman" w:eastAsia="仿宋" w:cs="仿宋"/>
          <w:color w:val="auto"/>
          <w:kern w:val="0"/>
          <w:sz w:val="24"/>
          <w:highlight w:val="none"/>
        </w:rPr>
        <w:t>、选用平台：□</w:t>
      </w:r>
      <w:r>
        <w:rPr>
          <w:rFonts w:ascii="宋体" w:hAnsi="Times New Roman" w:eastAsia="宋体" w:cs="宋体"/>
          <w:color w:val="auto"/>
          <w:kern w:val="0"/>
          <w:sz w:val="24"/>
          <w:highlight w:val="none"/>
        </w:rPr>
        <w:t xml:space="preserve">Revit </w:t>
      </w:r>
      <w:r>
        <w:rPr>
          <w:rFonts w:hint="eastAsia" w:ascii="宋体" w:hAnsi="Times New Roman" w:eastAsia="宋体" w:cs="宋体"/>
          <w:color w:val="auto"/>
          <w:kern w:val="0"/>
          <w:sz w:val="24"/>
          <w:highlight w:val="none"/>
        </w:rPr>
        <w:t>□</w:t>
      </w:r>
      <w:r>
        <w:rPr>
          <w:rFonts w:ascii="宋体" w:hAnsi="Times New Roman" w:eastAsia="宋体" w:cs="宋体"/>
          <w:color w:val="auto"/>
          <w:kern w:val="0"/>
          <w:sz w:val="24"/>
          <w:highlight w:val="none"/>
        </w:rPr>
        <w:t xml:space="preserve">Navisworks </w:t>
      </w:r>
      <w:r>
        <w:rPr>
          <w:rFonts w:hint="eastAsia" w:ascii="宋体" w:hAnsi="Times New Roman" w:eastAsia="宋体" w:cs="宋体"/>
          <w:color w:val="auto"/>
          <w:kern w:val="0"/>
          <w:sz w:val="24"/>
          <w:highlight w:val="none"/>
        </w:rPr>
        <w:t>□</w:t>
      </w:r>
      <w:r>
        <w:rPr>
          <w:rFonts w:ascii="宋体" w:hAnsi="Times New Roman" w:eastAsia="宋体" w:cs="宋体"/>
          <w:color w:val="auto"/>
          <w:kern w:val="0"/>
          <w:sz w:val="24"/>
          <w:highlight w:val="none"/>
        </w:rPr>
        <w:t xml:space="preserve">Bentley Navigator </w:t>
      </w:r>
      <w:r>
        <w:rPr>
          <w:rFonts w:hint="eastAsia" w:ascii="宋体" w:hAnsi="Times New Roman" w:eastAsia="宋体" w:cs="宋体"/>
          <w:color w:val="auto"/>
          <w:kern w:val="0"/>
          <w:sz w:val="24"/>
          <w:highlight w:val="none"/>
        </w:rPr>
        <w:t>□</w:t>
      </w:r>
      <w:r>
        <w:rPr>
          <w:rFonts w:ascii="宋体" w:hAnsi="Times New Roman" w:eastAsia="宋体" w:cs="宋体"/>
          <w:color w:val="auto"/>
          <w:kern w:val="0"/>
          <w:sz w:val="24"/>
          <w:highlight w:val="none"/>
        </w:rPr>
        <w:t>Tekla</w:t>
      </w:r>
    </w:p>
    <w:p w14:paraId="7BB6F2EB">
      <w:pPr>
        <w:autoSpaceDE w:val="0"/>
        <w:autoSpaceDN w:val="0"/>
        <w:adjustRightInd w:val="0"/>
        <w:ind w:firstLine="283" w:firstLineChars="118"/>
        <w:jc w:val="left"/>
        <w:rPr>
          <w:rFonts w:ascii="仿宋" w:hAnsi="Times New Roman" w:eastAsia="仿宋" w:cs="仿宋"/>
          <w:color w:val="auto"/>
          <w:kern w:val="0"/>
          <w:sz w:val="24"/>
          <w:highlight w:val="none"/>
        </w:rPr>
      </w:pPr>
      <w:r>
        <w:rPr>
          <w:rFonts w:ascii="宋体" w:hAnsi="Times New Roman" w:eastAsia="宋体" w:cs="宋体"/>
          <w:color w:val="auto"/>
          <w:kern w:val="0"/>
          <w:sz w:val="24"/>
          <w:highlight w:val="none"/>
        </w:rPr>
        <w:t xml:space="preserve">Structures </w:t>
      </w:r>
      <w:r>
        <w:rPr>
          <w:rFonts w:hint="eastAsia" w:ascii="宋体" w:hAnsi="Times New Roman" w:eastAsia="宋体" w:cs="宋体"/>
          <w:color w:val="auto"/>
          <w:kern w:val="0"/>
          <w:sz w:val="24"/>
          <w:highlight w:val="none"/>
        </w:rPr>
        <w:t>□</w:t>
      </w:r>
      <w:r>
        <w:rPr>
          <w:rFonts w:ascii="宋体" w:hAnsi="Times New Roman" w:eastAsia="宋体" w:cs="宋体"/>
          <w:color w:val="auto"/>
          <w:kern w:val="0"/>
          <w:sz w:val="24"/>
          <w:highlight w:val="none"/>
        </w:rPr>
        <w:t xml:space="preserve">ArchiCAD </w:t>
      </w:r>
      <w:r>
        <w:rPr>
          <w:rFonts w:hint="eastAsia" w:ascii="宋体" w:hAnsi="Times New Roman" w:eastAsia="宋体" w:cs="宋体"/>
          <w:color w:val="auto"/>
          <w:kern w:val="0"/>
          <w:sz w:val="24"/>
          <w:highlight w:val="none"/>
        </w:rPr>
        <w:t>□</w:t>
      </w:r>
      <w:r>
        <w:rPr>
          <w:rFonts w:ascii="宋体" w:hAnsi="Times New Roman" w:eastAsia="宋体" w:cs="宋体"/>
          <w:color w:val="auto"/>
          <w:kern w:val="0"/>
          <w:sz w:val="24"/>
          <w:highlight w:val="none"/>
        </w:rPr>
        <w:t xml:space="preserve">OpenPlant </w:t>
      </w:r>
      <w:r>
        <w:rPr>
          <w:rFonts w:hint="eastAsia" w:ascii="宋体" w:hAnsi="Times New Roman" w:eastAsia="宋体" w:cs="宋体"/>
          <w:color w:val="auto"/>
          <w:kern w:val="0"/>
          <w:sz w:val="24"/>
          <w:highlight w:val="none"/>
        </w:rPr>
        <w:t>□</w:t>
      </w:r>
      <w:r>
        <w:rPr>
          <w:rFonts w:ascii="仿宋" w:hAnsi="Times New Roman" w:eastAsia="仿宋" w:cs="仿宋"/>
          <w:color w:val="auto"/>
          <w:kern w:val="0"/>
          <w:sz w:val="24"/>
          <w:highlight w:val="none"/>
        </w:rPr>
        <w:t xml:space="preserve">Rebro </w:t>
      </w:r>
      <w:r>
        <w:rPr>
          <w:rFonts w:hint="eastAsia" w:ascii="仿宋" w:hAnsi="Times New Roman" w:eastAsia="仿宋" w:cs="仿宋"/>
          <w:color w:val="auto"/>
          <w:kern w:val="0"/>
          <w:sz w:val="24"/>
          <w:highlight w:val="none"/>
        </w:rPr>
        <w:t>□其他：</w:t>
      </w:r>
    </w:p>
    <w:p w14:paraId="7C488183">
      <w:pPr>
        <w:autoSpaceDE w:val="0"/>
        <w:autoSpaceDN w:val="0"/>
        <w:adjustRightInd w:val="0"/>
        <w:ind w:firstLine="283" w:firstLineChars="118"/>
        <w:jc w:val="left"/>
        <w:rPr>
          <w:rFonts w:hint="eastAsia" w:ascii="仿宋_GB2312" w:hAnsi="仿宋_GB2312" w:eastAsia="仿宋_GB2312" w:cs="仿宋_GB2312"/>
          <w:color w:val="auto"/>
          <w:sz w:val="24"/>
          <w:highlight w:val="none"/>
        </w:rPr>
      </w:pPr>
      <w:r>
        <w:rPr>
          <w:rFonts w:ascii="仿宋" w:hAnsi="Times New Roman" w:eastAsia="仿宋" w:cs="仿宋"/>
          <w:color w:val="auto"/>
          <w:kern w:val="0"/>
          <w:sz w:val="24"/>
          <w:highlight w:val="none"/>
        </w:rPr>
        <w:t>2</w:t>
      </w:r>
      <w:r>
        <w:rPr>
          <w:rFonts w:hint="eastAsia" w:ascii="仿宋" w:hAnsi="Times New Roman" w:eastAsia="仿宋" w:cs="仿宋"/>
          <w:color w:val="auto"/>
          <w:kern w:val="0"/>
          <w:sz w:val="24"/>
          <w:highlight w:val="none"/>
        </w:rPr>
        <w:t>、应用阶段：</w:t>
      </w:r>
      <w:r>
        <w:rPr>
          <w:rFonts w:hint="eastAsia" w:ascii="仿宋_GB2312" w:hAnsi="仿宋_GB2312" w:eastAsia="仿宋_GB2312" w:cs="仿宋_GB2312"/>
          <w:color w:val="auto"/>
          <w:sz w:val="24"/>
          <w:highlight w:val="none"/>
        </w:rPr>
        <w:t>□</w:t>
      </w:r>
      <w:r>
        <w:rPr>
          <w:rFonts w:hint="eastAsia" w:ascii="仿宋" w:hAnsi="Times New Roman" w:eastAsia="仿宋" w:cs="仿宋"/>
          <w:color w:val="auto"/>
          <w:kern w:val="0"/>
          <w:sz w:val="24"/>
          <w:highlight w:val="none"/>
        </w:rPr>
        <w:t>设计施工运营三阶段应用□设计与施工联合应用</w:t>
      </w:r>
      <w:r>
        <w:rPr>
          <w:rFonts w:ascii="仿宋" w:hAnsi="Times New Roman" w:eastAsia="仿宋" w:cs="仿宋"/>
          <w:color w:val="auto"/>
          <w:kern w:val="0"/>
          <w:sz w:val="24"/>
          <w:highlight w:val="none"/>
        </w:rPr>
        <w:t xml:space="preserve"> </w:t>
      </w:r>
      <w:r>
        <w:rPr>
          <w:rFonts w:hint="eastAsia" w:ascii="仿宋" w:hAnsi="Times New Roman" w:eastAsia="仿宋" w:cs="仿宋"/>
          <w:color w:val="auto"/>
          <w:kern w:val="0"/>
          <w:sz w:val="24"/>
          <w:highlight w:val="none"/>
        </w:rPr>
        <w:t>□施工与运维联合应用</w:t>
      </w:r>
      <w:r>
        <w:rPr>
          <w:rFonts w:ascii="仿宋" w:hAnsi="Times New Roman" w:eastAsia="仿宋" w:cs="仿宋"/>
          <w:color w:val="auto"/>
          <w:kern w:val="0"/>
          <w:sz w:val="24"/>
          <w:highlight w:val="none"/>
        </w:rPr>
        <w:t xml:space="preserve"> </w:t>
      </w:r>
      <w:r>
        <w:rPr>
          <w:rFonts w:hint="eastAsia" w:ascii="仿宋" w:hAnsi="Times New Roman" w:eastAsia="仿宋" w:cs="仿宋"/>
          <w:color w:val="auto"/>
          <w:kern w:val="0"/>
          <w:sz w:val="24"/>
          <w:highlight w:val="none"/>
        </w:rPr>
        <w:t>□其它</w:t>
      </w:r>
      <w:r>
        <w:rPr>
          <w:rFonts w:hint="eastAsia" w:ascii="仿宋_GB2312" w:hAnsi="仿宋_GB2312" w:eastAsia="仿宋_GB2312" w:cs="仿宋_GB2312"/>
          <w:color w:val="auto"/>
          <w:sz w:val="24"/>
          <w:highlight w:val="none"/>
          <w:u w:val="single"/>
        </w:rPr>
        <w:t xml:space="preserve">    </w:t>
      </w:r>
    </w:p>
    <w:p w14:paraId="59405621">
      <w:pPr>
        <w:ind w:firstLine="283" w:firstLineChars="118"/>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资金来源：</w:t>
      </w:r>
      <w:r>
        <w:rPr>
          <w:rFonts w:hint="eastAsia" w:ascii="仿宋_GB2312" w:hAnsi="仿宋_GB2312" w:eastAsia="仿宋_GB2312" w:cs="仿宋_GB2312"/>
          <w:color w:val="auto"/>
          <w:sz w:val="24"/>
          <w:highlight w:val="none"/>
          <w:u w:val="single"/>
        </w:rPr>
        <w:t xml:space="preserve">财政资金 </w:t>
      </w:r>
    </w:p>
    <w:p w14:paraId="09721DF0">
      <w:pPr>
        <w:ind w:firstLine="283" w:firstLineChars="118"/>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其他：</w:t>
      </w:r>
      <w:r>
        <w:rPr>
          <w:rFonts w:hint="eastAsia" w:ascii="仿宋_GB2312" w:hAnsi="仿宋_GB2312" w:eastAsia="仿宋_GB2312" w:cs="仿宋_GB2312"/>
          <w:color w:val="auto"/>
          <w:sz w:val="24"/>
          <w:highlight w:val="none"/>
          <w:u w:val="single"/>
        </w:rPr>
        <w:t xml:space="preserve"> / </w:t>
      </w:r>
    </w:p>
    <w:p w14:paraId="247DE662">
      <w:pPr>
        <w:ind w:firstLine="240" w:firstLineChars="100"/>
        <w:rPr>
          <w:rFonts w:hint="eastAsia" w:ascii="仿宋_GB2312" w:hAnsi="仿宋_GB2312" w:eastAsia="仿宋_GB2312" w:cs="仿宋_GB2312"/>
          <w:color w:val="auto"/>
          <w:sz w:val="24"/>
          <w:highlight w:val="none"/>
          <w:u w:val="single"/>
        </w:rPr>
      </w:pPr>
      <w:bookmarkStart w:id="13" w:name="_GoBack"/>
      <w:bookmarkEnd w:id="13"/>
    </w:p>
    <w:p w14:paraId="19972F48">
      <w:pP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二、总承包范围与工程内容</w:t>
      </w:r>
    </w:p>
    <w:p w14:paraId="3EDA5D35">
      <w:pPr>
        <w:ind w:firstLine="424" w:firstLineChars="17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1.工程总承包范围：</w:t>
      </w:r>
      <w:r>
        <w:rPr>
          <w:rFonts w:hint="eastAsia" w:ascii="仿宋_GB2312" w:hAnsi="仿宋_GB2312" w:eastAsia="仿宋_GB2312" w:cs="仿宋_GB2312"/>
          <w:color w:val="auto"/>
          <w:sz w:val="24"/>
          <w:highlight w:val="none"/>
          <w:u w:val="single"/>
        </w:rPr>
        <w:t>包括但不限于完成本项目</w:t>
      </w:r>
      <w:r>
        <w:rPr>
          <w:rFonts w:hint="eastAsia" w:ascii="仿宋_GB2312" w:hAnsi="仿宋_GB2312" w:eastAsia="仿宋_GB2312" w:cs="仿宋_GB2312"/>
          <w:color w:val="auto"/>
          <w:sz w:val="24"/>
          <w:highlight w:val="none"/>
          <w:u w:val="single"/>
        </w:rPr>
        <w:t>勘察</w:t>
      </w:r>
      <w:r>
        <w:rPr>
          <w:rFonts w:hint="eastAsia" w:ascii="仿宋_GB2312" w:hAnsi="仿宋_GB2312" w:eastAsia="仿宋_GB2312" w:cs="仿宋_GB2312"/>
          <w:color w:val="auto"/>
          <w:sz w:val="24"/>
          <w:highlight w:val="none"/>
          <w:u w:val="single"/>
        </w:rPr>
        <w:t>设计、施工至工程竣工联合验收（包括：建筑工程、电气工程、给排水工程、弱电工程（含智能化、视频监控系统等）、防雷工程、永久用电工程等）、移交的“交钥匙”工程总承包，完成并配合业主办理竣工联合验收、相关部门结（决）算审计、工程保修、项目移交及档案归档等工作，</w:t>
      </w:r>
      <w:r>
        <w:rPr>
          <w:rFonts w:ascii="仿宋_GB2312" w:hAnsi="仿宋_GB2312" w:eastAsia="仿宋_GB2312" w:cs="仿宋_GB2312"/>
          <w:color w:val="auto"/>
          <w:sz w:val="24"/>
          <w:highlight w:val="none"/>
          <w:u w:val="single"/>
        </w:rPr>
        <w:t>包括但不限于以下</w:t>
      </w:r>
      <w:r>
        <w:rPr>
          <w:rFonts w:hint="eastAsia" w:ascii="仿宋_GB2312" w:hAnsi="仿宋_GB2312" w:eastAsia="仿宋_GB2312" w:cs="仿宋_GB2312"/>
          <w:color w:val="auto"/>
          <w:sz w:val="24"/>
          <w:highlight w:val="none"/>
          <w:u w:val="single"/>
        </w:rPr>
        <w:t>内容</w:t>
      </w:r>
      <w:r>
        <w:rPr>
          <w:rFonts w:ascii="仿宋_GB2312" w:hAnsi="仿宋_GB2312" w:eastAsia="仿宋_GB2312" w:cs="仿宋_GB2312"/>
          <w:color w:val="auto"/>
          <w:sz w:val="24"/>
          <w:highlight w:val="none"/>
          <w:u w:val="single"/>
        </w:rPr>
        <w:t>：</w:t>
      </w:r>
      <w:r>
        <w:rPr>
          <w:rFonts w:ascii="仿宋_GB2312" w:hAnsi="仿宋_GB2312" w:eastAsia="仿宋_GB2312" w:cs="仿宋_GB2312"/>
          <w:color w:val="auto"/>
          <w:sz w:val="24"/>
          <w:highlight w:val="none"/>
        </w:rPr>
        <w:t xml:space="preserve"> </w:t>
      </w:r>
    </w:p>
    <w:p w14:paraId="3B63279F">
      <w:pPr>
        <w:ind w:firstLine="424" w:firstLineChars="17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勘察</w:t>
      </w:r>
      <w:r>
        <w:rPr>
          <w:rFonts w:hint="eastAsia" w:ascii="仿宋_GB2312" w:hAnsi="仿宋_GB2312" w:eastAsia="仿宋_GB2312" w:cs="仿宋_GB2312"/>
          <w:color w:val="auto"/>
          <w:sz w:val="24"/>
          <w:highlight w:val="none"/>
        </w:rPr>
        <w:t>设计:</w:t>
      </w:r>
      <w:r>
        <w:rPr>
          <w:rFonts w:hint="eastAsia" w:ascii="仿宋_GB2312" w:hAnsi="仿宋_GB2312" w:eastAsia="仿宋_GB2312" w:cs="仿宋_GB2312"/>
          <w:color w:val="auto"/>
          <w:sz w:val="24"/>
          <w:highlight w:val="none"/>
          <w:u w:val="single"/>
        </w:rPr>
        <w:t>完成本项目招标范围内所有专业的</w:t>
      </w:r>
      <w:r>
        <w:rPr>
          <w:rFonts w:hint="eastAsia" w:ascii="仿宋_GB2312" w:hAnsi="仿宋_GB2312" w:eastAsia="仿宋_GB2312" w:cs="仿宋_GB2312"/>
          <w:color w:val="auto"/>
          <w:sz w:val="24"/>
          <w:highlight w:val="none"/>
          <w:u w:val="single"/>
        </w:rPr>
        <w:t>勘察</w:t>
      </w:r>
      <w:r>
        <w:rPr>
          <w:rFonts w:hint="eastAsia" w:ascii="仿宋_GB2312" w:hAnsi="仿宋_GB2312" w:eastAsia="仿宋_GB2312" w:cs="仿宋_GB2312"/>
          <w:color w:val="auto"/>
          <w:sz w:val="24"/>
          <w:highlight w:val="none"/>
          <w:u w:val="single"/>
        </w:rPr>
        <w:t>设计工作，包括但不限于本项目的</w:t>
      </w:r>
      <w:bookmarkStart w:id="0" w:name="_Hlk155776062"/>
      <w:r>
        <w:rPr>
          <w:rFonts w:hint="eastAsia" w:ascii="仿宋_GB2312" w:hAnsi="仿宋_GB2312" w:eastAsia="仿宋_GB2312" w:cs="仿宋_GB2312"/>
          <w:color w:val="auto"/>
          <w:sz w:val="24"/>
          <w:highlight w:val="none"/>
          <w:u w:val="single"/>
        </w:rPr>
        <w:t>概算编制、施工图设计、深化设计、各类专项设计、施工图送审并取得施工图审查合格书、现场服务、施工及验收过程的配合、施工过程中的方案优化及设计变更等；全过程设计服务及协调工作，负责根据建设要求组织各项专家评审；配合解决质量缺陷处理后续服务等</w:t>
      </w:r>
      <w:bookmarkEnd w:id="0"/>
      <w:r>
        <w:rPr>
          <w:rFonts w:hint="eastAsia" w:ascii="仿宋_GB2312" w:hAnsi="仿宋_GB2312" w:eastAsia="仿宋_GB2312" w:cs="仿宋_GB2312"/>
          <w:color w:val="auto"/>
          <w:sz w:val="24"/>
          <w:highlight w:val="none"/>
          <w:u w:val="single"/>
        </w:rPr>
        <w:t>。</w:t>
      </w:r>
      <w:r>
        <w:rPr>
          <w:rFonts w:ascii="仿宋_GB2312" w:hAnsi="仿宋_GB2312" w:eastAsia="仿宋_GB2312" w:cs="仿宋_GB2312"/>
          <w:color w:val="auto"/>
          <w:sz w:val="24"/>
          <w:highlight w:val="none"/>
          <w:u w:val="single"/>
        </w:rPr>
        <w:t>（具体</w:t>
      </w:r>
      <w:r>
        <w:rPr>
          <w:rFonts w:hint="eastAsia" w:ascii="仿宋_GB2312" w:hAnsi="仿宋_GB2312" w:eastAsia="仿宋_GB2312" w:cs="仿宋_GB2312"/>
          <w:color w:val="auto"/>
          <w:sz w:val="24"/>
          <w:highlight w:val="none"/>
          <w:u w:val="single"/>
        </w:rPr>
        <w:t>详见</w:t>
      </w:r>
      <w:r>
        <w:rPr>
          <w:rFonts w:ascii="仿宋_GB2312" w:hAnsi="仿宋_GB2312" w:eastAsia="仿宋_GB2312" w:cs="仿宋_GB2312"/>
          <w:color w:val="auto"/>
          <w:sz w:val="24"/>
          <w:highlight w:val="none"/>
          <w:u w:val="single"/>
        </w:rPr>
        <w:t>设计任务书）</w:t>
      </w:r>
    </w:p>
    <w:p w14:paraId="4CEFD1F6">
      <w:pPr>
        <w:ind w:firstLine="480" w:firstLineChars="2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□采购</w:t>
      </w:r>
      <w:r>
        <w:rPr>
          <w:rFonts w:ascii="仿宋_GB2312" w:hAnsi="仿宋_GB2312" w:eastAsia="仿宋_GB2312" w:cs="仿宋_GB2312"/>
          <w:color w:val="auto"/>
          <w:sz w:val="24"/>
          <w:highlight w:val="none"/>
        </w:rPr>
        <w:t xml:space="preserve">:  </w:t>
      </w:r>
    </w:p>
    <w:p w14:paraId="3606F66B">
      <w:pPr>
        <w:ind w:firstLine="480" w:firstLineChars="2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☑施工:</w:t>
      </w:r>
      <w:r>
        <w:rPr>
          <w:rFonts w:hint="eastAsia" w:ascii="宋体" w:hAnsi="宋体" w:eastAsia="宋体" w:cs="宋体"/>
          <w:color w:val="auto"/>
          <w:szCs w:val="21"/>
          <w:highlight w:val="none"/>
          <w:u w:val="single"/>
        </w:rPr>
        <w:t>（</w:t>
      </w:r>
      <w:r>
        <w:rPr>
          <w:rFonts w:hint="eastAsia" w:ascii="仿宋_GB2312" w:hAnsi="仿宋_GB2312" w:eastAsia="仿宋_GB2312" w:cs="仿宋_GB2312"/>
          <w:color w:val="auto"/>
          <w:sz w:val="24"/>
          <w:highlight w:val="none"/>
          <w:u w:val="single"/>
        </w:rPr>
        <w:t>1）完成本项目所有施工至施工图编制工作内容，其中包括：</w:t>
      </w:r>
      <w:bookmarkStart w:id="1" w:name="_Hlk155776142"/>
      <w:r>
        <w:rPr>
          <w:rFonts w:hint="eastAsia" w:ascii="仿宋_GB2312" w:hAnsi="仿宋_GB2312" w:eastAsia="仿宋_GB2312" w:cs="仿宋_GB2312"/>
          <w:color w:val="auto"/>
          <w:sz w:val="24"/>
          <w:highlight w:val="none"/>
          <w:u w:val="single"/>
        </w:rPr>
        <w:t>按照招标文件及合同约定的范围和发包人确定的施工图进行施工总承包，包括但不限于包工、包料、包施工措施（含场地准备及临时设施、临水临电报批及安装、临时便道、临时排水、周边建筑物安全鉴定和保护等，负责和附近厂房协调，确保施工期间场地周边路通水通电等）、包设备、</w:t>
      </w:r>
      <w:r>
        <w:rPr>
          <w:rFonts w:ascii="仿宋_GB2312" w:hAnsi="仿宋_GB2312" w:eastAsia="仿宋_GB2312" w:cs="仿宋_GB2312"/>
          <w:color w:val="auto"/>
          <w:sz w:val="24"/>
          <w:highlight w:val="none"/>
          <w:u w:val="single"/>
        </w:rPr>
        <w:t>包安装调试、</w:t>
      </w:r>
      <w:r>
        <w:rPr>
          <w:rFonts w:hint="eastAsia" w:ascii="仿宋_GB2312" w:hAnsi="仿宋_GB2312" w:eastAsia="仿宋_GB2312" w:cs="仿宋_GB2312"/>
          <w:color w:val="auto"/>
          <w:sz w:val="24"/>
          <w:highlight w:val="none"/>
          <w:u w:val="single"/>
        </w:rPr>
        <w:t>包质量、</w:t>
      </w:r>
      <w:r>
        <w:rPr>
          <w:rFonts w:ascii="仿宋_GB2312" w:hAnsi="仿宋_GB2312" w:eastAsia="仿宋_GB2312" w:cs="仿宋_GB2312"/>
          <w:color w:val="auto"/>
          <w:sz w:val="24"/>
          <w:highlight w:val="none"/>
          <w:u w:val="single"/>
        </w:rPr>
        <w:t>包造价控制、</w:t>
      </w:r>
      <w:r>
        <w:rPr>
          <w:rFonts w:hint="eastAsia" w:ascii="仿宋_GB2312" w:hAnsi="仿宋_GB2312" w:eastAsia="仿宋_GB2312" w:cs="仿宋_GB2312"/>
          <w:color w:val="auto"/>
          <w:sz w:val="24"/>
          <w:highlight w:val="none"/>
          <w:u w:val="single"/>
        </w:rPr>
        <w:t>包安全生产、包文明施工、包环境保护、包保险、</w:t>
      </w:r>
      <w:r>
        <w:rPr>
          <w:rFonts w:ascii="仿宋_GB2312" w:hAnsi="仿宋_GB2312" w:eastAsia="仿宋_GB2312" w:cs="仿宋_GB2312"/>
          <w:color w:val="auto"/>
          <w:sz w:val="24"/>
          <w:highlight w:val="none"/>
          <w:u w:val="single"/>
        </w:rPr>
        <w:t>包检验检测、</w:t>
      </w:r>
      <w:r>
        <w:rPr>
          <w:rFonts w:hint="eastAsia" w:ascii="仿宋_GB2312" w:hAnsi="仿宋_GB2312" w:eastAsia="仿宋_GB2312" w:cs="仿宋_GB2312"/>
          <w:color w:val="auto"/>
          <w:sz w:val="24"/>
          <w:highlight w:val="none"/>
          <w:u w:val="single"/>
        </w:rPr>
        <w:t>包工期、包承包范围内工程验收通过（含各专项验收）、包移交、包结算、包竣工图编制（含可编辑CAD）和资料整理移交档案、包施工总承包管理和现场整体组织、包专业协调及配合、包保修等。包括但不限于：道路、交通、给（市政消防供水）排水、照明、电力管沟、通信管道、绿化和通信及给水等管线迁改等工程。（最终以招标文件、设计图纸、工程量清单内容及合同为准。）</w:t>
      </w:r>
      <w:bookmarkEnd w:id="1"/>
    </w:p>
    <w:p w14:paraId="4CA6F337">
      <w:pPr>
        <w:ind w:firstLine="424" w:firstLineChars="17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（2）负责施工图预算、结算的编制工作，配合发包人对预算、结算的审核及审计工作；</w:t>
      </w:r>
    </w:p>
    <w:p w14:paraId="76D71CD2">
      <w:pPr>
        <w:ind w:firstLine="424" w:firstLineChars="17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3）对需要专业分包的专项设计和工程，承包人与专业分包单位签订专业分包合同，配合做好协调和管理工作。同时，承包人须按国家、地方、行业规定以及发包人要求的工程措施、安全措施、文明措施对项目进行工程总承包管理，作为联合体主办方负责项目设计、施工总协调工作及工程涉及的其它协调工作；</w:t>
      </w:r>
    </w:p>
    <w:p w14:paraId="742CA168">
      <w:pPr>
        <w:ind w:firstLine="424" w:firstLineChars="17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4）负责或配合办理工程开工至工程竣工验收备案所需的各项报建报批手续,包括但不限于办理施工许可证(或临时施工许可)、报监手续、余泥排放证、排污手续、排水接驳、排水许可证、环保验收及分项分部工程验收和各专业验收,并承担办理上述手续施工方的费用；</w:t>
      </w:r>
    </w:p>
    <w:p w14:paraId="6D1E0971">
      <w:pPr>
        <w:ind w:firstLine="424" w:firstLineChars="17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w:t>
      </w:r>
      <w:r>
        <w:rPr>
          <w:rFonts w:ascii="仿宋_GB2312" w:hAnsi="仿宋_GB2312" w:eastAsia="仿宋_GB2312" w:cs="仿宋_GB2312"/>
          <w:color w:val="auto"/>
          <w:sz w:val="24"/>
          <w:highlight w:val="none"/>
          <w:u w:val="single"/>
        </w:rPr>
        <w:t>5）完成按有关规定应由承包人负责的检验监测工作，及配合发包人委托的第三方检测工作；</w:t>
      </w:r>
    </w:p>
    <w:p w14:paraId="30EB43BE">
      <w:pPr>
        <w:ind w:firstLine="424" w:firstLineChars="17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w:t>
      </w:r>
      <w:r>
        <w:rPr>
          <w:rFonts w:ascii="仿宋_GB2312" w:hAnsi="仿宋_GB2312" w:eastAsia="仿宋_GB2312" w:cs="仿宋_GB2312"/>
          <w:color w:val="auto"/>
          <w:sz w:val="24"/>
          <w:highlight w:val="none"/>
          <w:u w:val="single"/>
        </w:rPr>
        <w:t>6）负责施工期间至移交前的场地管理、保安、保洁、防噪音、防扬尘及绿化养护等管理工作；负责设置卫生垃圾池和建筑垃圾外运工作；负责设置施工污水收集过滤系统，保证污水排放不得影响周边环境；配合发包人做好各项迎检工作，对场地进行清扫和布置。</w:t>
      </w:r>
    </w:p>
    <w:p w14:paraId="713609FD">
      <w:pPr>
        <w:ind w:firstLine="424" w:firstLineChars="17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（7）项目红线范围内的场地围蔽施工及至本合同项下全部工程移交前的保修维护工作（该部分费用包含在承包人合同价款中）。</w:t>
      </w:r>
    </w:p>
    <w:p w14:paraId="29E9C902">
      <w:pPr>
        <w:ind w:firstLine="424" w:firstLineChars="17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8）组织本项目的整体竣工验收及备案和整体工程资料汇总及整理归档工作，包括结算资料整理汇总、竣工图签审及竣工图编制（份数按发包人要求）；在本工程范围内工程资料正式移交给发包人及相关建设主管部门之前所产生的费用均包括在承包人合同价款中。</w:t>
      </w:r>
    </w:p>
    <w:p w14:paraId="595B83DC">
      <w:pPr>
        <w:ind w:firstLine="480" w:firstLineChars="2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（10）协助做好迎检、开工仪式等筹备工作。</w:t>
      </w:r>
    </w:p>
    <w:p w14:paraId="7BD9800E">
      <w:pPr>
        <w:ind w:firstLine="424" w:firstLineChars="17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□其它:</w:t>
      </w:r>
      <w:r>
        <w:rPr>
          <w:rFonts w:hint="eastAsia" w:ascii="仿宋_GB2312" w:hAnsi="仿宋_GB2312" w:eastAsia="仿宋_GB2312" w:cs="仿宋_GB2312"/>
          <w:color w:val="auto"/>
          <w:sz w:val="24"/>
          <w:highlight w:val="none"/>
          <w:u w:val="single"/>
        </w:rPr>
        <w:t xml:space="preserve"> /  </w:t>
      </w:r>
    </w:p>
    <w:p w14:paraId="078364E0">
      <w:pPr>
        <w:ind w:firstLine="424" w:firstLineChars="17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2.</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工程内容：</w:t>
      </w:r>
      <w:r>
        <w:rPr>
          <w:rFonts w:hint="eastAsia" w:ascii="仿宋_GB2312" w:hAnsi="仿宋_GB2312" w:eastAsia="仿宋_GB2312" w:cs="仿宋_GB2312"/>
          <w:color w:val="auto"/>
          <w:sz w:val="24"/>
          <w:highlight w:val="none"/>
          <w:u w:val="single"/>
        </w:rPr>
        <w:t>包括但不限于道路工程、给排水工程、电力工程、交通工程、涵洞工程、排水工程、照明工程、电力通信及绿化工程等。（最终以招标文件、设计图纸、工程量清单内容及合同为准。）</w:t>
      </w:r>
    </w:p>
    <w:p w14:paraId="20C60CD9">
      <w:pPr>
        <w:ind w:firstLine="424" w:firstLineChars="17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3.承包方式：承包方式为工程总承包。包勘察、包设计（含初步设计、施工图设计、深化设计、专项设计等）、包工程施工。包括但不限于包报建、包工、包料、包设备、包工期、包质量、包造价控制、包运输费、包安全文明施工（施工过程中所需的辅助材料、机械设备、工具等均由承包人自行解决、包工完场清、包管理费、包措施费、包成品保护、包施工噪音排污费、包夜间施工费、包赶工费、包保险、包材料周转费、包材料转运费、包二次转运费、包垂直运输费、包材料及设备堆放费、包人材机二次进出场费、包调试与测试、包试运行、包材料和设备检验及试验、包培训、包现场总体组织和管理配合服务、包税费、包垃圾清运、包利润、包验收资料移交档案、包移交、包招标范围内各项施工手续办理及工程竣工验收通过、包预结算编制及评审通过、包竣工图编制（需满足各专项、竣工验收要求）、包项目协调管理、工程资料汇总及整理归档、包保修等一切与工程相关的费用。</w:t>
      </w:r>
    </w:p>
    <w:p w14:paraId="7929DC62">
      <w:pPr>
        <w:ind w:firstLine="424" w:firstLineChars="17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4. 相关报批、报建：</w:t>
      </w:r>
    </w:p>
    <w:p w14:paraId="39E4E831">
      <w:pPr>
        <w:ind w:firstLine="424" w:firstLineChars="17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承包人协助发包人办理相关报批、报建及红线内外路口开设工作，配合发包人完成管线迁改工作。凡工程中涉及到劳动安全、职业病防治、消防、人防、防雷、环保、节能、绿色建筑、海绵城市、规划、卫生防疫、档案、质量等有关政府部门验收的项目，及时做好验收准备工作。验收通过后，向发包人提交书面验收报告，办理竣工联合验收等（最终以政府的最新竣工验收要求为准）。</w:t>
      </w:r>
    </w:p>
    <w:p w14:paraId="45EB0F91">
      <w:pPr>
        <w:ind w:firstLine="424" w:firstLineChars="17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根据本项目规划实施的具体情况，如遇该项目的投资规模、结构形式、项目名称或者造价等发生调整，也可能会新增或减少、甚至取消部分工程，承包人已充分理解此风险并无条件接受,同意放弃据此向发包人追究违约责任，且中标下浮率固定不变。如遇不可抗力原因取消该全部工程，则本合同自行失效，承包人已实际投入的按实结算。如因发包人原因或政策变化原因取消该全部工程，则根据承包方实际投入按实结算。</w:t>
      </w:r>
    </w:p>
    <w:p w14:paraId="6D9F353F">
      <w:pPr>
        <w:ind w:firstLine="424" w:firstLineChars="177"/>
        <w:rPr>
          <w:rFonts w:hint="eastAsia" w:ascii="仿宋_GB2312" w:hAnsi="仿宋_GB2312" w:eastAsia="仿宋_GB2312" w:cs="仿宋_GB2312"/>
          <w:color w:val="auto"/>
          <w:sz w:val="24"/>
          <w:highlight w:val="none"/>
          <w:u w:val="single"/>
        </w:rPr>
      </w:pPr>
    </w:p>
    <w:p w14:paraId="42882337">
      <w:pP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★三、质量标准和要求</w:t>
      </w:r>
    </w:p>
    <w:p w14:paraId="3AF11121">
      <w:pPr>
        <w:ind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☑设计标准和要求（设计文件编制及限额设计目标）：</w:t>
      </w:r>
      <w:r>
        <w:rPr>
          <w:rFonts w:ascii="仿宋_GB2312" w:hAnsi="仿宋_GB2312" w:eastAsia="仿宋_GB2312" w:cs="仿宋_GB2312"/>
          <w:color w:val="auto"/>
          <w:sz w:val="24"/>
          <w:highlight w:val="none"/>
          <w:u w:val="single"/>
        </w:rPr>
        <w:t>符合《建设工程质量管理条例》、《建设工程勘察设计管理条例》、《建筑工程设计文件编制深度规定（2016年版）》等国家及地方有关工程设计管理法规和规章，达到行业相关规范技术标准等要求；符合建设工程勘察设计的技术规范及本项目设计任务书的要求。</w:t>
      </w:r>
    </w:p>
    <w:p w14:paraId="022F6B28">
      <w:pPr>
        <w:ind w:firstLine="240" w:firstLineChars="100"/>
        <w:rPr>
          <w:rFonts w:hint="eastAsia" w:ascii="仿宋_GB2312" w:hAnsi="仿宋_GB2312" w:eastAsia="仿宋_GB2312" w:cs="仿宋_GB2312"/>
          <w:color w:val="auto"/>
          <w:sz w:val="24"/>
          <w:highlight w:val="none"/>
          <w:u w:val="single"/>
        </w:rPr>
      </w:pPr>
    </w:p>
    <w:p w14:paraId="44C6EC29">
      <w:pPr>
        <w:ind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□设备及工器具购置标准和要求（性能、参数、品质、产能等管理目标）：</w:t>
      </w:r>
      <w:r>
        <w:rPr>
          <w:rFonts w:ascii="仿宋_GB2312" w:hAnsi="仿宋_GB2312" w:eastAsia="仿宋_GB2312" w:cs="仿宋_GB2312"/>
          <w:color w:val="auto"/>
          <w:sz w:val="24"/>
          <w:highlight w:val="none"/>
          <w:u w:val="single"/>
        </w:rPr>
        <w:t xml:space="preserve">       </w:t>
      </w:r>
    </w:p>
    <w:p w14:paraId="5A8E2129">
      <w:pPr>
        <w:ind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□装配式构件采购标准和要求（性能、参数、品质、产能等管理目标）：</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strike/>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p>
    <w:p w14:paraId="3EAAADAD">
      <w:pPr>
        <w:ind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☑工程质量标准和要求（施工质量及项目成效目标）：</w:t>
      </w:r>
    </w:p>
    <w:p w14:paraId="34A9995D">
      <w:pPr>
        <w:ind w:firstLine="240" w:firstLine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符合国家、地方现行工程质量验收标准及规范，质量等级为合格，并满足发包人要求。</w:t>
      </w:r>
    </w:p>
    <w:p w14:paraId="084D10B2">
      <w:pPr>
        <w:ind w:firstLine="240" w:firstLineChars="100"/>
        <w:rPr>
          <w:rFonts w:hint="eastAsia" w:ascii="仿宋_GB2312" w:hAnsi="仿宋_GB2312" w:eastAsia="仿宋_GB2312" w:cs="仿宋_GB2312"/>
          <w:color w:val="auto"/>
          <w:sz w:val="24"/>
          <w:highlight w:val="none"/>
        </w:rPr>
      </w:pPr>
      <w:r>
        <w:rPr>
          <w:rFonts w:hint="eastAsia" w:ascii="Segoe UI Symbol" w:hAnsi="Segoe UI Symbol" w:eastAsia="仿宋_GB2312" w:cs="Segoe UI Symbol"/>
          <w:color w:val="auto"/>
          <w:sz w:val="24"/>
          <w:highlight w:val="none"/>
        </w:rPr>
        <w:t>□</w:t>
      </w:r>
      <w:r>
        <w:rPr>
          <w:rFonts w:hint="eastAsia" w:ascii="仿宋_GB2312" w:hAnsi="仿宋_GB2312" w:eastAsia="仿宋_GB2312" w:cs="仿宋_GB2312"/>
          <w:color w:val="auto"/>
          <w:sz w:val="24"/>
          <w:highlight w:val="none"/>
        </w:rPr>
        <w:t>绿色建筑建设目标：□一星</w:t>
      </w:r>
      <w:r>
        <w:rPr>
          <w:rFonts w:ascii="仿宋_GB2312" w:hAnsi="仿宋_GB2312" w:eastAsia="仿宋_GB2312" w:cs="仿宋_GB2312"/>
          <w:color w:val="auto"/>
          <w:sz w:val="24"/>
          <w:highlight w:val="none"/>
        </w:rPr>
        <w:t xml:space="preserve"> </w:t>
      </w:r>
      <w:r>
        <w:rPr>
          <w:rFonts w:hint="eastAsia" w:ascii="Segoe UI Symbol" w:hAnsi="Segoe UI Symbol" w:eastAsia="仿宋_GB2312" w:cs="Segoe UI Symbol"/>
          <w:color w:val="auto"/>
          <w:sz w:val="24"/>
          <w:highlight w:val="none"/>
        </w:rPr>
        <w:t>□</w:t>
      </w:r>
      <w:r>
        <w:rPr>
          <w:rFonts w:hint="eastAsia" w:ascii="仿宋_GB2312" w:hAnsi="仿宋_GB2312" w:eastAsia="仿宋_GB2312" w:cs="仿宋_GB2312"/>
          <w:color w:val="auto"/>
          <w:sz w:val="24"/>
          <w:highlight w:val="none"/>
        </w:rPr>
        <w:t>二星</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□三星 ☑不适用</w:t>
      </w:r>
    </w:p>
    <w:p w14:paraId="5DE2D0AE">
      <w:pPr>
        <w:ind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评价标准：</w:t>
      </w:r>
      <w:r>
        <w:rPr>
          <w:rFonts w:hint="eastAsia" w:ascii="Segoe UI Symbol" w:hAnsi="Segoe UI Symbol" w:eastAsia="仿宋_GB2312" w:cs="Segoe UI Symbol"/>
          <w:color w:val="auto"/>
          <w:sz w:val="24"/>
          <w:highlight w:val="none"/>
        </w:rPr>
        <w:t>□</w:t>
      </w:r>
      <w:r>
        <w:rPr>
          <w:rFonts w:hint="eastAsia" w:ascii="仿宋_GB2312" w:hAnsi="仿宋_GB2312" w:eastAsia="仿宋_GB2312" w:cs="仿宋_GB2312"/>
          <w:color w:val="auto"/>
          <w:sz w:val="24"/>
          <w:highlight w:val="none"/>
        </w:rPr>
        <w:t>《绿色建筑评价标准》</w:t>
      </w:r>
      <w:r>
        <w:rPr>
          <w:rFonts w:ascii="仿宋_GB2312" w:hAnsi="仿宋_GB2312" w:eastAsia="仿宋_GB2312" w:cs="仿宋_GB2312"/>
          <w:color w:val="auto"/>
          <w:sz w:val="24"/>
          <w:highlight w:val="none"/>
        </w:rPr>
        <w:t>(GB/T 50378-2019）</w:t>
      </w:r>
    </w:p>
    <w:p w14:paraId="4330C32E">
      <w:pPr>
        <w:ind w:firstLine="1440" w:firstLineChars="6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□《广东省绿色建筑评价标准》（</w:t>
      </w:r>
      <w:r>
        <w:rPr>
          <w:rFonts w:ascii="仿宋_GB2312" w:hAnsi="仿宋_GB2312" w:eastAsia="仿宋_GB2312" w:cs="仿宋_GB2312"/>
          <w:color w:val="auto"/>
          <w:sz w:val="24"/>
          <w:highlight w:val="none"/>
        </w:rPr>
        <w:t>DBJ/T 15-83-2017）</w:t>
      </w:r>
    </w:p>
    <w:p w14:paraId="30926A26">
      <w:pPr>
        <w:ind w:firstLine="1440" w:firstLineChars="6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□其它：</w:t>
      </w:r>
      <w:r>
        <w:rPr>
          <w:rFonts w:hint="eastAsia" w:ascii="仿宋_GB2312" w:hAnsi="仿宋_GB2312" w:eastAsia="仿宋_GB2312" w:cs="仿宋_GB2312"/>
          <w:color w:val="auto"/>
          <w:sz w:val="24"/>
          <w:highlight w:val="none"/>
          <w:u w:val="single"/>
        </w:rPr>
        <w:t>不适用</w:t>
      </w:r>
    </w:p>
    <w:p w14:paraId="45329E4B">
      <w:pPr>
        <w:ind w:firstLine="240" w:firstLineChars="100"/>
        <w:rPr>
          <w:rFonts w:hint="eastAsia" w:ascii="仿宋_GB2312" w:hAnsi="仿宋_GB2312" w:eastAsia="仿宋_GB2312" w:cs="仿宋_GB2312"/>
          <w:color w:val="auto"/>
          <w:sz w:val="24"/>
          <w:highlight w:val="none"/>
        </w:rPr>
      </w:pPr>
      <w:r>
        <w:rPr>
          <w:rFonts w:ascii="Segoe UI Symbol" w:hAnsi="Segoe UI Symbol" w:eastAsia="仿宋_GB2312" w:cs="Segoe UI Symbol"/>
          <w:color w:val="auto"/>
          <w:sz w:val="24"/>
          <w:highlight w:val="none"/>
        </w:rPr>
        <w:t>☑</w:t>
      </w:r>
      <w:r>
        <w:rPr>
          <w:rFonts w:hint="eastAsia" w:ascii="仿宋" w:hAnsi="仿宋" w:eastAsia="仿宋" w:cs="仿宋"/>
          <w:color w:val="auto"/>
          <w:sz w:val="24"/>
          <w:highlight w:val="none"/>
        </w:rPr>
        <w:t>安全及文明施工目标：</w:t>
      </w:r>
      <w:r>
        <w:rPr>
          <w:rFonts w:hint="eastAsia" w:ascii="仿宋_GB2312" w:hAnsi="仿宋_GB2312" w:eastAsia="仿宋_GB2312" w:cs="仿宋_GB2312"/>
          <w:color w:val="auto"/>
          <w:sz w:val="24"/>
          <w:highlight w:val="none"/>
          <w:u w:val="single"/>
        </w:rPr>
        <w:t>确保不发生一般事故等级及以上的安全生产事故且死亡人数为零，保证施工场地清洁、扬尘及噪音管理符合环境卫生管理的有关规定，严格执行有关安全与文明的法律法规和规章制度。如承包人不能符合要求，承包人将承担违约责任</w:t>
      </w:r>
      <w:r>
        <w:rPr>
          <w:rFonts w:hint="eastAsia" w:ascii="仿宋_GB2312" w:hAnsi="仿宋_GB2312" w:eastAsia="仿宋_GB2312" w:cs="仿宋_GB2312"/>
          <w:color w:val="auto"/>
          <w:sz w:val="24"/>
          <w:highlight w:val="none"/>
        </w:rPr>
        <w:t>。</w:t>
      </w:r>
    </w:p>
    <w:p w14:paraId="26025F0A">
      <w:pP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四、创优目标</w:t>
      </w:r>
    </w:p>
    <w:p w14:paraId="38853F17">
      <w:pPr>
        <w:ind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市级优秀勘察设计奖（□一等奖</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□二等奖</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□三等奖</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□其它：</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14:paraId="0F3641DC">
      <w:pPr>
        <w:ind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省部级优秀勘察设计奖（□一等奖</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□二等奖</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□三等奖</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□其它：</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14:paraId="25C517EE">
      <w:pPr>
        <w:ind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国家级优秀勘察设计奖（□金奖</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□银奖</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□其它：</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14:paraId="1F12FAC0">
      <w:pPr>
        <w:ind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市级工程优质奖；</w:t>
      </w:r>
    </w:p>
    <w:p w14:paraId="00D96270">
      <w:pPr>
        <w:ind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省级工程优质奖；</w:t>
      </w:r>
    </w:p>
    <w:p w14:paraId="24914F8D">
      <w:pPr>
        <w:ind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国家级工程优质奖；</w:t>
      </w:r>
    </w:p>
    <w:p w14:paraId="7A71C901">
      <w:pPr>
        <w:ind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精品工程；</w:t>
      </w:r>
    </w:p>
    <w:p w14:paraId="02238E28">
      <w:pPr>
        <w:ind w:firstLine="240" w:firstLine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其它：</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本条不适用</w:t>
      </w:r>
      <w:r>
        <w:rPr>
          <w:rFonts w:ascii="仿宋_GB2312" w:hAnsi="仿宋_GB2312" w:eastAsia="仿宋_GB2312" w:cs="仿宋_GB2312"/>
          <w:color w:val="auto"/>
          <w:sz w:val="24"/>
          <w:highlight w:val="none"/>
          <w:u w:val="single"/>
        </w:rPr>
        <w:t xml:space="preserve">  </w:t>
      </w:r>
    </w:p>
    <w:p w14:paraId="3823DA65">
      <w:pPr>
        <w:ind w:firstLine="240" w:firstLineChars="100"/>
        <w:rPr>
          <w:rFonts w:hint="eastAsia" w:ascii="仿宋_GB2312" w:hAnsi="仿宋_GB2312" w:eastAsia="仿宋_GB2312" w:cs="仿宋_GB2312"/>
          <w:color w:val="auto"/>
          <w:sz w:val="24"/>
          <w:highlight w:val="none"/>
          <w:u w:val="single"/>
        </w:rPr>
      </w:pPr>
    </w:p>
    <w:p w14:paraId="7A49B388">
      <w:pP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五、创文明工地目标</w:t>
      </w:r>
    </w:p>
    <w:p w14:paraId="45EBD0F4">
      <w:pPr>
        <w:ind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市级安全文明绿色施工样板工地；</w:t>
      </w:r>
    </w:p>
    <w:p w14:paraId="05DEED17">
      <w:pPr>
        <w:ind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省级安全文明示范工地；</w:t>
      </w:r>
    </w:p>
    <w:p w14:paraId="706F16FA">
      <w:pPr>
        <w:ind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国家级安全文明工地；</w:t>
      </w:r>
    </w:p>
    <w:p w14:paraId="78D22BA6">
      <w:pPr>
        <w:ind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广州市建筑业绿色施工示范工程；</w:t>
      </w:r>
    </w:p>
    <w:p w14:paraId="4239F698">
      <w:pPr>
        <w:ind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广东省建筑业绿色施工示范工程；</w:t>
      </w:r>
    </w:p>
    <w:p w14:paraId="571F85D1">
      <w:pPr>
        <w:ind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全国建筑业绿色施工示范工程；</w:t>
      </w:r>
    </w:p>
    <w:p w14:paraId="07C04EC5">
      <w:pPr>
        <w:ind w:firstLine="240" w:firstLine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其它：</w:t>
      </w:r>
      <w:r>
        <w:rPr>
          <w:rFonts w:hint="eastAsia" w:ascii="仿宋_GB2312" w:hAnsi="仿宋_GB2312" w:eastAsia="仿宋_GB2312" w:cs="仿宋_GB2312"/>
          <w:color w:val="auto"/>
          <w:sz w:val="24"/>
          <w:highlight w:val="none"/>
          <w:u w:val="single"/>
        </w:rPr>
        <w:t xml:space="preserve"> 本条不适用   </w:t>
      </w:r>
    </w:p>
    <w:p w14:paraId="22056985">
      <w:pPr>
        <w:ind w:firstLine="240" w:firstLineChars="100"/>
        <w:rPr>
          <w:rFonts w:hint="eastAsia" w:ascii="仿宋_GB2312" w:hAnsi="仿宋_GB2312" w:eastAsia="仿宋_GB2312" w:cs="仿宋_GB2312"/>
          <w:color w:val="auto"/>
          <w:sz w:val="24"/>
          <w:highlight w:val="none"/>
          <w:u w:val="single"/>
        </w:rPr>
      </w:pPr>
    </w:p>
    <w:p w14:paraId="64D456BF">
      <w:pP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六、职业健康安全管理目标和环境管理目标</w:t>
      </w:r>
    </w:p>
    <w:p w14:paraId="3FB6E28F">
      <w:pPr>
        <w:ind w:firstLine="424" w:firstLineChars="17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1.职业健康安全管理目标：</w:t>
      </w:r>
      <w:r>
        <w:rPr>
          <w:rFonts w:hint="eastAsia" w:ascii="仿宋_GB2312" w:hAnsi="仿宋_GB2312" w:eastAsia="仿宋_GB2312" w:cs="仿宋_GB2312"/>
          <w:color w:val="auto"/>
          <w:sz w:val="24"/>
          <w:highlight w:val="none"/>
          <w:u w:val="single"/>
        </w:rPr>
        <w:t>零死亡、零重伤、零中毒、零火灾、零坍塌、零重大机械事故、零重大财产损失及负面影响事件、零群体事件。改善劳动条件，预防职业病，防疫，工地防尘、防毒、防噪音、通风、照明、取暖、降温、防辐射及防物理因素危害等，均符合国家和地方政府主管理部门颁布的相关规定</w:t>
      </w:r>
      <w:r>
        <w:rPr>
          <w:rFonts w:hint="eastAsia" w:ascii="仿宋_GB2312" w:hAnsi="仿宋_GB2312" w:eastAsia="仿宋_GB2312" w:cs="仿宋_GB2312"/>
          <w:color w:val="auto"/>
          <w:sz w:val="24"/>
          <w:highlight w:val="none"/>
        </w:rPr>
        <w:t>。</w:t>
      </w:r>
    </w:p>
    <w:p w14:paraId="0FFF4B61">
      <w:pPr>
        <w:ind w:firstLine="424" w:firstLineChars="17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2.环境管理目标：</w:t>
      </w:r>
      <w:bookmarkStart w:id="2" w:name="_Hlk155859947"/>
      <w:r>
        <w:rPr>
          <w:rFonts w:hint="eastAsia" w:ascii="仿宋_GB2312" w:hAnsi="仿宋_GB2312" w:eastAsia="仿宋_GB2312" w:cs="仿宋_GB2312"/>
          <w:color w:val="auto"/>
          <w:sz w:val="24"/>
          <w:highlight w:val="none"/>
          <w:u w:val="single"/>
        </w:rPr>
        <w:t>严格执行《广州市城乡建设委员会关于印发广州市加强建筑工地环保管理工作方案的通知》</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穗建质〔</w:t>
      </w:r>
      <w:r>
        <w:rPr>
          <w:rFonts w:ascii="仿宋_GB2312" w:hAnsi="仿宋_GB2312" w:eastAsia="仿宋_GB2312" w:cs="仿宋_GB2312"/>
          <w:color w:val="auto"/>
          <w:sz w:val="24"/>
          <w:highlight w:val="none"/>
          <w:u w:val="single"/>
        </w:rPr>
        <w:t>2014</w:t>
      </w:r>
      <w:r>
        <w:rPr>
          <w:rFonts w:hint="eastAsia" w:ascii="仿宋_GB2312" w:hAnsi="仿宋_GB2312" w:eastAsia="仿宋_GB2312" w:cs="仿宋_GB2312"/>
          <w:color w:val="auto"/>
          <w:sz w:val="24"/>
          <w:highlight w:val="none"/>
          <w:u w:val="single"/>
        </w:rPr>
        <w:t>〕</w:t>
      </w:r>
      <w:r>
        <w:rPr>
          <w:rFonts w:ascii="仿宋_GB2312" w:hAnsi="仿宋_GB2312" w:eastAsia="仿宋_GB2312" w:cs="仿宋_GB2312"/>
          <w:color w:val="auto"/>
          <w:sz w:val="24"/>
          <w:highlight w:val="none"/>
          <w:u w:val="single"/>
        </w:rPr>
        <w:t>754</w:t>
      </w:r>
      <w:r>
        <w:rPr>
          <w:rFonts w:hint="eastAsia" w:ascii="仿宋_GB2312" w:hAnsi="仿宋_GB2312" w:eastAsia="仿宋_GB2312" w:cs="仿宋_GB2312"/>
          <w:color w:val="auto"/>
          <w:sz w:val="24"/>
          <w:highlight w:val="none"/>
          <w:u w:val="single"/>
        </w:rPr>
        <w:t>号</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、《广州市委宣传部、广州市住房和城乡建设委员会、广州市城市管理委员会关于完善广州市建设工程施工围蔽管理提升实施技术要求和标准图集的通知》（穗建质〔</w:t>
      </w:r>
      <w:r>
        <w:rPr>
          <w:rFonts w:ascii="仿宋_GB2312" w:hAnsi="仿宋_GB2312" w:eastAsia="仿宋_GB2312" w:cs="仿宋_GB2312"/>
          <w:color w:val="auto"/>
          <w:sz w:val="24"/>
          <w:highlight w:val="none"/>
          <w:u w:val="single"/>
        </w:rPr>
        <w:t>2016</w:t>
      </w:r>
      <w:r>
        <w:rPr>
          <w:rFonts w:hint="eastAsia" w:ascii="仿宋_GB2312" w:hAnsi="仿宋_GB2312" w:eastAsia="仿宋_GB2312" w:cs="仿宋_GB2312"/>
          <w:color w:val="auto"/>
          <w:sz w:val="24"/>
          <w:highlight w:val="none"/>
          <w:u w:val="single"/>
        </w:rPr>
        <w:t>〕</w:t>
      </w:r>
      <w:r>
        <w:rPr>
          <w:rFonts w:ascii="仿宋_GB2312" w:hAnsi="仿宋_GB2312" w:eastAsia="仿宋_GB2312" w:cs="仿宋_GB2312"/>
          <w:color w:val="auto"/>
          <w:sz w:val="24"/>
          <w:highlight w:val="none"/>
          <w:u w:val="single"/>
        </w:rPr>
        <w:t>1085</w:t>
      </w:r>
      <w:r>
        <w:rPr>
          <w:rFonts w:hint="eastAsia" w:ascii="仿宋_GB2312" w:hAnsi="仿宋_GB2312" w:eastAsia="仿宋_GB2312" w:cs="仿宋_GB2312"/>
          <w:color w:val="auto"/>
          <w:sz w:val="24"/>
          <w:highlight w:val="none"/>
          <w:u w:val="single"/>
        </w:rPr>
        <w:t>号）、</w:t>
      </w:r>
      <w:r>
        <w:rPr>
          <w:rFonts w:ascii="仿宋_GB2312" w:hAnsi="仿宋_GB2312" w:eastAsia="仿宋_GB2312" w:cs="仿宋_GB2312"/>
          <w:color w:val="auto"/>
          <w:sz w:val="24"/>
          <w:highlight w:val="none"/>
          <w:u w:val="single"/>
        </w:rPr>
        <w:t>《广州市住房和城乡建设委员会关于印发广州市建设工程绿色施工围蔽指导图集（V2.0试行版）的通知》</w:t>
      </w:r>
      <w:r>
        <w:rPr>
          <w:rFonts w:hint="eastAsia" w:ascii="仿宋_GB2312" w:hAnsi="仿宋_GB2312" w:eastAsia="仿宋_GB2312" w:cs="仿宋_GB2312"/>
          <w:color w:val="auto"/>
          <w:sz w:val="24"/>
          <w:highlight w:val="none"/>
          <w:u w:val="single"/>
        </w:rPr>
        <w:t>、《广州市提升建设工程安全文明施工管理水平的工作指引》（穗建质</w:t>
      </w:r>
      <w:r>
        <w:rPr>
          <w:rFonts w:ascii="仿宋_GB2312" w:hAnsi="仿宋_GB2312" w:eastAsia="仿宋_GB2312" w:cs="仿宋_GB2312"/>
          <w:color w:val="auto"/>
          <w:sz w:val="24"/>
          <w:highlight w:val="none"/>
          <w:u w:val="single"/>
        </w:rPr>
        <w:t>[2017]815</w:t>
      </w:r>
      <w:r>
        <w:rPr>
          <w:rFonts w:hint="eastAsia" w:ascii="仿宋_GB2312" w:hAnsi="仿宋_GB2312" w:eastAsia="仿宋_GB2312" w:cs="仿宋_GB2312"/>
          <w:color w:val="auto"/>
          <w:sz w:val="24"/>
          <w:highlight w:val="none"/>
          <w:u w:val="single"/>
        </w:rPr>
        <w:t>号）、《危险性较大的分部分项工程安全管理规定》</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中华人民共和国住房和城乡建设部令第</w:t>
      </w:r>
      <w:r>
        <w:rPr>
          <w:rFonts w:ascii="仿宋_GB2312" w:hAnsi="仿宋_GB2312" w:eastAsia="仿宋_GB2312" w:cs="仿宋_GB2312"/>
          <w:color w:val="auto"/>
          <w:sz w:val="24"/>
          <w:highlight w:val="none"/>
          <w:u w:val="single"/>
        </w:rPr>
        <w:t>37</w:t>
      </w:r>
      <w:r>
        <w:rPr>
          <w:rFonts w:hint="eastAsia" w:ascii="仿宋_GB2312" w:hAnsi="仿宋_GB2312" w:eastAsia="仿宋_GB2312" w:cs="仿宋_GB2312"/>
          <w:color w:val="auto"/>
          <w:sz w:val="24"/>
          <w:highlight w:val="none"/>
          <w:u w:val="single"/>
        </w:rPr>
        <w:t>号</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和《关于加强建设工程安全生产管理、落实建设各方主体责任的暂行规定》（穗建规字〔</w:t>
      </w:r>
      <w:r>
        <w:rPr>
          <w:rFonts w:ascii="仿宋_GB2312" w:hAnsi="仿宋_GB2312" w:eastAsia="仿宋_GB2312" w:cs="仿宋_GB2312"/>
          <w:color w:val="auto"/>
          <w:sz w:val="24"/>
          <w:highlight w:val="none"/>
          <w:u w:val="single"/>
        </w:rPr>
        <w:t>2017</w:t>
      </w:r>
      <w:r>
        <w:rPr>
          <w:rFonts w:hint="eastAsia" w:ascii="仿宋_GB2312" w:hAnsi="仿宋_GB2312" w:eastAsia="仿宋_GB2312" w:cs="仿宋_GB2312"/>
          <w:color w:val="auto"/>
          <w:sz w:val="24"/>
          <w:highlight w:val="none"/>
          <w:u w:val="single"/>
        </w:rPr>
        <w:t>〕</w:t>
      </w:r>
      <w:r>
        <w:rPr>
          <w:rFonts w:ascii="仿宋_GB2312" w:hAnsi="仿宋_GB2312" w:eastAsia="仿宋_GB2312" w:cs="仿宋_GB2312"/>
          <w:color w:val="auto"/>
          <w:sz w:val="24"/>
          <w:highlight w:val="none"/>
          <w:u w:val="single"/>
        </w:rPr>
        <w:t>21</w:t>
      </w:r>
      <w:r>
        <w:rPr>
          <w:rFonts w:hint="eastAsia" w:ascii="仿宋_GB2312" w:hAnsi="仿宋_GB2312" w:eastAsia="仿宋_GB2312" w:cs="仿宋_GB2312"/>
          <w:color w:val="auto"/>
          <w:sz w:val="24"/>
          <w:highlight w:val="none"/>
          <w:u w:val="single"/>
        </w:rPr>
        <w:t>号）等国家、省、市现行标准、规定和文件要求，并满足广州市政府或建设管理部门文件规定要求 。</w:t>
      </w:r>
      <w:r>
        <w:rPr>
          <w:rFonts w:ascii="仿宋_GB2312" w:hAnsi="仿宋_GB2312" w:eastAsia="仿宋_GB2312" w:cs="仿宋_GB2312"/>
          <w:color w:val="auto"/>
          <w:sz w:val="24"/>
          <w:highlight w:val="none"/>
          <w:u w:val="single"/>
        </w:rPr>
        <w:t xml:space="preserve">(如相关行政主管部门有最新发布的文件，则执行最新规定) </w:t>
      </w:r>
      <w:bookmarkEnd w:id="2"/>
    </w:p>
    <w:p w14:paraId="22292A87">
      <w:pPr>
        <w:ind w:firstLine="240" w:firstLineChars="100"/>
        <w:rPr>
          <w:rFonts w:hint="eastAsia" w:ascii="仿宋_GB2312" w:hAnsi="仿宋_GB2312" w:eastAsia="仿宋_GB2312" w:cs="仿宋_GB2312"/>
          <w:color w:val="auto"/>
          <w:sz w:val="24"/>
          <w:highlight w:val="none"/>
          <w:u w:val="single"/>
        </w:rPr>
      </w:pPr>
    </w:p>
    <w:p w14:paraId="6569E4C1">
      <w:pP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七、合同工期</w:t>
      </w:r>
    </w:p>
    <w:p w14:paraId="66E94F5E">
      <w:pPr>
        <w:ind w:firstLine="424" w:firstLineChars="17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合同工期总日历天数：合同总工期</w:t>
      </w:r>
      <w:r>
        <w:rPr>
          <w:rFonts w:hint="eastAsia" w:ascii="仿宋_GB2312" w:hAnsi="仿宋_GB2312" w:eastAsia="仿宋_GB2312" w:cs="仿宋_GB2312"/>
          <w:color w:val="auto"/>
          <w:sz w:val="24"/>
          <w:highlight w:val="none"/>
          <w:u w:val="single"/>
          <w:lang w:val="en-US" w:eastAsia="zh-CN"/>
        </w:rPr>
        <w:t>9</w:t>
      </w:r>
      <w:r>
        <w:rPr>
          <w:rFonts w:hint="eastAsia" w:ascii="仿宋_GB2312" w:hAnsi="仿宋_GB2312" w:eastAsia="仿宋_GB2312" w:cs="仿宋_GB2312"/>
          <w:color w:val="auto"/>
          <w:sz w:val="24"/>
          <w:highlight w:val="none"/>
          <w:u w:val="single"/>
        </w:rPr>
        <w:t>0</w:t>
      </w:r>
      <w:r>
        <w:rPr>
          <w:rFonts w:hint="eastAsia" w:ascii="仿宋_GB2312" w:hAnsi="仿宋_GB2312" w:eastAsia="仿宋_GB2312" w:cs="仿宋_GB2312"/>
          <w:color w:val="auto"/>
          <w:sz w:val="24"/>
          <w:highlight w:val="none"/>
          <w:u w:val="single"/>
        </w:rPr>
        <w:t>个日历天</w:t>
      </w:r>
      <w:r>
        <w:rPr>
          <w:rFonts w:hint="eastAsia" w:ascii="仿宋_GB2312" w:hAnsi="仿宋_GB2312" w:eastAsia="仿宋_GB2312" w:cs="仿宋_GB2312"/>
          <w:color w:val="auto"/>
          <w:sz w:val="24"/>
          <w:highlight w:val="none"/>
          <w:u w:val="single"/>
          <w:lang w:eastAsia="zh-CN"/>
        </w:rPr>
        <w:t>，</w:t>
      </w:r>
      <w:r>
        <w:rPr>
          <w:rFonts w:hint="eastAsia" w:ascii="仿宋_GB2312" w:hAnsi="仿宋_GB2312" w:eastAsia="仿宋_GB2312" w:cs="仿宋_GB2312"/>
          <w:color w:val="auto"/>
          <w:sz w:val="24"/>
          <w:highlight w:val="none"/>
          <w:u w:val="single"/>
        </w:rPr>
        <w:t>承包人应于中标公示结束后30日历天</w:t>
      </w:r>
      <w:r>
        <w:rPr>
          <w:rFonts w:ascii="仿宋_GB2312" w:hAnsi="仿宋_GB2312" w:eastAsia="仿宋_GB2312" w:cs="仿宋_GB2312"/>
          <w:color w:val="auto"/>
          <w:sz w:val="24"/>
          <w:highlight w:val="none"/>
          <w:u w:val="single"/>
        </w:rPr>
        <w:t>内向</w:t>
      </w:r>
      <w:r>
        <w:rPr>
          <w:rFonts w:hint="eastAsia" w:ascii="仿宋_GB2312" w:hAnsi="仿宋_GB2312" w:eastAsia="仿宋_GB2312" w:cs="仿宋_GB2312"/>
          <w:color w:val="auto"/>
          <w:sz w:val="24"/>
          <w:highlight w:val="none"/>
          <w:u w:val="single"/>
        </w:rPr>
        <w:t>发包方</w:t>
      </w:r>
      <w:r>
        <w:rPr>
          <w:rFonts w:ascii="仿宋_GB2312" w:hAnsi="仿宋_GB2312" w:eastAsia="仿宋_GB2312" w:cs="仿宋_GB2312"/>
          <w:color w:val="auto"/>
          <w:sz w:val="24"/>
          <w:highlight w:val="none"/>
          <w:u w:val="single"/>
        </w:rPr>
        <w:t>提交总体工程进度计划</w:t>
      </w:r>
      <w:r>
        <w:rPr>
          <w:rFonts w:hint="eastAsia" w:ascii="仿宋_GB2312" w:hAnsi="仿宋_GB2312" w:eastAsia="仿宋_GB2312" w:cs="仿宋_GB2312"/>
          <w:color w:val="auto"/>
          <w:sz w:val="24"/>
          <w:highlight w:val="none"/>
          <w:u w:val="single"/>
        </w:rPr>
        <w:t>。承包人应充分考虑施工资金、人力、物力的准备情况，确保项目保质保量按时完成。(合同总工期已计入晴、阴、雨、风、雾、20年一遇的洪水、十级以下台风及停电、停水等影响施工的时间)。</w:t>
      </w:r>
    </w:p>
    <w:p w14:paraId="20EBCF1D">
      <w:pPr>
        <w:ind w:firstLine="424" w:firstLineChars="17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合同工期起算日期：以总监理工程师发出的开工令或开工报告中载明的开工日期为准。</w:t>
      </w:r>
    </w:p>
    <w:p w14:paraId="39F1996A">
      <w:pPr>
        <w:ind w:firstLine="426" w:firstLineChars="17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b/>
          <w:bCs/>
          <w:color w:val="auto"/>
          <w:sz w:val="24"/>
          <w:highlight w:val="none"/>
          <w:u w:val="single"/>
        </w:rPr>
        <w:t>实际开工日期:</w:t>
      </w:r>
      <w:r>
        <w:rPr>
          <w:rFonts w:hint="eastAsia" w:ascii="仿宋_GB2312" w:hAnsi="仿宋_GB2312" w:eastAsia="仿宋_GB2312" w:cs="仿宋_GB2312"/>
          <w:color w:val="auto"/>
          <w:sz w:val="24"/>
          <w:highlight w:val="none"/>
          <w:u w:val="single"/>
        </w:rPr>
        <w:t>发包人或监理单位(监理单位须事先取得发包人同意)在工程施工条件具备后发出的书面开工指令中载明的开工日期。</w:t>
      </w:r>
    </w:p>
    <w:p w14:paraId="29B9AB1E">
      <w:pPr>
        <w:ind w:firstLine="426" w:firstLineChars="17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b/>
          <w:bCs/>
          <w:color w:val="auto"/>
          <w:sz w:val="24"/>
          <w:highlight w:val="none"/>
          <w:u w:val="single"/>
        </w:rPr>
        <w:t>实际竣工日期:</w:t>
      </w:r>
      <w:r>
        <w:rPr>
          <w:rFonts w:hint="eastAsia" w:ascii="仿宋_GB2312" w:hAnsi="仿宋_GB2312" w:eastAsia="仿宋_GB2312" w:cs="仿宋_GB2312"/>
          <w:color w:val="auto"/>
          <w:sz w:val="24"/>
          <w:highlight w:val="none"/>
          <w:u w:val="single"/>
        </w:rPr>
        <w:t>指承包人完成全部工程内容后由发包人、承包人、设计单位、监理单位共同组成的验收小组签认的工程验收书载明的竣工日期及联合验收日期(按二者的较晚日期为准)。</w:t>
      </w:r>
    </w:p>
    <w:p w14:paraId="2F188C52">
      <w:pPr>
        <w:ind w:left="0" w:leftChars="0" w:firstLine="424" w:firstLineChars="177"/>
        <w:rPr>
          <w:rFonts w:hint="eastAsia" w:ascii="仿宋_GB2312" w:hAnsi="仿宋_GB2312" w:eastAsia="仿宋_GB2312" w:cs="仿宋_GB2312"/>
          <w:color w:val="auto"/>
          <w:sz w:val="24"/>
          <w:highlight w:val="none"/>
          <w:u w:val="single"/>
          <w:lang w:eastAsia="zh-CN"/>
        </w:rPr>
      </w:pPr>
      <w:r>
        <w:rPr>
          <w:rFonts w:hint="eastAsia" w:ascii="仿宋_GB2312" w:hAnsi="仿宋_GB2312" w:eastAsia="仿宋_GB2312" w:cs="仿宋_GB2312"/>
          <w:color w:val="auto"/>
          <w:sz w:val="24"/>
          <w:highlight w:val="none"/>
          <w:u w:val="single"/>
          <w:lang w:eastAsia="zh-CN"/>
        </w:rPr>
        <w:t>☑</w:t>
      </w:r>
      <w:r>
        <w:rPr>
          <w:rFonts w:hint="default" w:ascii="仿宋_GB2312" w:hAnsi="仿宋_GB2312" w:eastAsia="仿宋_GB2312" w:cs="仿宋_GB2312"/>
          <w:color w:val="auto"/>
          <w:sz w:val="24"/>
          <w:highlight w:val="none"/>
          <w:u w:val="single"/>
        </w:rPr>
        <w:t>勘察开始工作日期(绝对日期或相对日期):具体以发包人发出的书面指令为准</w:t>
      </w:r>
      <w:r>
        <w:rPr>
          <w:rFonts w:hint="eastAsia" w:ascii="仿宋_GB2312" w:hAnsi="仿宋_GB2312" w:eastAsia="仿宋_GB2312" w:cs="仿宋_GB2312"/>
          <w:color w:val="auto"/>
          <w:sz w:val="24"/>
          <w:highlight w:val="none"/>
          <w:u w:val="single"/>
          <w:lang w:eastAsia="zh-CN"/>
        </w:rPr>
        <w:t>；</w:t>
      </w:r>
      <w:r>
        <w:rPr>
          <w:rFonts w:hint="default" w:ascii="仿宋_GB2312" w:hAnsi="仿宋_GB2312" w:eastAsia="仿宋_GB2312" w:cs="仿宋_GB2312"/>
          <w:color w:val="auto"/>
          <w:sz w:val="24"/>
          <w:highlight w:val="none"/>
          <w:u w:val="single"/>
        </w:rPr>
        <w:t>完成工作日期(绝对日期或相对日期):以实际正式设计日期+合同要求为准</w:t>
      </w:r>
      <w:r>
        <w:rPr>
          <w:rFonts w:hint="eastAsia" w:ascii="仿宋_GB2312" w:hAnsi="仿宋_GB2312" w:eastAsia="仿宋_GB2312" w:cs="仿宋_GB2312"/>
          <w:color w:val="auto"/>
          <w:sz w:val="24"/>
          <w:highlight w:val="none"/>
          <w:u w:val="single"/>
          <w:lang w:eastAsia="zh-CN"/>
        </w:rPr>
        <w:t>；</w:t>
      </w:r>
    </w:p>
    <w:p w14:paraId="2A11C241">
      <w:pPr>
        <w:ind w:left="0" w:leftChars="0" w:firstLine="424" w:firstLineChars="177"/>
        <w:rPr>
          <w:rFonts w:hint="default"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lang w:eastAsia="zh-CN"/>
        </w:rPr>
        <w:t>☑</w:t>
      </w:r>
      <w:r>
        <w:rPr>
          <w:rFonts w:hint="default" w:ascii="仿宋_GB2312" w:hAnsi="仿宋_GB2312" w:eastAsia="仿宋_GB2312" w:cs="仿宋_GB2312"/>
          <w:color w:val="auto"/>
          <w:sz w:val="24"/>
          <w:highlight w:val="none"/>
          <w:u w:val="single"/>
        </w:rPr>
        <w:t>设计开始工作日期(绝对日期或相对日期):具体以发包人发出的书面指令为准</w:t>
      </w:r>
      <w:r>
        <w:rPr>
          <w:rFonts w:hint="eastAsia" w:ascii="仿宋_GB2312" w:hAnsi="仿宋_GB2312" w:eastAsia="仿宋_GB2312" w:cs="仿宋_GB2312"/>
          <w:color w:val="auto"/>
          <w:sz w:val="24"/>
          <w:highlight w:val="none"/>
          <w:u w:val="single"/>
          <w:lang w:eastAsia="zh-CN"/>
        </w:rPr>
        <w:t>；</w:t>
      </w:r>
      <w:r>
        <w:rPr>
          <w:rFonts w:hint="default" w:ascii="仿宋_GB2312" w:hAnsi="仿宋_GB2312" w:eastAsia="仿宋_GB2312" w:cs="仿宋_GB2312"/>
          <w:color w:val="auto"/>
          <w:sz w:val="24"/>
          <w:highlight w:val="none"/>
          <w:u w:val="single"/>
        </w:rPr>
        <w:t>完成工作日期(绝对日期或相对日期):以实际正式设计日期+合同要求为准</w:t>
      </w:r>
      <w:r>
        <w:rPr>
          <w:rFonts w:hint="eastAsia" w:ascii="仿宋_GB2312" w:hAnsi="仿宋_GB2312" w:eastAsia="仿宋_GB2312" w:cs="仿宋_GB2312"/>
          <w:color w:val="auto"/>
          <w:sz w:val="24"/>
          <w:highlight w:val="none"/>
          <w:u w:val="single"/>
          <w:lang w:eastAsia="zh-CN"/>
        </w:rPr>
        <w:t>；</w:t>
      </w:r>
      <w:r>
        <w:rPr>
          <w:rFonts w:hint="default" w:ascii="仿宋_GB2312" w:hAnsi="仿宋_GB2312" w:eastAsia="仿宋_GB2312" w:cs="仿宋_GB2312"/>
          <w:color w:val="auto"/>
          <w:sz w:val="24"/>
          <w:highlight w:val="none"/>
          <w:u w:val="single"/>
        </w:rPr>
        <w:t>。</w:t>
      </w:r>
    </w:p>
    <w:p w14:paraId="76FBBD8D">
      <w:pPr>
        <w:ind w:left="0" w:leftChars="0" w:firstLine="424" w:firstLineChars="177"/>
        <w:rPr>
          <w:rFonts w:hint="eastAsia" w:ascii="仿宋_GB2312" w:hAnsi="仿宋_GB2312" w:eastAsia="仿宋_GB2312" w:cs="仿宋_GB2312"/>
          <w:color w:val="auto"/>
          <w:sz w:val="24"/>
          <w:highlight w:val="none"/>
          <w:u w:val="single"/>
          <w:lang w:eastAsia="zh-CN"/>
        </w:rPr>
      </w:pPr>
      <w:r>
        <w:rPr>
          <w:rFonts w:hint="default" w:ascii="仿宋_GB2312" w:hAnsi="仿宋_GB2312" w:eastAsia="仿宋_GB2312" w:cs="仿宋_GB2312"/>
          <w:color w:val="auto"/>
          <w:sz w:val="24"/>
          <w:highlight w:val="none"/>
          <w:u w:val="single"/>
        </w:rPr>
        <w:t>□BIM 技术应用开始工作日期(绝对日期或相对日期):具体以发包人发出的书面指令为准</w:t>
      </w:r>
      <w:r>
        <w:rPr>
          <w:rFonts w:hint="eastAsia" w:ascii="仿宋_GB2312" w:hAnsi="仿宋_GB2312" w:eastAsia="仿宋_GB2312" w:cs="仿宋_GB2312"/>
          <w:color w:val="auto"/>
          <w:sz w:val="24"/>
          <w:highlight w:val="none"/>
          <w:u w:val="single"/>
          <w:lang w:eastAsia="zh-CN"/>
        </w:rPr>
        <w:t>；</w:t>
      </w:r>
      <w:r>
        <w:rPr>
          <w:rFonts w:hint="default" w:ascii="仿宋_GB2312" w:hAnsi="仿宋_GB2312" w:eastAsia="仿宋_GB2312" w:cs="仿宋_GB2312"/>
          <w:color w:val="auto"/>
          <w:sz w:val="24"/>
          <w:highlight w:val="none"/>
          <w:u w:val="single"/>
        </w:rPr>
        <w:t>完成工作日期(绝对日期或相对日期):以实际正式设计日期+合同要求为准</w:t>
      </w:r>
      <w:r>
        <w:rPr>
          <w:rFonts w:hint="eastAsia" w:ascii="仿宋_GB2312" w:hAnsi="仿宋_GB2312" w:eastAsia="仿宋_GB2312" w:cs="仿宋_GB2312"/>
          <w:color w:val="auto"/>
          <w:sz w:val="24"/>
          <w:highlight w:val="none"/>
          <w:u w:val="single"/>
          <w:lang w:eastAsia="zh-CN"/>
        </w:rPr>
        <w:t>；</w:t>
      </w:r>
    </w:p>
    <w:p w14:paraId="5870BB64">
      <w:pPr>
        <w:ind w:left="0" w:leftChars="0" w:firstLine="424" w:firstLineChars="177"/>
        <w:rPr>
          <w:rFonts w:hint="eastAsia" w:ascii="仿宋_GB2312" w:hAnsi="仿宋_GB2312" w:eastAsia="仿宋_GB2312" w:cs="仿宋_GB2312"/>
          <w:color w:val="auto"/>
          <w:sz w:val="24"/>
          <w:highlight w:val="none"/>
          <w:u w:val="single"/>
          <w:lang w:eastAsia="zh-CN"/>
        </w:rPr>
      </w:pPr>
      <w:r>
        <w:rPr>
          <w:rFonts w:hint="eastAsia" w:ascii="仿宋_GB2312" w:hAnsi="仿宋_GB2312" w:eastAsia="仿宋_GB2312" w:cs="仿宋_GB2312"/>
          <w:color w:val="auto"/>
          <w:sz w:val="24"/>
          <w:highlight w:val="none"/>
          <w:u w:val="single"/>
          <w:lang w:eastAsia="zh-CN"/>
        </w:rPr>
        <w:t>□</w:t>
      </w:r>
      <w:r>
        <w:rPr>
          <w:rFonts w:hint="default" w:ascii="仿宋_GB2312" w:hAnsi="仿宋_GB2312" w:eastAsia="仿宋_GB2312" w:cs="仿宋_GB2312"/>
          <w:color w:val="auto"/>
          <w:sz w:val="24"/>
          <w:highlight w:val="none"/>
          <w:u w:val="single"/>
        </w:rPr>
        <w:t>设备及工器具购置开始工作日期(如有，绝对日期或相对日期):……/……</w:t>
      </w:r>
      <w:r>
        <w:rPr>
          <w:rFonts w:hint="eastAsia" w:ascii="仿宋_GB2312" w:hAnsi="仿宋_GB2312" w:eastAsia="仿宋_GB2312" w:cs="仿宋_GB2312"/>
          <w:color w:val="auto"/>
          <w:sz w:val="24"/>
          <w:highlight w:val="none"/>
          <w:u w:val="single"/>
          <w:lang w:eastAsia="zh-CN"/>
        </w:rPr>
        <w:t>；</w:t>
      </w:r>
    </w:p>
    <w:p w14:paraId="63E279A4">
      <w:pPr>
        <w:ind w:left="0" w:leftChars="0" w:firstLine="0" w:firstLineChars="0"/>
        <w:rPr>
          <w:rFonts w:hint="eastAsia" w:ascii="仿宋_GB2312" w:hAnsi="仿宋_GB2312" w:eastAsia="仿宋_GB2312" w:cs="仿宋_GB2312"/>
          <w:color w:val="auto"/>
          <w:sz w:val="24"/>
          <w:highlight w:val="none"/>
          <w:u w:val="single"/>
          <w:lang w:eastAsia="zh-CN"/>
        </w:rPr>
      </w:pPr>
      <w:r>
        <w:rPr>
          <w:rFonts w:hint="default" w:ascii="仿宋_GB2312" w:hAnsi="仿宋_GB2312" w:eastAsia="仿宋_GB2312" w:cs="仿宋_GB2312"/>
          <w:color w:val="auto"/>
          <w:sz w:val="24"/>
          <w:highlight w:val="none"/>
          <w:u w:val="single"/>
        </w:rPr>
        <w:t>“完成工作日期(绝对日期或相对日期):……</w:t>
      </w:r>
      <w:r>
        <w:rPr>
          <w:rFonts w:hint="eastAsia" w:ascii="仿宋_GB2312" w:hAnsi="仿宋_GB2312" w:eastAsia="仿宋_GB2312" w:cs="仿宋_GB2312"/>
          <w:color w:val="auto"/>
          <w:sz w:val="24"/>
          <w:highlight w:val="none"/>
          <w:u w:val="single"/>
          <w:lang w:val="en-US" w:eastAsia="zh-CN"/>
        </w:rPr>
        <w:t>/</w:t>
      </w:r>
      <w:r>
        <w:rPr>
          <w:rFonts w:hint="default"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lang w:eastAsia="zh-CN"/>
        </w:rPr>
        <w:t>；</w:t>
      </w:r>
    </w:p>
    <w:p w14:paraId="130643FA">
      <w:pPr>
        <w:ind w:left="0" w:leftChars="0" w:firstLine="424" w:firstLineChars="177"/>
        <w:rPr>
          <w:rFonts w:hint="eastAsia" w:ascii="仿宋_GB2312" w:hAnsi="仿宋_GB2312" w:eastAsia="仿宋_GB2312" w:cs="仿宋_GB2312"/>
          <w:color w:val="auto"/>
          <w:sz w:val="24"/>
          <w:highlight w:val="none"/>
          <w:u w:val="single"/>
          <w:lang w:eastAsia="zh-CN"/>
        </w:rPr>
      </w:pPr>
      <w:r>
        <w:rPr>
          <w:rFonts w:hint="eastAsia" w:ascii="仿宋_GB2312" w:hAnsi="仿宋_GB2312" w:eastAsia="仿宋_GB2312" w:cs="仿宋_GB2312"/>
          <w:color w:val="auto"/>
          <w:sz w:val="24"/>
          <w:highlight w:val="none"/>
          <w:u w:val="single"/>
          <w:lang w:eastAsia="zh-CN"/>
        </w:rPr>
        <w:t>☑</w:t>
      </w:r>
      <w:r>
        <w:rPr>
          <w:rFonts w:hint="default" w:ascii="仿宋_GB2312" w:hAnsi="仿宋_GB2312" w:eastAsia="仿宋_GB2312" w:cs="仿宋_GB2312"/>
          <w:color w:val="auto"/>
          <w:sz w:val="24"/>
          <w:highlight w:val="none"/>
          <w:u w:val="single"/>
        </w:rPr>
        <w:t>施工开工日期(绝对日期或相对日期):具体以发包人或总监理工程师发出的书面开工令为准</w:t>
      </w:r>
      <w:r>
        <w:rPr>
          <w:rFonts w:hint="eastAsia" w:ascii="仿宋_GB2312" w:hAnsi="仿宋_GB2312" w:eastAsia="仿宋_GB2312" w:cs="仿宋_GB2312"/>
          <w:color w:val="auto"/>
          <w:sz w:val="24"/>
          <w:highlight w:val="none"/>
          <w:u w:val="single"/>
          <w:lang w:eastAsia="zh-CN"/>
        </w:rPr>
        <w:t>；</w:t>
      </w:r>
      <w:r>
        <w:rPr>
          <w:rFonts w:hint="default" w:ascii="仿宋_GB2312" w:hAnsi="仿宋_GB2312" w:eastAsia="仿宋_GB2312" w:cs="仿宋_GB2312"/>
          <w:color w:val="auto"/>
          <w:sz w:val="24"/>
          <w:highlight w:val="none"/>
          <w:u w:val="single"/>
        </w:rPr>
        <w:t>竣工日期(绝对日期或相对日期):以实际正式开工日期+合同总工期为准</w:t>
      </w:r>
      <w:r>
        <w:rPr>
          <w:rFonts w:hint="eastAsia" w:ascii="仿宋_GB2312" w:hAnsi="仿宋_GB2312" w:eastAsia="仿宋_GB2312" w:cs="仿宋_GB2312"/>
          <w:color w:val="auto"/>
          <w:sz w:val="24"/>
          <w:highlight w:val="none"/>
          <w:u w:val="single"/>
          <w:lang w:eastAsia="zh-CN"/>
        </w:rPr>
        <w:t>；</w:t>
      </w:r>
    </w:p>
    <w:p w14:paraId="77A75BCD">
      <w:pPr>
        <w:ind w:left="0" w:leftChars="0" w:firstLine="426" w:firstLineChars="177"/>
        <w:rPr>
          <w:rFonts w:hint="default" w:ascii="仿宋_GB2312" w:hAnsi="仿宋_GB2312" w:eastAsia="仿宋_GB2312" w:cs="仿宋_GB2312"/>
          <w:b/>
          <w:bCs/>
          <w:color w:val="auto"/>
          <w:sz w:val="24"/>
          <w:highlight w:val="none"/>
          <w:u w:val="single"/>
        </w:rPr>
      </w:pPr>
      <w:r>
        <w:rPr>
          <w:rFonts w:hint="default" w:ascii="仿宋_GB2312" w:hAnsi="仿宋_GB2312" w:eastAsia="仿宋_GB2312" w:cs="仿宋_GB2312"/>
          <w:b/>
          <w:bCs/>
          <w:color w:val="auto"/>
          <w:sz w:val="24"/>
          <w:highlight w:val="none"/>
          <w:u w:val="single"/>
        </w:rPr>
        <w:t>施工关键节点工期要求(实施时间按发包人的具体要求执行)</w:t>
      </w:r>
    </w:p>
    <w:p w14:paraId="0B19821A">
      <w:pPr>
        <w:ind w:left="0" w:leftChars="0" w:firstLine="424" w:firstLineChars="17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除合同约定调整的情形外，本合同工期不予调整。</w:t>
      </w:r>
    </w:p>
    <w:p w14:paraId="25C99C61">
      <w:pPr>
        <w:ind w:left="210" w:leftChars="100"/>
        <w:rPr>
          <w:rFonts w:hint="eastAsia" w:ascii="仿宋_GB2312" w:hAnsi="仿宋_GB2312" w:eastAsia="仿宋_GB2312" w:cs="仿宋_GB2312"/>
          <w:color w:val="auto"/>
          <w:sz w:val="24"/>
          <w:highlight w:val="none"/>
        </w:rPr>
      </w:pPr>
    </w:p>
    <w:p w14:paraId="1DBD2619">
      <w:pP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八、签约合同价与合同价格形式</w:t>
      </w:r>
    </w:p>
    <w:p w14:paraId="1928315A">
      <w:pPr>
        <w:ind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1.合同价格形式为：☑总价合同；□总价合同＋部分单价合同；</w:t>
      </w:r>
      <w:r>
        <w:rPr>
          <w:rFonts w:hint="eastAsia" w:ascii="Segoe UI Symbol" w:hAnsi="Segoe UI Symbol" w:eastAsia="仿宋_GB2312" w:cs="Segoe UI Symbol"/>
          <w:color w:val="auto"/>
          <w:sz w:val="24"/>
          <w:highlight w:val="none"/>
        </w:rPr>
        <w:t>□</w:t>
      </w:r>
      <w:r>
        <w:rPr>
          <w:rFonts w:hint="eastAsia" w:ascii="仿宋_GB2312" w:hAnsi="仿宋_GB2312" w:eastAsia="仿宋_GB2312" w:cs="仿宋_GB2312"/>
          <w:color w:val="auto"/>
          <w:sz w:val="24"/>
          <w:highlight w:val="none"/>
        </w:rPr>
        <w:t>其他价格形式。</w:t>
      </w:r>
    </w:p>
    <w:p w14:paraId="6CCB8CA3">
      <w:pPr>
        <w:ind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签约合同价暂定为（含税）：人民币（大写）</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w:t>
      </w:r>
    </w:p>
    <w:p w14:paraId="6A2268EE">
      <w:pPr>
        <w:ind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其中：不含税金额：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元，增值税金额：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w:t>
      </w:r>
      <w:r>
        <w:rPr>
          <w:rFonts w:hint="eastAsia" w:ascii="仿宋_GB2312" w:hAnsi="仿宋_GB2312" w:eastAsia="仿宋_GB2312" w:cs="仿宋_GB2312"/>
          <w:b/>
          <w:bCs/>
          <w:color w:val="auto"/>
          <w:sz w:val="24"/>
          <w:highlight w:val="none"/>
          <w:u w:val="single"/>
        </w:rPr>
        <w:t>最终结算价以财政部门结算审核为准</w:t>
      </w:r>
      <w:r>
        <w:rPr>
          <w:rFonts w:hint="eastAsia" w:ascii="仿宋_GB2312" w:hAnsi="仿宋_GB2312" w:eastAsia="仿宋_GB2312" w:cs="仿宋_GB2312"/>
          <w:color w:val="auto"/>
          <w:sz w:val="24"/>
          <w:highlight w:val="none"/>
        </w:rPr>
        <w:t>。</w:t>
      </w:r>
    </w:p>
    <w:p w14:paraId="070A8510">
      <w:pPr>
        <w:ind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 xml:space="preserve"> ☑工程勘察费暂定为（含税）：人民币（大写） </w:t>
      </w:r>
      <w:r>
        <w:rPr>
          <w:rFonts w:ascii="仿宋_GB2312" w:hAnsi="仿宋_GB2312" w:eastAsia="仿宋_GB2312" w:cs="仿宋_GB2312"/>
          <w:color w:val="auto"/>
          <w:sz w:val="24"/>
          <w:highlight w:val="none"/>
        </w:rPr>
        <w:t xml:space="preserve">   </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元），勘察费中标下浮率为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％；（其中：不含税勘察费为小写：</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元，增值税率</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％，增值税额为小写：</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元）。</w:t>
      </w:r>
    </w:p>
    <w:p w14:paraId="77D7CB37">
      <w:pPr>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☑工程设计费暂定为（含税）：人民币（大写） </w:t>
      </w:r>
      <w:r>
        <w:rPr>
          <w:rFonts w:ascii="仿宋_GB2312" w:hAnsi="仿宋_GB2312" w:eastAsia="仿宋_GB2312" w:cs="仿宋_GB2312"/>
          <w:color w:val="auto"/>
          <w:sz w:val="24"/>
          <w:highlight w:val="none"/>
        </w:rPr>
        <w:t xml:space="preserve">   </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元），设计费中标下浮率为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％；（其中：不含税设计费为小写：</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元，增值税率</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％，增值税额为小写：</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元）。</w:t>
      </w:r>
    </w:p>
    <w:p w14:paraId="0B37B1A3">
      <w:pPr>
        <w:ind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□设备及工器具购置费（含税）：人民币（大写）</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w:t>
      </w:r>
    </w:p>
    <w:p w14:paraId="18661AD3">
      <w:pPr>
        <w:ind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☑建筑安装工程费暂定为（含税，不含暂列金额）：人民币（大写）</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元），施工中标下浮率为</w:t>
      </w:r>
      <w:r>
        <w:rPr>
          <w:rFonts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；（其中：不含税建安工程费为小写：</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元，增值税率</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％，增值税额为小写：</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元）。</w:t>
      </w:r>
    </w:p>
    <w:p w14:paraId="2C58A37D">
      <w:pPr>
        <w:ind w:left="630" w:leftChars="3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建筑安装工程费中含有以下费用：</w:t>
      </w:r>
    </w:p>
    <w:p w14:paraId="25BD9532">
      <w:pPr>
        <w:ind w:left="840" w:left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□绿色施工安全防护措施费用（不含税）：人民币（大写）</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w:t>
      </w:r>
    </w:p>
    <w:p w14:paraId="6260EB10">
      <w:pPr>
        <w:ind w:left="840" w:left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□余泥渣土（土方、石方、淤泥）场外运输与排放费用（不含税）：人民币（大写）</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w:t>
      </w:r>
    </w:p>
    <w:p w14:paraId="28E4D090">
      <w:pPr>
        <w:ind w:left="840" w:left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□专业工程暂估价（不含税）：人民币（大写）</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元）；</w:t>
      </w:r>
    </w:p>
    <w:p w14:paraId="11D930E0">
      <w:pPr>
        <w:ind w:left="840" w:left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□其他（不含税，按实填写费用名称</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）：人民币（大写）</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w:t>
      </w:r>
    </w:p>
    <w:p w14:paraId="02AC7F5A">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□暂列金额（不含税）：人民币（大写）</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w:t>
      </w:r>
    </w:p>
    <w:p w14:paraId="5E2715D6">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□其他费用：</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（含税）：人民币（大写）</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w:t>
      </w:r>
    </w:p>
    <w:p w14:paraId="77909A04">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□联合体牵头人项目管理费（单列）：联合体牵头人对联合体各成员的组织、管理和协调产生的费用，在本合同价中不得增加计算本费用，从合同总价中提取后，在本协议书中单列供各方监督使用情况；</w:t>
      </w:r>
    </w:p>
    <w:p w14:paraId="66409457">
      <w:pPr>
        <w:ind w:left="840" w:left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设计单位为联合体牵头人时项目管理费（含税）：人民币（大写）</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w:t>
      </w:r>
    </w:p>
    <w:p w14:paraId="7A73BD6F">
      <w:pPr>
        <w:ind w:left="840" w:left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施工单位为联合体牵头人时项目管理费（含税）：人民币（大写）</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w:t>
      </w:r>
    </w:p>
    <w:p w14:paraId="3C830D18">
      <w:pPr>
        <w:ind w:firstLine="424" w:firstLineChars="17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2.在合同履行期间，</w:t>
      </w:r>
      <w:r>
        <w:rPr>
          <w:rFonts w:ascii="仿宋_GB2312" w:hAnsi="仿宋_GB2312" w:eastAsia="仿宋_GB2312" w:cs="仿宋_GB2312"/>
          <w:color w:val="auto"/>
          <w:sz w:val="24"/>
          <w:highlight w:val="none"/>
          <w:u w:val="single"/>
        </w:rPr>
        <w:t>如遇国家相关税收法规发生重大变化，由此导致的税费按新政策执行，由此增减的税费，进行相应调整</w:t>
      </w:r>
      <w:r>
        <w:rPr>
          <w:rFonts w:hint="eastAsia" w:ascii="仿宋_GB2312" w:hAnsi="仿宋_GB2312" w:eastAsia="仿宋_GB2312" w:cs="仿宋_GB2312"/>
          <w:color w:val="auto"/>
          <w:sz w:val="24"/>
          <w:highlight w:val="none"/>
          <w:u w:val="single"/>
        </w:rPr>
        <w:t>。</w:t>
      </w:r>
    </w:p>
    <w:p w14:paraId="3149CE7F">
      <w:pPr>
        <w:ind w:left="210" w:leftChars="100" w:firstLine="216" w:firstLineChars="90"/>
        <w:rPr>
          <w:rFonts w:hint="eastAsia"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u w:val="single"/>
        </w:rPr>
        <w:t>3</w:t>
      </w:r>
      <w:r>
        <w:rPr>
          <w:rFonts w:hint="eastAsia" w:ascii="仿宋_GB2312" w:hAnsi="仿宋_GB2312" w:eastAsia="仿宋_GB2312" w:cs="仿宋_GB2312"/>
          <w:color w:val="auto"/>
          <w:sz w:val="24"/>
          <w:highlight w:val="none"/>
          <w:u w:val="single"/>
        </w:rPr>
        <w:t>、工程实施阶段造价控制的措施</w:t>
      </w:r>
      <w:r>
        <w:rPr>
          <w:rFonts w:hint="eastAsia" w:ascii="仿宋_GB2312" w:hAnsi="仿宋_GB2312" w:eastAsia="仿宋_GB2312" w:cs="仿宋_GB2312"/>
          <w:color w:val="auto"/>
          <w:sz w:val="24"/>
          <w:highlight w:val="none"/>
        </w:rPr>
        <w:t>：</w:t>
      </w:r>
    </w:p>
    <w:p w14:paraId="5B6CD855">
      <w:pPr>
        <w:ind w:left="210" w:leftChars="100" w:firstLine="216" w:firstLineChars="9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3.1本合同暂定价款仅作为签约依据。付款货币：人民币。</w:t>
      </w:r>
    </w:p>
    <w:p w14:paraId="2DA45023">
      <w:pPr>
        <w:ind w:left="210" w:leftChars="100" w:firstLine="216" w:firstLineChars="90"/>
        <w:rPr>
          <w:rFonts w:hint="eastAsia"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u w:val="single"/>
        </w:rPr>
        <w:t>3</w:t>
      </w:r>
      <w:r>
        <w:rPr>
          <w:rFonts w:hint="eastAsia" w:ascii="仿宋_GB2312" w:hAnsi="仿宋_GB2312" w:eastAsia="仿宋_GB2312" w:cs="仿宋_GB2312"/>
          <w:color w:val="auto"/>
          <w:sz w:val="24"/>
          <w:highlight w:val="none"/>
          <w:u w:val="single"/>
        </w:rPr>
        <w:t>.2  关于概预算的编制和审核原则：</w:t>
      </w:r>
    </w:p>
    <w:p w14:paraId="4DB5EC97">
      <w:pPr>
        <w:ind w:firstLine="456" w:firstLineChars="19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在控规不变、实施条件不变等前提下，经审核单位审定的项目概算不得超过原立项中的投资估算。概算审定金额不得超过可研金额或调整后的估算金额，且按政府最新的管理规定执行。如出现不符合上述条件，承包人应无条件自行优化图纸以及造价直至满足要求，否则发包人有权终止合同并保留追讨相关责任的权利。</w:t>
      </w:r>
    </w:p>
    <w:p w14:paraId="0FA8CB30">
      <w:pPr>
        <w:ind w:firstLine="216" w:firstLineChars="9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相关概预算编制和审核原则的，按下列原则执行：</w:t>
      </w:r>
    </w:p>
    <w:p w14:paraId="49F998BE">
      <w:pPr>
        <w:ind w:firstLine="216" w:firstLineChars="9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（1）概预算编审采用定额及信息价为：采用实际审定时已发布的最新定额，信息价采用基准日期（投标截止日期前28天）时广州市花都区住房和城乡建设局发布的最新价格信息文件。</w:t>
      </w:r>
    </w:p>
    <w:p w14:paraId="5F95C2FB">
      <w:pPr>
        <w:ind w:firstLine="216" w:firstLineChars="9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（2）承包人的工程</w:t>
      </w:r>
      <w:r>
        <w:rPr>
          <w:rFonts w:hint="eastAsia" w:ascii="仿宋" w:hAnsi="仿宋" w:eastAsia="仿宋" w:cs="仿宋"/>
          <w:color w:val="auto"/>
          <w:sz w:val="24"/>
          <w:highlight w:val="none"/>
          <w:u w:val="single"/>
        </w:rPr>
        <w:t>勘察</w:t>
      </w:r>
      <w:r>
        <w:rPr>
          <w:rFonts w:hint="eastAsia" w:ascii="仿宋" w:hAnsi="仿宋" w:eastAsia="仿宋" w:cs="仿宋"/>
          <w:color w:val="auto"/>
          <w:sz w:val="24"/>
          <w:highlight w:val="none"/>
          <w:u w:val="single"/>
        </w:rPr>
        <w:t>设计费按国家计委、建设部《工程勘察设计收费标准》（计价格[2002]10号）规定计算后，再结合中标下浮率计算，设计费计算公式：设计费=工程设计收费基准价×专业调整系数×工程复杂程度调整系数×附加调整系数×（1-中标下浮率）。</w:t>
      </w:r>
    </w:p>
    <w:p w14:paraId="1E3AA945">
      <w:pPr>
        <w:ind w:firstLine="216" w:firstLineChars="9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（4）合同修正价确定原则</w:t>
      </w:r>
    </w:p>
    <w:p w14:paraId="6745F026">
      <w:pPr>
        <w:ind w:firstLine="216" w:firstLineChars="9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（a）建安工程费修正合同价：按审核单位审定的该项目建筑安装工程费总价作为控制数，工程总价结合下浮率修订建安工程费合同价格。</w:t>
      </w:r>
    </w:p>
    <w:p w14:paraId="7B3B197D">
      <w:pPr>
        <w:ind w:firstLine="216" w:firstLineChars="9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计算公式：建安工程费=工程不含税造价×（1-中标下浮率）+税金。</w:t>
      </w:r>
    </w:p>
    <w:p w14:paraId="43AAE776">
      <w:pPr>
        <w:ind w:firstLine="216" w:firstLineChars="9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（b）勘察设计费修正合同价：按审核单位审定工程勘察设计费结合条款第3.2（2)点的计算公式修订工程勘察设计费合同价。</w:t>
      </w:r>
    </w:p>
    <w:p w14:paraId="0301F3BB">
      <w:pPr>
        <w:ind w:firstLine="216" w:firstLineChars="9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（c) </w:t>
      </w:r>
      <w:r>
        <w:rPr>
          <w:rFonts w:hint="eastAsia" w:ascii="仿宋" w:hAnsi="仿宋" w:eastAsia="仿宋" w:cs="仿宋"/>
          <w:b/>
          <w:bCs/>
          <w:color w:val="auto"/>
          <w:sz w:val="24"/>
          <w:highlight w:val="none"/>
          <w:u w:val="single"/>
        </w:rPr>
        <w:t>待项目概算审定后，发包人、承包人双方按修正后的合同价签订补充合同</w:t>
      </w:r>
      <w:r>
        <w:rPr>
          <w:rFonts w:hint="eastAsia" w:ascii="仿宋" w:hAnsi="仿宋" w:eastAsia="仿宋" w:cs="仿宋"/>
          <w:color w:val="auto"/>
          <w:sz w:val="24"/>
          <w:highlight w:val="none"/>
          <w:u w:val="single"/>
        </w:rPr>
        <w:t>。合同价中应已包括一切按合同工期完成本工程所须之赶工费及技术措施费，合同价组成中不论对此是否有开项计列，承包人均不得以此作为向发包人进行费用或工期索偿的依据。</w:t>
      </w:r>
    </w:p>
    <w:p w14:paraId="14C3A384">
      <w:pPr>
        <w:ind w:firstLine="216" w:firstLineChars="90"/>
        <w:rPr>
          <w:rFonts w:hint="eastAsia" w:ascii="仿宋_GB2312" w:hAnsi="仿宋_GB2312" w:eastAsia="仿宋_GB2312" w:cs="仿宋_GB2312"/>
          <w:color w:val="auto"/>
          <w:sz w:val="24"/>
          <w:highlight w:val="none"/>
        </w:rPr>
      </w:pPr>
    </w:p>
    <w:p w14:paraId="2E42B12E">
      <w:pP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★九、工人工资支付分账、建筑安装工程费支付专户</w:t>
      </w:r>
    </w:p>
    <w:p w14:paraId="07922237">
      <w:pPr>
        <w:ind w:firstLine="424" w:firstLineChars="17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工人工资款支付专用账户开设的约定内容：</w:t>
      </w:r>
      <w:r>
        <w:rPr>
          <w:rFonts w:hint="eastAsia" w:ascii="仿宋_GB2312" w:hAnsi="仿宋_GB2312" w:eastAsia="仿宋_GB2312" w:cs="仿宋_GB2312"/>
          <w:color w:val="auto"/>
          <w:sz w:val="24"/>
          <w:highlight w:val="none"/>
          <w:u w:val="single"/>
        </w:rPr>
        <w:t>严格按照《广州市花都区人力资源和社会保障局等七部门关于印发&lt;花都区建设领域工人工资支付分账管理实施细则&gt;的通知》（花人社[2016]82号文）、关于印发《广东省建设工程领域工人工资支付专用账户管理办法》的通知（粵人社规〔2018〕14号）、广州市住房和城乡建设局关于明确我市房建市政工程开工时核验实名制和工人工资支付分账管理相关证明材料的通知（穗建筑〔2019〕352号）、广州市住房和城乡建设委员会关于实施《广州市建设领域工人工资支付分账管理实施细则》的通知（穗建筑[2017]1344号）、《广州市建设领域工人工资支付分账管理实施细则》（穗建规字〔2020〕37号文）的要求执行</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若为联合体承包人的，工人工资专户由投标人（联合体中主办方：</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）的名义办理。</w:t>
      </w:r>
    </w:p>
    <w:p w14:paraId="58ABD9D8">
      <w:pPr>
        <w:ind w:firstLine="424" w:firstLineChars="17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工人工资款支付专用账户开户银行（如果有）：</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14:paraId="28DF296E">
      <w:pPr>
        <w:ind w:firstLine="424" w:firstLineChars="17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工人工资款支付专用账户（如果有）：</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14:paraId="726393FD">
      <w:pPr>
        <w:ind w:firstLine="424" w:firstLineChars="17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工程款中的工人工资款比例：</w:t>
      </w:r>
      <w:r>
        <w:rPr>
          <w:rFonts w:ascii="仿宋_GB2312" w:hAnsi="仿宋_GB2312" w:eastAsia="仿宋_GB2312" w:cs="仿宋_GB2312"/>
          <w:color w:val="auto"/>
          <w:sz w:val="24"/>
          <w:highlight w:val="none"/>
          <w:u w:val="single"/>
        </w:rPr>
        <w:t>15</w:t>
      </w:r>
      <w:r>
        <w:rPr>
          <w:rFonts w:hint="eastAsia"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p>
    <w:p w14:paraId="2AA12278">
      <w:pPr>
        <w:ind w:firstLine="424" w:firstLineChars="17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其中：每一期工程进度款中的工人工资款比例：</w:t>
      </w:r>
      <w:r>
        <w:rPr>
          <w:rFonts w:ascii="仿宋_GB2312" w:hAnsi="仿宋_GB2312" w:eastAsia="仿宋_GB2312" w:cs="仿宋_GB2312"/>
          <w:color w:val="auto"/>
          <w:sz w:val="24"/>
          <w:highlight w:val="none"/>
          <w:u w:val="single"/>
        </w:rPr>
        <w:t>15</w:t>
      </w:r>
      <w:r>
        <w:rPr>
          <w:rFonts w:hint="eastAsia"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rPr>
        <w:t>。</w:t>
      </w:r>
    </w:p>
    <w:p w14:paraId="0E1A896F">
      <w:pPr>
        <w:ind w:firstLine="424" w:firstLineChars="17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工人工资支付周期：</w:t>
      </w:r>
      <w:r>
        <w:rPr>
          <w:rFonts w:hint="eastAsia" w:ascii="仿宋_GB2312" w:hAnsi="仿宋_GB2312" w:eastAsia="仿宋_GB2312" w:cs="仿宋_GB2312"/>
          <w:color w:val="auto"/>
          <w:sz w:val="24"/>
          <w:highlight w:val="none"/>
          <w:u w:val="single"/>
        </w:rPr>
        <w:t>与进度款一致</w:t>
      </w:r>
      <w:r>
        <w:rPr>
          <w:rFonts w:hint="eastAsia" w:ascii="仿宋_GB2312" w:hAnsi="仿宋_GB2312" w:eastAsia="仿宋_GB2312" w:cs="仿宋_GB2312"/>
          <w:color w:val="auto"/>
          <w:sz w:val="24"/>
          <w:highlight w:val="none"/>
        </w:rPr>
        <w:t>。</w:t>
      </w:r>
    </w:p>
    <w:p w14:paraId="7B72830C">
      <w:pPr>
        <w:ind w:firstLine="424" w:firstLineChars="17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承包人已确认上述约定工程款中的工人工资款比例能满足本工程项目的工人工资支付。</w:t>
      </w:r>
    </w:p>
    <w:p w14:paraId="741C9EE7">
      <w:pPr>
        <w:ind w:firstLine="424" w:firstLineChars="17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建筑安装工程费支付专用账户开设的约定内容：</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14:paraId="210F87C5">
      <w:pPr>
        <w:ind w:firstLine="424" w:firstLineChars="17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建筑安装工程费支付专用账户开户银行（如果有）：</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14:paraId="7FB9B4D7">
      <w:pPr>
        <w:ind w:firstLine="424" w:firstLineChars="17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建筑安装工程费支付专用账户（如果有）：</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14:paraId="16DD6CB2">
      <w:pPr>
        <w:ind w:firstLine="424" w:firstLineChars="17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建筑安装工程费中的工程材料、工程设备款比例：</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14:paraId="298D602E">
      <w:pPr>
        <w:ind w:firstLine="424" w:firstLineChars="17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其中：每一期建筑安装工程费的工程进度款中的工程材料、工程设备款比例：</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14:paraId="20695DC5">
      <w:pPr>
        <w:ind w:firstLine="424" w:firstLineChars="17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工程材料、工程设备款支付周期：</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14:paraId="684948B1">
      <w:pPr>
        <w:ind w:firstLine="424" w:firstLineChars="17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承包人已确认上述约定建筑安装工程费中的工程材料、工程设备款款比例能满足本工程项目的工程材料、工程设备款支付。</w:t>
      </w:r>
    </w:p>
    <w:p w14:paraId="53580B35">
      <w:pP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十、组成合同的文件</w:t>
      </w:r>
    </w:p>
    <w:p w14:paraId="32B589E6">
      <w:pPr>
        <w:ind w:firstLine="424" w:firstLineChars="17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除非合同各方另有约定，组成本合同的文件及优先解释顺序依次如下：</w:t>
      </w:r>
    </w:p>
    <w:p w14:paraId="571C464D">
      <w:pPr>
        <w:ind w:firstLine="424" w:firstLineChars="17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(1) 合同实施期间双方签订的补充或修正文件（如有）；</w:t>
      </w:r>
    </w:p>
    <w:p w14:paraId="22127EA2">
      <w:pPr>
        <w:ind w:firstLine="424" w:firstLineChars="17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(2) 合同协议书；</w:t>
      </w:r>
    </w:p>
    <w:p w14:paraId="1D338F3A">
      <w:pPr>
        <w:ind w:firstLine="424" w:firstLineChars="17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 xml:space="preserve">(3) 合同专用条款； </w:t>
      </w:r>
    </w:p>
    <w:p w14:paraId="0BA75872">
      <w:pPr>
        <w:ind w:firstLine="424" w:firstLineChars="17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(4) 本合同附件；</w:t>
      </w:r>
    </w:p>
    <w:p w14:paraId="566A29E0">
      <w:pPr>
        <w:ind w:firstLine="424" w:firstLineChars="17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(5) 中标通知书；</w:t>
      </w:r>
    </w:p>
    <w:p w14:paraId="7B761230">
      <w:pPr>
        <w:ind w:firstLine="424" w:firstLineChars="17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(6) 合同通用条款；</w:t>
      </w:r>
    </w:p>
    <w:p w14:paraId="0E3547F3">
      <w:pPr>
        <w:ind w:firstLine="424" w:firstLineChars="17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(7) 招标文件（含招标过程中发出的补遗、澄清文件）；</w:t>
      </w:r>
    </w:p>
    <w:p w14:paraId="28FBDDDB">
      <w:pPr>
        <w:ind w:firstLine="424" w:firstLineChars="17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(8) 设计工作任务书（含经批准的设计文件、技术标准、规范等）；</w:t>
      </w:r>
    </w:p>
    <w:p w14:paraId="1434A316">
      <w:pPr>
        <w:ind w:firstLine="424" w:firstLineChars="17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(9) 投标文件（含评标期间经确认的澄清文件）；</w:t>
      </w:r>
    </w:p>
    <w:p w14:paraId="3AF21366">
      <w:pPr>
        <w:ind w:firstLine="424" w:firstLineChars="17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(10)组成合同的其他文件；</w:t>
      </w:r>
    </w:p>
    <w:p w14:paraId="0C30FBCD">
      <w:pPr>
        <w:ind w:firstLine="424" w:firstLineChars="17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(11)经审核的概算审核报告或预算书。</w:t>
      </w:r>
    </w:p>
    <w:p w14:paraId="68B2FECF">
      <w:pPr>
        <w:ind w:firstLine="424" w:firstLineChars="17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(12)发包人各项建设管理制度、规定；</w:t>
      </w:r>
    </w:p>
    <w:p w14:paraId="3905D30B">
      <w:pPr>
        <w:ind w:firstLine="424" w:firstLineChars="17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(13) 国家及广东省、广州市的标准、规范及有关技术文件。</w:t>
      </w:r>
    </w:p>
    <w:p w14:paraId="37B5CB99">
      <w:pPr>
        <w:ind w:firstLine="424" w:firstLineChars="17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本合同各方在签订和履行总承包合同过程中形成的通知、会议纪要、备忘录、补充文件、指令、传真、电子邮件及其他有关变更或洽商等书面协议或文件视为本总承包合同的组成部分。</w:t>
      </w:r>
    </w:p>
    <w:p w14:paraId="4C9C2D6F">
      <w:pPr>
        <w:ind w:firstLine="480" w:firstLineChars="200"/>
        <w:rPr>
          <w:rFonts w:hint="eastAsia" w:ascii="仿宋_GB2312" w:hAnsi="仿宋_GB2312" w:eastAsia="仿宋_GB2312" w:cs="仿宋_GB2312"/>
          <w:color w:val="auto"/>
          <w:sz w:val="24"/>
          <w:highlight w:val="none"/>
        </w:rPr>
      </w:pPr>
    </w:p>
    <w:p w14:paraId="39C095BC">
      <w:pP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十一、词语含义</w:t>
      </w:r>
    </w:p>
    <w:p w14:paraId="031BFE36">
      <w:pPr>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本协议书中有关词语含义与本合同第二部分《通用条款》第 1 条赋予它们的定义相同。</w:t>
      </w:r>
    </w:p>
    <w:p w14:paraId="2599DB8F">
      <w:pPr>
        <w:ind w:firstLine="480" w:firstLineChars="200"/>
        <w:rPr>
          <w:rFonts w:hint="eastAsia" w:ascii="仿宋_GB2312" w:hAnsi="仿宋_GB2312" w:eastAsia="仿宋_GB2312" w:cs="仿宋_GB2312"/>
          <w:color w:val="auto"/>
          <w:sz w:val="24"/>
          <w:highlight w:val="none"/>
        </w:rPr>
      </w:pPr>
    </w:p>
    <w:p w14:paraId="0E817EFF">
      <w:pP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十二、</w:t>
      </w:r>
      <w:r>
        <w:rPr>
          <w:rFonts w:hint="eastAsia" w:ascii="仿宋_GB2312" w:hAnsi="仿宋_GB2312" w:eastAsia="仿宋_GB2312" w:cs="仿宋_GB2312"/>
          <w:b/>
          <w:bCs/>
          <w:color w:val="auto"/>
          <w:sz w:val="24"/>
          <w:highlight w:val="none"/>
          <w:u w:val="single"/>
        </w:rPr>
        <w:t>履约担保</w:t>
      </w:r>
    </w:p>
    <w:p w14:paraId="67A44442">
      <w:pPr>
        <w:ind w:firstLine="480" w:firstLineChars="2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中标通知书发出后，承包人须按招标文件要求，向发包人提交履约担保，履约担保金额为建安工程费中标金额的</w:t>
      </w:r>
      <w:r>
        <w:rPr>
          <w:rFonts w:ascii="仿宋_GB2312" w:hAnsi="仿宋_GB2312" w:eastAsia="仿宋_GB2312" w:cs="仿宋_GB2312"/>
          <w:color w:val="auto"/>
          <w:sz w:val="24"/>
          <w:highlight w:val="none"/>
          <w:u w:val="single"/>
        </w:rPr>
        <w:t>10%</w:t>
      </w:r>
      <w:r>
        <w:rPr>
          <w:rFonts w:hint="eastAsia" w:ascii="仿宋_GB2312" w:hAnsi="仿宋_GB2312" w:eastAsia="仿宋_GB2312" w:cs="仿宋_GB2312"/>
          <w:color w:val="auto"/>
          <w:sz w:val="24"/>
          <w:highlight w:val="none"/>
          <w:u w:val="single"/>
        </w:rPr>
        <w:t>，若为联合体承包人的，其履约担保由投标人（联合体中主办方：</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）的名义提交。承包人以银行履约保函的方式提交履约担保。</w:t>
      </w:r>
    </w:p>
    <w:p w14:paraId="587FA313">
      <w:pPr>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single"/>
        </w:rPr>
        <w:t>银行履约保函为由在中华人民共和国注册的银行开出的《银行履约保函》原件，保函有效期应根据合同规定工期加</w:t>
      </w:r>
      <w:r>
        <w:rPr>
          <w:rFonts w:ascii="仿宋_GB2312" w:hAnsi="仿宋_GB2312" w:eastAsia="仿宋_GB2312" w:cs="仿宋_GB2312"/>
          <w:color w:val="auto"/>
          <w:sz w:val="24"/>
          <w:highlight w:val="none"/>
          <w:u w:val="single"/>
        </w:rPr>
        <w:t>1</w:t>
      </w:r>
      <w:r>
        <w:rPr>
          <w:rFonts w:hint="eastAsia" w:ascii="仿宋_GB2312" w:hAnsi="仿宋_GB2312" w:eastAsia="仿宋_GB2312" w:cs="仿宋_GB2312"/>
          <w:color w:val="auto"/>
          <w:sz w:val="24"/>
          <w:highlight w:val="none"/>
          <w:u w:val="single"/>
        </w:rPr>
        <w:t>年作为暂定时限。未完成合同履约的过期保函，承包人应及时办理银行履约保函展期工作，如因保函未能及时续保而导致工程款拨付延误的，承包人应加紧办理保函续保，并不得以此作为拖延工期的理由及延误支付工人工资。最终以竣工验收合格且承包人提交完整符合要求的竣工档案和完整的结算资料</w:t>
      </w:r>
      <w:r>
        <w:rPr>
          <w:rFonts w:ascii="仿宋_GB2312" w:hAnsi="仿宋_GB2312" w:eastAsia="仿宋_GB2312" w:cs="仿宋_GB2312"/>
          <w:color w:val="auto"/>
          <w:sz w:val="24"/>
          <w:highlight w:val="none"/>
          <w:u w:val="single"/>
        </w:rPr>
        <w:t>28</w:t>
      </w:r>
      <w:r>
        <w:rPr>
          <w:rFonts w:hint="eastAsia" w:ascii="仿宋_GB2312" w:hAnsi="仿宋_GB2312" w:eastAsia="仿宋_GB2312" w:cs="仿宋_GB2312"/>
          <w:color w:val="auto"/>
          <w:sz w:val="24"/>
          <w:highlight w:val="none"/>
          <w:u w:val="single"/>
        </w:rPr>
        <w:t>天后作为保函失效时间。承包人如未能在上述约定的时间内提交符合合同约定的履约担保的，视为自动放弃中标资格</w:t>
      </w:r>
      <w:r>
        <w:rPr>
          <w:rFonts w:hint="eastAsia" w:ascii="仿宋_GB2312" w:hAnsi="仿宋_GB2312" w:eastAsia="仿宋_GB2312" w:cs="仿宋_GB2312"/>
          <w:color w:val="auto"/>
          <w:sz w:val="24"/>
          <w:highlight w:val="none"/>
        </w:rPr>
        <w:t>。</w:t>
      </w:r>
    </w:p>
    <w:p w14:paraId="443FCEB9">
      <w:pPr>
        <w:ind w:firstLine="480" w:firstLineChars="200"/>
        <w:rPr>
          <w:rFonts w:hint="eastAsia" w:ascii="仿宋_GB2312" w:hAnsi="仿宋_GB2312" w:eastAsia="仿宋_GB2312" w:cs="仿宋_GB2312"/>
          <w:color w:val="auto"/>
          <w:sz w:val="24"/>
          <w:highlight w:val="none"/>
        </w:rPr>
      </w:pPr>
    </w:p>
    <w:p w14:paraId="0E5A0E9D">
      <w:pPr>
        <w:rPr>
          <w:rFonts w:hint="eastAsia" w:ascii="仿宋_GB2312" w:hAnsi="仿宋_GB2312" w:eastAsia="仿宋_GB2312" w:cs="仿宋_GB2312"/>
          <w:b/>
          <w:bCs/>
          <w:color w:val="auto"/>
          <w:sz w:val="24"/>
          <w:highlight w:val="none"/>
          <w:u w:val="single"/>
        </w:rPr>
      </w:pPr>
      <w:r>
        <w:rPr>
          <w:rFonts w:hint="eastAsia" w:ascii="仿宋_GB2312" w:hAnsi="仿宋_GB2312" w:eastAsia="仿宋_GB2312" w:cs="仿宋_GB2312"/>
          <w:b/>
          <w:bCs/>
          <w:color w:val="auto"/>
          <w:sz w:val="24"/>
          <w:highlight w:val="none"/>
        </w:rPr>
        <w:t>十三、</w:t>
      </w:r>
      <w:r>
        <w:rPr>
          <w:rFonts w:hint="eastAsia" w:ascii="仿宋_GB2312" w:hAnsi="仿宋_GB2312" w:eastAsia="仿宋_GB2312" w:cs="仿宋_GB2312"/>
          <w:b/>
          <w:bCs/>
          <w:color w:val="auto"/>
          <w:sz w:val="24"/>
          <w:highlight w:val="none"/>
          <w:u w:val="single"/>
        </w:rPr>
        <w:t>承包人联合体</w:t>
      </w:r>
    </w:p>
    <w:p w14:paraId="24C46F7D">
      <w:pPr>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single"/>
        </w:rPr>
        <w:t>联合体主办方</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作为本项目总负责单位，对本项目的进度、质量、安全、投资控制、管理、协调等负总责；同时，联合体各成员应当共同与发包人签订合同，并就合同项下彼此的责任和义务，包括但不限于：人力资源、材料、机械设备投入，材料设备采购及管理，工程投资控制，设计成果文件提交、修改完善及质量，工程工期，工程质量安全，工程进度，工程变更，工程竣工验收及结算，文明施工及环境保护，工程移交，缺陷责任及质量保修，工程分包，工人工资支付，报批报建等方面，按照招标文件及合同约定向发包人承担不可撤销的连带责任。本合同各方同意并确认，承包人在承包人联合体内部关系的任何约定，均不具有对抗发包人的效力，而且，在本合同履行中，承包人联合体主办方代表承包人联合体接受指令，其在本合同项下的任何作为或不作为，其效力均及于承包人联合体成员；发包人对承包人联合体主办方的作为或不作为，均及于承包人联合体成员</w:t>
      </w:r>
      <w:r>
        <w:rPr>
          <w:rFonts w:hint="eastAsia" w:ascii="仿宋_GB2312" w:hAnsi="仿宋_GB2312" w:eastAsia="仿宋_GB2312" w:cs="仿宋_GB2312"/>
          <w:color w:val="auto"/>
          <w:sz w:val="24"/>
          <w:highlight w:val="none"/>
        </w:rPr>
        <w:t>。</w:t>
      </w:r>
    </w:p>
    <w:p w14:paraId="4F44AAE3">
      <w:pPr>
        <w:ind w:firstLine="480" w:firstLineChars="200"/>
        <w:rPr>
          <w:rFonts w:hint="eastAsia" w:ascii="仿宋_GB2312" w:hAnsi="仿宋_GB2312" w:eastAsia="仿宋_GB2312" w:cs="仿宋_GB2312"/>
          <w:color w:val="auto"/>
          <w:sz w:val="24"/>
          <w:highlight w:val="none"/>
        </w:rPr>
      </w:pPr>
    </w:p>
    <w:p w14:paraId="1F227EB8">
      <w:pP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十四、承诺</w:t>
      </w:r>
    </w:p>
    <w:p w14:paraId="5F10A850">
      <w:pPr>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1.发包人承诺已阅读、理解并接受本合同所有条款，按照法律规定履行项目审批或备案手续、筹集工程建设资金，按照本合同约定的时限和方法支付工程款及其他应当支付的款项，履行本合同所约定的全部义务。</w:t>
      </w:r>
    </w:p>
    <w:p w14:paraId="1C9C99AA">
      <w:pPr>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承包人承诺已阅读、理解并接受本合同所有条款，按照法律规定及合同约定组织完成设计、施工等阶段总承包内容，并对工程的质量、安全、工期和造价等全面负责，不进行转包及违法分包，并在缺陷责任期及保修期内承担相应的工程维修责任,履行本合同所约定的全部义务。</w:t>
      </w:r>
    </w:p>
    <w:p w14:paraId="24F9234D">
      <w:pPr>
        <w:ind w:firstLine="480" w:firstLineChars="200"/>
        <w:rPr>
          <w:rFonts w:hint="eastAsia" w:ascii="仿宋_GB2312" w:hAnsi="仿宋_GB2312" w:eastAsia="仿宋_GB2312" w:cs="仿宋_GB2312"/>
          <w:color w:val="auto"/>
          <w:sz w:val="24"/>
          <w:highlight w:val="none"/>
        </w:rPr>
      </w:pPr>
    </w:p>
    <w:p w14:paraId="3D776D5C">
      <w:pP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十五、合同生效</w:t>
      </w:r>
    </w:p>
    <w:p w14:paraId="29AB64FA">
      <w:pPr>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本合同订立时间：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14:paraId="12920A5D">
      <w:pPr>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本合同订立地点：</w:t>
      </w:r>
      <w:r>
        <w:rPr>
          <w:rFonts w:hint="eastAsia" w:ascii="仿宋_GB2312" w:hAnsi="仿宋_GB2312" w:eastAsia="仿宋_GB2312" w:cs="仿宋_GB2312"/>
          <w:color w:val="auto"/>
          <w:sz w:val="24"/>
          <w:highlight w:val="none"/>
          <w:u w:val="single"/>
        </w:rPr>
        <w:t>广州市花都区</w:t>
      </w:r>
    </w:p>
    <w:p w14:paraId="1B4F10B4">
      <w:pPr>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合同自双方签字盖章即日起生效。在全部工程完工并竣工联合验收合格，保修期满、工程和档案资料移交，无遗留问题并结算完毕后失效。本合同生效后，各方就中标通知书发出之日起至合同签订期间按本合同约定的履约行为予以追认。</w:t>
      </w:r>
    </w:p>
    <w:p w14:paraId="6EBE148F">
      <w:pPr>
        <w:ind w:firstLine="480" w:firstLineChars="200"/>
        <w:rPr>
          <w:rFonts w:hint="eastAsia" w:ascii="仿宋_GB2312" w:hAnsi="仿宋_GB2312" w:eastAsia="仿宋_GB2312" w:cs="仿宋_GB2312"/>
          <w:color w:val="auto"/>
          <w:sz w:val="24"/>
          <w:highlight w:val="none"/>
        </w:rPr>
      </w:pPr>
    </w:p>
    <w:p w14:paraId="2D6F35BD">
      <w:pP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十六、合同份数</w:t>
      </w:r>
    </w:p>
    <w:p w14:paraId="52E634F3">
      <w:pPr>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本合同正本一式</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份，签约方各执</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份；副本一式</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份，发包人执</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份、承包人执 份。合同正副本具有同等法律效力。本合同未尽事宜，经合同当事人协商一致，签订补充协议，补充协议与本合同具有同等效力。</w:t>
      </w:r>
    </w:p>
    <w:p w14:paraId="02C77350">
      <w:pPr>
        <w:ind w:firstLine="480" w:firstLineChars="200"/>
        <w:rPr>
          <w:rFonts w:hint="eastAsia" w:ascii="仿宋_GB2312" w:hAnsi="仿宋_GB2312" w:eastAsia="仿宋_GB2312" w:cs="仿宋_GB2312"/>
          <w:color w:val="auto"/>
          <w:sz w:val="24"/>
          <w:highlight w:val="none"/>
        </w:rPr>
      </w:pPr>
    </w:p>
    <w:p w14:paraId="193D3244">
      <w:pPr>
        <w:rPr>
          <w:rFonts w:hint="eastAsia" w:ascii="仿宋_GB2312" w:hAnsi="仿宋_GB2312" w:eastAsia="仿宋_GB2312" w:cs="仿宋_GB2312"/>
          <w:b/>
          <w:bCs/>
          <w:color w:val="auto"/>
          <w:sz w:val="24"/>
          <w:highlight w:val="none"/>
        </w:rPr>
      </w:pPr>
    </w:p>
    <w:p w14:paraId="11E59A05">
      <w:pPr>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（以下无正文）</w:t>
      </w:r>
    </w:p>
    <w:p w14:paraId="660227CA">
      <w:pPr>
        <w:ind w:firstLine="480" w:firstLineChars="200"/>
        <w:rPr>
          <w:rFonts w:hint="eastAsia" w:ascii="仿宋_GB2312" w:hAnsi="仿宋_GB2312" w:eastAsia="仿宋_GB2312" w:cs="仿宋_GB2312"/>
          <w:color w:val="auto"/>
          <w:sz w:val="24"/>
          <w:highlight w:val="none"/>
        </w:rPr>
      </w:pPr>
    </w:p>
    <w:p w14:paraId="51E36C12">
      <w:pPr>
        <w:ind w:firstLine="480" w:firstLineChars="200"/>
        <w:rPr>
          <w:rFonts w:hint="eastAsia" w:ascii="仿宋_GB2312" w:hAnsi="仿宋_GB2312" w:eastAsia="仿宋_GB2312" w:cs="仿宋_GB2312"/>
          <w:color w:val="auto"/>
          <w:sz w:val="24"/>
          <w:highlight w:val="none"/>
        </w:rPr>
      </w:pPr>
    </w:p>
    <w:p w14:paraId="0F4EE184">
      <w:pPr>
        <w:ind w:firstLine="480" w:firstLineChars="200"/>
        <w:rPr>
          <w:rFonts w:hint="eastAsia" w:ascii="仿宋_GB2312" w:hAnsi="仿宋_GB2312" w:eastAsia="仿宋_GB2312" w:cs="仿宋_GB2312"/>
          <w:color w:val="auto"/>
          <w:sz w:val="24"/>
          <w:highlight w:val="none"/>
        </w:rPr>
      </w:pP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68"/>
        <w:gridCol w:w="387"/>
        <w:gridCol w:w="3968"/>
      </w:tblGrid>
      <w:tr w14:paraId="243A2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968" w:type="dxa"/>
          </w:tcPr>
          <w:p w14:paraId="0DB981ED">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发包人：（盖章）</w:t>
            </w:r>
          </w:p>
        </w:tc>
        <w:tc>
          <w:tcPr>
            <w:tcW w:w="387" w:type="dxa"/>
          </w:tcPr>
          <w:p w14:paraId="4FAB823F">
            <w:pPr>
              <w:rPr>
                <w:rFonts w:hint="eastAsia" w:ascii="仿宋_GB2312" w:hAnsi="仿宋_GB2312" w:eastAsia="仿宋_GB2312" w:cs="仿宋_GB2312"/>
                <w:color w:val="auto"/>
                <w:sz w:val="24"/>
                <w:highlight w:val="none"/>
              </w:rPr>
            </w:pPr>
          </w:p>
        </w:tc>
        <w:tc>
          <w:tcPr>
            <w:tcW w:w="3968" w:type="dxa"/>
          </w:tcPr>
          <w:p w14:paraId="7813E414">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承包人（单一承包人或联合体牵头单位）：（盖章）</w:t>
            </w:r>
          </w:p>
          <w:p w14:paraId="63E8330B">
            <w:pPr>
              <w:rPr>
                <w:rFonts w:hint="eastAsia" w:ascii="仿宋_GB2312" w:hAnsi="仿宋_GB2312" w:eastAsia="仿宋_GB2312" w:cs="仿宋_GB2312"/>
                <w:color w:val="auto"/>
                <w:sz w:val="24"/>
                <w:highlight w:val="none"/>
              </w:rPr>
            </w:pPr>
          </w:p>
          <w:p w14:paraId="1719E728">
            <w:pPr>
              <w:rPr>
                <w:rFonts w:hint="eastAsia" w:ascii="仿宋_GB2312" w:hAnsi="仿宋_GB2312" w:eastAsia="仿宋_GB2312" w:cs="仿宋_GB2312"/>
                <w:color w:val="auto"/>
                <w:sz w:val="24"/>
                <w:highlight w:val="none"/>
              </w:rPr>
            </w:pPr>
          </w:p>
        </w:tc>
      </w:tr>
      <w:tr w14:paraId="4B708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968" w:type="dxa"/>
          </w:tcPr>
          <w:p w14:paraId="153C7DB6">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法定代表人或签约代表：</w:t>
            </w:r>
          </w:p>
        </w:tc>
        <w:tc>
          <w:tcPr>
            <w:tcW w:w="387" w:type="dxa"/>
          </w:tcPr>
          <w:p w14:paraId="492CE684">
            <w:pPr>
              <w:rPr>
                <w:rFonts w:hint="eastAsia" w:ascii="仿宋_GB2312" w:hAnsi="仿宋_GB2312" w:eastAsia="仿宋_GB2312" w:cs="仿宋_GB2312"/>
                <w:color w:val="auto"/>
                <w:sz w:val="24"/>
                <w:highlight w:val="none"/>
              </w:rPr>
            </w:pPr>
          </w:p>
        </w:tc>
        <w:tc>
          <w:tcPr>
            <w:tcW w:w="3968" w:type="dxa"/>
          </w:tcPr>
          <w:p w14:paraId="6E1CC0E5">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法定代表人或签约代表：</w:t>
            </w:r>
          </w:p>
          <w:p w14:paraId="2DD33357">
            <w:pPr>
              <w:rPr>
                <w:rFonts w:hint="eastAsia" w:ascii="仿宋_GB2312" w:hAnsi="仿宋_GB2312" w:eastAsia="仿宋_GB2312" w:cs="仿宋_GB2312"/>
                <w:color w:val="auto"/>
                <w:sz w:val="24"/>
                <w:highlight w:val="none"/>
              </w:rPr>
            </w:pPr>
          </w:p>
          <w:p w14:paraId="67D7EC45">
            <w:pPr>
              <w:rPr>
                <w:rFonts w:hint="eastAsia" w:ascii="仿宋_GB2312" w:hAnsi="仿宋_GB2312" w:eastAsia="仿宋_GB2312" w:cs="仿宋_GB2312"/>
                <w:color w:val="auto"/>
                <w:sz w:val="24"/>
                <w:highlight w:val="none"/>
              </w:rPr>
            </w:pPr>
          </w:p>
        </w:tc>
      </w:tr>
      <w:tr w14:paraId="383DC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968" w:type="dxa"/>
          </w:tcPr>
          <w:p w14:paraId="59798C9B">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经办人：</w:t>
            </w:r>
          </w:p>
        </w:tc>
        <w:tc>
          <w:tcPr>
            <w:tcW w:w="387" w:type="dxa"/>
          </w:tcPr>
          <w:p w14:paraId="2A71266A">
            <w:pPr>
              <w:rPr>
                <w:rFonts w:hint="eastAsia" w:ascii="仿宋_GB2312" w:hAnsi="仿宋_GB2312" w:eastAsia="仿宋_GB2312" w:cs="仿宋_GB2312"/>
                <w:color w:val="auto"/>
                <w:sz w:val="24"/>
                <w:highlight w:val="none"/>
              </w:rPr>
            </w:pPr>
          </w:p>
        </w:tc>
        <w:tc>
          <w:tcPr>
            <w:tcW w:w="3968" w:type="dxa"/>
          </w:tcPr>
          <w:p w14:paraId="7AE12C7F">
            <w:pPr>
              <w:rPr>
                <w:rFonts w:hint="eastAsia" w:ascii="仿宋_GB2312" w:hAnsi="仿宋_GB2312" w:eastAsia="仿宋_GB2312" w:cs="仿宋_GB2312"/>
                <w:color w:val="auto"/>
                <w:sz w:val="24"/>
                <w:highlight w:val="none"/>
              </w:rPr>
            </w:pPr>
          </w:p>
        </w:tc>
      </w:tr>
      <w:tr w14:paraId="4A925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968" w:type="dxa"/>
          </w:tcPr>
          <w:p w14:paraId="503ADB59">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w:t>
            </w:r>
          </w:p>
        </w:tc>
        <w:tc>
          <w:tcPr>
            <w:tcW w:w="387" w:type="dxa"/>
          </w:tcPr>
          <w:p w14:paraId="06666C92">
            <w:pPr>
              <w:rPr>
                <w:rFonts w:hint="eastAsia" w:ascii="仿宋_GB2312" w:hAnsi="仿宋_GB2312" w:eastAsia="仿宋_GB2312" w:cs="仿宋_GB2312"/>
                <w:color w:val="auto"/>
                <w:sz w:val="24"/>
                <w:highlight w:val="none"/>
              </w:rPr>
            </w:pPr>
          </w:p>
        </w:tc>
        <w:tc>
          <w:tcPr>
            <w:tcW w:w="3968" w:type="dxa"/>
          </w:tcPr>
          <w:p w14:paraId="65E1163E">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w:t>
            </w:r>
          </w:p>
        </w:tc>
      </w:tr>
      <w:tr w14:paraId="639A0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968" w:type="dxa"/>
          </w:tcPr>
          <w:p w14:paraId="2980C9BA">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电话：</w:t>
            </w:r>
          </w:p>
        </w:tc>
        <w:tc>
          <w:tcPr>
            <w:tcW w:w="387" w:type="dxa"/>
          </w:tcPr>
          <w:p w14:paraId="25C9BFD3">
            <w:pPr>
              <w:rPr>
                <w:rFonts w:hint="eastAsia" w:ascii="仿宋_GB2312" w:hAnsi="仿宋_GB2312" w:eastAsia="仿宋_GB2312" w:cs="仿宋_GB2312"/>
                <w:color w:val="auto"/>
                <w:sz w:val="24"/>
                <w:highlight w:val="none"/>
              </w:rPr>
            </w:pPr>
          </w:p>
        </w:tc>
        <w:tc>
          <w:tcPr>
            <w:tcW w:w="3968" w:type="dxa"/>
          </w:tcPr>
          <w:p w14:paraId="0788BF01">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电话：</w:t>
            </w:r>
          </w:p>
        </w:tc>
      </w:tr>
      <w:tr w14:paraId="4C4B2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968" w:type="dxa"/>
          </w:tcPr>
          <w:p w14:paraId="5B19E5D2">
            <w:pPr>
              <w:rPr>
                <w:rFonts w:hint="eastAsia" w:ascii="仿宋_GB2312" w:hAnsi="仿宋_GB2312" w:eastAsia="仿宋_GB2312" w:cs="仿宋_GB2312"/>
                <w:color w:val="auto"/>
                <w:sz w:val="24"/>
                <w:highlight w:val="none"/>
              </w:rPr>
            </w:pPr>
          </w:p>
        </w:tc>
        <w:tc>
          <w:tcPr>
            <w:tcW w:w="387" w:type="dxa"/>
          </w:tcPr>
          <w:p w14:paraId="1CF11D6F">
            <w:pPr>
              <w:rPr>
                <w:rFonts w:hint="eastAsia" w:ascii="仿宋_GB2312" w:hAnsi="仿宋_GB2312" w:eastAsia="仿宋_GB2312" w:cs="仿宋_GB2312"/>
                <w:color w:val="auto"/>
                <w:sz w:val="24"/>
                <w:highlight w:val="none"/>
              </w:rPr>
            </w:pPr>
          </w:p>
        </w:tc>
        <w:tc>
          <w:tcPr>
            <w:tcW w:w="3968" w:type="dxa"/>
          </w:tcPr>
          <w:p w14:paraId="7B2662F8">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开户银行：</w:t>
            </w:r>
          </w:p>
        </w:tc>
      </w:tr>
      <w:tr w14:paraId="1E374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968" w:type="dxa"/>
          </w:tcPr>
          <w:p w14:paraId="0CB01EAD">
            <w:pPr>
              <w:rPr>
                <w:rFonts w:hint="eastAsia" w:ascii="仿宋_GB2312" w:hAnsi="仿宋_GB2312" w:eastAsia="仿宋_GB2312" w:cs="仿宋_GB2312"/>
                <w:color w:val="auto"/>
                <w:sz w:val="24"/>
                <w:highlight w:val="none"/>
              </w:rPr>
            </w:pPr>
          </w:p>
        </w:tc>
        <w:tc>
          <w:tcPr>
            <w:tcW w:w="387" w:type="dxa"/>
          </w:tcPr>
          <w:p w14:paraId="35E6A18D">
            <w:pPr>
              <w:rPr>
                <w:rFonts w:hint="eastAsia" w:ascii="仿宋_GB2312" w:hAnsi="仿宋_GB2312" w:eastAsia="仿宋_GB2312" w:cs="仿宋_GB2312"/>
                <w:color w:val="auto"/>
                <w:sz w:val="24"/>
                <w:highlight w:val="none"/>
              </w:rPr>
            </w:pPr>
          </w:p>
        </w:tc>
        <w:tc>
          <w:tcPr>
            <w:tcW w:w="3968" w:type="dxa"/>
          </w:tcPr>
          <w:p w14:paraId="29D35293">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开户银行行号：</w:t>
            </w:r>
          </w:p>
        </w:tc>
      </w:tr>
      <w:tr w14:paraId="3EFED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968" w:type="dxa"/>
          </w:tcPr>
          <w:p w14:paraId="0B448D78">
            <w:pPr>
              <w:rPr>
                <w:rFonts w:hint="eastAsia" w:ascii="仿宋_GB2312" w:hAnsi="仿宋_GB2312" w:eastAsia="仿宋_GB2312" w:cs="仿宋_GB2312"/>
                <w:color w:val="auto"/>
                <w:sz w:val="24"/>
                <w:highlight w:val="none"/>
              </w:rPr>
            </w:pPr>
          </w:p>
        </w:tc>
        <w:tc>
          <w:tcPr>
            <w:tcW w:w="387" w:type="dxa"/>
          </w:tcPr>
          <w:p w14:paraId="59EDE14E">
            <w:pPr>
              <w:rPr>
                <w:rFonts w:hint="eastAsia" w:ascii="仿宋_GB2312" w:hAnsi="仿宋_GB2312" w:eastAsia="仿宋_GB2312" w:cs="仿宋_GB2312"/>
                <w:color w:val="auto"/>
                <w:sz w:val="24"/>
                <w:highlight w:val="none"/>
              </w:rPr>
            </w:pPr>
          </w:p>
        </w:tc>
        <w:tc>
          <w:tcPr>
            <w:tcW w:w="3968" w:type="dxa"/>
          </w:tcPr>
          <w:p w14:paraId="54B29465">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账号：</w:t>
            </w:r>
          </w:p>
        </w:tc>
      </w:tr>
      <w:tr w14:paraId="0DF5A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968" w:type="dxa"/>
          </w:tcPr>
          <w:p w14:paraId="588AC6B3">
            <w:pPr>
              <w:rPr>
                <w:rFonts w:hint="eastAsia" w:ascii="仿宋_GB2312" w:hAnsi="仿宋_GB2312" w:eastAsia="仿宋_GB2312" w:cs="仿宋_GB2312"/>
                <w:color w:val="auto"/>
                <w:sz w:val="24"/>
                <w:highlight w:val="none"/>
              </w:rPr>
            </w:pPr>
          </w:p>
        </w:tc>
        <w:tc>
          <w:tcPr>
            <w:tcW w:w="387" w:type="dxa"/>
          </w:tcPr>
          <w:p w14:paraId="778866F7">
            <w:pPr>
              <w:rPr>
                <w:rFonts w:hint="eastAsia" w:ascii="仿宋_GB2312" w:hAnsi="仿宋_GB2312" w:eastAsia="仿宋_GB2312" w:cs="仿宋_GB2312"/>
                <w:color w:val="auto"/>
                <w:sz w:val="24"/>
                <w:highlight w:val="none"/>
              </w:rPr>
            </w:pPr>
          </w:p>
        </w:tc>
        <w:tc>
          <w:tcPr>
            <w:tcW w:w="3968" w:type="dxa"/>
          </w:tcPr>
          <w:p w14:paraId="7EA2AAD7">
            <w:pPr>
              <w:rPr>
                <w:rFonts w:hint="eastAsia" w:ascii="仿宋_GB2312" w:hAnsi="仿宋_GB2312" w:eastAsia="仿宋_GB2312" w:cs="仿宋_GB2312"/>
                <w:color w:val="auto"/>
                <w:sz w:val="24"/>
                <w:highlight w:val="none"/>
              </w:rPr>
            </w:pPr>
          </w:p>
        </w:tc>
      </w:tr>
      <w:tr w14:paraId="57959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968" w:type="dxa"/>
          </w:tcPr>
          <w:p w14:paraId="76F853CD">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承包人（联合体成员单位）：（盖章）</w:t>
            </w:r>
          </w:p>
        </w:tc>
        <w:tc>
          <w:tcPr>
            <w:tcW w:w="387" w:type="dxa"/>
          </w:tcPr>
          <w:p w14:paraId="14265E68">
            <w:pPr>
              <w:rPr>
                <w:rFonts w:hint="eastAsia" w:ascii="仿宋_GB2312" w:hAnsi="仿宋_GB2312" w:eastAsia="仿宋_GB2312" w:cs="仿宋_GB2312"/>
                <w:color w:val="auto"/>
                <w:sz w:val="24"/>
                <w:highlight w:val="none"/>
              </w:rPr>
            </w:pPr>
          </w:p>
        </w:tc>
        <w:tc>
          <w:tcPr>
            <w:tcW w:w="3968" w:type="dxa"/>
          </w:tcPr>
          <w:p w14:paraId="2115CD9B">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承包人（联合体成员单位）：（盖章）</w:t>
            </w:r>
          </w:p>
        </w:tc>
      </w:tr>
      <w:tr w14:paraId="2E2A9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968" w:type="dxa"/>
          </w:tcPr>
          <w:p w14:paraId="6EEC0797">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法定代表人或签约代表：</w:t>
            </w:r>
          </w:p>
        </w:tc>
        <w:tc>
          <w:tcPr>
            <w:tcW w:w="387" w:type="dxa"/>
          </w:tcPr>
          <w:p w14:paraId="7562046C">
            <w:pPr>
              <w:rPr>
                <w:rFonts w:hint="eastAsia" w:ascii="仿宋_GB2312" w:hAnsi="仿宋_GB2312" w:eastAsia="仿宋_GB2312" w:cs="仿宋_GB2312"/>
                <w:color w:val="auto"/>
                <w:sz w:val="24"/>
                <w:highlight w:val="none"/>
              </w:rPr>
            </w:pPr>
          </w:p>
        </w:tc>
        <w:tc>
          <w:tcPr>
            <w:tcW w:w="3968" w:type="dxa"/>
          </w:tcPr>
          <w:p w14:paraId="0B49C435">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法定代表人或签约代表：</w:t>
            </w:r>
          </w:p>
        </w:tc>
      </w:tr>
      <w:tr w14:paraId="56DE2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968" w:type="dxa"/>
          </w:tcPr>
          <w:p w14:paraId="683EAA00">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w:t>
            </w:r>
          </w:p>
        </w:tc>
        <w:tc>
          <w:tcPr>
            <w:tcW w:w="387" w:type="dxa"/>
          </w:tcPr>
          <w:p w14:paraId="763B1436">
            <w:pPr>
              <w:rPr>
                <w:rFonts w:hint="eastAsia" w:ascii="仿宋_GB2312" w:hAnsi="仿宋_GB2312" w:eastAsia="仿宋_GB2312" w:cs="仿宋_GB2312"/>
                <w:color w:val="auto"/>
                <w:sz w:val="24"/>
                <w:highlight w:val="none"/>
              </w:rPr>
            </w:pPr>
          </w:p>
        </w:tc>
        <w:tc>
          <w:tcPr>
            <w:tcW w:w="3968" w:type="dxa"/>
          </w:tcPr>
          <w:p w14:paraId="5EBF59F9">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w:t>
            </w:r>
          </w:p>
        </w:tc>
      </w:tr>
      <w:tr w14:paraId="4C702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968" w:type="dxa"/>
          </w:tcPr>
          <w:p w14:paraId="7EA6EE07">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电话：</w:t>
            </w:r>
          </w:p>
        </w:tc>
        <w:tc>
          <w:tcPr>
            <w:tcW w:w="387" w:type="dxa"/>
          </w:tcPr>
          <w:p w14:paraId="09D17C95">
            <w:pPr>
              <w:rPr>
                <w:rFonts w:hint="eastAsia" w:ascii="仿宋_GB2312" w:hAnsi="仿宋_GB2312" w:eastAsia="仿宋_GB2312" w:cs="仿宋_GB2312"/>
                <w:color w:val="auto"/>
                <w:sz w:val="24"/>
                <w:highlight w:val="none"/>
              </w:rPr>
            </w:pPr>
          </w:p>
        </w:tc>
        <w:tc>
          <w:tcPr>
            <w:tcW w:w="3968" w:type="dxa"/>
          </w:tcPr>
          <w:p w14:paraId="3578649C">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电话：</w:t>
            </w:r>
          </w:p>
        </w:tc>
      </w:tr>
      <w:tr w14:paraId="5FBC9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968" w:type="dxa"/>
          </w:tcPr>
          <w:p w14:paraId="6165FD86">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开户银行：</w:t>
            </w:r>
          </w:p>
        </w:tc>
        <w:tc>
          <w:tcPr>
            <w:tcW w:w="387" w:type="dxa"/>
          </w:tcPr>
          <w:p w14:paraId="1C6B237E">
            <w:pPr>
              <w:rPr>
                <w:rFonts w:hint="eastAsia" w:ascii="仿宋_GB2312" w:hAnsi="仿宋_GB2312" w:eastAsia="仿宋_GB2312" w:cs="仿宋_GB2312"/>
                <w:color w:val="auto"/>
                <w:sz w:val="24"/>
                <w:highlight w:val="none"/>
              </w:rPr>
            </w:pPr>
          </w:p>
        </w:tc>
        <w:tc>
          <w:tcPr>
            <w:tcW w:w="3968" w:type="dxa"/>
          </w:tcPr>
          <w:p w14:paraId="5DCF826A">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开户银行：</w:t>
            </w:r>
          </w:p>
        </w:tc>
      </w:tr>
      <w:tr w14:paraId="26239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968" w:type="dxa"/>
          </w:tcPr>
          <w:p w14:paraId="2F61B9C3">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开户银行行号：</w:t>
            </w:r>
          </w:p>
        </w:tc>
        <w:tc>
          <w:tcPr>
            <w:tcW w:w="387" w:type="dxa"/>
          </w:tcPr>
          <w:p w14:paraId="649D3E56">
            <w:pPr>
              <w:rPr>
                <w:rFonts w:hint="eastAsia" w:ascii="仿宋_GB2312" w:hAnsi="仿宋_GB2312" w:eastAsia="仿宋_GB2312" w:cs="仿宋_GB2312"/>
                <w:color w:val="auto"/>
                <w:sz w:val="24"/>
                <w:highlight w:val="none"/>
              </w:rPr>
            </w:pPr>
          </w:p>
        </w:tc>
        <w:tc>
          <w:tcPr>
            <w:tcW w:w="3968" w:type="dxa"/>
          </w:tcPr>
          <w:p w14:paraId="2EA3ED10">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开户银行行号：</w:t>
            </w:r>
          </w:p>
        </w:tc>
      </w:tr>
      <w:tr w14:paraId="393A1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968" w:type="dxa"/>
          </w:tcPr>
          <w:p w14:paraId="6508A090">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账号：</w:t>
            </w:r>
          </w:p>
        </w:tc>
        <w:tc>
          <w:tcPr>
            <w:tcW w:w="387" w:type="dxa"/>
          </w:tcPr>
          <w:p w14:paraId="6308FF0C">
            <w:pPr>
              <w:rPr>
                <w:rFonts w:hint="eastAsia" w:ascii="仿宋_GB2312" w:hAnsi="仿宋_GB2312" w:eastAsia="仿宋_GB2312" w:cs="仿宋_GB2312"/>
                <w:color w:val="auto"/>
                <w:sz w:val="24"/>
                <w:highlight w:val="none"/>
              </w:rPr>
            </w:pPr>
          </w:p>
        </w:tc>
        <w:tc>
          <w:tcPr>
            <w:tcW w:w="3968" w:type="dxa"/>
          </w:tcPr>
          <w:p w14:paraId="1D79A786">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账号：</w:t>
            </w:r>
          </w:p>
        </w:tc>
      </w:tr>
    </w:tbl>
    <w:p w14:paraId="580AF599">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br w:type="page"/>
      </w:r>
    </w:p>
    <w:p w14:paraId="7339CCD7">
      <w:pPr>
        <w:numPr>
          <w:ilvl w:val="0"/>
          <w:numId w:val="1"/>
        </w:numPr>
        <w:jc w:val="center"/>
        <w:rPr>
          <w:rFonts w:hint="eastAsia" w:ascii="仿宋_GB2312" w:hAnsi="仿宋_GB2312" w:eastAsia="仿宋_GB2312" w:cs="仿宋_GB2312"/>
          <w:color w:val="auto"/>
          <w:sz w:val="44"/>
          <w:szCs w:val="44"/>
          <w:highlight w:val="none"/>
        </w:rPr>
      </w:pPr>
      <w:r>
        <w:rPr>
          <w:rFonts w:hint="eastAsia" w:ascii="仿宋_GB2312" w:hAnsi="仿宋_GB2312" w:eastAsia="仿宋_GB2312" w:cs="仿宋_GB2312"/>
          <w:color w:val="auto"/>
          <w:sz w:val="44"/>
          <w:szCs w:val="44"/>
          <w:highlight w:val="none"/>
        </w:rPr>
        <w:t>通用条款</w:t>
      </w:r>
    </w:p>
    <w:p w14:paraId="55ADA628">
      <w:pPr>
        <w:jc w:val="center"/>
        <w:rPr>
          <w:rFonts w:hint="eastAsia" w:ascii="仿宋_GB2312" w:hAnsi="仿宋_GB2312" w:eastAsia="仿宋_GB2312" w:cs="仿宋_GB2312"/>
          <w:color w:val="auto"/>
          <w:sz w:val="44"/>
          <w:szCs w:val="44"/>
          <w:highlight w:val="none"/>
        </w:rPr>
      </w:pPr>
    </w:p>
    <w:p w14:paraId="3A3695A8">
      <w:pPr>
        <w:pStyle w:val="5"/>
        <w:adjustRightInd w:val="0"/>
        <w:snapToGrid w:val="0"/>
        <w:jc w:val="center"/>
        <w:outlineLvl w:val="1"/>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按《广州市建设工程总承包合同》（SF-2022-0210）通用条款。</w:t>
      </w:r>
    </w:p>
    <w:p w14:paraId="00A8F199">
      <w:pPr>
        <w:jc w:val="center"/>
        <w:rPr>
          <w:rFonts w:hint="eastAsia" w:ascii="仿宋_GB2312" w:hAnsi="仿宋_GB2312" w:eastAsia="仿宋_GB2312" w:cs="仿宋_GB2312"/>
          <w:color w:val="auto"/>
          <w:sz w:val="44"/>
          <w:szCs w:val="44"/>
          <w:highlight w:val="none"/>
        </w:rPr>
      </w:pPr>
    </w:p>
    <w:p w14:paraId="6409D185">
      <w:pPr>
        <w:numPr>
          <w:ilvl w:val="0"/>
          <w:numId w:val="1"/>
        </w:numPr>
        <w:jc w:val="center"/>
        <w:rPr>
          <w:rFonts w:hint="eastAsia" w:ascii="仿宋_GB2312" w:hAnsi="仿宋_GB2312" w:eastAsia="仿宋_GB2312" w:cs="仿宋_GB2312"/>
          <w:color w:val="auto"/>
          <w:sz w:val="44"/>
          <w:szCs w:val="44"/>
          <w:highlight w:val="none"/>
        </w:rPr>
      </w:pPr>
      <w:r>
        <w:rPr>
          <w:rFonts w:hint="eastAsia" w:ascii="仿宋_GB2312" w:hAnsi="仿宋_GB2312" w:eastAsia="仿宋_GB2312" w:cs="仿宋_GB2312"/>
          <w:color w:val="auto"/>
          <w:sz w:val="44"/>
          <w:szCs w:val="44"/>
          <w:highlight w:val="none"/>
        </w:rPr>
        <w:t>专用条款</w:t>
      </w:r>
    </w:p>
    <w:p w14:paraId="636E7FD3">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1．定义</w:t>
      </w:r>
    </w:p>
    <w:p w14:paraId="54B11644">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1.3.16利润：</w:t>
      </w:r>
    </w:p>
    <w:p w14:paraId="0BD542A4">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☑按通用条款执行</w:t>
      </w:r>
    </w:p>
    <w:p w14:paraId="3494D408">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□本合同适用的利润百分比为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14:paraId="43A3E36E">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1.8.5 单项工程</w:t>
      </w:r>
    </w:p>
    <w:p w14:paraId="0C84C835">
      <w:pPr>
        <w:ind w:left="210" w:leftChars="100"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☑名称：</w:t>
      </w:r>
      <w:r>
        <w:rPr>
          <w:rFonts w:hint="eastAsia" w:ascii="仿宋_GB2312" w:hAnsi="仿宋_GB2312" w:eastAsia="仿宋_GB2312" w:cs="仿宋_GB2312"/>
          <w:color w:val="auto"/>
          <w:sz w:val="24"/>
          <w:highlight w:val="none"/>
          <w:u w:val="single"/>
        </w:rPr>
        <w:t>花山镇</w:t>
      </w:r>
      <w:r>
        <w:rPr>
          <w:rFonts w:hint="eastAsia" w:ascii="仿宋_GB2312" w:hAnsi="仿宋_GB2312" w:eastAsia="仿宋_GB2312" w:cs="仿宋_GB2312"/>
          <w:color w:val="auto"/>
          <w:sz w:val="24"/>
          <w:highlight w:val="none"/>
          <w:u w:val="single"/>
          <w:lang w:eastAsia="zh-CN"/>
        </w:rPr>
        <w:t>“</w:t>
      </w:r>
      <w:r>
        <w:rPr>
          <w:rFonts w:hint="eastAsia" w:ascii="仿宋_GB2312" w:hAnsi="仿宋_GB2312" w:eastAsia="仿宋_GB2312" w:cs="仿宋_GB2312"/>
          <w:color w:val="auto"/>
          <w:sz w:val="24"/>
          <w:highlight w:val="none"/>
          <w:u w:val="single"/>
          <w:lang w:val="en-US" w:eastAsia="zh-CN"/>
        </w:rPr>
        <w:t>羊城花坞</w:t>
      </w:r>
      <w:r>
        <w:rPr>
          <w:rFonts w:hint="eastAsia" w:ascii="仿宋_GB2312" w:hAnsi="仿宋_GB2312" w:eastAsia="仿宋_GB2312" w:cs="仿宋_GB2312"/>
          <w:color w:val="auto"/>
          <w:sz w:val="24"/>
          <w:highlight w:val="none"/>
          <w:u w:val="single"/>
          <w:lang w:eastAsia="zh-CN"/>
        </w:rPr>
        <w:t>”</w:t>
      </w:r>
      <w:r>
        <w:rPr>
          <w:rFonts w:hint="eastAsia" w:ascii="仿宋_GB2312" w:hAnsi="仿宋_GB2312" w:eastAsia="仿宋_GB2312" w:cs="仿宋_GB2312"/>
          <w:color w:val="auto"/>
          <w:sz w:val="24"/>
          <w:highlight w:val="none"/>
          <w:u w:val="single"/>
          <w:lang w:val="en-US" w:eastAsia="zh-CN"/>
        </w:rPr>
        <w:t>智慧停车场项目</w:t>
      </w:r>
      <w:r>
        <w:rPr>
          <w:rFonts w:hint="eastAsia" w:ascii="仿宋_GB2312" w:hAnsi="仿宋_GB2312" w:eastAsia="仿宋_GB2312" w:cs="仿宋_GB2312"/>
          <w:color w:val="auto"/>
          <w:sz w:val="24"/>
          <w:highlight w:val="none"/>
          <w:u w:val="single"/>
        </w:rPr>
        <w:t>勘察设计施工总承包工程</w:t>
      </w:r>
    </w:p>
    <w:p w14:paraId="39E27D30">
      <w:pPr>
        <w:ind w:left="210" w:leftChars="100"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☑内容：</w:t>
      </w:r>
      <w:r>
        <w:rPr>
          <w:rFonts w:hint="eastAsia" w:ascii="仿宋_GB2312" w:hAnsi="仿宋_GB2312" w:eastAsia="仿宋_GB2312" w:cs="仿宋_GB2312"/>
          <w:color w:val="auto"/>
          <w:sz w:val="24"/>
          <w:highlight w:val="none"/>
          <w:u w:val="single"/>
        </w:rPr>
        <w:t>详见招标文件。</w:t>
      </w:r>
    </w:p>
    <w:p w14:paraId="5B4DA612">
      <w:pPr>
        <w:ind w:left="210" w:leftChars="100"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☑范围：</w:t>
      </w:r>
      <w:r>
        <w:rPr>
          <w:rFonts w:hint="eastAsia" w:ascii="仿宋_GB2312" w:hAnsi="仿宋_GB2312" w:eastAsia="仿宋_GB2312" w:cs="仿宋_GB2312"/>
          <w:color w:val="auto"/>
          <w:sz w:val="24"/>
          <w:highlight w:val="none"/>
          <w:u w:val="single"/>
        </w:rPr>
        <w:t>详见招标文件。</w:t>
      </w:r>
    </w:p>
    <w:p w14:paraId="11D8861E">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1.10.7 所采用的书面形式包括：</w:t>
      </w:r>
    </w:p>
    <w:p w14:paraId="64691FA8">
      <w:pPr>
        <w:ind w:left="210" w:leftChars="100"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☑合同文件；</w:t>
      </w:r>
    </w:p>
    <w:p w14:paraId="6EED73B9">
      <w:pPr>
        <w:ind w:left="210" w:leftChars="100"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☑信函；</w:t>
      </w:r>
    </w:p>
    <w:p w14:paraId="1948F148">
      <w:pPr>
        <w:ind w:left="210" w:leftChars="100"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□电报；</w:t>
      </w:r>
    </w:p>
    <w:p w14:paraId="608ED0A0">
      <w:pPr>
        <w:ind w:left="210" w:leftChars="100"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□传真；</w:t>
      </w:r>
    </w:p>
    <w:p w14:paraId="06C5E85D">
      <w:pPr>
        <w:ind w:left="210" w:leftChars="100"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☑会议纪要；</w:t>
      </w:r>
    </w:p>
    <w:p w14:paraId="6E6A21BA">
      <w:pPr>
        <w:ind w:left="210" w:leftChars="100"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□电子邮件；</w:t>
      </w:r>
    </w:p>
    <w:p w14:paraId="570C0085">
      <w:pPr>
        <w:ind w:left="210" w:leftChars="100" w:firstLine="240" w:firstLine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□其他：</w:t>
      </w:r>
      <w:r>
        <w:rPr>
          <w:rFonts w:hint="eastAsia" w:ascii="仿宋_GB2312" w:hAnsi="仿宋_GB2312" w:eastAsia="仿宋_GB2312" w:cs="仿宋_GB2312"/>
          <w:color w:val="auto"/>
          <w:sz w:val="24"/>
          <w:highlight w:val="none"/>
          <w:u w:val="single"/>
        </w:rPr>
        <w:t xml:space="preserve">  </w:t>
      </w:r>
    </w:p>
    <w:p w14:paraId="53324DE8">
      <w:pPr>
        <w:ind w:left="210" w:leftChars="100"/>
        <w:rPr>
          <w:rFonts w:hint="eastAsia" w:ascii="仿宋_GB2312" w:hAnsi="仿宋_GB2312" w:eastAsia="仿宋_GB2312" w:cs="仿宋_GB2312"/>
          <w:color w:val="auto"/>
          <w:sz w:val="24"/>
          <w:highlight w:val="none"/>
          <w:u w:val="single"/>
        </w:rPr>
      </w:pPr>
    </w:p>
    <w:p w14:paraId="449284D9">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2．合同文件及解释</w:t>
      </w:r>
    </w:p>
    <w:p w14:paraId="0A672F88">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  合同文件组成及优先顺序</w:t>
      </w:r>
    </w:p>
    <w:p w14:paraId="0F5A744D">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合同文件组成及优先顺序为：</w:t>
      </w:r>
      <w:r>
        <w:rPr>
          <w:rFonts w:hint="eastAsia" w:ascii="仿宋_GB2312" w:hAnsi="仿宋_GB2312" w:eastAsia="仿宋_GB2312" w:cs="仿宋_GB2312"/>
          <w:color w:val="auto"/>
          <w:sz w:val="24"/>
          <w:highlight w:val="none"/>
          <w:u w:val="single"/>
        </w:rPr>
        <w:t>同本合同协议书第十条约定。</w:t>
      </w:r>
    </w:p>
    <w:p w14:paraId="3013F957">
      <w:pPr>
        <w:ind w:left="210" w:leftChars="100"/>
        <w:rPr>
          <w:rFonts w:hint="eastAsia" w:ascii="仿宋_GB2312" w:hAnsi="仿宋_GB2312" w:eastAsia="仿宋_GB2312" w:cs="仿宋_GB2312"/>
          <w:color w:val="auto"/>
          <w:sz w:val="24"/>
          <w:highlight w:val="none"/>
          <w:u w:val="single"/>
        </w:rPr>
      </w:pPr>
    </w:p>
    <w:p w14:paraId="26D09CCC">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 语言及适用的法律、标准与规范</w:t>
      </w:r>
    </w:p>
    <w:p w14:paraId="0E576F6F">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4.1 语言文字</w:t>
      </w:r>
    </w:p>
    <w:p w14:paraId="217CB4F1">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与合同有关的联络应使用的语言：</w:t>
      </w:r>
      <w:r>
        <w:rPr>
          <w:rFonts w:hint="eastAsia" w:ascii="仿宋_GB2312" w:hAnsi="仿宋_GB2312" w:eastAsia="仿宋_GB2312" w:cs="仿宋_GB2312"/>
          <w:color w:val="auto"/>
          <w:sz w:val="24"/>
          <w:highlight w:val="none"/>
          <w:u w:val="single"/>
        </w:rPr>
        <w:t>合同以中国的汉语简体文字编写、解释和说明。合同当事人在专用合同条款中约定使用两种以上语言时，汉语为优先解释和说明合同的语言。</w:t>
      </w:r>
    </w:p>
    <w:p w14:paraId="2C2A779B">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4.2 适用法律</w:t>
      </w:r>
    </w:p>
    <w:p w14:paraId="19C304B4">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合同适用的其他规范性文件：</w:t>
      </w:r>
      <w:r>
        <w:rPr>
          <w:rFonts w:hint="eastAsia" w:ascii="仿宋_GB2312" w:hAnsi="仿宋_GB2312" w:eastAsia="仿宋_GB2312" w:cs="仿宋_GB2312"/>
          <w:color w:val="auto"/>
          <w:sz w:val="24"/>
          <w:highlight w:val="none"/>
          <w:u w:val="single"/>
        </w:rPr>
        <w:t>中华人民共和国法律、行政法规、部门规章，以及工程所在地的地方性法规、自治条例、单行条例和地方政府规章等。</w:t>
      </w:r>
    </w:p>
    <w:p w14:paraId="1E2E713C">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需要明示的法律、行政法规为：《中华人民共和国民法典》、《中华人民共和国建筑法》、《中华人民共和国招标投标法》、《中华人民共和国招标投标法实施条例》、《建设工程质量管理条例》、《建设工程安全管理条例》、《房屋建筑和市政基础设施工程施工分包管理办法》、《建设工程价款结算暂行办法》及现行有关国家、行业和地方建筑法规、规章。</w:t>
      </w:r>
    </w:p>
    <w:p w14:paraId="575A5A53">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本合同中所提及各种法律、行政法规、部门规章、工程所在地的地方性法规、自治条例、单行条例、地方政府规章、其他规范性文件如已经终止、失效或被更新，双方在适用时，均应自动适用现行有效的最新版本。</w:t>
      </w:r>
    </w:p>
    <w:p w14:paraId="08685C58">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本合同约定使用的法律法规均以合同签订之日作为基准日，合同风险范围外的约定详见变更估价。</w:t>
      </w:r>
    </w:p>
    <w:p w14:paraId="54CD0CB6">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4.3 适用标准与规范</w:t>
      </w:r>
    </w:p>
    <w:p w14:paraId="6D44CCDC">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约定适用的标准、规范的名称：</w:t>
      </w:r>
      <w:r>
        <w:rPr>
          <w:rFonts w:hint="eastAsia" w:ascii="仿宋_GB2312" w:hAnsi="仿宋_GB2312" w:eastAsia="仿宋_GB2312" w:cs="仿宋_GB2312"/>
          <w:color w:val="auto"/>
          <w:sz w:val="24"/>
          <w:highlight w:val="none"/>
          <w:u w:val="single"/>
        </w:rPr>
        <w:t>国家现行的有关标准、规范、规程及文件；当没有国家标准、规范、规程时，采用国家现行的行业标准、规范；当没有国家和行业标准、规范时，采用所在地现行地方标准、规范。如施工期间国家或地方标准、规范发生变动，承包人应无条件按新标准、规范执行，由此引起的费用已包含在合同价中。</w:t>
      </w:r>
    </w:p>
    <w:p w14:paraId="69906B2C">
      <w:pPr>
        <w:ind w:left="210" w:leftChars="100"/>
        <w:rPr>
          <w:rFonts w:hint="eastAsia" w:ascii="仿宋_GB2312" w:hAnsi="仿宋_GB2312" w:eastAsia="仿宋_GB2312" w:cs="仿宋_GB2312"/>
          <w:color w:val="auto"/>
          <w:sz w:val="24"/>
          <w:highlight w:val="none"/>
          <w:u w:val="single"/>
        </w:rPr>
      </w:pPr>
    </w:p>
    <w:p w14:paraId="4A44B58C">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 发包人要求</w:t>
      </w:r>
    </w:p>
    <w:p w14:paraId="4E06ACE3">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5.1 发包人要求的提供</w:t>
      </w:r>
    </w:p>
    <w:p w14:paraId="74D7BA6A">
      <w:pPr>
        <w:ind w:left="210" w:left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初步设计与施工图设计要求（适用于可行性研究报告批准或备案后发包）：</w:t>
      </w:r>
    </w:p>
    <w:p w14:paraId="0A7478D7">
      <w:pPr>
        <w:pStyle w:val="21"/>
        <w:numPr>
          <w:ilvl w:val="0"/>
          <w:numId w:val="2"/>
        </w:numPr>
        <w:ind w:firstLineChars="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提供的时间：</w:t>
      </w:r>
      <w:r>
        <w:rPr>
          <w:rFonts w:hint="eastAsia" w:ascii="仿宋" w:hAnsi="仿宋" w:eastAsia="仿宋" w:cs="仿宋"/>
          <w:color w:val="auto"/>
          <w:sz w:val="24"/>
          <w:highlight w:val="none"/>
          <w:u w:val="single"/>
        </w:rPr>
        <w:t>合同签订后，以发包人书面通知为准。</w:t>
      </w:r>
    </w:p>
    <w:p w14:paraId="46B3F62D">
      <w:pPr>
        <w:ind w:left="210" w:left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②提供的数量：</w:t>
      </w:r>
      <w:r>
        <w:rPr>
          <w:rFonts w:hint="eastAsia" w:ascii="仿宋" w:hAnsi="仿宋" w:eastAsia="仿宋" w:cs="仿宋"/>
          <w:color w:val="auto"/>
          <w:sz w:val="24"/>
          <w:highlight w:val="none"/>
          <w:u w:val="single"/>
        </w:rPr>
        <w:t>6套</w:t>
      </w:r>
    </w:p>
    <w:p w14:paraId="05BE58FA">
      <w:pPr>
        <w:ind w:left="210" w:left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施工图设计要求（适用于初步设计批准或备案后发包）：</w:t>
      </w:r>
    </w:p>
    <w:p w14:paraId="0C3A84D8">
      <w:pPr>
        <w:ind w:left="210" w:left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①提供的时间：</w:t>
      </w:r>
      <w:r>
        <w:rPr>
          <w:rFonts w:hint="eastAsia" w:ascii="仿宋" w:hAnsi="仿宋" w:eastAsia="仿宋" w:cs="仿宋"/>
          <w:color w:val="auto"/>
          <w:sz w:val="24"/>
          <w:highlight w:val="none"/>
          <w:u w:val="single"/>
        </w:rPr>
        <w:t xml:space="preserve"> / </w:t>
      </w:r>
    </w:p>
    <w:p w14:paraId="0BF59B8B">
      <w:pPr>
        <w:ind w:left="210" w:left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②提供的数量：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p>
    <w:p w14:paraId="39EFDC60">
      <w:pPr>
        <w:ind w:left="210" w:left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设备及工器具购置要求： </w:t>
      </w:r>
    </w:p>
    <w:p w14:paraId="2EBE4DBC">
      <w:pPr>
        <w:ind w:left="210" w:left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①</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提供的时间：</w:t>
      </w:r>
      <w:r>
        <w:rPr>
          <w:rFonts w:hint="eastAsia" w:ascii="仿宋" w:hAnsi="仿宋" w:eastAsia="仿宋" w:cs="仿宋"/>
          <w:color w:val="auto"/>
          <w:sz w:val="24"/>
          <w:highlight w:val="none"/>
          <w:u w:val="single"/>
        </w:rPr>
        <w:t>合同签订后，以发包人书面通知为准</w:t>
      </w:r>
      <w:r>
        <w:rPr>
          <w:rFonts w:hint="eastAsia" w:ascii="仿宋" w:hAnsi="仿宋" w:eastAsia="仿宋" w:cs="仿宋"/>
          <w:color w:val="auto"/>
          <w:sz w:val="24"/>
          <w:highlight w:val="none"/>
        </w:rPr>
        <w:t>。</w:t>
      </w:r>
    </w:p>
    <w:p w14:paraId="0E3DBAFD">
      <w:pPr>
        <w:ind w:left="210" w:left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②</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提供的数量：</w:t>
      </w:r>
      <w:r>
        <w:rPr>
          <w:rFonts w:hint="eastAsia" w:ascii="仿宋" w:hAnsi="仿宋" w:eastAsia="仿宋" w:cs="仿宋"/>
          <w:color w:val="auto"/>
          <w:sz w:val="24"/>
          <w:highlight w:val="none"/>
          <w:u w:val="single"/>
        </w:rPr>
        <w:t xml:space="preserve"> 合同签订后，以发包人书面通知为准</w:t>
      </w:r>
      <w:r>
        <w:rPr>
          <w:rFonts w:hint="eastAsia" w:ascii="仿宋" w:hAnsi="仿宋" w:eastAsia="仿宋" w:cs="仿宋"/>
          <w:color w:val="auto"/>
          <w:sz w:val="24"/>
          <w:highlight w:val="none"/>
        </w:rPr>
        <w:t xml:space="preserve">。 </w:t>
      </w:r>
    </w:p>
    <w:p w14:paraId="1347DC62">
      <w:pPr>
        <w:ind w:left="210" w:leftChars="100"/>
        <w:rPr>
          <w:rFonts w:hint="eastAsia" w:ascii="仿宋_GB2312" w:hAnsi="仿宋_GB2312" w:eastAsia="仿宋_GB2312" w:cs="仿宋_GB2312"/>
          <w:color w:val="auto"/>
          <w:sz w:val="24"/>
          <w:highlight w:val="none"/>
        </w:rPr>
      </w:pPr>
      <w:r>
        <w:rPr>
          <w:rFonts w:ascii="Segoe UI Symbol" w:hAnsi="Segoe UI Symbol" w:eastAsia="仿宋_GB2312" w:cs="Segoe UI Symbol"/>
          <w:color w:val="auto"/>
          <w:sz w:val="24"/>
          <w:highlight w:val="none"/>
        </w:rPr>
        <w:t>☑</w:t>
      </w:r>
      <w:r>
        <w:rPr>
          <w:rFonts w:hint="eastAsia" w:ascii="仿宋_GB2312" w:hAnsi="仿宋_GB2312" w:eastAsia="仿宋_GB2312" w:cs="仿宋_GB2312"/>
          <w:color w:val="auto"/>
          <w:sz w:val="24"/>
          <w:highlight w:val="none"/>
        </w:rPr>
        <w:t xml:space="preserve"> 发包人要求中不可变更内容的约定：</w:t>
      </w:r>
      <w:r>
        <w:rPr>
          <w:rFonts w:hint="eastAsia" w:ascii="仿宋_GB2312" w:hAnsi="仿宋_GB2312" w:eastAsia="仿宋_GB2312" w:cs="仿宋_GB2312"/>
          <w:color w:val="auto"/>
          <w:sz w:val="24"/>
          <w:highlight w:val="none"/>
          <w:u w:val="single"/>
        </w:rPr>
        <w:t>以发包人书面通知为准。</w:t>
      </w:r>
    </w:p>
    <w:p w14:paraId="4A878A89">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发包人的其他要求：</w:t>
      </w:r>
    </w:p>
    <w:p w14:paraId="3F3082CF">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①提供的时间：</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 xml:space="preserve"> </w:t>
      </w:r>
    </w:p>
    <w:p w14:paraId="618869E8">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②提供的数量：</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 xml:space="preserve"> </w:t>
      </w:r>
    </w:p>
    <w:p w14:paraId="7A41CDEC">
      <w:pPr>
        <w:ind w:left="210" w:leftChars="100"/>
        <w:rPr>
          <w:rFonts w:hint="eastAsia" w:ascii="仿宋_GB2312" w:hAnsi="仿宋_GB2312" w:eastAsia="仿宋_GB2312" w:cs="仿宋_GB2312"/>
          <w:color w:val="auto"/>
          <w:sz w:val="24"/>
          <w:highlight w:val="none"/>
          <w:u w:val="single"/>
        </w:rPr>
      </w:pPr>
    </w:p>
    <w:p w14:paraId="19766C55">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 项目基础资料的提供</w:t>
      </w:r>
    </w:p>
    <w:p w14:paraId="0D36E690">
      <w:pPr>
        <w:tabs>
          <w:tab w:val="left" w:pos="142"/>
          <w:tab w:val="left" w:pos="567"/>
        </w:tabs>
        <w:ind w:left="423" w:leftChars="68" w:hanging="280" w:hangingChars="11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 发包人提供项目基础资料</w:t>
      </w:r>
    </w:p>
    <w:p w14:paraId="2E12E6C3">
      <w:pPr>
        <w:tabs>
          <w:tab w:val="left" w:pos="142"/>
          <w:tab w:val="left" w:pos="567"/>
        </w:tabs>
        <w:ind w:left="423" w:leftChars="68" w:hanging="280" w:hangingChars="11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①提供的时间：</w:t>
      </w:r>
      <w:r>
        <w:rPr>
          <w:rFonts w:hint="eastAsia" w:ascii="仿宋_GB2312" w:hAnsi="仿宋_GB2312" w:eastAsia="仿宋_GB2312" w:cs="仿宋_GB2312"/>
          <w:color w:val="auto"/>
          <w:sz w:val="24"/>
          <w:highlight w:val="none"/>
          <w:u w:val="single"/>
        </w:rPr>
        <w:t>合同签订后十天内</w:t>
      </w:r>
    </w:p>
    <w:p w14:paraId="11C47632">
      <w:pPr>
        <w:tabs>
          <w:tab w:val="left" w:pos="142"/>
          <w:tab w:val="left" w:pos="567"/>
        </w:tabs>
        <w:ind w:left="423" w:leftChars="68" w:hanging="280" w:hangingChars="11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②提供的数量：</w:t>
      </w:r>
      <w:r>
        <w:rPr>
          <w:rFonts w:hint="eastAsia" w:ascii="仿宋_GB2312" w:hAnsi="仿宋_GB2312" w:eastAsia="仿宋_GB2312" w:cs="仿宋_GB2312"/>
          <w:color w:val="auto"/>
          <w:sz w:val="24"/>
          <w:highlight w:val="none"/>
          <w:u w:val="single"/>
        </w:rPr>
        <w:t>1套</w:t>
      </w:r>
    </w:p>
    <w:p w14:paraId="794E5A78">
      <w:pPr>
        <w:tabs>
          <w:tab w:val="left" w:pos="142"/>
          <w:tab w:val="left" w:pos="567"/>
        </w:tabs>
        <w:ind w:left="423" w:leftChars="68" w:hanging="280" w:hangingChars="117"/>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☑项目基础资料中不可变更数据或资料的约定：</w:t>
      </w:r>
      <w:r>
        <w:rPr>
          <w:rFonts w:hint="eastAsia" w:ascii="仿宋_GB2312" w:hAnsi="仿宋_GB2312" w:eastAsia="仿宋_GB2312" w:cs="仿宋_GB2312"/>
          <w:color w:val="auto"/>
          <w:sz w:val="24"/>
          <w:highlight w:val="none"/>
          <w:u w:val="single"/>
        </w:rPr>
        <w:t>以发包人书面通知为准。</w:t>
      </w:r>
    </w:p>
    <w:p w14:paraId="2B51B297">
      <w:pPr>
        <w:tabs>
          <w:tab w:val="left" w:pos="142"/>
          <w:tab w:val="left" w:pos="567"/>
        </w:tabs>
        <w:ind w:left="423" w:leftChars="68" w:hanging="280" w:hangingChars="117"/>
        <w:rPr>
          <w:rFonts w:hint="eastAsia" w:ascii="仿宋_GB2312" w:hAnsi="仿宋_GB2312" w:eastAsia="仿宋_GB2312" w:cs="仿宋_GB2312"/>
          <w:color w:val="auto"/>
          <w:sz w:val="24"/>
          <w:highlight w:val="none"/>
          <w:u w:val="single"/>
        </w:rPr>
      </w:pPr>
    </w:p>
    <w:p w14:paraId="7BE7DBCF">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 设计文件</w:t>
      </w:r>
    </w:p>
    <w:p w14:paraId="47C9EAFA">
      <w:pPr>
        <w:tabs>
          <w:tab w:val="left" w:pos="567"/>
        </w:tabs>
        <w:ind w:left="423" w:leftChars="68" w:hanging="280" w:hangingChars="117"/>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7.1 </w:t>
      </w:r>
      <w:r>
        <w:rPr>
          <w:rFonts w:hint="eastAsia" w:ascii="仿宋_GB2312" w:hAnsi="仿宋_GB2312" w:eastAsia="仿宋_GB2312" w:cs="仿宋_GB2312"/>
          <w:color w:val="auto"/>
          <w:sz w:val="24"/>
          <w:highlight w:val="none"/>
        </w:rPr>
        <w:t>承包人提供设计文件</w:t>
      </w:r>
    </w:p>
    <w:p w14:paraId="70391494">
      <w:pPr>
        <w:tabs>
          <w:tab w:val="left" w:pos="567"/>
        </w:tabs>
        <w:ind w:left="423" w:leftChars="68" w:hanging="280" w:hangingChars="11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初步设计文件（适用于可行性研究报告批准后或备案发包）：</w:t>
      </w:r>
    </w:p>
    <w:p w14:paraId="502DBBC5">
      <w:pPr>
        <w:pStyle w:val="21"/>
        <w:tabs>
          <w:tab w:val="left" w:pos="567"/>
        </w:tabs>
        <w:ind w:left="423" w:leftChars="68" w:hanging="280" w:hangingChars="117"/>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fldChar w:fldCharType="begin"/>
      </w:r>
      <w:r>
        <w:rPr>
          <w:rFonts w:ascii="仿宋_GB2312" w:hAnsi="仿宋_GB2312" w:eastAsia="仿宋_GB2312" w:cs="仿宋_GB2312"/>
          <w:color w:val="auto"/>
          <w:sz w:val="24"/>
          <w:highlight w:val="none"/>
        </w:rPr>
        <w:instrText xml:space="preserve"> </w:instrText>
      </w:r>
      <w:r>
        <w:rPr>
          <w:rFonts w:hint="eastAsia" w:ascii="仿宋_GB2312" w:hAnsi="仿宋_GB2312" w:eastAsia="仿宋_GB2312" w:cs="仿宋_GB2312"/>
          <w:color w:val="auto"/>
          <w:sz w:val="24"/>
          <w:highlight w:val="none"/>
        </w:rPr>
        <w:instrText xml:space="preserve">= 1 \* GB3</w:instrText>
      </w:r>
      <w:r>
        <w:rPr>
          <w:rFonts w:ascii="仿宋_GB2312" w:hAnsi="仿宋_GB2312" w:eastAsia="仿宋_GB2312" w:cs="仿宋_GB2312"/>
          <w:color w:val="auto"/>
          <w:sz w:val="24"/>
          <w:highlight w:val="none"/>
        </w:rPr>
        <w:instrText xml:space="preserve"> </w:instrText>
      </w:r>
      <w:r>
        <w:rPr>
          <w:rFonts w:ascii="仿宋_GB2312" w:hAnsi="仿宋_GB2312" w:eastAsia="仿宋_GB2312" w:cs="仿宋_GB2312"/>
          <w:color w:val="auto"/>
          <w:sz w:val="24"/>
          <w:highlight w:val="none"/>
        </w:rPr>
        <w:fldChar w:fldCharType="separate"/>
      </w:r>
      <w:r>
        <w:rPr>
          <w:rFonts w:hint="eastAsia" w:ascii="仿宋_GB2312" w:hAnsi="仿宋_GB2312" w:eastAsia="仿宋_GB2312" w:cs="仿宋_GB2312"/>
          <w:color w:val="auto"/>
          <w:sz w:val="24"/>
          <w:highlight w:val="none"/>
        </w:rPr>
        <w:t>①</w:t>
      </w:r>
      <w:r>
        <w:rPr>
          <w:rFonts w:ascii="仿宋_GB2312" w:hAnsi="仿宋_GB2312" w:eastAsia="仿宋_GB2312" w:cs="仿宋_GB2312"/>
          <w:color w:val="auto"/>
          <w:sz w:val="24"/>
          <w:highlight w:val="none"/>
        </w:rPr>
        <w:fldChar w:fldCharType="end"/>
      </w:r>
      <w:r>
        <w:rPr>
          <w:rFonts w:hint="eastAsia" w:ascii="仿宋_GB2312" w:hAnsi="仿宋_GB2312" w:eastAsia="仿宋_GB2312" w:cs="仿宋_GB2312"/>
          <w:color w:val="auto"/>
          <w:sz w:val="24"/>
          <w:highlight w:val="none"/>
        </w:rPr>
        <w:t>提供的时间：</w:t>
      </w:r>
      <w:r>
        <w:rPr>
          <w:rFonts w:hint="eastAsia" w:ascii="仿宋_GB2312" w:hAnsi="仿宋_GB2312" w:eastAsia="仿宋_GB2312" w:cs="仿宋_GB2312"/>
          <w:color w:val="auto"/>
          <w:sz w:val="24"/>
          <w:highlight w:val="none"/>
          <w:u w:val="single"/>
        </w:rPr>
        <w:t>按合同约定的设计工期内。</w:t>
      </w:r>
    </w:p>
    <w:p w14:paraId="7AF0A73B">
      <w:pPr>
        <w:pStyle w:val="21"/>
        <w:tabs>
          <w:tab w:val="left" w:pos="567"/>
        </w:tabs>
        <w:ind w:left="423" w:leftChars="68" w:hanging="280" w:hangingChars="117"/>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②</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提供的数量：</w:t>
      </w:r>
      <w:r>
        <w:rPr>
          <w:rFonts w:hint="eastAsia" w:ascii="仿宋" w:hAnsi="仿宋" w:eastAsia="仿宋" w:cs="仿宋"/>
          <w:color w:val="auto"/>
          <w:sz w:val="24"/>
          <w:highlight w:val="none"/>
          <w:u w:val="single"/>
        </w:rPr>
        <w:t>6份，实际份数以发包人通知为准。</w:t>
      </w:r>
    </w:p>
    <w:p w14:paraId="179DC055">
      <w:pPr>
        <w:tabs>
          <w:tab w:val="left" w:pos="567"/>
        </w:tabs>
        <w:ind w:left="423" w:leftChars="68" w:hanging="280" w:hangingChars="117"/>
        <w:rPr>
          <w:rFonts w:hint="eastAsia" w:ascii="仿宋" w:hAnsi="仿宋" w:eastAsia="仿宋" w:cs="仿宋"/>
          <w:color w:val="auto"/>
          <w:sz w:val="24"/>
          <w:highlight w:val="none"/>
        </w:rPr>
      </w:pPr>
      <w:r>
        <w:rPr>
          <w:rFonts w:hint="eastAsia" w:ascii="仿宋" w:hAnsi="仿宋" w:eastAsia="仿宋" w:cs="仿宋"/>
          <w:color w:val="auto"/>
          <w:sz w:val="24"/>
          <w:highlight w:val="none"/>
        </w:rPr>
        <w:t>③发包人或设计顾问人答复的时间：</w:t>
      </w:r>
      <w:r>
        <w:rPr>
          <w:rFonts w:hint="eastAsia" w:ascii="仿宋" w:hAnsi="仿宋" w:eastAsia="仿宋" w:cs="仿宋"/>
          <w:color w:val="auto"/>
          <w:sz w:val="24"/>
          <w:highlight w:val="none"/>
          <w:u w:val="single"/>
        </w:rPr>
        <w:t>自收到承包人书面材料后三个工作日内。</w:t>
      </w:r>
    </w:p>
    <w:p w14:paraId="05830755">
      <w:pPr>
        <w:tabs>
          <w:tab w:val="left" w:pos="567"/>
        </w:tabs>
        <w:ind w:left="423" w:leftChars="68" w:hanging="280" w:hangingChars="117"/>
        <w:rPr>
          <w:rFonts w:hint="eastAsia" w:ascii="仿宋" w:hAnsi="仿宋" w:eastAsia="仿宋" w:cs="仿宋"/>
          <w:color w:val="auto"/>
          <w:sz w:val="24"/>
          <w:highlight w:val="none"/>
        </w:rPr>
      </w:pPr>
      <w:r>
        <w:rPr>
          <w:rFonts w:hint="eastAsia" w:ascii="仿宋" w:hAnsi="仿宋" w:eastAsia="仿宋" w:cs="仿宋"/>
          <w:color w:val="auto"/>
          <w:sz w:val="24"/>
          <w:highlight w:val="none"/>
        </w:rPr>
        <w:t>□ 承包人提供施工图设计文件（适用于初步设计批准后或备案发包）</w:t>
      </w:r>
    </w:p>
    <w:p w14:paraId="475DACD3">
      <w:pPr>
        <w:tabs>
          <w:tab w:val="left" w:pos="567"/>
        </w:tabs>
        <w:ind w:left="423" w:leftChars="68" w:hanging="280" w:hangingChars="117"/>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①</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提供的时间：</w:t>
      </w:r>
      <w:r>
        <w:rPr>
          <w:rFonts w:hint="eastAsia" w:ascii="仿宋" w:hAnsi="仿宋" w:eastAsia="仿宋" w:cs="仿宋"/>
          <w:color w:val="auto"/>
          <w:sz w:val="24"/>
          <w:highlight w:val="none"/>
          <w:u w:val="single"/>
        </w:rPr>
        <w:t>按合同约定的设计工期为内。</w:t>
      </w:r>
    </w:p>
    <w:p w14:paraId="7AB7D654">
      <w:pPr>
        <w:tabs>
          <w:tab w:val="left" w:pos="567"/>
        </w:tabs>
        <w:ind w:left="423" w:leftChars="68" w:hanging="280" w:hangingChars="117"/>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②</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提供的数量：</w:t>
      </w:r>
      <w:r>
        <w:rPr>
          <w:rFonts w:hint="eastAsia" w:ascii="仿宋" w:hAnsi="仿宋" w:eastAsia="仿宋" w:cs="仿宋"/>
          <w:color w:val="auto"/>
          <w:sz w:val="24"/>
          <w:highlight w:val="none"/>
          <w:u w:val="single"/>
        </w:rPr>
        <w:t>6份，实际份数以发包人通知为准。</w:t>
      </w:r>
    </w:p>
    <w:p w14:paraId="10856FAB">
      <w:pPr>
        <w:tabs>
          <w:tab w:val="left" w:pos="567"/>
        </w:tabs>
        <w:ind w:left="423" w:leftChars="68" w:hanging="280" w:hangingChars="117"/>
        <w:rPr>
          <w:rFonts w:hint="eastAsia" w:ascii="仿宋_GB2312" w:hAnsi="仿宋_GB2312" w:eastAsia="仿宋_GB2312" w:cs="仿宋_GB2312"/>
          <w:color w:val="auto"/>
          <w:sz w:val="24"/>
          <w:highlight w:val="none"/>
          <w:u w:val="single"/>
        </w:rPr>
      </w:pPr>
      <w:r>
        <w:rPr>
          <w:rFonts w:hint="eastAsia" w:ascii="仿宋" w:hAnsi="仿宋" w:eastAsia="仿宋" w:cs="仿宋"/>
          <w:color w:val="auto"/>
          <w:sz w:val="24"/>
          <w:highlight w:val="none"/>
        </w:rPr>
        <w:t>③发包人或设计顾问人答复的时间：</w:t>
      </w:r>
      <w:r>
        <w:rPr>
          <w:rFonts w:hint="eastAsia" w:ascii="仿宋" w:hAnsi="仿宋" w:eastAsia="仿宋" w:cs="仿宋"/>
          <w:color w:val="auto"/>
          <w:sz w:val="24"/>
          <w:highlight w:val="none"/>
          <w:u w:val="single"/>
        </w:rPr>
        <w:t>自收到承包人书面材料后三个工作日内。</w:t>
      </w:r>
    </w:p>
    <w:p w14:paraId="732AA1CD">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 合同价格的控制原则</w:t>
      </w:r>
    </w:p>
    <w:p w14:paraId="5073BB2F">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8.3 工程设计费的控制</w:t>
      </w:r>
    </w:p>
    <w:p w14:paraId="7CD13168">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①计价方式：</w:t>
      </w:r>
      <w:r>
        <w:rPr>
          <w:rFonts w:hint="eastAsia" w:ascii="仿宋_GB2312" w:hAnsi="仿宋_GB2312" w:eastAsia="仿宋_GB2312" w:cs="仿宋_GB2312"/>
          <w:color w:val="auto"/>
          <w:sz w:val="24"/>
          <w:highlight w:val="none"/>
          <w:u w:val="single"/>
        </w:rPr>
        <w:t>（同专用条款72.1.2款）</w:t>
      </w:r>
    </w:p>
    <w:p w14:paraId="2A8D39A3">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②价格控制：</w:t>
      </w:r>
    </w:p>
    <w:p w14:paraId="29160760">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□不允许超过合同约定的相应价格，相应合同价格即为结算额。</w:t>
      </w:r>
    </w:p>
    <w:p w14:paraId="343C9D32">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□不允许超过合同约定的相应合同价格及调整事项。其中，调整事项约定为：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14:paraId="4DFEA37F">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□另作约定：</w:t>
      </w:r>
      <w:r>
        <w:rPr>
          <w:rFonts w:hint="eastAsia" w:ascii="仿宋_GB2312" w:hAnsi="仿宋_GB2312" w:eastAsia="仿宋_GB2312" w:cs="仿宋_GB2312"/>
          <w:color w:val="auto"/>
          <w:sz w:val="24"/>
          <w:highlight w:val="none"/>
          <w:u w:val="single"/>
        </w:rPr>
        <w:t xml:space="preserve">  </w:t>
      </w:r>
    </w:p>
    <w:p w14:paraId="0DABEF3E">
      <w:pPr>
        <w:ind w:left="-141" w:leftChars="-67" w:firstLine="350" w:firstLineChars="146"/>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③施工图审查费由发包人支付。</w:t>
      </w:r>
    </w:p>
    <w:p w14:paraId="2AA95A55">
      <w:pPr>
        <w:ind w:left="-141" w:leftChars="-67" w:firstLine="350" w:firstLineChars="146"/>
        <w:rPr>
          <w:rFonts w:hint="eastAsia" w:ascii="仿宋_GB2312" w:hAnsi="仿宋_GB2312" w:eastAsia="仿宋_GB2312" w:cs="仿宋_GB2312"/>
          <w:color w:val="auto"/>
          <w:sz w:val="24"/>
          <w:highlight w:val="none"/>
        </w:rPr>
      </w:pPr>
    </w:p>
    <w:p w14:paraId="0FEC19DF">
      <w:pPr>
        <w:ind w:left="-141" w:leftChars="-67" w:firstLine="350" w:firstLineChars="146"/>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8.5 建筑安装工程费的控制</w:t>
      </w:r>
    </w:p>
    <w:p w14:paraId="2C5F1931">
      <w:pPr>
        <w:ind w:left="-141" w:leftChars="-67" w:firstLine="350" w:firstLineChars="146"/>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8.5.1 限额设计</w:t>
      </w:r>
    </w:p>
    <w:p w14:paraId="28D050D4">
      <w:pPr>
        <w:ind w:left="-141" w:leftChars="-67" w:firstLine="350" w:firstLineChars="146"/>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fldChar w:fldCharType="begin"/>
      </w:r>
      <w:r>
        <w:rPr>
          <w:rFonts w:ascii="仿宋_GB2312" w:hAnsi="仿宋_GB2312" w:eastAsia="仿宋_GB2312" w:cs="仿宋_GB2312"/>
          <w:color w:val="auto"/>
          <w:sz w:val="24"/>
          <w:highlight w:val="none"/>
        </w:rPr>
        <w:instrText xml:space="preserve"> </w:instrText>
      </w:r>
      <w:r>
        <w:rPr>
          <w:rFonts w:hint="eastAsia" w:ascii="仿宋_GB2312" w:hAnsi="仿宋_GB2312" w:eastAsia="仿宋_GB2312" w:cs="仿宋_GB2312"/>
          <w:color w:val="auto"/>
          <w:sz w:val="24"/>
          <w:highlight w:val="none"/>
        </w:rPr>
        <w:instrText xml:space="preserve">= 1 \* GB3</w:instrText>
      </w:r>
      <w:r>
        <w:rPr>
          <w:rFonts w:ascii="仿宋_GB2312" w:hAnsi="仿宋_GB2312" w:eastAsia="仿宋_GB2312" w:cs="仿宋_GB2312"/>
          <w:color w:val="auto"/>
          <w:sz w:val="24"/>
          <w:highlight w:val="none"/>
        </w:rPr>
        <w:instrText xml:space="preserve"> </w:instrText>
      </w:r>
      <w:r>
        <w:rPr>
          <w:rFonts w:ascii="仿宋_GB2312" w:hAnsi="仿宋_GB2312" w:eastAsia="仿宋_GB2312" w:cs="仿宋_GB2312"/>
          <w:color w:val="auto"/>
          <w:sz w:val="24"/>
          <w:highlight w:val="none"/>
        </w:rPr>
        <w:fldChar w:fldCharType="separate"/>
      </w:r>
      <w:r>
        <w:rPr>
          <w:rFonts w:hint="eastAsia" w:ascii="仿宋_GB2312" w:hAnsi="仿宋_GB2312" w:eastAsia="仿宋_GB2312" w:cs="仿宋_GB2312"/>
          <w:color w:val="auto"/>
          <w:sz w:val="24"/>
          <w:highlight w:val="none"/>
        </w:rPr>
        <w:t>①</w:t>
      </w:r>
      <w:r>
        <w:rPr>
          <w:rFonts w:ascii="仿宋_GB2312" w:hAnsi="仿宋_GB2312" w:eastAsia="仿宋_GB2312" w:cs="仿宋_GB2312"/>
          <w:color w:val="auto"/>
          <w:sz w:val="24"/>
          <w:highlight w:val="none"/>
        </w:rPr>
        <w:fldChar w:fldCharType="end"/>
      </w:r>
      <w:r>
        <w:rPr>
          <w:rFonts w:hint="eastAsia" w:ascii="仿宋_GB2312" w:hAnsi="仿宋_GB2312" w:eastAsia="仿宋_GB2312" w:cs="仿宋_GB2312"/>
          <w:color w:val="auto"/>
          <w:sz w:val="24"/>
          <w:highlight w:val="none"/>
        </w:rPr>
        <w:t>本项目采用限额设计，设计限额建安工程费为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万元，承包人要统筹考虑投资控制。如设计指标超过设计限额，承包人有责任提出设计建议，对设计方案进行优化，满足发包人的相关要求（如产生设计优化工作，费用则包含在本次设计费总价内，不再另行支付。）</w:t>
      </w:r>
    </w:p>
    <w:p w14:paraId="0679B5F1">
      <w:pPr>
        <w:ind w:left="-141" w:leftChars="-67" w:firstLine="350" w:firstLineChars="146"/>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②限额设计其他要求：</w:t>
      </w:r>
      <w:r>
        <w:rPr>
          <w:rFonts w:hint="eastAsia" w:ascii="仿宋_GB2312" w:hAnsi="仿宋_GB2312" w:eastAsia="仿宋_GB2312" w:cs="仿宋_GB2312"/>
          <w:color w:val="auto"/>
          <w:sz w:val="24"/>
          <w:highlight w:val="none"/>
          <w:u w:val="single"/>
        </w:rPr>
        <w:t>承包人提交专项的限额设计管理方案经发包人审核后开展限额设计，限额设计严格按三个阶段进行：</w:t>
      </w:r>
    </w:p>
    <w:p w14:paraId="5B984336">
      <w:pPr>
        <w:ind w:left="-141" w:leftChars="-67" w:firstLine="350" w:firstLineChars="146"/>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1）初步设计阶段的限额设计。对由于初步设计阶段的主要设计方案（包括总体规划、软基处理等）与方案阶段的工程设想方案相比较发生重大变化所增加的投资，应本着节约的原则，在概算总投资不超过可研投资总估算及发包人确定的限额指标前提下，经过方案优化，报发包人批准后，方可列入工程概算。如因采用新技术、新设备、新工艺确能降低运行维护或管养成本又符合“安全、可靠、经济、适用、符合国情”的原则，而使工程投资有所增加，应在经济技术综合评价并通过必要审查是可行的前提下报发包人同意后实施；要求各专业设计人员强化控制工程造价意识，在拟定设计原则、技术方案和选择设备材料过程中，应先掌握同类工程的参考造价和工程量，严格按限额设计所分解的投资额和控制工程量进行设计，并以单位工程为考核单元，事先做好专业内部平衡调整，提出节约投资的措施，力求将造价和工程量控制在限额范围之内。初步设计方案经专家审查后，7天内向发包人提供完整版的概算文件并配合发包人进行第三方造价咨询单位概算评审。</w:t>
      </w:r>
    </w:p>
    <w:p w14:paraId="7FD7295E">
      <w:pPr>
        <w:ind w:left="-141" w:leftChars="-67" w:firstLine="350" w:firstLineChars="146"/>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2）施工图设计阶段的限额设计。按照初步设计审定的概算书细化施工图设计阶段的各项目限额指标，经发包人同意后进行施工图的限额设计；施工图设计完成后，承包人要提交施工图预算（发包人不支付预算编制费），造价的偏差控制在±5％以内，如超过±5％以外，发包人有权要求承包人委托有造价咨询资质的单位重新编制施工图预算，且由承包人承担所有费用；施工图限额设计阶段，严格按照已审定的初设方案进行设计，凡涉及到技术政策标准的更改或原审批方案的重大变化，需报发包人批准后方可开展施工图设计，但其投资不应突破概算审定的总投资控制范围。施工图设计经施工图技术审查后，</w:t>
      </w:r>
      <w:r>
        <w:rPr>
          <w:rFonts w:ascii="仿宋_GB2312" w:hAnsi="仿宋_GB2312" w:eastAsia="仿宋_GB2312" w:cs="仿宋_GB2312"/>
          <w:color w:val="auto"/>
          <w:sz w:val="24"/>
          <w:highlight w:val="none"/>
          <w:u w:val="single"/>
        </w:rPr>
        <w:t>7</w:t>
      </w:r>
      <w:r>
        <w:rPr>
          <w:rFonts w:hint="eastAsia" w:ascii="仿宋_GB2312" w:hAnsi="仿宋_GB2312" w:eastAsia="仿宋_GB2312" w:cs="仿宋_GB2312"/>
          <w:color w:val="auto"/>
          <w:sz w:val="24"/>
          <w:highlight w:val="none"/>
          <w:u w:val="single"/>
        </w:rPr>
        <w:t>天内提交预算文件。</w:t>
      </w:r>
    </w:p>
    <w:p w14:paraId="201E6A65">
      <w:pPr>
        <w:ind w:left="-141" w:leftChars="-67" w:firstLine="350" w:firstLineChars="146"/>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发包人有权要求承包人（设计或施工方）以施工图的深度提供完整版的概算文件并配合发包人进行第三方造价咨询单位概算评审，施工图预算编制费用已包含在合同价内，不另行计取。</w:t>
      </w:r>
    </w:p>
    <w:p w14:paraId="4623F035">
      <w:pPr>
        <w:ind w:left="-141" w:leftChars="-67" w:firstLine="350" w:firstLineChars="146"/>
        <w:rPr>
          <w:rFonts w:hint="eastAsia" w:ascii="宋体" w:hAnsi="宋体" w:eastAsia="宋体" w:cs="宋体"/>
          <w:color w:val="auto"/>
          <w:sz w:val="24"/>
          <w:highlight w:val="none"/>
          <w:u w:val="single"/>
        </w:rPr>
      </w:pPr>
      <w:r>
        <w:rPr>
          <w:rFonts w:hint="eastAsia" w:ascii="仿宋_GB2312" w:hAnsi="仿宋_GB2312" w:eastAsia="仿宋_GB2312" w:cs="仿宋_GB2312"/>
          <w:color w:val="auto"/>
          <w:sz w:val="24"/>
          <w:highlight w:val="none"/>
          <w:u w:val="single"/>
        </w:rPr>
        <w:t>（3）限额设计应贯穿于设计工作全过程。在工程施工阶段，设计单位造价人员应参加项目实施的全过程，并做到严格把关</w:t>
      </w:r>
      <w:r>
        <w:rPr>
          <w:rFonts w:hint="eastAsia" w:ascii="宋体" w:hAnsi="宋体" w:eastAsia="宋体" w:cs="宋体"/>
          <w:color w:val="auto"/>
          <w:sz w:val="24"/>
          <w:highlight w:val="none"/>
        </w:rPr>
        <w:t>。</w:t>
      </w:r>
    </w:p>
    <w:p w14:paraId="1F14E71B">
      <w:pPr>
        <w:ind w:left="-141" w:leftChars="-67" w:firstLine="350" w:firstLineChars="146"/>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8.5.2 初步设计概算控制（适用于可行性研究批准立项或备案后发包的）</w:t>
      </w:r>
    </w:p>
    <w:p w14:paraId="10318A61">
      <w:pPr>
        <w:ind w:left="-141" w:leftChars="-67" w:firstLine="350" w:firstLineChars="146"/>
        <w:rPr>
          <w:rFonts w:hint="eastAsia"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fldChar w:fldCharType="begin"/>
      </w:r>
      <w:r>
        <w:rPr>
          <w:rFonts w:ascii="仿宋_GB2312" w:hAnsi="仿宋_GB2312" w:eastAsia="仿宋_GB2312" w:cs="仿宋_GB2312"/>
          <w:color w:val="auto"/>
          <w:sz w:val="24"/>
          <w:highlight w:val="none"/>
        </w:rPr>
        <w:instrText xml:space="preserve"> </w:instrText>
      </w:r>
      <w:r>
        <w:rPr>
          <w:rFonts w:hint="eastAsia" w:ascii="仿宋_GB2312" w:hAnsi="仿宋_GB2312" w:eastAsia="仿宋_GB2312" w:cs="仿宋_GB2312"/>
          <w:color w:val="auto"/>
          <w:sz w:val="24"/>
          <w:highlight w:val="none"/>
        </w:rPr>
        <w:instrText xml:space="preserve">= 1 \* GB3</w:instrText>
      </w:r>
      <w:r>
        <w:rPr>
          <w:rFonts w:ascii="仿宋_GB2312" w:hAnsi="仿宋_GB2312" w:eastAsia="仿宋_GB2312" w:cs="仿宋_GB2312"/>
          <w:color w:val="auto"/>
          <w:sz w:val="24"/>
          <w:highlight w:val="none"/>
        </w:rPr>
        <w:instrText xml:space="preserve"> </w:instrText>
      </w:r>
      <w:r>
        <w:rPr>
          <w:rFonts w:ascii="仿宋_GB2312" w:hAnsi="仿宋_GB2312" w:eastAsia="仿宋_GB2312" w:cs="仿宋_GB2312"/>
          <w:color w:val="auto"/>
          <w:sz w:val="24"/>
          <w:highlight w:val="none"/>
        </w:rPr>
        <w:fldChar w:fldCharType="separate"/>
      </w:r>
      <w:r>
        <w:rPr>
          <w:rFonts w:hint="eastAsia" w:ascii="仿宋_GB2312" w:hAnsi="仿宋_GB2312" w:eastAsia="仿宋_GB2312" w:cs="仿宋_GB2312"/>
          <w:color w:val="auto"/>
          <w:sz w:val="24"/>
          <w:highlight w:val="none"/>
        </w:rPr>
        <w:t>①</w:t>
      </w:r>
      <w:r>
        <w:rPr>
          <w:rFonts w:ascii="仿宋_GB2312" w:hAnsi="仿宋_GB2312" w:eastAsia="仿宋_GB2312" w:cs="仿宋_GB2312"/>
          <w:color w:val="auto"/>
          <w:sz w:val="24"/>
          <w:highlight w:val="none"/>
        </w:rPr>
        <w:fldChar w:fldCharType="end"/>
      </w:r>
      <w:r>
        <w:rPr>
          <w:rFonts w:hint="eastAsia" w:ascii="仿宋_GB2312" w:hAnsi="仿宋_GB2312" w:eastAsia="仿宋_GB2312" w:cs="仿宋_GB2312"/>
          <w:color w:val="auto"/>
          <w:sz w:val="24"/>
          <w:highlight w:val="none"/>
        </w:rPr>
        <w:t>编制规则：</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同本合同协议书第八条第3点约定</w:t>
      </w:r>
      <w:r>
        <w:rPr>
          <w:rFonts w:hint="eastAsia" w:ascii="宋体" w:hAnsi="宋体" w:eastAsia="宋体" w:cs="宋体"/>
          <w:color w:val="auto"/>
          <w:sz w:val="24"/>
          <w:highlight w:val="none"/>
        </w:rPr>
        <w:t>。</w:t>
      </w:r>
    </w:p>
    <w:p w14:paraId="4C126A1F">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②价格控制：</w:t>
      </w:r>
    </w:p>
    <w:p w14:paraId="770E5EC2">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□不允许超过合同约定的相应价格，相应合同价格即为概算批准或备案金额。</w:t>
      </w:r>
    </w:p>
    <w:p w14:paraId="3ECF5B5C">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按有权审定部门审批的价格为概算批准或备案金额，若初步设计概算审批价≥（相应合同价格±初步设计阶段发生的调整事项价格），则按（相应合同价格±调整事项价格）为初步设计概算金额，超出部分由承包人自行承担；</w:t>
      </w:r>
    </w:p>
    <w:p w14:paraId="466D3B02">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若初步设计概算审批价＜（相应合同价格±初步设计阶段发生的调整事项价格），则初步设计概算金额按批准的初步设计概算审批价金额。</w:t>
      </w:r>
    </w:p>
    <w:p w14:paraId="30E9E77D">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☑另作约定：</w:t>
      </w:r>
      <w:r>
        <w:rPr>
          <w:rFonts w:hint="eastAsia" w:ascii="仿宋_GB2312" w:hAnsi="仿宋_GB2312" w:eastAsia="仿宋_GB2312" w:cs="仿宋_GB2312"/>
          <w:color w:val="auto"/>
          <w:sz w:val="24"/>
          <w:highlight w:val="none"/>
          <w:u w:val="single"/>
        </w:rPr>
        <w:t>工程总承包费采用双控原则，即总价控制和单价控制：</w:t>
      </w:r>
    </w:p>
    <w:p w14:paraId="01898CC8">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1.结算总价不得超过中标价（且不超概算金额）；</w:t>
      </w:r>
    </w:p>
    <w:p w14:paraId="1C6BED38">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2.单价按清单定额组价后*中标下浮率控制</w:t>
      </w:r>
    </w:p>
    <w:p w14:paraId="0453ABDB">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价格分级控制：</w:t>
      </w:r>
    </w:p>
    <w:p w14:paraId="0317EBEF">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本项目的招标控制价&gt;中标价（暂定合同价）≥基于中标下浮率及施工图纸确定的预算价≥结算价。</w:t>
      </w:r>
    </w:p>
    <w:p w14:paraId="742C99C4">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single"/>
        </w:rPr>
        <w:t>中标下浮率=（招标控制价-中标价）/ 招标控制价×100%</w:t>
      </w:r>
    </w:p>
    <w:p w14:paraId="53F0A844">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8.5.3 施工图预算控制</w:t>
      </w:r>
      <w:r>
        <w:rPr>
          <w:rFonts w:hint="eastAsia" w:ascii="宋体" w:hAnsi="宋体" w:eastAsia="宋体" w:cs="宋体"/>
          <w:color w:val="auto"/>
          <w:sz w:val="24"/>
          <w:highlight w:val="none"/>
        </w:rPr>
        <w:t>（适用于初步设计概算批复后发包的）</w:t>
      </w:r>
    </w:p>
    <w:p w14:paraId="5F1ED14A">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编制规则：</w:t>
      </w:r>
      <w:r>
        <w:rPr>
          <w:rFonts w:hint="eastAsia" w:ascii="仿宋_GB2312" w:hAnsi="仿宋_GB2312" w:eastAsia="仿宋_GB2312" w:cs="仿宋_GB2312"/>
          <w:color w:val="auto"/>
          <w:sz w:val="24"/>
          <w:highlight w:val="none"/>
          <w:u w:val="single"/>
        </w:rPr>
        <w:t xml:space="preserve">同本合同协议书第八条第3点约定 </w:t>
      </w:r>
      <w:r>
        <w:rPr>
          <w:rFonts w:hint="eastAsia" w:ascii="宋体" w:hAnsi="宋体" w:eastAsia="宋体" w:cs="宋体"/>
          <w:color w:val="auto"/>
          <w:sz w:val="24"/>
          <w:highlight w:val="none"/>
        </w:rPr>
        <w:t>。</w:t>
      </w:r>
    </w:p>
    <w:p w14:paraId="3923978F">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8.6 设备及工器具购置费的控制</w:t>
      </w:r>
    </w:p>
    <w:p w14:paraId="08587ACB">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①计价方式：</w:t>
      </w:r>
      <w:r>
        <w:rPr>
          <w:rFonts w:hint="eastAsia" w:ascii="仿宋_GB2312" w:hAnsi="仿宋_GB2312" w:eastAsia="仿宋_GB2312" w:cs="仿宋_GB2312"/>
          <w:color w:val="auto"/>
          <w:sz w:val="24"/>
          <w:highlight w:val="none"/>
          <w:u w:val="single"/>
        </w:rPr>
        <w:t>（同专用条款72.1.4款）</w:t>
      </w:r>
    </w:p>
    <w:p w14:paraId="48E2DCC4">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②价格控制：</w:t>
      </w:r>
    </w:p>
    <w:p w14:paraId="6F7C10B0">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□不允许超过合同约定的相应价格，相应合同价格即为结算额。</w:t>
      </w:r>
    </w:p>
    <w:p w14:paraId="1132520D">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□不允许超过合同约定的相应合同价格及调整事项。其中，调整事项约定为：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14:paraId="693C1D9C">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□另作约定：</w:t>
      </w:r>
      <w:r>
        <w:rPr>
          <w:rFonts w:hint="eastAsia" w:ascii="仿宋_GB2312" w:hAnsi="仿宋_GB2312" w:eastAsia="仿宋_GB2312" w:cs="仿宋_GB2312"/>
          <w:color w:val="auto"/>
          <w:sz w:val="24"/>
          <w:highlight w:val="none"/>
          <w:u w:val="single"/>
        </w:rPr>
        <w:t xml:space="preserve">  </w:t>
      </w:r>
    </w:p>
    <w:p w14:paraId="19EDF76B">
      <w:pPr>
        <w:ind w:left="210" w:leftChars="100"/>
        <w:rPr>
          <w:rFonts w:hint="eastAsia" w:ascii="仿宋_GB2312" w:hAnsi="仿宋_GB2312" w:eastAsia="仿宋_GB2312" w:cs="仿宋_GB2312"/>
          <w:color w:val="auto"/>
          <w:sz w:val="24"/>
          <w:highlight w:val="none"/>
          <w:u w:val="single"/>
        </w:rPr>
      </w:pPr>
    </w:p>
    <w:p w14:paraId="4660E502">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 通信联络</w:t>
      </w:r>
    </w:p>
    <w:p w14:paraId="0861CE72">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9.2 发送通讯</w:t>
      </w:r>
    </w:p>
    <w:p w14:paraId="7C33B22B">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各方通讯地址、收件人及其他送达方式</w:t>
      </w:r>
    </w:p>
    <w:p w14:paraId="091B4052">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①各方通讯地址和收件人：</w:t>
      </w:r>
    </w:p>
    <w:p w14:paraId="3A6812FD">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发包人：</w:t>
      </w:r>
      <w:r>
        <w:rPr>
          <w:rFonts w:hint="eastAsia" w:ascii="仿宋_GB2312" w:hAnsi="仿宋_GB2312" w:eastAsia="仿宋_GB2312" w:cs="仿宋_GB2312"/>
          <w:color w:val="auto"/>
          <w:sz w:val="24"/>
          <w:highlight w:val="none"/>
          <w:u w:val="single"/>
        </w:rPr>
        <w:t xml:space="preserve">  </w:t>
      </w:r>
    </w:p>
    <w:p w14:paraId="5238EA36">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收件人：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14:paraId="3FA81C8E">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承包人（单一主体或联合体牵头人）：</w:t>
      </w:r>
    </w:p>
    <w:p w14:paraId="11844F6B">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收件人：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14:paraId="36F62758">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承包人（联合体成员单位）：</w:t>
      </w:r>
    </w:p>
    <w:p w14:paraId="3903F096">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收件人：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14:paraId="5855ADD6">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承包人（联合体成员单位）：</w:t>
      </w:r>
    </w:p>
    <w:p w14:paraId="11F595F7">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收件人：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14:paraId="68B177CB">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设计顾问人：</w:t>
      </w:r>
      <w:r>
        <w:rPr>
          <w:rFonts w:hint="eastAsia" w:ascii="仿宋_GB2312" w:hAnsi="仿宋_GB2312" w:eastAsia="仿宋_GB2312" w:cs="仿宋_GB2312"/>
          <w:color w:val="auto"/>
          <w:sz w:val="24"/>
          <w:highlight w:val="none"/>
          <w:u w:val="single"/>
        </w:rPr>
        <w:t>（以发包人签订的此项目咨询合同为准）</w:t>
      </w:r>
    </w:p>
    <w:p w14:paraId="2498820E">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收件人：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14:paraId="127FDABA">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监理人：</w:t>
      </w:r>
      <w:r>
        <w:rPr>
          <w:rFonts w:hint="eastAsia" w:ascii="仿宋_GB2312" w:hAnsi="仿宋_GB2312" w:eastAsia="仿宋_GB2312" w:cs="仿宋_GB2312"/>
          <w:color w:val="auto"/>
          <w:sz w:val="24"/>
          <w:highlight w:val="none"/>
          <w:u w:val="single"/>
        </w:rPr>
        <w:t>（以发包人签订的此项目监理合同为准）</w:t>
      </w:r>
    </w:p>
    <w:p w14:paraId="6EFF7845">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收件人：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14:paraId="5E096194">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工程造价咨询人：</w:t>
      </w:r>
      <w:r>
        <w:rPr>
          <w:rFonts w:hint="eastAsia" w:ascii="仿宋_GB2312" w:hAnsi="仿宋_GB2312" w:eastAsia="仿宋_GB2312" w:cs="仿宋_GB2312"/>
          <w:color w:val="auto"/>
          <w:sz w:val="24"/>
          <w:highlight w:val="none"/>
          <w:u w:val="single"/>
        </w:rPr>
        <w:t>（以发包人签订的此项目造价咨询合同为准）</w:t>
      </w:r>
    </w:p>
    <w:p w14:paraId="669D4040">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收件人：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14:paraId="6E032A4A">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②视为送达的其他方式：</w:t>
      </w:r>
      <w:r>
        <w:rPr>
          <w:rFonts w:hint="eastAsia" w:ascii="仿宋_GB2312" w:hAnsi="仿宋_GB2312" w:eastAsia="仿宋_GB2312" w:cs="仿宋_GB2312"/>
          <w:color w:val="auto"/>
          <w:sz w:val="24"/>
          <w:highlight w:val="none"/>
          <w:u w:val="single"/>
        </w:rPr>
        <w:t xml:space="preserve"> / </w:t>
      </w:r>
    </w:p>
    <w:p w14:paraId="3A5EB596">
      <w:pPr>
        <w:ind w:left="210" w:leftChars="100"/>
        <w:rPr>
          <w:rFonts w:hint="eastAsia" w:ascii="仿宋_GB2312" w:hAnsi="仿宋_GB2312" w:eastAsia="仿宋_GB2312" w:cs="仿宋_GB2312"/>
          <w:color w:val="auto"/>
          <w:sz w:val="24"/>
          <w:highlight w:val="none"/>
        </w:rPr>
      </w:pPr>
    </w:p>
    <w:p w14:paraId="41C44891">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 分包</w:t>
      </w:r>
    </w:p>
    <w:p w14:paraId="1F86F661">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10.2 分包事项的批准</w:t>
      </w:r>
    </w:p>
    <w:p w14:paraId="6CB20E1B">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指定分包事项名称：</w:t>
      </w:r>
      <w:r>
        <w:rPr>
          <w:rFonts w:hint="eastAsia" w:ascii="仿宋_GB2312" w:hAnsi="仿宋_GB2312" w:eastAsia="仿宋_GB2312" w:cs="仿宋_GB2312"/>
          <w:color w:val="auto"/>
          <w:sz w:val="24"/>
          <w:highlight w:val="none"/>
          <w:u w:val="single"/>
        </w:rPr>
        <w:t xml:space="preserve"> / </w:t>
      </w:r>
    </w:p>
    <w:p w14:paraId="16554012">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10.4 分包合同价款结算与支付</w:t>
      </w:r>
    </w:p>
    <w:p w14:paraId="33E81452">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分包合同价款的支付方式：</w:t>
      </w:r>
      <w:r>
        <w:rPr>
          <w:rFonts w:hint="eastAsia" w:ascii="仿宋_GB2312" w:hAnsi="仿宋_GB2312" w:eastAsia="仿宋_GB2312" w:cs="仿宋_GB2312"/>
          <w:color w:val="auto"/>
          <w:sz w:val="24"/>
          <w:highlight w:val="none"/>
          <w:u w:val="single"/>
        </w:rPr>
        <w:t xml:space="preserve"> / </w:t>
      </w:r>
    </w:p>
    <w:p w14:paraId="29034F12">
      <w:pPr>
        <w:rPr>
          <w:rFonts w:hint="eastAsia" w:ascii="仿宋_GB2312" w:hAnsi="仿宋_GB2312" w:eastAsia="仿宋_GB2312" w:cs="仿宋_GB2312"/>
          <w:color w:val="auto"/>
          <w:sz w:val="24"/>
          <w:highlight w:val="none"/>
        </w:rPr>
      </w:pPr>
    </w:p>
    <w:p w14:paraId="4D274247">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 交通运输</w:t>
      </w:r>
    </w:p>
    <w:p w14:paraId="7D771A01">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16.1 道路通行权和场外设施</w:t>
      </w:r>
    </w:p>
    <w:p w14:paraId="7BCE5B9C">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办理道路通行权和修建场外设施的费用：</w:t>
      </w:r>
      <w:r>
        <w:rPr>
          <w:rFonts w:hint="eastAsia" w:ascii="仿宋_GB2312" w:hAnsi="仿宋_GB2312" w:eastAsia="仿宋_GB2312" w:cs="仿宋_GB2312"/>
          <w:color w:val="auto"/>
          <w:sz w:val="24"/>
          <w:highlight w:val="none"/>
          <w:u w:val="single"/>
        </w:rPr>
        <w:t>由承包人负责,已包含在合同价款内，承包人自行考虑，发包人不另行计量支付。</w:t>
      </w:r>
    </w:p>
    <w:p w14:paraId="505410DD">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16.2 场内临时道路和交通设施</w:t>
      </w:r>
    </w:p>
    <w:p w14:paraId="23F9166A">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修建场内临时道路和交通设施的费用：</w:t>
      </w:r>
      <w:r>
        <w:rPr>
          <w:rFonts w:hint="eastAsia" w:ascii="仿宋_GB2312" w:hAnsi="仿宋_GB2312" w:eastAsia="仿宋_GB2312" w:cs="仿宋_GB2312"/>
          <w:color w:val="auto"/>
          <w:sz w:val="24"/>
          <w:highlight w:val="none"/>
          <w:u w:val="single"/>
        </w:rPr>
        <w:t>由承包人负责,已包含在合同价款内，承包人自行考虑，发包人不另行计量支付。</w:t>
      </w:r>
    </w:p>
    <w:p w14:paraId="1398D655">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16.4 超大件和超重件的运输</w:t>
      </w:r>
    </w:p>
    <w:p w14:paraId="6A9F3895">
      <w:pPr>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运输超大件和超重件的费用：</w:t>
      </w:r>
      <w:r>
        <w:rPr>
          <w:rFonts w:hint="eastAsia" w:ascii="仿宋_GB2312" w:hAnsi="仿宋_GB2312" w:eastAsia="仿宋_GB2312" w:cs="仿宋_GB2312"/>
          <w:color w:val="auto"/>
          <w:sz w:val="24"/>
          <w:highlight w:val="none"/>
          <w:u w:val="single"/>
        </w:rPr>
        <w:t>由承包人负责,已包含在合同价款内，承包人自行考虑，发包人不另行计量支付。</w:t>
      </w:r>
    </w:p>
    <w:p w14:paraId="4ED5D09D">
      <w:pPr>
        <w:rPr>
          <w:rFonts w:hint="eastAsia" w:ascii="仿宋_GB2312" w:hAnsi="仿宋_GB2312" w:eastAsia="仿宋_GB2312" w:cs="仿宋_GB2312"/>
          <w:color w:val="auto"/>
          <w:sz w:val="24"/>
          <w:highlight w:val="none"/>
          <w:u w:val="single"/>
        </w:rPr>
      </w:pPr>
    </w:p>
    <w:p w14:paraId="3795896E">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 专项批准事项的签认</w:t>
      </w:r>
    </w:p>
    <w:p w14:paraId="53BD7E77">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17.2 专项批准事项签认人的要求</w:t>
      </w:r>
    </w:p>
    <w:p w14:paraId="0875E4F7">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专项批准事项的签认人选：</w:t>
      </w:r>
    </w:p>
    <w:p w14:paraId="18DF8FF2">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①设计顾问人代表：</w:t>
      </w:r>
    </w:p>
    <w:p w14:paraId="52EBFC9E">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姓名：</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 xml:space="preserve"> 印章样式：</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 xml:space="preserve"> 签字样式：</w:t>
      </w:r>
      <w:r>
        <w:rPr>
          <w:rFonts w:hint="eastAsia" w:ascii="仿宋_GB2312" w:hAnsi="仿宋_GB2312" w:eastAsia="仿宋_GB2312" w:cs="仿宋_GB2312"/>
          <w:color w:val="auto"/>
          <w:sz w:val="24"/>
          <w:highlight w:val="none"/>
          <w:u w:val="single"/>
        </w:rPr>
        <w:t xml:space="preserve"> / </w:t>
      </w:r>
    </w:p>
    <w:p w14:paraId="39D57FF1">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②监理人代表：</w:t>
      </w:r>
    </w:p>
    <w:p w14:paraId="600D519C">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姓名：</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 xml:space="preserve"> 印章样式：</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 xml:space="preserve"> 签字样式：</w:t>
      </w:r>
      <w:r>
        <w:rPr>
          <w:rFonts w:hint="eastAsia" w:ascii="仿宋_GB2312" w:hAnsi="仿宋_GB2312" w:eastAsia="仿宋_GB2312" w:cs="仿宋_GB2312"/>
          <w:color w:val="auto"/>
          <w:sz w:val="24"/>
          <w:highlight w:val="none"/>
          <w:u w:val="single"/>
        </w:rPr>
        <w:t xml:space="preserve"> / </w:t>
      </w:r>
    </w:p>
    <w:p w14:paraId="272B5673">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③造价咨询人代表：</w:t>
      </w:r>
    </w:p>
    <w:p w14:paraId="1B6ED61A">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姓名：</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 xml:space="preserve"> 印章样式：</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 xml:space="preserve"> 签字样式：</w:t>
      </w:r>
      <w:r>
        <w:rPr>
          <w:rFonts w:hint="eastAsia" w:ascii="仿宋_GB2312" w:hAnsi="仿宋_GB2312" w:eastAsia="仿宋_GB2312" w:cs="仿宋_GB2312"/>
          <w:color w:val="auto"/>
          <w:sz w:val="24"/>
          <w:highlight w:val="none"/>
          <w:u w:val="single"/>
        </w:rPr>
        <w:t xml:space="preserve"> / </w:t>
      </w:r>
    </w:p>
    <w:p w14:paraId="1FA5F4DE">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④承包人代表：</w:t>
      </w:r>
    </w:p>
    <w:p w14:paraId="30DEB413">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姓名：</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 xml:space="preserve"> 印章样式：</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 xml:space="preserve"> 签字样式：</w:t>
      </w:r>
      <w:r>
        <w:rPr>
          <w:rFonts w:hint="eastAsia" w:ascii="仿宋_GB2312" w:hAnsi="仿宋_GB2312" w:eastAsia="仿宋_GB2312" w:cs="仿宋_GB2312"/>
          <w:color w:val="auto"/>
          <w:sz w:val="24"/>
          <w:highlight w:val="none"/>
          <w:u w:val="single"/>
        </w:rPr>
        <w:t xml:space="preserve"> / </w:t>
      </w:r>
    </w:p>
    <w:p w14:paraId="3E77577E">
      <w:pPr>
        <w:ind w:left="210" w:leftChars="100"/>
        <w:rPr>
          <w:rFonts w:hint="eastAsia" w:ascii="仿宋_GB2312" w:hAnsi="仿宋_GB2312" w:eastAsia="仿宋_GB2312" w:cs="仿宋_GB2312"/>
          <w:color w:val="auto"/>
          <w:sz w:val="24"/>
          <w:highlight w:val="none"/>
          <w:u w:val="single"/>
        </w:rPr>
      </w:pPr>
    </w:p>
    <w:p w14:paraId="23125915">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 专利技术和知识产权</w:t>
      </w:r>
    </w:p>
    <w:p w14:paraId="734DD968">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18.3 版权和知识产权</w:t>
      </w:r>
    </w:p>
    <w:p w14:paraId="6C03233A">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18.3.2 承包人为实施工程所编制的文件，其著作权归属的约定：</w:t>
      </w:r>
      <w:r>
        <w:rPr>
          <w:rFonts w:hint="eastAsia" w:ascii="仿宋_GB2312" w:hAnsi="仿宋_GB2312" w:eastAsia="仿宋_GB2312" w:cs="仿宋_GB2312"/>
          <w:color w:val="auto"/>
          <w:sz w:val="24"/>
          <w:highlight w:val="none"/>
          <w:u w:val="single"/>
        </w:rPr>
        <w:t>本项目设计的署名权归承包人所有，其它著作权和使用权归发包人所有；发包人、承包人双方均不得将此项目的设计文件（资料）用于其它工程项目，否则视为侵权；对署名权或其他版权产生侵害的一方承担由此引起的一切法律责任</w:t>
      </w:r>
      <w:r>
        <w:rPr>
          <w:rStyle w:val="23"/>
          <w:rFonts w:ascii="宋体" w:cs="仿宋_GB2312"/>
          <w:color w:val="auto"/>
          <w:sz w:val="24"/>
          <w:highlight w:val="none"/>
        </w:rPr>
        <w:t>。</w:t>
      </w:r>
    </w:p>
    <w:p w14:paraId="3844970B">
      <w:pPr>
        <w:ind w:left="210" w:leftChars="100"/>
        <w:rPr>
          <w:rFonts w:hint="eastAsia" w:ascii="仿宋_GB2312" w:hAnsi="仿宋_GB2312" w:eastAsia="仿宋_GB2312" w:cs="仿宋_GB2312"/>
          <w:color w:val="auto"/>
          <w:sz w:val="24"/>
          <w:highlight w:val="none"/>
          <w:u w:val="single"/>
        </w:rPr>
      </w:pPr>
    </w:p>
    <w:p w14:paraId="0B4CE1B4">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19. 联合的责任</w:t>
      </w:r>
    </w:p>
    <w:p w14:paraId="3824B1CB">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19.1 联合体的组成及责任</w:t>
      </w:r>
    </w:p>
    <w:p w14:paraId="4E3B34C7">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19.1.2 联合牵头人的管理责任</w:t>
      </w:r>
    </w:p>
    <w:p w14:paraId="006E3015">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□设计单位为联合体牵头人时的管理责任：</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w:t>
      </w:r>
      <w:r>
        <w:rPr>
          <w:rFonts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w:t>
      </w:r>
    </w:p>
    <w:p w14:paraId="1830F424">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☑施工单位为联合体牵头人时的管理责任：</w:t>
      </w:r>
      <w:r>
        <w:rPr>
          <w:rFonts w:hint="eastAsia" w:ascii="仿宋_GB2312" w:hAnsi="仿宋_GB2312" w:eastAsia="仿宋_GB2312" w:cs="仿宋_GB2312"/>
          <w:color w:val="auto"/>
          <w:sz w:val="24"/>
          <w:highlight w:val="none"/>
          <w:u w:val="single"/>
        </w:rPr>
        <w:t xml:space="preserve"> 执行通用条款</w:t>
      </w:r>
    </w:p>
    <w:p w14:paraId="614D508C">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19.3 联合体的内部管理</w:t>
      </w:r>
    </w:p>
    <w:p w14:paraId="3C28F83E">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19.3.6 </w:t>
      </w:r>
      <w:r>
        <w:rPr>
          <w:rFonts w:hint="eastAsia" w:ascii="仿宋_GB2312" w:hAnsi="仿宋_GB2312" w:eastAsia="仿宋_GB2312" w:cs="仿宋_GB2312"/>
          <w:color w:val="auto"/>
          <w:sz w:val="24"/>
          <w:highlight w:val="none"/>
        </w:rPr>
        <w:t>联合体牵头人因反对成员单位提出的优化建议，或对</w:t>
      </w:r>
      <w:r>
        <w:rPr>
          <w:rFonts w:ascii="仿宋_GB2312" w:hAnsi="仿宋_GB2312" w:eastAsia="仿宋_GB2312" w:cs="仿宋_GB2312"/>
          <w:color w:val="auto"/>
          <w:sz w:val="24"/>
          <w:highlight w:val="none"/>
        </w:rPr>
        <w:t>其授权的承包人代表不作为</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存在过错</w:t>
      </w:r>
      <w:r>
        <w:rPr>
          <w:rFonts w:hint="eastAsia" w:ascii="仿宋_GB2312" w:hAnsi="仿宋_GB2312" w:eastAsia="仿宋_GB2312" w:cs="仿宋_GB2312"/>
          <w:color w:val="auto"/>
          <w:sz w:val="24"/>
          <w:highlight w:val="none"/>
        </w:rPr>
        <w:t>以及各种原因矛盾不配合各阶段文件而不报送发包人审核的，发包人有权要求牵头人支付违约金，违约金的计算方式：延误报送，每延误</w:t>
      </w:r>
      <w:r>
        <w:rPr>
          <w:rFonts w:ascii="仿宋_GB2312" w:hAnsi="仿宋_GB2312" w:eastAsia="仿宋_GB2312" w:cs="仿宋_GB2312"/>
          <w:color w:val="auto"/>
          <w:sz w:val="24"/>
          <w:highlight w:val="none"/>
        </w:rPr>
        <w:t>1天，按3</w:t>
      </w:r>
      <w:r>
        <w:rPr>
          <w:rFonts w:hint="eastAsia" w:ascii="仿宋_GB2312" w:hAnsi="仿宋_GB2312" w:eastAsia="仿宋_GB2312" w:cs="仿宋_GB2312"/>
          <w:color w:val="auto"/>
          <w:sz w:val="24"/>
          <w:highlight w:val="none"/>
        </w:rPr>
        <w:t>万支付违约金，发包人有权直接在当期应付工程进度款中进行扣除。</w:t>
      </w:r>
    </w:p>
    <w:p w14:paraId="7DD0306B">
      <w:pPr>
        <w:ind w:left="210" w:leftChars="100"/>
        <w:rPr>
          <w:rFonts w:hint="eastAsia" w:ascii="仿宋_GB2312" w:hAnsi="仿宋_GB2312" w:eastAsia="仿宋_GB2312" w:cs="仿宋_GB2312"/>
          <w:color w:val="auto"/>
          <w:sz w:val="24"/>
          <w:highlight w:val="none"/>
        </w:rPr>
      </w:pPr>
    </w:p>
    <w:p w14:paraId="4B285DD0">
      <w:pPr>
        <w:ind w:left="210" w:leftChars="100"/>
        <w:rPr>
          <w:rFonts w:hint="eastAsia" w:ascii="仿宋_GB2312" w:hAnsi="仿宋_GB2312" w:eastAsia="仿宋_GB2312" w:cs="仿宋_GB2312"/>
          <w:color w:val="auto"/>
          <w:sz w:val="24"/>
          <w:highlight w:val="none"/>
          <w:u w:val="single"/>
        </w:rPr>
      </w:pPr>
    </w:p>
    <w:p w14:paraId="2E3C78E9">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22. 发包人</w:t>
      </w:r>
    </w:p>
    <w:p w14:paraId="6C207CE9">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22.2 发包人工作</w:t>
      </w:r>
    </w:p>
    <w:p w14:paraId="0DCF1639">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发包人完成下列工作的约定：</w:t>
      </w:r>
    </w:p>
    <w:p w14:paraId="5DCA12EE">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ascii="仿宋_GB2312" w:hAnsi="仿宋_GB2312" w:eastAsia="仿宋_GB2312" w:cs="仿宋_GB2312"/>
          <w:color w:val="auto"/>
          <w:sz w:val="24"/>
          <w:highlight w:val="none"/>
        </w:rPr>
        <w:t>及时接收承包人提交的设计文件等成果</w:t>
      </w:r>
      <w:r>
        <w:rPr>
          <w:rFonts w:hint="eastAsia" w:ascii="仿宋_GB2312" w:hAnsi="仿宋_GB2312" w:eastAsia="仿宋_GB2312" w:cs="仿宋_GB2312"/>
          <w:color w:val="auto"/>
          <w:sz w:val="24"/>
          <w:highlight w:val="none"/>
        </w:rPr>
        <w:t>资料和合理化建议；及时组织对承包人提交的设计文件、合理化建议等进行审查，并反馈审查意见；需要政府、行业主管部门或施工图审查机构审查的设计文件，</w:t>
      </w:r>
      <w:r>
        <w:rPr>
          <w:rFonts w:hint="eastAsia" w:ascii="仿宋_GB2312" w:hAnsi="仿宋_GB2312" w:eastAsia="仿宋_GB2312" w:cs="仿宋_GB2312"/>
          <w:color w:val="auto"/>
          <w:sz w:val="24"/>
          <w:highlight w:val="none"/>
          <w:u w:val="single"/>
        </w:rPr>
        <w:t>由承包人</w:t>
      </w:r>
      <w:r>
        <w:rPr>
          <w:rFonts w:hint="eastAsia" w:ascii="仿宋_GB2312" w:hAnsi="仿宋_GB2312" w:eastAsia="仿宋_GB2312" w:cs="仿宋_GB2312"/>
          <w:color w:val="auto"/>
          <w:sz w:val="24"/>
          <w:highlight w:val="none"/>
        </w:rPr>
        <w:t>及时送审；</w:t>
      </w:r>
    </w:p>
    <w:p w14:paraId="6A0A9A4B">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（3）提供标准与规范的时间：</w:t>
      </w:r>
      <w:r>
        <w:rPr>
          <w:rFonts w:hint="eastAsia" w:ascii="仿宋_GB2312" w:hAnsi="仿宋_GB2312" w:eastAsia="仿宋_GB2312" w:cs="仿宋_GB2312"/>
          <w:color w:val="auto"/>
          <w:sz w:val="24"/>
          <w:highlight w:val="none"/>
          <w:u w:val="single"/>
        </w:rPr>
        <w:t>同4.3款，如发包人另有要求则以书面通知为准。</w:t>
      </w:r>
    </w:p>
    <w:p w14:paraId="3FBB1E7D">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（4）办理土地征用、拆迁、平整施工场地等工作的时间：</w:t>
      </w:r>
      <w:r>
        <w:rPr>
          <w:rFonts w:hint="eastAsia" w:ascii="仿宋_GB2312" w:hAnsi="仿宋_GB2312" w:eastAsia="仿宋_GB2312" w:cs="仿宋_GB2312"/>
          <w:color w:val="auto"/>
          <w:sz w:val="24"/>
          <w:highlight w:val="none"/>
          <w:u w:val="single"/>
        </w:rPr>
        <w:t>已具备施工条件，提供现场的日期与开工日期相同，场地清理、平整等工作由承包人负责，费用已包含在投标报价中，发包人不另行计量支付。</w:t>
      </w:r>
    </w:p>
    <w:p w14:paraId="1355DD0D">
      <w:pPr>
        <w:ind w:left="210" w:leftChars="100"/>
        <w:rPr>
          <w:rFonts w:hint="eastAsia"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（5）完成施工所需水、电、通讯线路接驳的时间及地点：</w:t>
      </w:r>
      <w:r>
        <w:rPr>
          <w:rFonts w:ascii="仿宋_GB2312" w:hAnsi="仿宋_GB2312" w:eastAsia="仿宋_GB2312" w:cs="仿宋_GB2312"/>
          <w:color w:val="auto"/>
          <w:sz w:val="24"/>
          <w:highlight w:val="none"/>
          <w:u w:val="single"/>
        </w:rPr>
        <w:t>发包人不提供接驳点，由承包人自行接驳。施工临时用水、用电、通讯设施由承包人自行负责，费用已包含在投标报价中，发包人不另行计量支付。</w:t>
      </w:r>
    </w:p>
    <w:p w14:paraId="67AF5472">
      <w:pPr>
        <w:ind w:left="210" w:leftChars="100"/>
        <w:rPr>
          <w:rFonts w:hint="eastAsia"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（6）开通施工现场与城乡公共道路间的通道的时间：</w:t>
      </w:r>
      <w:r>
        <w:rPr>
          <w:rFonts w:ascii="仿宋_GB2312" w:hAnsi="仿宋_GB2312" w:eastAsia="仿宋_GB2312" w:cs="仿宋_GB2312"/>
          <w:color w:val="auto"/>
          <w:sz w:val="24"/>
          <w:highlight w:val="none"/>
          <w:u w:val="single"/>
        </w:rPr>
        <w:t>由承包人负责，费用已包含在投标报价中，发包人不另行计量支付。承包人须在开工前三天完成上述工作。</w:t>
      </w:r>
    </w:p>
    <w:p w14:paraId="446E44A6">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（7）办理施工所需的有关证件和批准手续的时间：</w:t>
      </w:r>
      <w:r>
        <w:rPr>
          <w:rFonts w:ascii="仿宋_GB2312" w:hAnsi="仿宋_GB2312" w:eastAsia="仿宋_GB2312" w:cs="仿宋_GB2312"/>
          <w:color w:val="auto"/>
          <w:sz w:val="24"/>
          <w:highlight w:val="none"/>
          <w:u w:val="single"/>
        </w:rPr>
        <w:t>签订合同十天内，承包人应协助发包人将施工报建资料收集备齐并办理相关施工报建手续。</w:t>
      </w:r>
    </w:p>
    <w:p w14:paraId="7902EF34">
      <w:pPr>
        <w:ind w:left="210" w:leftChars="100"/>
        <w:rPr>
          <w:rFonts w:hint="eastAsia"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（8）确定水准点与坐标控制点，组织现场交验的时间：</w:t>
      </w:r>
      <w:r>
        <w:rPr>
          <w:rFonts w:ascii="仿宋_GB2312" w:hAnsi="仿宋_GB2312" w:eastAsia="仿宋_GB2312" w:cs="仿宋_GB2312"/>
          <w:color w:val="auto"/>
          <w:sz w:val="24"/>
          <w:highlight w:val="none"/>
          <w:u w:val="single"/>
        </w:rPr>
        <w:t>各分项完成三天内承包人提供分项验收报告后进行。</w:t>
      </w:r>
    </w:p>
    <w:p w14:paraId="45734276">
      <w:pPr>
        <w:ind w:left="210" w:leftChars="100"/>
        <w:rPr>
          <w:rFonts w:hint="eastAsia"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（9）协调处理施工场地周围地形关系问题和邻近建筑物等保护工作的约定：</w:t>
      </w:r>
      <w:r>
        <w:rPr>
          <w:rFonts w:ascii="仿宋_GB2312" w:hAnsi="仿宋_GB2312" w:eastAsia="仿宋_GB2312" w:cs="仿宋_GB2312"/>
          <w:color w:val="auto"/>
          <w:sz w:val="24"/>
          <w:highlight w:val="none"/>
          <w:u w:val="single"/>
        </w:rPr>
        <w:t>由发包人协助承包人做好上述保护工作的协调处理。</w:t>
      </w:r>
    </w:p>
    <w:p w14:paraId="639FB6C1">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（11）其它约定：</w:t>
      </w:r>
      <w:r>
        <w:rPr>
          <w:rFonts w:hint="eastAsia" w:ascii="仿宋_GB2312" w:hAnsi="仿宋_GB2312" w:eastAsia="仿宋_GB2312" w:cs="仿宋_GB2312"/>
          <w:color w:val="auto"/>
          <w:sz w:val="24"/>
          <w:highlight w:val="none"/>
          <w:u w:val="single"/>
        </w:rPr>
        <w:t xml:space="preserve">  </w:t>
      </w:r>
    </w:p>
    <w:p w14:paraId="6E28C162">
      <w:pPr>
        <w:ind w:left="210" w:leftChars="100" w:firstLine="240" w:firstLineChars="100"/>
        <w:rPr>
          <w:rFonts w:hint="eastAsia"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发包人委托承包人办理的上述工作有：</w:t>
      </w:r>
      <w:r>
        <w:rPr>
          <w:rFonts w:hint="eastAsia" w:ascii="仿宋_GB2312" w:hAnsi="仿宋_GB2312" w:eastAsia="仿宋_GB2312" w:cs="仿宋_GB2312"/>
          <w:color w:val="auto"/>
          <w:sz w:val="24"/>
          <w:highlight w:val="none"/>
          <w:u w:val="single"/>
        </w:rPr>
        <w:t>工程质监登记、合同鉴证、施工许可证、购买印花税等一切施工所需的审批、申领手续以及规划验收、消防验收、环保验收、防雷报建及验收、永久用水接驳及验收等工作。费用按政策规定各自承担相应部分</w:t>
      </w:r>
      <w:r>
        <w:rPr>
          <w:rFonts w:hint="eastAsia" w:ascii="宋体" w:hAnsi="宋体" w:eastAsia="宋体" w:cs="宋体"/>
          <w:color w:val="auto"/>
          <w:sz w:val="24"/>
          <w:highlight w:val="none"/>
          <w:u w:val="single"/>
        </w:rPr>
        <w:t>。</w:t>
      </w:r>
      <w:r>
        <w:rPr>
          <w:rFonts w:hint="eastAsia" w:ascii="仿宋_GB2312" w:hAnsi="仿宋_GB2312" w:eastAsia="仿宋_GB2312" w:cs="仿宋_GB2312"/>
          <w:color w:val="auto"/>
          <w:sz w:val="24"/>
          <w:highlight w:val="none"/>
          <w:u w:val="single"/>
        </w:rPr>
        <w:t xml:space="preserve"> </w:t>
      </w:r>
    </w:p>
    <w:p w14:paraId="45184605">
      <w:pPr>
        <w:ind w:left="210" w:leftChars="100" w:firstLine="240" w:firstLineChars="100"/>
        <w:rPr>
          <w:rFonts w:hint="eastAsia" w:ascii="仿宋_GB2312" w:hAnsi="仿宋_GB2312" w:eastAsia="仿宋_GB2312" w:cs="仿宋_GB2312"/>
          <w:color w:val="auto"/>
          <w:sz w:val="24"/>
          <w:highlight w:val="none"/>
          <w:u w:val="single"/>
        </w:rPr>
      </w:pPr>
    </w:p>
    <w:p w14:paraId="75A98CD7">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22.3 发包人提供施工场地</w:t>
      </w:r>
    </w:p>
    <w:p w14:paraId="604ECF8C">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提供施工场地的时间：</w:t>
      </w:r>
      <w:r>
        <w:rPr>
          <w:rFonts w:hint="eastAsia" w:ascii="仿宋_GB2312" w:hAnsi="仿宋_GB2312" w:eastAsia="仿宋_GB2312" w:cs="仿宋_GB2312"/>
          <w:color w:val="auto"/>
          <w:sz w:val="24"/>
          <w:highlight w:val="none"/>
          <w:u w:val="single"/>
        </w:rPr>
        <w:t>开工前五天。</w:t>
      </w:r>
    </w:p>
    <w:p w14:paraId="31656A1B">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22.4 发包人支付款项</w:t>
      </w:r>
    </w:p>
    <w:p w14:paraId="74B79160">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①工程款支付期限</w:t>
      </w:r>
    </w:p>
    <w:p w14:paraId="6BB91FAA">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按通用条款第 85.3 款、第 86.3 款、第 88.3 款等约定期限支付。</w:t>
      </w:r>
    </w:p>
    <w:p w14:paraId="2B57F1B4">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详见本合同关于预付款、进度款和绿色施工安全防护措施费等款项的支付约定。</w:t>
      </w:r>
    </w:p>
    <w:p w14:paraId="135FAC3D">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②工程款支付方式</w:t>
      </w:r>
    </w:p>
    <w:p w14:paraId="1B25EDDF">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按协议书所注明的银行账户转账。</w:t>
      </w:r>
    </w:p>
    <w:p w14:paraId="56C84902">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支票支付。</w:t>
      </w:r>
    </w:p>
    <w:p w14:paraId="4ED78CC7">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其他方式：</w:t>
      </w:r>
      <w:r>
        <w:rPr>
          <w:rFonts w:ascii="仿宋_GB2312" w:hAnsi="仿宋_GB2312" w:eastAsia="仿宋_GB2312" w:cs="仿宋_GB2312"/>
          <w:color w:val="auto"/>
          <w:sz w:val="24"/>
          <w:highlight w:val="none"/>
          <w:u w:val="single"/>
        </w:rPr>
        <w:t>一般情况下按协议书所注明的银行账户通过转账方式支付。如承包人需变更银行账户或采用其他支付方式的，则须提前30天向发包人提出书面申请，最终按发包人审批同意的方式办理支付。协议书中要求承包人用于支付工人工资的专用账户须在建设项目所在地的银行机构开设，专项用于工程款中的工人工资的划拨。承包人须确保协议书中的工人工资支付专用账户已向住建、人社和交通、水利等相应的工程建设项目主管部门备案，并委托开户银行负责日常监管，确保专款专用。发包人以银行账户转账的方式将应付工程款中的人工费单独拨付到协议书中承包人的工人工资支付专用账户，承包人须按时足额以银行转账的方式发放工人工资。</w:t>
      </w:r>
    </w:p>
    <w:p w14:paraId="7E9C028F">
      <w:pPr>
        <w:ind w:left="210" w:leftChars="100"/>
        <w:rPr>
          <w:rFonts w:hint="eastAsia" w:ascii="仿宋_GB2312" w:hAnsi="仿宋_GB2312" w:eastAsia="仿宋_GB2312" w:cs="仿宋_GB2312"/>
          <w:color w:val="auto"/>
          <w:sz w:val="24"/>
          <w:highlight w:val="none"/>
          <w:u w:val="single"/>
        </w:rPr>
      </w:pPr>
    </w:p>
    <w:p w14:paraId="66AF3FF8">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23. 承包人</w:t>
      </w:r>
    </w:p>
    <w:p w14:paraId="1833377D">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23.1 遵守法律</w:t>
      </w:r>
    </w:p>
    <w:p w14:paraId="33500DBF">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承包人在本项目中存在通用条款 23.1 所列行为的，将被拒绝参与发包人后续工程投标。拒绝投标时限：</w:t>
      </w:r>
      <w:r>
        <w:rPr>
          <w:rFonts w:ascii="仿宋_GB2312" w:hAnsi="仿宋_GB2312" w:eastAsia="仿宋_GB2312" w:cs="仿宋_GB2312"/>
          <w:color w:val="auto"/>
          <w:sz w:val="24"/>
          <w:highlight w:val="none"/>
          <w:u w:val="single"/>
        </w:rPr>
        <w:t>自发包人发出书面通知后三年。</w:t>
      </w:r>
    </w:p>
    <w:p w14:paraId="1053DF74">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23.2 承包人工作</w:t>
      </w:r>
    </w:p>
    <w:p w14:paraId="62E30CA1">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承包人完成下列工作的约定：</w:t>
      </w:r>
    </w:p>
    <w:p w14:paraId="6D48058F">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（1）除法律另有规定外，由承包人办理的许可、批准或备案：</w:t>
      </w:r>
      <w:r>
        <w:rPr>
          <w:rFonts w:hint="eastAsia" w:ascii="仿宋_GB2312" w:hAnsi="仿宋_GB2312" w:eastAsia="仿宋_GB2312" w:cs="仿宋_GB2312"/>
          <w:color w:val="auto"/>
          <w:sz w:val="24"/>
          <w:highlight w:val="none"/>
          <w:u w:val="single"/>
        </w:rPr>
        <w:t>承包人需派专人专车办理立项报批、规划许可、环评、联合审图、施工许可报监报建、建筑废弃物处置核准、施工排水许可、道路挖掘、市政设施移动改造审批、临时占用绿地、砍伐迁移修剪树木审批、占用利用公路、公路用地、公路附属设施的审批、联合验收、竣工备案等合同实施过程中应办的手续。</w:t>
      </w:r>
    </w:p>
    <w:p w14:paraId="48068294">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（7）提交支付申请和工程款额报告期限</w:t>
      </w:r>
    </w:p>
    <w:p w14:paraId="63B8D2AD">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按通用条款第 80.2 款、第 81.1 款、第 83.1 款等约定期限提交。</w:t>
      </w:r>
    </w:p>
    <w:p w14:paraId="6AE63527">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rPr>
        <w:t>达到支付条件后15天内</w:t>
      </w:r>
      <w:r>
        <w:rPr>
          <w:rFonts w:ascii="仿宋_GB2312" w:hAnsi="仿宋_GB2312" w:eastAsia="仿宋_GB2312" w:cs="仿宋_GB2312"/>
          <w:color w:val="auto"/>
          <w:sz w:val="24"/>
          <w:highlight w:val="none"/>
          <w:u w:val="single"/>
        </w:rPr>
        <w:t>提交报告。</w:t>
      </w:r>
    </w:p>
    <w:p w14:paraId="10A9BA76">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（9）向发包人提供施工场地办公和生活的房屋及设施的数量和时间等要求：</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r>
        <w:rPr>
          <w:rFonts w:hint="eastAsia" w:ascii="仿宋_GB2312" w:hAnsi="仿宋_GB2312" w:eastAsia="仿宋_GB2312" w:cs="仿宋_GB2312"/>
          <w:color w:val="auto"/>
          <w:sz w:val="24"/>
          <w:highlight w:val="none"/>
          <w:u w:val="single"/>
        </w:rPr>
        <w:t xml:space="preserve">  </w:t>
      </w:r>
    </w:p>
    <w:p w14:paraId="03828B9C">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（10）办完施工场地交通、环境保护、施工噪声、绿色施工安全防护等手续的时间：</w:t>
      </w:r>
      <w:r>
        <w:rPr>
          <w:rFonts w:ascii="仿宋_GB2312" w:hAnsi="仿宋_GB2312" w:eastAsia="仿宋_GB2312" w:cs="仿宋_GB2312"/>
          <w:color w:val="auto"/>
          <w:sz w:val="24"/>
          <w:highlight w:val="none"/>
          <w:u w:val="single"/>
        </w:rPr>
        <w:t>开工前。承包人在项目实施过程中，不得侵害发包人与他人使用公用道路、水源、市政管网等公共设施的权利，避免对邻近的公共设施产生干扰。承包人占用或使用他人的施工场地，影响他人作业或生活的，应承担相应责任，导致费用增加和（或）工期延误的，由承包人承担；给发包人造成损失的，承包人应予赔偿。承包人在项目实施过程中要负责协调好施工场地周边村的关系。承包人在实施取土、运土、弃土时均应符合相关职能管理部门的规定。退场前，对由于承包人自身原因引起的道路、桥梁、水闸、码头、堤围等设施的损坏自费恢复原状。在合同工程施工期间，根据政府有关环境保护的规定，承包人应采取所有合理的措施来保护现场内外的环境，并避免由于其操作方法所造成的污染、噪声或其它问题而对附近的人员或公私财产造成的干扰、损失或损害。承包人应在投标报价中考虑有关费用，并保证发包人免于受到或承担应由承包人负责的上述事项所引起的或与之有关的索赔、诉讼、以及其它开支。</w:t>
      </w:r>
    </w:p>
    <w:p w14:paraId="42866A28">
      <w:pPr>
        <w:ind w:left="210" w:leftChars="100"/>
        <w:rPr>
          <w:rFonts w:hint="eastAsia"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（11）做好施工场地地下管线和邻近建筑物、构筑物（包括文物保护建筑）、古树名木保护工作的约定：</w:t>
      </w:r>
      <w:r>
        <w:rPr>
          <w:rFonts w:ascii="仿宋_GB2312" w:hAnsi="仿宋_GB2312" w:eastAsia="仿宋_GB2312" w:cs="仿宋_GB2312"/>
          <w:color w:val="auto"/>
          <w:sz w:val="24"/>
          <w:highlight w:val="none"/>
          <w:u w:val="single"/>
        </w:rPr>
        <w:t>发包人协助承包人做好上述保护工作的协调处理。施工期间发现文物，承包人应按国家文物和省、市有关文物管理规定保护现场，并通知有关部门，否则，因此造成的损失或被有关部门处罚，均由承包人负责。除文物保护外，其它保护工作费用已包含在承包人的投标报价中，发包人不另行计量支付。</w:t>
      </w:r>
    </w:p>
    <w:p w14:paraId="78106D64">
      <w:pPr>
        <w:ind w:left="210" w:leftChars="100"/>
        <w:rPr>
          <w:rFonts w:hint="eastAsia"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（12）保证施工场地的清洁和做好交工前施工现场清理工作的约定：</w:t>
      </w:r>
      <w:r>
        <w:rPr>
          <w:rFonts w:ascii="仿宋_GB2312" w:hAnsi="仿宋_GB2312" w:eastAsia="仿宋_GB2312" w:cs="仿宋_GB2312"/>
          <w:color w:val="auto"/>
          <w:sz w:val="24"/>
          <w:highlight w:val="none"/>
          <w:u w:val="single"/>
        </w:rPr>
        <w:t>相关费用已包含在投标报价中，发包人不另行计量支付。</w:t>
      </w:r>
    </w:p>
    <w:p w14:paraId="75CE19C1">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（13）提交竣工验收申请报告和竣工结算文件</w:t>
      </w:r>
    </w:p>
    <w:p w14:paraId="175EE3FD">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按通用条款第 87.2 款约定提交。</w:t>
      </w:r>
    </w:p>
    <w:p w14:paraId="5B2D0C1A">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另作约定：</w:t>
      </w:r>
    </w:p>
    <w:p w14:paraId="45C30121">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23.3 承包人实施工作</w:t>
      </w:r>
    </w:p>
    <w:p w14:paraId="6BBC3293">
      <w:pPr>
        <w:ind w:left="210" w:leftChars="100"/>
        <w:rPr>
          <w:rFonts w:hint="eastAsia"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承包人提供施工所需设计文件、劳务、工程材料、工程设备、施工设备和其他物品的约定：</w:t>
      </w:r>
      <w:r>
        <w:rPr>
          <w:rFonts w:ascii="仿宋_GB2312" w:hAnsi="仿宋_GB2312" w:eastAsia="仿宋_GB2312" w:cs="仿宋_GB2312"/>
          <w:color w:val="auto"/>
          <w:sz w:val="24"/>
          <w:highlight w:val="none"/>
          <w:u w:val="single"/>
        </w:rPr>
        <w:t>开工前提交。承包人在获取中标通知书后的5个工作日内，须向发包人提供与递交电子投标文件内容完全一致的纸质投标文件两套（1正1副，需加盖企业公章及法人章）及未经加密的电子文件一套（包括经济标报价套价软件版、XML版和Microsoft Excel软件版及用Microsoft Word软件或广州公共资源交易中心提供的投标书制作软件制作的经济投标文件其他部分。电子文件介质使用CD-R光盘或U盘，所有电子文件不能采用压缩处理）给发包人。</w:t>
      </w:r>
    </w:p>
    <w:p w14:paraId="73EC8AF6">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23.8</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承包人的预算包干费的包干内容为：</w:t>
      </w:r>
      <w:r>
        <w:rPr>
          <w:rFonts w:hint="eastAsia" w:ascii="仿宋_GB2312" w:hAnsi="仿宋_GB2312" w:eastAsia="仿宋_GB2312" w:cs="仿宋_GB2312"/>
          <w:color w:val="auto"/>
          <w:sz w:val="24"/>
          <w:highlight w:val="none"/>
          <w:u w:val="single"/>
        </w:rPr>
        <w:t>施工雨水、污水的排除；工程用水加压措施；施工材料堆放场地的整理；工程成品的保护；施工中的临时停水停电；日间施工照明增加费；完工后的场地清理。</w:t>
      </w:r>
    </w:p>
    <w:p w14:paraId="7A9DB94C">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23.9</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 xml:space="preserve">双方约定承包人应做的其他工作： </w:t>
      </w:r>
    </w:p>
    <w:p w14:paraId="5B1D9EE8">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1）承包人不按文明施工要求和规定进行施工，在发包人发出通知7日内，承包人应按要求进行整改，如承包人不整改或整改后仍达不到要求的，监理工程师有权委托第三人进行整改，所发生的费用由承包人承担，发包人可在应付的合同费用</w:t>
      </w:r>
      <w:r>
        <w:rPr>
          <w:rFonts w:hint="eastAsia" w:ascii="仿宋_GB2312" w:hAnsi="仿宋_GB2312" w:eastAsia="仿宋_GB2312" w:cs="仿宋_GB2312"/>
          <w:strike/>
          <w:color w:val="auto"/>
          <w:sz w:val="24"/>
          <w:highlight w:val="none"/>
          <w:u w:val="single"/>
        </w:rPr>
        <w:t>或履约保证金内</w:t>
      </w:r>
      <w:r>
        <w:rPr>
          <w:rFonts w:hint="eastAsia" w:ascii="仿宋_GB2312" w:hAnsi="仿宋_GB2312" w:eastAsia="仿宋_GB2312" w:cs="仿宋_GB2312"/>
          <w:color w:val="auto"/>
          <w:sz w:val="24"/>
          <w:highlight w:val="none"/>
          <w:u w:val="single"/>
        </w:rPr>
        <w:t>直接抵扣或在履约保函限额内要求开立银行承担见索即付的付款责任，并按本合同专用条款第99条执行。承包人负责办理占道开挖证、余泥排放许可证和质量安全监督登记等有关手续。对施工图、技术资料做认真地复核和检查，有预见性的发现和指正设计缺陷和错误，应提出能实质性地节约资金和缩短工期的建议和措施，并书面通知发包人。</w:t>
      </w:r>
    </w:p>
    <w:p w14:paraId="2CCF86D5">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（2）干扰与协调</w:t>
      </w:r>
    </w:p>
    <w:p w14:paraId="0183C2DF">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 xml:space="preserve">    A 承包人应当清楚地预计到施工期间对外界可能产生的不可避免的干扰，并为此保证主动努力减少这些干扰对外界的影响，且应当积极主动与外界进行协调。</w:t>
      </w:r>
    </w:p>
    <w:p w14:paraId="73F9A448">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 xml:space="preserve">    B 承包人应当清楚并充分预计到在工程前期施工场地征地拆迁工作的各种困难及其对工程进展的不利影响，甚至是严重影响。对此，承包人应积极主动做好协调、配合工作，并尽量创造各种条件和采取各种有效措施，以确保工程顺利推进及工期目标的实现。若确因征地拆迁困难或影响导致承包人对工期目标未能实现，承发包双方可协商顺延工期，但不能因此增加各种费用。</w:t>
      </w:r>
    </w:p>
    <w:p w14:paraId="1187EE68">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 xml:space="preserve">    C 承包人应负责协调施工期间外界的各种干扰，协调不果，方可书面要求发包人出面协调。</w:t>
      </w:r>
    </w:p>
    <w:p w14:paraId="7E6FCE42">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 xml:space="preserve">    D 发包人将在承包人的配合下，充分运用自己对各方面的影响力，尽可能地将外界对工程的干扰减少到最低程度。这种协调并不解除承包人的各项责任与义务。</w:t>
      </w:r>
    </w:p>
    <w:p w14:paraId="25CCC295">
      <w:pPr>
        <w:numPr>
          <w:ilvl w:val="0"/>
          <w:numId w:val="3"/>
        </w:num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根据工程需要，承包人应采用计算机信息管理技术建立相应的信息技术网络，以便与发包人、各有关单位进行数据交换，提高工作效率。承包人应负责将网络终端接至发包人、监理单位。上述所发生的费用，由承包人承担。</w:t>
      </w:r>
    </w:p>
    <w:p w14:paraId="3D233319">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23.10</w:t>
      </w:r>
      <w:r>
        <w:rPr>
          <w:rFonts w:ascii="仿宋_GB2312" w:hAnsi="仿宋_GB2312" w:eastAsia="仿宋_GB2312" w:cs="仿宋_GB2312"/>
          <w:color w:val="auto"/>
          <w:sz w:val="24"/>
          <w:highlight w:val="none"/>
        </w:rPr>
        <w:t xml:space="preserve"> 承包人未能达到预期承诺处罚条款：</w:t>
      </w:r>
      <w:r>
        <w:rPr>
          <w:rFonts w:ascii="仿宋_GB2312" w:hAnsi="仿宋_GB2312" w:eastAsia="仿宋_GB2312" w:cs="仿宋_GB2312"/>
          <w:color w:val="auto"/>
          <w:sz w:val="24"/>
          <w:highlight w:val="none"/>
          <w:u w:val="single"/>
        </w:rPr>
        <w:t>工期不受天气和一般变更设计的影响（包含各阶段检测和分部工程验收时间）。由于发包人原因导致的工期延误，则工期可以按相应有影响的天数顺延。因承包人的原因造成工期延误的，承包人接到中标通知书后，按招标文件工期的要求补充提交施工进度计划和施工网络计划；承包人不能按照协议书约定的竣工日期或监理工程师同意顺延的工期竣工，延误的工期每延误1天，应向发包人支付本工程合同</w:t>
      </w:r>
      <w:r>
        <w:rPr>
          <w:rFonts w:hint="eastAsia" w:ascii="仿宋_GB2312" w:hAnsi="仿宋_GB2312" w:eastAsia="仿宋_GB2312" w:cs="仿宋_GB2312"/>
          <w:color w:val="auto"/>
          <w:sz w:val="24"/>
          <w:highlight w:val="none"/>
          <w:u w:val="single"/>
        </w:rPr>
        <w:t>总</w:t>
      </w:r>
      <w:r>
        <w:rPr>
          <w:rFonts w:ascii="仿宋_GB2312" w:hAnsi="仿宋_GB2312" w:eastAsia="仿宋_GB2312" w:cs="仿宋_GB2312"/>
          <w:color w:val="auto"/>
          <w:sz w:val="24"/>
          <w:highlight w:val="none"/>
          <w:u w:val="single"/>
        </w:rPr>
        <w:t>价款的1.5‰作为违约金，且不低于每天1万元。延误工期超过30天的，发包人有权解除合同，将本工程另行发包，并不免除承包人的违约责任</w:t>
      </w:r>
      <w:r>
        <w:rPr>
          <w:rFonts w:hint="eastAsia" w:ascii="仿宋_GB2312" w:hAnsi="仿宋_GB2312" w:eastAsia="仿宋_GB2312" w:cs="仿宋_GB2312"/>
          <w:color w:val="auto"/>
          <w:sz w:val="24"/>
          <w:highlight w:val="none"/>
          <w:u w:val="single"/>
        </w:rPr>
        <w:t>，如造成发包人损失，由承包人承担赔偿责任</w:t>
      </w:r>
      <w:r>
        <w:rPr>
          <w:rFonts w:ascii="仿宋_GB2312" w:hAnsi="仿宋_GB2312" w:eastAsia="仿宋_GB2312" w:cs="仿宋_GB2312"/>
          <w:color w:val="auto"/>
          <w:sz w:val="24"/>
          <w:highlight w:val="none"/>
          <w:u w:val="single"/>
        </w:rPr>
        <w:t>。</w:t>
      </w:r>
    </w:p>
    <w:p w14:paraId="521B2586">
      <w:pPr>
        <w:ind w:left="210" w:leftChars="100"/>
        <w:rPr>
          <w:rFonts w:hint="eastAsia" w:ascii="仿宋_GB2312" w:hAnsi="仿宋_GB2312" w:eastAsia="仿宋_GB2312" w:cs="仿宋_GB2312"/>
          <w:color w:val="auto"/>
          <w:sz w:val="24"/>
          <w:highlight w:val="none"/>
        </w:rPr>
      </w:pPr>
    </w:p>
    <w:p w14:paraId="52068F01">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24. 现场管理人员任命和更换</w:t>
      </w:r>
    </w:p>
    <w:p w14:paraId="5A0956D5">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24.1 发包人现场管理人员任命和更换</w:t>
      </w:r>
    </w:p>
    <w:p w14:paraId="6BC0CCDE">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发包人现场管理人员任命和更换的约定：</w:t>
      </w:r>
    </w:p>
    <w:p w14:paraId="0DE7CDE3">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发包人代表：</w:t>
      </w:r>
      <w:r>
        <w:rPr>
          <w:rFonts w:hint="eastAsia" w:ascii="仿宋_GB2312" w:hAnsi="仿宋_GB2312" w:eastAsia="仿宋_GB2312" w:cs="仿宋_GB2312"/>
          <w:color w:val="auto"/>
          <w:sz w:val="24"/>
          <w:highlight w:val="none"/>
          <w:u w:val="single"/>
        </w:rPr>
        <w:t>以发包人书面通知为准。</w:t>
      </w:r>
    </w:p>
    <w:p w14:paraId="7D08E5AB">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设计顾问人代表：</w:t>
      </w:r>
      <w:r>
        <w:rPr>
          <w:rFonts w:hint="eastAsia" w:ascii="仿宋_GB2312" w:hAnsi="仿宋_GB2312" w:eastAsia="仿宋_GB2312" w:cs="仿宋_GB2312"/>
          <w:color w:val="auto"/>
          <w:sz w:val="24"/>
          <w:highlight w:val="none"/>
          <w:u w:val="single"/>
        </w:rPr>
        <w:t>如有，则以发包人书面通知为准。</w:t>
      </w:r>
    </w:p>
    <w:p w14:paraId="10BC0F2C">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监理人代表：</w:t>
      </w:r>
      <w:r>
        <w:rPr>
          <w:rFonts w:hint="eastAsia" w:ascii="仿宋_GB2312" w:hAnsi="仿宋_GB2312" w:eastAsia="仿宋_GB2312" w:cs="仿宋_GB2312"/>
          <w:color w:val="auto"/>
          <w:sz w:val="24"/>
          <w:highlight w:val="none"/>
          <w:u w:val="single"/>
        </w:rPr>
        <w:t>以发包人书面通知为准。</w:t>
      </w:r>
    </w:p>
    <w:p w14:paraId="015CF4C9">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造价咨询人代表：</w:t>
      </w:r>
      <w:r>
        <w:rPr>
          <w:rFonts w:hint="eastAsia" w:ascii="仿宋_GB2312" w:hAnsi="仿宋_GB2312" w:eastAsia="仿宋_GB2312" w:cs="仿宋_GB2312"/>
          <w:color w:val="auto"/>
          <w:sz w:val="24"/>
          <w:highlight w:val="none"/>
          <w:u w:val="single"/>
        </w:rPr>
        <w:t>如有，则以发包人书面通知为准。</w:t>
      </w:r>
    </w:p>
    <w:p w14:paraId="7E0DEFC6">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24.2 承包人代表及专业负责人任命和更换</w:t>
      </w:r>
    </w:p>
    <w:p w14:paraId="1D6BE8FF">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承包人代表及专业负责人任命和更换的约定</w:t>
      </w:r>
    </w:p>
    <w:p w14:paraId="706FC1C1">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承包人代表：</w:t>
      </w:r>
      <w:r>
        <w:rPr>
          <w:rFonts w:ascii="仿宋_GB2312" w:hAnsi="仿宋_GB2312" w:eastAsia="仿宋_GB2312" w:cs="仿宋_GB2312"/>
          <w:color w:val="auto"/>
          <w:sz w:val="24"/>
          <w:highlight w:val="none"/>
          <w:u w:val="single"/>
        </w:rPr>
        <w:t>本工程的承包人现场管理人员架构，应为投标文件所载明的人选。承包人如需更换，应取得发包人的</w:t>
      </w:r>
      <w:r>
        <w:rPr>
          <w:rFonts w:hint="eastAsia" w:ascii="仿宋_GB2312" w:hAnsi="仿宋_GB2312" w:eastAsia="仿宋_GB2312" w:cs="仿宋_GB2312"/>
          <w:color w:val="auto"/>
          <w:sz w:val="24"/>
          <w:highlight w:val="none"/>
          <w:u w:val="single"/>
        </w:rPr>
        <w:t>书面</w:t>
      </w:r>
      <w:r>
        <w:rPr>
          <w:rFonts w:ascii="仿宋_GB2312" w:hAnsi="仿宋_GB2312" w:eastAsia="仿宋_GB2312" w:cs="仿宋_GB2312"/>
          <w:color w:val="auto"/>
          <w:sz w:val="24"/>
          <w:highlight w:val="none"/>
          <w:u w:val="single"/>
        </w:rPr>
        <w:t>同意和遵守建设行政主管部门的规定，并至少提前7天以书面形式通知发包人，否则该项更换无效。后任承包人代表应继续行使合同规定的前任承包人代表的职权和履行相应的义务。</w:t>
      </w:r>
    </w:p>
    <w:p w14:paraId="3E1119CA">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勘察负责人：</w:t>
      </w:r>
      <w:r>
        <w:rPr>
          <w:rFonts w:hint="eastAsia" w:ascii="仿宋_GB2312" w:hAnsi="仿宋_GB2312" w:eastAsia="仿宋_GB2312" w:cs="仿宋_GB2312"/>
          <w:color w:val="auto"/>
          <w:sz w:val="24"/>
          <w:highlight w:val="none"/>
          <w:u w:val="single"/>
        </w:rPr>
        <w:t xml:space="preserve"> </w:t>
      </w:r>
      <w:r>
        <w:rPr>
          <w:rFonts w:hint="eastAsia" w:ascii="仿宋" w:hAnsi="仿宋" w:eastAsia="仿宋" w:cs="仿宋"/>
          <w:color w:val="auto"/>
          <w:kern w:val="0"/>
          <w:sz w:val="24"/>
          <w:highlight w:val="none"/>
          <w:u w:val="single"/>
        </w:rPr>
        <w:t>本工程的承包人现场管理人员架构，应为投标文件所载明的人选。承包人选定的勘察负责人如需更换，应取得发包人的书面同意和遵守建设行政主管部门的规定，并至少提前7天以书面形式通知发包人，否则该项更换无效。后任勘察负责人应继续行使合同规定的前任勘察负责人的职权和履行相应的义务。</w:t>
      </w:r>
      <w:r>
        <w:rPr>
          <w:rFonts w:hint="eastAsia" w:ascii="仿宋_GB2312" w:hAnsi="仿宋_GB2312" w:eastAsia="仿宋_GB2312" w:cs="仿宋_GB2312"/>
          <w:color w:val="auto"/>
          <w:sz w:val="24"/>
          <w:highlight w:val="none"/>
          <w:u w:val="single"/>
        </w:rPr>
        <w:t xml:space="preserve"> </w:t>
      </w:r>
    </w:p>
    <w:p w14:paraId="4393D098">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设计负责人：</w:t>
      </w:r>
      <w:r>
        <w:rPr>
          <w:rFonts w:hint="eastAsia" w:ascii="仿宋" w:hAnsi="仿宋" w:eastAsia="仿宋" w:cs="仿宋"/>
          <w:color w:val="auto"/>
          <w:kern w:val="0"/>
          <w:sz w:val="24"/>
          <w:highlight w:val="none"/>
          <w:u w:val="single"/>
        </w:rPr>
        <w:t>本工程的承包人现场管理人员架构，应为投标文件所载明的人选。承包人选定的设计负责人如需更换，应取得发包人的书面同意和遵守建设行政主管部门的规定，并至少提前7天以书面形式通知发包人，否则该项更换无效。后任设计负责人应继续行使合同规定的前任设计负责人的职权和履行相应的义务。</w:t>
      </w:r>
    </w:p>
    <w:p w14:paraId="4A305523">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□BIM 技术负责人：</w:t>
      </w:r>
      <w:r>
        <w:rPr>
          <w:rFonts w:hint="eastAsia" w:ascii="仿宋_GB2312" w:hAnsi="仿宋_GB2312" w:eastAsia="仿宋_GB2312" w:cs="仿宋_GB2312"/>
          <w:color w:val="auto"/>
          <w:sz w:val="24"/>
          <w:highlight w:val="none"/>
          <w:u w:val="single"/>
        </w:rPr>
        <w:t xml:space="preserve">  </w:t>
      </w:r>
    </w:p>
    <w:p w14:paraId="63270BCB">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□设备及工器具购置负责人：</w:t>
      </w:r>
      <w:r>
        <w:rPr>
          <w:rFonts w:hint="eastAsia" w:ascii="仿宋_GB2312" w:hAnsi="仿宋_GB2312" w:eastAsia="仿宋_GB2312" w:cs="仿宋_GB2312"/>
          <w:color w:val="auto"/>
          <w:sz w:val="24"/>
          <w:highlight w:val="none"/>
          <w:u w:val="single"/>
        </w:rPr>
        <w:t xml:space="preserve">  </w:t>
      </w:r>
    </w:p>
    <w:p w14:paraId="62CC6FAA">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施工负责人：</w:t>
      </w:r>
      <w:r>
        <w:rPr>
          <w:rFonts w:ascii="仿宋_GB2312" w:hAnsi="仿宋_GB2312" w:eastAsia="仿宋_GB2312" w:cs="仿宋_GB2312"/>
          <w:color w:val="auto"/>
          <w:sz w:val="24"/>
          <w:highlight w:val="none"/>
          <w:u w:val="single"/>
        </w:rPr>
        <w:t>本工程的承包人现场管理人员架构，应为投标文件所载明的人选。承包人</w:t>
      </w:r>
      <w:r>
        <w:rPr>
          <w:rFonts w:hint="eastAsia" w:ascii="仿宋_GB2312" w:hAnsi="仿宋_GB2312" w:eastAsia="仿宋_GB2312" w:cs="仿宋_GB2312"/>
          <w:color w:val="auto"/>
          <w:sz w:val="24"/>
          <w:highlight w:val="none"/>
          <w:u w:val="single"/>
        </w:rPr>
        <w:t>选定的施工负责人</w:t>
      </w:r>
      <w:r>
        <w:rPr>
          <w:rFonts w:ascii="仿宋_GB2312" w:hAnsi="仿宋_GB2312" w:eastAsia="仿宋_GB2312" w:cs="仿宋_GB2312"/>
          <w:color w:val="auto"/>
          <w:sz w:val="24"/>
          <w:highlight w:val="none"/>
          <w:u w:val="single"/>
        </w:rPr>
        <w:t>如需更换，应取得发包人的</w:t>
      </w:r>
      <w:r>
        <w:rPr>
          <w:rFonts w:hint="eastAsia" w:ascii="仿宋_GB2312" w:hAnsi="仿宋_GB2312" w:eastAsia="仿宋_GB2312" w:cs="仿宋_GB2312"/>
          <w:color w:val="auto"/>
          <w:sz w:val="24"/>
          <w:highlight w:val="none"/>
          <w:u w:val="single"/>
        </w:rPr>
        <w:t>书面</w:t>
      </w:r>
      <w:r>
        <w:rPr>
          <w:rFonts w:ascii="仿宋_GB2312" w:hAnsi="仿宋_GB2312" w:eastAsia="仿宋_GB2312" w:cs="仿宋_GB2312"/>
          <w:color w:val="auto"/>
          <w:sz w:val="24"/>
          <w:highlight w:val="none"/>
          <w:u w:val="single"/>
        </w:rPr>
        <w:t>同意和遵守建设行政主管部门的规定，并至少提前7天以书面形式通知发包人，否则该项更换无效。后任</w:t>
      </w:r>
      <w:r>
        <w:rPr>
          <w:rFonts w:hint="eastAsia" w:ascii="仿宋_GB2312" w:hAnsi="仿宋_GB2312" w:eastAsia="仿宋_GB2312" w:cs="仿宋_GB2312"/>
          <w:color w:val="auto"/>
          <w:sz w:val="24"/>
          <w:highlight w:val="none"/>
          <w:u w:val="single"/>
        </w:rPr>
        <w:t>施工负责人</w:t>
      </w:r>
      <w:r>
        <w:rPr>
          <w:rFonts w:ascii="仿宋_GB2312" w:hAnsi="仿宋_GB2312" w:eastAsia="仿宋_GB2312" w:cs="仿宋_GB2312"/>
          <w:color w:val="auto"/>
          <w:sz w:val="24"/>
          <w:highlight w:val="none"/>
          <w:u w:val="single"/>
        </w:rPr>
        <w:t>应继续行使合同规定的前任</w:t>
      </w:r>
      <w:r>
        <w:rPr>
          <w:rFonts w:hint="eastAsia" w:ascii="仿宋_GB2312" w:hAnsi="仿宋_GB2312" w:eastAsia="仿宋_GB2312" w:cs="仿宋_GB2312"/>
          <w:color w:val="auto"/>
          <w:sz w:val="24"/>
          <w:highlight w:val="none"/>
          <w:u w:val="single"/>
        </w:rPr>
        <w:t>施工负责人</w:t>
      </w:r>
      <w:r>
        <w:rPr>
          <w:rFonts w:ascii="仿宋_GB2312" w:hAnsi="仿宋_GB2312" w:eastAsia="仿宋_GB2312" w:cs="仿宋_GB2312"/>
          <w:color w:val="auto"/>
          <w:sz w:val="24"/>
          <w:highlight w:val="none"/>
          <w:u w:val="single"/>
        </w:rPr>
        <w:t>的职权和履行相应的义务。</w:t>
      </w:r>
    </w:p>
    <w:p w14:paraId="057CCED4">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□其他工作负责人：</w:t>
      </w:r>
      <w:r>
        <w:rPr>
          <w:rFonts w:hint="eastAsia" w:ascii="仿宋_GB2312" w:hAnsi="仿宋_GB2312" w:eastAsia="仿宋_GB2312" w:cs="仿宋_GB2312"/>
          <w:color w:val="auto"/>
          <w:sz w:val="24"/>
          <w:highlight w:val="none"/>
          <w:u w:val="single"/>
        </w:rPr>
        <w:t xml:space="preserve">  </w:t>
      </w:r>
    </w:p>
    <w:p w14:paraId="0D742FF1">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24.3 设计顾问人代表、监理人代表、造价咨询人代表任命和撤回</w:t>
      </w:r>
    </w:p>
    <w:p w14:paraId="75C26C14">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设计顾问人代表任命和撤回的约定：</w:t>
      </w:r>
      <w:r>
        <w:rPr>
          <w:rFonts w:hint="eastAsia" w:ascii="仿宋_GB2312" w:hAnsi="仿宋_GB2312" w:eastAsia="仿宋_GB2312" w:cs="仿宋_GB2312"/>
          <w:color w:val="auto"/>
          <w:sz w:val="24"/>
          <w:highlight w:val="none"/>
          <w:u w:val="single"/>
        </w:rPr>
        <w:t xml:space="preserve">  </w:t>
      </w:r>
    </w:p>
    <w:p w14:paraId="061F2FA7">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监理人代表任命和撤回的约定：</w:t>
      </w:r>
      <w:r>
        <w:rPr>
          <w:rFonts w:hint="eastAsia" w:ascii="仿宋_GB2312" w:hAnsi="仿宋_GB2312" w:eastAsia="仿宋_GB2312" w:cs="仿宋_GB2312"/>
          <w:color w:val="auto"/>
          <w:sz w:val="24"/>
          <w:highlight w:val="none"/>
          <w:u w:val="single"/>
        </w:rPr>
        <w:t xml:space="preserve">  </w:t>
      </w:r>
    </w:p>
    <w:p w14:paraId="114A79F6">
      <w:pPr>
        <w:ind w:left="210" w:leftChars="100"/>
        <w:rPr>
          <w:rFonts w:hint="eastAsia"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造价咨询人代表任命和撤回的约定：</w:t>
      </w:r>
      <w:r>
        <w:rPr>
          <w:rFonts w:hint="eastAsia" w:ascii="仿宋_GB2312" w:hAnsi="仿宋_GB2312" w:eastAsia="仿宋_GB2312" w:cs="仿宋_GB2312"/>
          <w:color w:val="auto"/>
          <w:sz w:val="24"/>
          <w:highlight w:val="none"/>
          <w:u w:val="single"/>
        </w:rPr>
        <w:t xml:space="preserve">  </w:t>
      </w:r>
    </w:p>
    <w:p w14:paraId="4ECE0C31">
      <w:pPr>
        <w:ind w:left="210" w:leftChars="100"/>
        <w:rPr>
          <w:rFonts w:hint="eastAsia" w:ascii="仿宋_GB2312" w:hAnsi="仿宋_GB2312" w:eastAsia="仿宋_GB2312" w:cs="仿宋_GB2312"/>
          <w:color w:val="auto"/>
          <w:sz w:val="24"/>
          <w:highlight w:val="none"/>
          <w:u w:val="single"/>
        </w:rPr>
      </w:pPr>
    </w:p>
    <w:p w14:paraId="3EAA1E9B">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25. 发包人代表</w:t>
      </w:r>
    </w:p>
    <w:p w14:paraId="50ADB5D1">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25.1 发包人对其代表授权</w:t>
      </w:r>
    </w:p>
    <w:p w14:paraId="5E0CE657">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发包人代表及其权力的限制</w:t>
      </w:r>
    </w:p>
    <w:p w14:paraId="444BE453">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①发包人任命（</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）为发包人代表，其通讯方式为</w:t>
      </w:r>
    </w:p>
    <w:p w14:paraId="47113CE2">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14:paraId="4A46E68A">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传真号码：</w:t>
      </w:r>
      <w:r>
        <w:rPr>
          <w:rFonts w:hint="eastAsia" w:ascii="仿宋_GB2312" w:hAnsi="仿宋_GB2312" w:eastAsia="仿宋_GB2312" w:cs="仿宋_GB2312"/>
          <w:color w:val="auto"/>
          <w:sz w:val="24"/>
          <w:highlight w:val="none"/>
          <w:u w:val="single"/>
        </w:rPr>
        <w:t xml:space="preserve"> / </w:t>
      </w:r>
    </w:p>
    <w:p w14:paraId="0D5E0F4F">
      <w:pPr>
        <w:ind w:left="210" w:leftChars="100"/>
        <w:rPr>
          <w:rFonts w:hint="eastAsia"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②发包人对发包人代表权力做如下限制：</w:t>
      </w:r>
      <w:r>
        <w:rPr>
          <w:rFonts w:hint="eastAsia" w:ascii="仿宋_GB2312" w:hAnsi="仿宋_GB2312" w:eastAsia="仿宋_GB2312" w:cs="仿宋_GB2312"/>
          <w:color w:val="auto"/>
          <w:sz w:val="24"/>
          <w:highlight w:val="none"/>
          <w:u w:val="single"/>
        </w:rPr>
        <w:t>负责审批工程开工报告；负责审批工程进度并协调办理工程进度款的支付手续；负责处理合同履行过程中与发包人有关的事宜，监督检查相关单位做好本工程质量、工期、进度、安全、文明施工及材料和设备进场等工作；协调施工现场及外部有关事宜；负责工程现场签证的确认并协调办理工程设计变更手续，参加分部和单位工程验收工作；在符合发包人管理制度的要求下，对涉及工期延长、设计变更、现场收方及签证、已完工程量报告等影响工程造价的相关事项作出处理等相关工作。</w:t>
      </w:r>
    </w:p>
    <w:p w14:paraId="4C42EF6B">
      <w:pPr>
        <w:ind w:left="210" w:leftChars="100"/>
        <w:rPr>
          <w:rFonts w:hint="eastAsia" w:ascii="仿宋_GB2312" w:hAnsi="仿宋_GB2312" w:eastAsia="仿宋_GB2312" w:cs="仿宋_GB2312"/>
          <w:color w:val="auto"/>
          <w:sz w:val="24"/>
          <w:highlight w:val="none"/>
          <w:u w:val="single"/>
        </w:rPr>
      </w:pPr>
    </w:p>
    <w:p w14:paraId="1F63EE6D">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26. 设计顾问人</w:t>
      </w:r>
    </w:p>
    <w:p w14:paraId="47792E6A">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26.1 发包人对设计顾问人授权</w:t>
      </w:r>
    </w:p>
    <w:p w14:paraId="5D67F92E">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负责合同工程的设计顾问人及任命的设计顾问人代表</w:t>
      </w:r>
    </w:p>
    <w:p w14:paraId="183742A8">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①设计顾问人：</w:t>
      </w:r>
      <w:r>
        <w:rPr>
          <w:rFonts w:ascii="仿宋_GB2312" w:hAnsi="仿宋_GB2312" w:eastAsia="仿宋_GB2312" w:cs="仿宋_GB2312"/>
          <w:color w:val="auto"/>
          <w:sz w:val="24"/>
          <w:highlight w:val="none"/>
          <w:u w:val="single"/>
        </w:rPr>
        <w:t>（没有独立聘请设计顾问人的，可授权监理人或发包人代表或其他单位行使设计顾问人职权，并在本处明确）</w:t>
      </w:r>
      <w:r>
        <w:rPr>
          <w:rFonts w:ascii="仿宋_GB2312" w:hAnsi="仿宋_GB2312" w:eastAsia="仿宋_GB2312" w:cs="仿宋_GB2312"/>
          <w:color w:val="auto"/>
          <w:sz w:val="24"/>
          <w:highlight w:val="none"/>
        </w:rPr>
        <w:t xml:space="preserve"> 法定代表人：</w:t>
      </w:r>
      <w:r>
        <w:rPr>
          <w:rFonts w:hint="eastAsia" w:ascii="仿宋_GB2312" w:hAnsi="仿宋_GB2312" w:eastAsia="仿宋_GB2312" w:cs="仿宋_GB2312"/>
          <w:color w:val="auto"/>
          <w:sz w:val="24"/>
          <w:highlight w:val="none"/>
          <w:u w:val="single"/>
        </w:rPr>
        <w:t xml:space="preserve">  </w:t>
      </w:r>
    </w:p>
    <w:p w14:paraId="21B6F386">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②任命（ ）为设计顾问人代表，其通讯方式为</w:t>
      </w:r>
    </w:p>
    <w:p w14:paraId="11E2C433">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14:paraId="5C952E16">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传真号码：</w:t>
      </w:r>
      <w:r>
        <w:rPr>
          <w:rFonts w:hint="eastAsia" w:ascii="仿宋_GB2312" w:hAnsi="仿宋_GB2312" w:eastAsia="仿宋_GB2312" w:cs="仿宋_GB2312"/>
          <w:color w:val="auto"/>
          <w:sz w:val="24"/>
          <w:highlight w:val="none"/>
          <w:u w:val="single"/>
        </w:rPr>
        <w:t xml:space="preserve">  </w:t>
      </w:r>
    </w:p>
    <w:p w14:paraId="4527F234">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26.3 设计顾问人职权限制</w:t>
      </w:r>
    </w:p>
    <w:p w14:paraId="78035D3B">
      <w:pPr>
        <w:ind w:left="210" w:leftChars="100"/>
        <w:rPr>
          <w:rFonts w:hint="eastAsia"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(7)需要发包人批准的其他事项：</w:t>
      </w:r>
      <w:r>
        <w:rPr>
          <w:rFonts w:hint="eastAsia" w:ascii="仿宋_GB2312" w:hAnsi="仿宋_GB2312" w:eastAsia="仿宋_GB2312" w:cs="仿宋_GB2312"/>
          <w:color w:val="auto"/>
          <w:sz w:val="24"/>
          <w:highlight w:val="none"/>
          <w:u w:val="single"/>
        </w:rPr>
        <w:t xml:space="preserve">  </w:t>
      </w:r>
    </w:p>
    <w:p w14:paraId="5FBC41EF">
      <w:pPr>
        <w:rPr>
          <w:rFonts w:hint="eastAsia" w:ascii="仿宋_GB2312" w:hAnsi="仿宋_GB2312" w:eastAsia="仿宋_GB2312" w:cs="仿宋_GB2312"/>
          <w:color w:val="auto"/>
          <w:sz w:val="24"/>
          <w:highlight w:val="none"/>
          <w:u w:val="single"/>
        </w:rPr>
      </w:pPr>
    </w:p>
    <w:p w14:paraId="1FF1918B">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27. 监理人</w:t>
      </w:r>
    </w:p>
    <w:p w14:paraId="34C53913">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27.1 发包人对监理人授权</w:t>
      </w:r>
    </w:p>
    <w:p w14:paraId="5769C95B">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负责合同工程的监理人及任命的监理人代表</w:t>
      </w:r>
    </w:p>
    <w:p w14:paraId="4638A5FF">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①监理人：</w:t>
      </w:r>
      <w:r>
        <w:rPr>
          <w:rFonts w:ascii="仿宋_GB2312" w:hAnsi="仿宋_GB2312" w:eastAsia="仿宋_GB2312" w:cs="仿宋_GB2312"/>
          <w:color w:val="auto"/>
          <w:sz w:val="24"/>
          <w:highlight w:val="none"/>
          <w:u w:val="single"/>
        </w:rPr>
        <w:t>（以发包人签订的此项目监理合同为准）</w:t>
      </w:r>
      <w:r>
        <w:rPr>
          <w:rFonts w:ascii="仿宋_GB2312" w:hAnsi="仿宋_GB2312" w:eastAsia="仿宋_GB2312" w:cs="仿宋_GB2312"/>
          <w:color w:val="auto"/>
          <w:sz w:val="24"/>
          <w:highlight w:val="none"/>
        </w:rPr>
        <w:t xml:space="preserve"> 法定代表人：</w:t>
      </w:r>
      <w:r>
        <w:rPr>
          <w:rFonts w:hint="eastAsia" w:ascii="仿宋_GB2312" w:hAnsi="仿宋_GB2312" w:eastAsia="仿宋_GB2312" w:cs="仿宋_GB2312"/>
          <w:color w:val="auto"/>
          <w:sz w:val="24"/>
          <w:highlight w:val="none"/>
          <w:u w:val="single"/>
        </w:rPr>
        <w:t xml:space="preserve">  </w:t>
      </w:r>
    </w:p>
    <w:p w14:paraId="5DD1F899">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②任命（</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）为监理人代表，其通讯方式为</w:t>
      </w:r>
    </w:p>
    <w:p w14:paraId="57EFAADC">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14:paraId="083EF2FE">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传真号码：</w:t>
      </w:r>
      <w:r>
        <w:rPr>
          <w:rFonts w:hint="eastAsia" w:ascii="仿宋_GB2312" w:hAnsi="仿宋_GB2312" w:eastAsia="仿宋_GB2312" w:cs="仿宋_GB2312"/>
          <w:color w:val="auto"/>
          <w:sz w:val="24"/>
          <w:highlight w:val="none"/>
          <w:u w:val="single"/>
        </w:rPr>
        <w:t xml:space="preserve">  </w:t>
      </w:r>
    </w:p>
    <w:p w14:paraId="650842C1">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27.3 监理人职权限制</w:t>
      </w:r>
    </w:p>
    <w:p w14:paraId="5F7C1D0F">
      <w:pPr>
        <w:ind w:left="210" w:leftChars="100"/>
        <w:rPr>
          <w:rFonts w:hint="eastAsia"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(12)需要发包人批准的其他事项：</w:t>
      </w:r>
      <w:r>
        <w:rPr>
          <w:rFonts w:hint="eastAsia" w:ascii="仿宋_GB2312" w:hAnsi="仿宋_GB2312" w:eastAsia="仿宋_GB2312" w:cs="仿宋_GB2312"/>
          <w:color w:val="auto"/>
          <w:sz w:val="24"/>
          <w:highlight w:val="none"/>
          <w:u w:val="single"/>
        </w:rPr>
        <w:t xml:space="preserve">  </w:t>
      </w:r>
    </w:p>
    <w:p w14:paraId="5E9E1AC9">
      <w:pPr>
        <w:ind w:left="210" w:leftChars="100"/>
        <w:rPr>
          <w:rFonts w:hint="eastAsia" w:ascii="仿宋_GB2312" w:hAnsi="仿宋_GB2312" w:eastAsia="仿宋_GB2312" w:cs="仿宋_GB2312"/>
          <w:color w:val="auto"/>
          <w:sz w:val="24"/>
          <w:highlight w:val="none"/>
          <w:u w:val="single"/>
        </w:rPr>
      </w:pPr>
    </w:p>
    <w:p w14:paraId="63FAF2CD">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28. 造价咨询人</w:t>
      </w:r>
    </w:p>
    <w:p w14:paraId="7836CA25">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28.1 发包人对造价咨询人授权</w:t>
      </w:r>
    </w:p>
    <w:p w14:paraId="3F0C06D1">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负责合同工程的造价咨询人及任命的造价咨询人代表</w:t>
      </w:r>
    </w:p>
    <w:p w14:paraId="77C90071">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①造价咨询人：</w:t>
      </w:r>
      <w:r>
        <w:rPr>
          <w:rFonts w:ascii="仿宋_GB2312" w:hAnsi="仿宋_GB2312" w:eastAsia="仿宋_GB2312" w:cs="仿宋_GB2312"/>
          <w:color w:val="auto"/>
          <w:sz w:val="24"/>
          <w:highlight w:val="none"/>
          <w:u w:val="single"/>
        </w:rPr>
        <w:t>（没有独立聘请造价咨询的，可授权监理人或发包人代表或其他单位行使造价咨询人职权，并在本处明确）</w:t>
      </w:r>
      <w:r>
        <w:rPr>
          <w:rFonts w:ascii="仿宋_GB2312" w:hAnsi="仿宋_GB2312" w:eastAsia="仿宋_GB2312" w:cs="仿宋_GB2312"/>
          <w:color w:val="auto"/>
          <w:sz w:val="24"/>
          <w:highlight w:val="none"/>
        </w:rPr>
        <w:t xml:space="preserve"> 法定代表人：</w:t>
      </w:r>
      <w:r>
        <w:rPr>
          <w:rFonts w:hint="eastAsia" w:ascii="仿宋_GB2312" w:hAnsi="仿宋_GB2312" w:eastAsia="仿宋_GB2312" w:cs="仿宋_GB2312"/>
          <w:color w:val="auto"/>
          <w:sz w:val="24"/>
          <w:highlight w:val="none"/>
          <w:u w:val="single"/>
        </w:rPr>
        <w:t xml:space="preserve">  </w:t>
      </w:r>
    </w:p>
    <w:p w14:paraId="732FB1D3">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②任命（ ）为造价咨询人代表，其通讯方式为</w:t>
      </w:r>
    </w:p>
    <w:p w14:paraId="17D005E1">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14:paraId="00218CAE">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传真号码：</w:t>
      </w:r>
      <w:r>
        <w:rPr>
          <w:rFonts w:hint="eastAsia" w:ascii="仿宋_GB2312" w:hAnsi="仿宋_GB2312" w:eastAsia="仿宋_GB2312" w:cs="仿宋_GB2312"/>
          <w:color w:val="auto"/>
          <w:sz w:val="24"/>
          <w:highlight w:val="none"/>
          <w:u w:val="single"/>
        </w:rPr>
        <w:t xml:space="preserve">  </w:t>
      </w:r>
    </w:p>
    <w:p w14:paraId="3FC2A8BA">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28.3 造价咨询人职权限制</w:t>
      </w:r>
    </w:p>
    <w:p w14:paraId="67E8AA8F">
      <w:pPr>
        <w:ind w:left="210" w:leftChars="100"/>
        <w:rPr>
          <w:rFonts w:hint="eastAsia"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（7）需要发包人批准的其他事项：</w:t>
      </w:r>
      <w:r>
        <w:rPr>
          <w:rFonts w:hint="eastAsia" w:ascii="仿宋_GB2312" w:hAnsi="仿宋_GB2312" w:eastAsia="仿宋_GB2312" w:cs="仿宋_GB2312"/>
          <w:color w:val="auto"/>
          <w:sz w:val="24"/>
          <w:highlight w:val="none"/>
          <w:u w:val="single"/>
        </w:rPr>
        <w:t xml:space="preserve">  </w:t>
      </w:r>
    </w:p>
    <w:p w14:paraId="34E278FA">
      <w:pPr>
        <w:ind w:left="210" w:leftChars="100"/>
        <w:rPr>
          <w:rFonts w:hint="eastAsia" w:ascii="仿宋_GB2312" w:hAnsi="仿宋_GB2312" w:eastAsia="仿宋_GB2312" w:cs="仿宋_GB2312"/>
          <w:color w:val="auto"/>
          <w:sz w:val="24"/>
          <w:highlight w:val="none"/>
          <w:u w:val="single"/>
        </w:rPr>
      </w:pPr>
    </w:p>
    <w:p w14:paraId="7B52BEB0">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29. 承包人代表及其专业负责人</w:t>
      </w:r>
    </w:p>
    <w:p w14:paraId="7764E296">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29.1 承包人对其代表授权</w:t>
      </w:r>
    </w:p>
    <w:p w14:paraId="232F7D96">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承包人代表：承包人任命（</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）为承包人代表，其通讯方式为</w:t>
      </w:r>
    </w:p>
    <w:p w14:paraId="0872E27D">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14:paraId="770D3FBB">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传真号码：</w:t>
      </w:r>
      <w:r>
        <w:rPr>
          <w:rFonts w:hint="eastAsia" w:ascii="仿宋_GB2312" w:hAnsi="仿宋_GB2312" w:eastAsia="仿宋_GB2312" w:cs="仿宋_GB2312"/>
          <w:color w:val="auto"/>
          <w:sz w:val="24"/>
          <w:highlight w:val="none"/>
          <w:u w:val="single"/>
        </w:rPr>
        <w:t xml:space="preserve">  </w:t>
      </w:r>
    </w:p>
    <w:p w14:paraId="6A4EB339">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勘察负责人：承包人任命（ ）为勘察负责人，其通讯方式为</w:t>
      </w:r>
    </w:p>
    <w:p w14:paraId="07BA833F">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14:paraId="443E5201">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传真号码：</w:t>
      </w:r>
      <w:r>
        <w:rPr>
          <w:rFonts w:hint="eastAsia" w:ascii="仿宋_GB2312" w:hAnsi="仿宋_GB2312" w:eastAsia="仿宋_GB2312" w:cs="仿宋_GB2312"/>
          <w:color w:val="auto"/>
          <w:sz w:val="24"/>
          <w:highlight w:val="none"/>
          <w:u w:val="single"/>
        </w:rPr>
        <w:t xml:space="preserve">  </w:t>
      </w:r>
    </w:p>
    <w:p w14:paraId="157B5FC0">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设计负责人：承包人任命（</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）为设计负责人，其通讯方式为</w:t>
      </w:r>
    </w:p>
    <w:p w14:paraId="7D8C5151">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14:paraId="60CF706F">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传真号码：</w:t>
      </w:r>
      <w:r>
        <w:rPr>
          <w:rFonts w:hint="eastAsia" w:ascii="仿宋_GB2312" w:hAnsi="仿宋_GB2312" w:eastAsia="仿宋_GB2312" w:cs="仿宋_GB2312"/>
          <w:color w:val="auto"/>
          <w:sz w:val="24"/>
          <w:highlight w:val="none"/>
          <w:u w:val="single"/>
        </w:rPr>
        <w:t xml:space="preserve">  </w:t>
      </w:r>
    </w:p>
    <w:p w14:paraId="3B81803A">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□BIM 技术负责人：承包人任命（ ）为 BIM 技术负责人，其通讯方式为</w:t>
      </w:r>
    </w:p>
    <w:p w14:paraId="76E1DE83">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14:paraId="28DFCD0E">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传真号码：</w:t>
      </w:r>
      <w:r>
        <w:rPr>
          <w:rFonts w:hint="eastAsia" w:ascii="仿宋_GB2312" w:hAnsi="仿宋_GB2312" w:eastAsia="仿宋_GB2312" w:cs="仿宋_GB2312"/>
          <w:color w:val="auto"/>
          <w:sz w:val="24"/>
          <w:highlight w:val="none"/>
          <w:u w:val="single"/>
        </w:rPr>
        <w:t xml:space="preserve">  </w:t>
      </w:r>
    </w:p>
    <w:p w14:paraId="06D3772D">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□设备及工器具购置负责人：承包人任命（ ）为设备及工器具购置负责人，</w:t>
      </w:r>
    </w:p>
    <w:p w14:paraId="6288B219">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其通讯方式为</w:t>
      </w:r>
    </w:p>
    <w:p w14:paraId="725E8832">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14:paraId="670646D0">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传真号码：</w:t>
      </w:r>
      <w:r>
        <w:rPr>
          <w:rFonts w:hint="eastAsia" w:ascii="仿宋_GB2312" w:hAnsi="仿宋_GB2312" w:eastAsia="仿宋_GB2312" w:cs="仿宋_GB2312"/>
          <w:color w:val="auto"/>
          <w:sz w:val="24"/>
          <w:highlight w:val="none"/>
          <w:u w:val="single"/>
        </w:rPr>
        <w:t xml:space="preserve">  </w:t>
      </w:r>
    </w:p>
    <w:p w14:paraId="19F7E4B8">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施工负责人：承包人任命（</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）为施工负责人，其通讯方式为</w:t>
      </w:r>
    </w:p>
    <w:p w14:paraId="244806BA">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14:paraId="14BC1DA7">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传真号码：</w:t>
      </w:r>
      <w:r>
        <w:rPr>
          <w:rFonts w:hint="eastAsia" w:ascii="仿宋_GB2312" w:hAnsi="仿宋_GB2312" w:eastAsia="仿宋_GB2312" w:cs="仿宋_GB2312"/>
          <w:color w:val="auto"/>
          <w:sz w:val="24"/>
          <w:highlight w:val="none"/>
          <w:u w:val="single"/>
        </w:rPr>
        <w:t xml:space="preserve">  </w:t>
      </w:r>
    </w:p>
    <w:p w14:paraId="47798AAA">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□其他工作负责人：承包人任命（ ）为其他工作负责人，其通讯方式为</w:t>
      </w:r>
    </w:p>
    <w:p w14:paraId="0BCADBB3">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通讯地址：</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邮政编码：</w:t>
      </w:r>
      <w:r>
        <w:rPr>
          <w:rFonts w:hint="eastAsia" w:ascii="仿宋_GB2312" w:hAnsi="仿宋_GB2312" w:eastAsia="仿宋_GB2312" w:cs="仿宋_GB2312"/>
          <w:color w:val="auto"/>
          <w:sz w:val="24"/>
          <w:highlight w:val="none"/>
          <w:u w:val="single"/>
        </w:rPr>
        <w:t xml:space="preserve">  </w:t>
      </w:r>
    </w:p>
    <w:p w14:paraId="2CF7E0D9">
      <w:pPr>
        <w:ind w:left="210" w:leftChars="100"/>
        <w:rPr>
          <w:rFonts w:hint="eastAsia"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传真号码：</w:t>
      </w:r>
      <w:r>
        <w:rPr>
          <w:rFonts w:hint="eastAsia" w:ascii="仿宋_GB2312" w:hAnsi="仿宋_GB2312" w:eastAsia="仿宋_GB2312" w:cs="仿宋_GB2312"/>
          <w:color w:val="auto"/>
          <w:sz w:val="24"/>
          <w:highlight w:val="none"/>
          <w:u w:val="single"/>
        </w:rPr>
        <w:t xml:space="preserve">  </w:t>
      </w:r>
    </w:p>
    <w:p w14:paraId="2AD64509">
      <w:pPr>
        <w:ind w:left="210" w:leftChars="100"/>
        <w:rPr>
          <w:rFonts w:hint="eastAsia" w:ascii="仿宋_GB2312" w:hAnsi="仿宋_GB2312" w:eastAsia="仿宋_GB2312" w:cs="仿宋_GB2312"/>
          <w:color w:val="auto"/>
          <w:sz w:val="24"/>
          <w:highlight w:val="none"/>
          <w:u w:val="single"/>
        </w:rPr>
      </w:pPr>
    </w:p>
    <w:p w14:paraId="55BC1AF7">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30. 指定分包人</w:t>
      </w:r>
    </w:p>
    <w:p w14:paraId="554B804C">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30.1 指定分包人工作</w:t>
      </w:r>
    </w:p>
    <w:p w14:paraId="0E29EE76">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依法指定的分包人</w:t>
      </w:r>
    </w:p>
    <w:p w14:paraId="07D991DA">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（1）实施、完成部分永久工程的分包人：</w:t>
      </w:r>
      <w:r>
        <w:rPr>
          <w:rFonts w:hint="eastAsia" w:ascii="仿宋_GB2312" w:hAnsi="仿宋_GB2312" w:eastAsia="仿宋_GB2312" w:cs="仿宋_GB2312"/>
          <w:color w:val="auto"/>
          <w:sz w:val="24"/>
          <w:highlight w:val="none"/>
          <w:u w:val="single"/>
        </w:rPr>
        <w:t xml:space="preserve">  </w:t>
      </w:r>
    </w:p>
    <w:p w14:paraId="42A1F2BC">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（2）提供工程材料和工程设备供货的分包人：</w:t>
      </w:r>
      <w:r>
        <w:rPr>
          <w:rFonts w:hint="eastAsia" w:ascii="仿宋_GB2312" w:hAnsi="仿宋_GB2312" w:eastAsia="仿宋_GB2312" w:cs="仿宋_GB2312"/>
          <w:color w:val="auto"/>
          <w:sz w:val="24"/>
          <w:highlight w:val="none"/>
          <w:u w:val="single"/>
        </w:rPr>
        <w:t xml:space="preserve">  </w:t>
      </w:r>
    </w:p>
    <w:p w14:paraId="490B1573">
      <w:pPr>
        <w:ind w:left="210" w:leftChars="100"/>
        <w:rPr>
          <w:rFonts w:hint="eastAsia"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（3）提供部分专业服务的分包人：</w:t>
      </w:r>
      <w:r>
        <w:rPr>
          <w:rFonts w:hint="eastAsia" w:ascii="仿宋_GB2312" w:hAnsi="仿宋_GB2312" w:eastAsia="仿宋_GB2312" w:cs="仿宋_GB2312"/>
          <w:color w:val="auto"/>
          <w:sz w:val="24"/>
          <w:highlight w:val="none"/>
          <w:u w:val="single"/>
        </w:rPr>
        <w:t xml:space="preserve">  </w:t>
      </w:r>
    </w:p>
    <w:p w14:paraId="3DF08658">
      <w:pPr>
        <w:ind w:left="210" w:leftChars="100"/>
        <w:rPr>
          <w:rFonts w:hint="eastAsia" w:ascii="仿宋_GB2312" w:hAnsi="仿宋_GB2312" w:eastAsia="仿宋_GB2312" w:cs="仿宋_GB2312"/>
          <w:color w:val="auto"/>
          <w:sz w:val="24"/>
          <w:highlight w:val="none"/>
          <w:u w:val="single"/>
        </w:rPr>
      </w:pPr>
    </w:p>
    <w:p w14:paraId="024022B9">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32. 工程担保</w:t>
      </w:r>
    </w:p>
    <w:p w14:paraId="0A66C0A4">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32.1 承包人提供履约担保的约定</w:t>
      </w:r>
    </w:p>
    <w:p w14:paraId="1A755219">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①履约担保的金额：</w:t>
      </w:r>
      <w:r>
        <w:rPr>
          <w:rFonts w:hint="eastAsia" w:ascii="仿宋" w:hAnsi="仿宋" w:eastAsia="仿宋" w:cs="仿宋"/>
          <w:color w:val="auto"/>
          <w:sz w:val="24"/>
          <w:highlight w:val="none"/>
          <w:u w:val="single"/>
        </w:rPr>
        <w:t>为建安工程费中标金额的10%</w:t>
      </w:r>
      <w:r>
        <w:rPr>
          <w:rFonts w:ascii="仿宋_GB2312" w:hAnsi="仿宋_GB2312" w:eastAsia="仿宋_GB2312" w:cs="仿宋_GB2312"/>
          <w:color w:val="auto"/>
          <w:sz w:val="24"/>
          <w:highlight w:val="none"/>
        </w:rPr>
        <w:t>（大写）</w:t>
      </w:r>
      <w:r>
        <w:rPr>
          <w:rFonts w:ascii="仿宋_GB2312" w:hAnsi="仿宋_GB2312" w:eastAsia="仿宋_GB2312" w:cs="仿宋_GB2312"/>
          <w:color w:val="auto"/>
          <w:sz w:val="24"/>
          <w:highlight w:val="none"/>
          <w:u w:val="single"/>
        </w:rPr>
        <w:t xml:space="preserve"> 元</w:t>
      </w:r>
      <w:r>
        <w:rPr>
          <w:rFonts w:ascii="仿宋_GB2312" w:hAnsi="仿宋_GB2312" w:eastAsia="仿宋_GB2312" w:cs="仿宋_GB2312"/>
          <w:color w:val="auto"/>
          <w:sz w:val="24"/>
          <w:highlight w:val="none"/>
        </w:rPr>
        <w:t>（小写</w:t>
      </w:r>
      <w:r>
        <w:rPr>
          <w:rFonts w:ascii="仿宋_GB2312" w:hAnsi="仿宋_GB2312" w:eastAsia="仿宋_GB2312" w:cs="仿宋_GB2312"/>
          <w:color w:val="auto"/>
          <w:sz w:val="24"/>
          <w:highlight w:val="none"/>
          <w:u w:val="single"/>
        </w:rPr>
        <w:t xml:space="preserve"> 元</w:t>
      </w:r>
      <w:r>
        <w:rPr>
          <w:rFonts w:ascii="仿宋_GB2312" w:hAnsi="仿宋_GB2312" w:eastAsia="仿宋_GB2312" w:cs="仿宋_GB2312"/>
          <w:color w:val="auto"/>
          <w:sz w:val="24"/>
          <w:highlight w:val="none"/>
        </w:rPr>
        <w:t>）</w:t>
      </w:r>
    </w:p>
    <w:p w14:paraId="1A9B25AC">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②提供履约担保的时间：</w:t>
      </w:r>
    </w:p>
    <w:p w14:paraId="1134CED1">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签订本合同时</w:t>
      </w:r>
    </w:p>
    <w:p w14:paraId="72F4EE6C">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另作约定：</w:t>
      </w:r>
      <w:r>
        <w:rPr>
          <w:rFonts w:ascii="仿宋_GB2312" w:hAnsi="仿宋_GB2312" w:eastAsia="仿宋_GB2312" w:cs="仿宋_GB2312"/>
          <w:color w:val="auto"/>
          <w:sz w:val="24"/>
          <w:highlight w:val="none"/>
          <w:u w:val="single"/>
        </w:rPr>
        <w:t>按招标文件。</w:t>
      </w:r>
    </w:p>
    <w:p w14:paraId="1916A6B7">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③履约担保的形式</w:t>
      </w:r>
    </w:p>
    <w:p w14:paraId="4A927E2C">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出具履约保函的担保人：</w:t>
      </w:r>
      <w:r>
        <w:rPr>
          <w:rFonts w:ascii="仿宋_GB2312" w:hAnsi="仿宋_GB2312" w:eastAsia="仿宋_GB2312" w:cs="仿宋_GB2312"/>
          <w:color w:val="auto"/>
          <w:sz w:val="24"/>
          <w:highlight w:val="none"/>
          <w:u w:val="single"/>
        </w:rPr>
        <w:t>应由在中国注册且营业的银行开具</w:t>
      </w:r>
      <w:r>
        <w:rPr>
          <w:rFonts w:hint="eastAsia" w:ascii="仿宋_GB2312" w:hAnsi="仿宋_GB2312" w:eastAsia="仿宋_GB2312" w:cs="仿宋_GB2312"/>
          <w:color w:val="auto"/>
          <w:sz w:val="24"/>
          <w:highlight w:val="none"/>
          <w:u w:val="single"/>
        </w:rPr>
        <w:t>，以银行保函形式提供的，是无条件、不可撤销银行保函，如发现承包人提供虚假银行保函，发包人将取消其中标资格，并追究法律责任</w:t>
      </w:r>
      <w:r>
        <w:rPr>
          <w:rFonts w:ascii="仿宋_GB2312" w:hAnsi="仿宋_GB2312" w:eastAsia="仿宋_GB2312" w:cs="仿宋_GB2312"/>
          <w:color w:val="auto"/>
          <w:sz w:val="24"/>
          <w:highlight w:val="none"/>
          <w:u w:val="single"/>
        </w:rPr>
        <w:t>。</w:t>
      </w:r>
    </w:p>
    <w:p w14:paraId="18201453">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出具履约担保的担保人：</w:t>
      </w:r>
    </w:p>
    <w:p w14:paraId="65001226">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出具履约保证保险的担保人：</w:t>
      </w:r>
    </w:p>
    <w:p w14:paraId="23F82155">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其它：</w:t>
      </w:r>
    </w:p>
    <w:p w14:paraId="3E2262C7">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32.4 发包人提供支付担保</w:t>
      </w:r>
    </w:p>
    <w:p w14:paraId="558B3E6E">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□发包人提供支付担保的约定</w:t>
      </w:r>
    </w:p>
    <w:p w14:paraId="766C2B9C">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①支付担保的金额：（大写）</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元（小写</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元）</w:t>
      </w:r>
    </w:p>
    <w:p w14:paraId="629D2528">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②提供支付担保的时间：</w:t>
      </w:r>
    </w:p>
    <w:p w14:paraId="00F449F2">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签订本合同时</w:t>
      </w:r>
    </w:p>
    <w:p w14:paraId="209CF42F">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另作约定：</w:t>
      </w:r>
      <w:r>
        <w:rPr>
          <w:rFonts w:hint="eastAsia" w:ascii="仿宋_GB2312" w:hAnsi="仿宋_GB2312" w:eastAsia="仿宋_GB2312" w:cs="仿宋_GB2312"/>
          <w:color w:val="auto"/>
          <w:sz w:val="24"/>
          <w:highlight w:val="none"/>
          <w:u w:val="single"/>
        </w:rPr>
        <w:t xml:space="preserve"> / </w:t>
      </w:r>
    </w:p>
    <w:p w14:paraId="56B6E87A">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③履约担保的形式</w:t>
      </w:r>
    </w:p>
    <w:p w14:paraId="59FEBC1A">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□出具支付保函的担保人：</w:t>
      </w:r>
      <w:r>
        <w:rPr>
          <w:rFonts w:hint="eastAsia" w:ascii="仿宋_GB2312" w:hAnsi="仿宋_GB2312" w:eastAsia="仿宋_GB2312" w:cs="仿宋_GB2312"/>
          <w:color w:val="auto"/>
          <w:sz w:val="24"/>
          <w:highlight w:val="none"/>
          <w:u w:val="single"/>
        </w:rPr>
        <w:t xml:space="preserve"> / </w:t>
      </w:r>
    </w:p>
    <w:p w14:paraId="1D8DC895">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□出具支付担保的担保人：</w:t>
      </w:r>
      <w:r>
        <w:rPr>
          <w:rFonts w:hint="eastAsia" w:ascii="仿宋_GB2312" w:hAnsi="仿宋_GB2312" w:eastAsia="仿宋_GB2312" w:cs="仿宋_GB2312"/>
          <w:color w:val="auto"/>
          <w:sz w:val="24"/>
          <w:highlight w:val="none"/>
          <w:u w:val="single"/>
        </w:rPr>
        <w:t xml:space="preserve"> / </w:t>
      </w:r>
    </w:p>
    <w:p w14:paraId="51390A83">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□出具支付保证保险的担保人：</w:t>
      </w:r>
      <w:r>
        <w:rPr>
          <w:rFonts w:hint="eastAsia" w:ascii="仿宋_GB2312" w:hAnsi="仿宋_GB2312" w:eastAsia="仿宋_GB2312" w:cs="仿宋_GB2312"/>
          <w:color w:val="auto"/>
          <w:sz w:val="24"/>
          <w:highlight w:val="none"/>
          <w:u w:val="single"/>
        </w:rPr>
        <w:t xml:space="preserve"> / </w:t>
      </w:r>
    </w:p>
    <w:p w14:paraId="384A37C8">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□其它：</w:t>
      </w:r>
      <w:r>
        <w:rPr>
          <w:rFonts w:hint="eastAsia" w:ascii="仿宋_GB2312" w:hAnsi="仿宋_GB2312" w:eastAsia="仿宋_GB2312" w:cs="仿宋_GB2312"/>
          <w:color w:val="auto"/>
          <w:sz w:val="24"/>
          <w:highlight w:val="none"/>
          <w:u w:val="single"/>
        </w:rPr>
        <w:t xml:space="preserve"> / </w:t>
      </w:r>
    </w:p>
    <w:p w14:paraId="5DCFE03A">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32.8 约定担保事项</w:t>
      </w:r>
    </w:p>
    <w:p w14:paraId="4B11CF44">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担保内容、方式和责任等事项的约定：</w:t>
      </w:r>
      <w:r>
        <w:rPr>
          <w:rFonts w:hint="eastAsia" w:ascii="仿宋_GB2312" w:hAnsi="仿宋_GB2312" w:eastAsia="仿宋_GB2312" w:cs="仿宋_GB2312"/>
          <w:color w:val="auto"/>
          <w:sz w:val="24"/>
          <w:highlight w:val="none"/>
          <w:u w:val="single"/>
        </w:rPr>
        <w:t xml:space="preserve"> / </w:t>
      </w:r>
    </w:p>
    <w:p w14:paraId="1BB843D9">
      <w:pPr>
        <w:ind w:left="210" w:leftChars="100"/>
        <w:rPr>
          <w:rFonts w:hint="eastAsia" w:ascii="仿宋_GB2312" w:hAnsi="仿宋_GB2312" w:eastAsia="仿宋_GB2312" w:cs="仿宋_GB2312"/>
          <w:color w:val="auto"/>
          <w:sz w:val="24"/>
          <w:highlight w:val="none"/>
        </w:rPr>
      </w:pPr>
    </w:p>
    <w:p w14:paraId="504ECF02">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33.发包人风险</w:t>
      </w:r>
    </w:p>
    <w:p w14:paraId="77902AFD">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33.2 发包人风险</w:t>
      </w:r>
    </w:p>
    <w:p w14:paraId="4720EE14">
      <w:pPr>
        <w:ind w:left="210" w:leftChars="100"/>
        <w:rPr>
          <w:rFonts w:hint="eastAsia"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（9）其他风险：</w:t>
      </w:r>
      <w:r>
        <w:rPr>
          <w:rFonts w:hint="eastAsia" w:ascii="仿宋_GB2312" w:hAnsi="仿宋_GB2312" w:eastAsia="仿宋_GB2312" w:cs="仿宋_GB2312"/>
          <w:color w:val="auto"/>
          <w:sz w:val="24"/>
          <w:highlight w:val="none"/>
          <w:u w:val="single"/>
        </w:rPr>
        <w:t xml:space="preserve"> / </w:t>
      </w:r>
    </w:p>
    <w:p w14:paraId="75E3CC65">
      <w:pPr>
        <w:ind w:left="210" w:leftChars="100"/>
        <w:rPr>
          <w:rFonts w:hint="eastAsia" w:ascii="仿宋_GB2312" w:hAnsi="仿宋_GB2312" w:eastAsia="仿宋_GB2312" w:cs="仿宋_GB2312"/>
          <w:color w:val="auto"/>
          <w:sz w:val="24"/>
          <w:highlight w:val="none"/>
          <w:u w:val="single"/>
        </w:rPr>
      </w:pPr>
    </w:p>
    <w:p w14:paraId="0658970D">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35. 不可抗力</w:t>
      </w:r>
    </w:p>
    <w:p w14:paraId="2D84DDAE">
      <w:pPr>
        <w:ind w:left="210" w:leftChars="100"/>
        <w:rPr>
          <w:rFonts w:hint="eastAsia"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35.1 除通用合同条件约定的不可抗力事件之外，视为不可抗力的其他情形：</w:t>
      </w:r>
      <w:r>
        <w:rPr>
          <w:rFonts w:hint="eastAsia" w:ascii="仿宋_GB2312" w:hAnsi="仿宋_GB2312" w:eastAsia="仿宋_GB2312" w:cs="仿宋_GB2312"/>
          <w:color w:val="auto"/>
          <w:sz w:val="24"/>
          <w:highlight w:val="none"/>
          <w:u w:val="single"/>
        </w:rPr>
        <w:t xml:space="preserve"> </w:t>
      </w:r>
    </w:p>
    <w:p w14:paraId="27A4BD1D">
      <w:pPr>
        <w:ind w:left="210" w:leftChars="100"/>
        <w:rPr>
          <w:rFonts w:hint="eastAsia" w:ascii="仿宋_GB2312" w:hAnsi="仿宋_GB2312" w:eastAsia="仿宋_GB2312" w:cs="仿宋_GB2312"/>
          <w:color w:val="auto"/>
          <w:sz w:val="24"/>
          <w:highlight w:val="none"/>
          <w:u w:val="single"/>
        </w:rPr>
      </w:pPr>
    </w:p>
    <w:p w14:paraId="299AA7DC">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36. 保险</w:t>
      </w:r>
    </w:p>
    <w:p w14:paraId="404D9003">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36.1 发包人办理保险</w:t>
      </w:r>
    </w:p>
    <w:p w14:paraId="7D10A9E5">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委托承包人办理保险的事项有：</w:t>
      </w:r>
    </w:p>
    <w:p w14:paraId="444FC49C">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通用条款第 36.1 款的第（1）项；</w:t>
      </w:r>
    </w:p>
    <w:p w14:paraId="65AEF8F9">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通用条款第 36.1 款的第（2）项；</w:t>
      </w:r>
    </w:p>
    <w:p w14:paraId="03B4A1AD">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通用条款第 36.1 款的第（3）项；</w:t>
      </w:r>
    </w:p>
    <w:p w14:paraId="66FCB89E">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通用条款第 36.1 款的第（4）项。</w:t>
      </w:r>
    </w:p>
    <w:p w14:paraId="24AE502E">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通用条款第 36.1 款的第（5）项。</w:t>
      </w:r>
    </w:p>
    <w:p w14:paraId="01FEE35C">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关于安全生产责任险的约定：</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14:paraId="41F5E070">
      <w:pPr>
        <w:ind w:left="210" w:leftChars="100"/>
        <w:rPr>
          <w:rFonts w:hint="eastAsia"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36.8 投保内容、保险金、保险期限和责任等事项的约定：</w:t>
      </w:r>
      <w:r>
        <w:rPr>
          <w:rFonts w:hint="eastAsia" w:ascii="仿宋_GB2312" w:hAnsi="仿宋_GB2312" w:eastAsia="仿宋_GB2312" w:cs="仿宋_GB2312"/>
          <w:color w:val="auto"/>
          <w:sz w:val="24"/>
          <w:highlight w:val="none"/>
          <w:u w:val="single"/>
        </w:rPr>
        <w:t xml:space="preserve"> / </w:t>
      </w:r>
    </w:p>
    <w:p w14:paraId="0C2DDE5F">
      <w:pPr>
        <w:ind w:left="210" w:leftChars="100"/>
        <w:rPr>
          <w:rFonts w:hint="eastAsia" w:ascii="仿宋_GB2312" w:hAnsi="仿宋_GB2312" w:eastAsia="仿宋_GB2312" w:cs="仿宋_GB2312"/>
          <w:color w:val="auto"/>
          <w:sz w:val="24"/>
          <w:highlight w:val="none"/>
          <w:u w:val="single"/>
        </w:rPr>
      </w:pPr>
    </w:p>
    <w:p w14:paraId="7D4BB25E">
      <w:pPr>
        <w:rPr>
          <w:rFonts w:hint="eastAsia" w:ascii="仿宋_GB2312" w:hAnsi="仿宋_GB2312" w:eastAsia="仿宋_GB2312" w:cs="仿宋_GB2312"/>
          <w:color w:val="auto"/>
          <w:sz w:val="24"/>
          <w:highlight w:val="none"/>
        </w:rPr>
      </w:pPr>
    </w:p>
    <w:p w14:paraId="6A1DD99B">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38. 工程设计</w:t>
      </w:r>
    </w:p>
    <w:p w14:paraId="6E9B6C19">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38.1 对发包人要求和项目基础资料的核实</w:t>
      </w:r>
    </w:p>
    <w:p w14:paraId="2C8BB920">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通用条款第 38.1 款约定。</w:t>
      </w:r>
    </w:p>
    <w:p w14:paraId="6E4B7BC7">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另有约定：</w:t>
      </w:r>
      <w:r>
        <w:rPr>
          <w:rFonts w:ascii="仿宋_GB2312" w:hAnsi="仿宋_GB2312" w:eastAsia="仿宋_GB2312" w:cs="仿宋_GB2312"/>
          <w:color w:val="auto"/>
          <w:sz w:val="24"/>
          <w:highlight w:val="none"/>
          <w:u w:val="single"/>
        </w:rPr>
        <w:t>承包人在工程设计开始工作日期前，应对发包人的设计要求和所提供的项目基础资料、勘察报告或其他途径得到的现场资料的完备性和正确性进行核实，发现错漏应及时提请发包人补充完善</w:t>
      </w:r>
      <w:r>
        <w:rPr>
          <w:rFonts w:hint="eastAsia" w:ascii="仿宋_GB2312" w:hAnsi="仿宋_GB2312" w:eastAsia="仿宋_GB2312" w:cs="仿宋_GB2312"/>
          <w:color w:val="auto"/>
          <w:sz w:val="24"/>
          <w:highlight w:val="none"/>
          <w:u w:val="single"/>
        </w:rPr>
        <w:t>。否则，因此造成的影响由承包人承担。</w:t>
      </w:r>
    </w:p>
    <w:p w14:paraId="29544D01">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38.2 初步设计和（或）施工图设计实施方案</w:t>
      </w:r>
    </w:p>
    <w:p w14:paraId="1BF5C032">
      <w:pPr>
        <w:ind w:left="210" w:leftChars="100"/>
        <w:rPr>
          <w:rFonts w:hint="eastAsia"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①提供时间：</w:t>
      </w:r>
      <w:r>
        <w:rPr>
          <w:rFonts w:ascii="仿宋_GB2312" w:hAnsi="仿宋_GB2312" w:eastAsia="仿宋_GB2312" w:cs="仿宋_GB2312"/>
          <w:color w:val="auto"/>
          <w:sz w:val="24"/>
          <w:highlight w:val="none"/>
          <w:u w:val="single"/>
        </w:rPr>
        <w:t>按合同约定的设计工期为内。</w:t>
      </w:r>
    </w:p>
    <w:p w14:paraId="67DF9951">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②提供方式：</w:t>
      </w:r>
      <w:r>
        <w:rPr>
          <w:rFonts w:hint="eastAsia" w:ascii="仿宋_GB2312" w:hAnsi="仿宋_GB2312" w:eastAsia="仿宋_GB2312" w:cs="仿宋_GB2312"/>
          <w:color w:val="auto"/>
          <w:sz w:val="24"/>
          <w:highlight w:val="none"/>
          <w:u w:val="single"/>
        </w:rPr>
        <w:t>以书面盖章成果送达发包人，并应交发包人代表签收确认</w:t>
      </w:r>
      <w:r>
        <w:rPr>
          <w:rFonts w:ascii="仿宋_GB2312" w:hAnsi="仿宋_GB2312" w:eastAsia="仿宋_GB2312" w:cs="仿宋_GB2312"/>
          <w:color w:val="auto"/>
          <w:sz w:val="24"/>
          <w:highlight w:val="none"/>
          <w:u w:val="single"/>
        </w:rPr>
        <w:t>。</w:t>
      </w:r>
    </w:p>
    <w:p w14:paraId="5ACC4CFA">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③提供数量：</w:t>
      </w:r>
      <w:r>
        <w:rPr>
          <w:rFonts w:hint="eastAsia" w:ascii="仿宋_GB2312" w:hAnsi="仿宋_GB2312" w:eastAsia="仿宋_GB2312" w:cs="仿宋_GB2312"/>
          <w:color w:val="auto"/>
          <w:sz w:val="24"/>
          <w:highlight w:val="none"/>
          <w:u w:val="single"/>
        </w:rPr>
        <w:t>6套</w:t>
      </w:r>
    </w:p>
    <w:p w14:paraId="58E1E732">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38.3 设计实施</w:t>
      </w:r>
    </w:p>
    <w:p w14:paraId="508F1AE9">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38.3.1 适用于发包人按单项工程接收和（或）整个工程接收的标准和规范： </w:t>
      </w:r>
    </w:p>
    <w:p w14:paraId="15F90DB3">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38.3.4 承包人的设计应满足生产或运营设备的工艺流程、配置要求，需要专利人、供应商或发包人提供资料的约定：</w:t>
      </w:r>
      <w:r>
        <w:rPr>
          <w:rFonts w:hint="eastAsia" w:ascii="仿宋_GB2312" w:hAnsi="仿宋_GB2312" w:eastAsia="仿宋_GB2312" w:cs="仿宋_GB2312"/>
          <w:color w:val="auto"/>
          <w:sz w:val="24"/>
          <w:highlight w:val="none"/>
          <w:u w:val="single"/>
        </w:rPr>
        <w:t xml:space="preserve">  </w:t>
      </w:r>
    </w:p>
    <w:p w14:paraId="07E8AFDC">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38.3.6 承包人的合理化建议被采纳，节约投资成本显著或预期产生显著的经济效益，发包人按以下约定给予承包人奖励：</w:t>
      </w:r>
    </w:p>
    <w:p w14:paraId="19EA4CE9">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□优化设计降低造价奖励：</w:t>
      </w:r>
      <w:r>
        <w:rPr>
          <w:rFonts w:hint="eastAsia" w:ascii="仿宋_GB2312" w:hAnsi="仿宋_GB2312" w:eastAsia="仿宋_GB2312" w:cs="仿宋_GB2312"/>
          <w:color w:val="auto"/>
          <w:sz w:val="24"/>
          <w:highlight w:val="none"/>
          <w:u w:val="single"/>
        </w:rPr>
        <w:t xml:space="preserve">  </w:t>
      </w:r>
    </w:p>
    <w:p w14:paraId="3896D4D6">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□其它合理化建议奖励：</w:t>
      </w:r>
      <w:r>
        <w:rPr>
          <w:rFonts w:hint="eastAsia" w:ascii="仿宋_GB2312" w:hAnsi="仿宋_GB2312" w:eastAsia="仿宋_GB2312" w:cs="仿宋_GB2312"/>
          <w:color w:val="auto"/>
          <w:sz w:val="24"/>
          <w:highlight w:val="none"/>
          <w:u w:val="single"/>
        </w:rPr>
        <w:t xml:space="preserve">  </w:t>
      </w:r>
    </w:p>
    <w:p w14:paraId="21028F6F">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38.4 设计文件</w:t>
      </w:r>
    </w:p>
    <w:p w14:paraId="6D9CB9C2">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38.4.1 承包人向发包人提交设计文件的方式、数量和时间</w:t>
      </w:r>
      <w:r>
        <w:rPr>
          <w:rFonts w:hint="eastAsia" w:ascii="仿宋_GB2312" w:hAnsi="仿宋_GB2312" w:eastAsia="仿宋_GB2312" w:cs="仿宋_GB2312"/>
          <w:color w:val="auto"/>
          <w:sz w:val="24"/>
          <w:highlight w:val="none"/>
        </w:rPr>
        <w:t>：</w:t>
      </w:r>
      <w:r>
        <w:rPr>
          <w:rFonts w:hint="eastAsia" w:ascii="仿宋" w:hAnsi="Times New Roman" w:eastAsia="仿宋" w:cs="仿宋"/>
          <w:color w:val="auto"/>
          <w:kern w:val="0"/>
          <w:sz w:val="24"/>
          <w:highlight w:val="none"/>
          <w:u w:val="single"/>
        </w:rPr>
        <w:t>按专用条款第</w:t>
      </w:r>
      <w:r>
        <w:rPr>
          <w:rFonts w:ascii="仿宋" w:hAnsi="Times New Roman" w:eastAsia="仿宋" w:cs="仿宋"/>
          <w:color w:val="auto"/>
          <w:kern w:val="0"/>
          <w:sz w:val="24"/>
          <w:highlight w:val="none"/>
          <w:u w:val="single"/>
        </w:rPr>
        <w:t>7</w:t>
      </w:r>
      <w:r>
        <w:rPr>
          <w:rFonts w:hint="eastAsia" w:ascii="仿宋" w:hAnsi="Times New Roman" w:eastAsia="仿宋" w:cs="仿宋"/>
          <w:color w:val="auto"/>
          <w:kern w:val="0"/>
          <w:sz w:val="24"/>
          <w:highlight w:val="none"/>
          <w:u w:val="single"/>
        </w:rPr>
        <w:t>款执行</w:t>
      </w:r>
      <w:r>
        <w:rPr>
          <w:rFonts w:hint="eastAsia" w:ascii="仿宋" w:hAnsi="Times New Roman" w:eastAsia="仿宋" w:cs="仿宋"/>
          <w:color w:val="auto"/>
          <w:kern w:val="0"/>
          <w:sz w:val="24"/>
          <w:highlight w:val="none"/>
        </w:rPr>
        <w:t>。</w:t>
      </w:r>
    </w:p>
    <w:p w14:paraId="2F17DDE6">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38.5 装配式建筑</w:t>
      </w:r>
    </w:p>
    <w:p w14:paraId="2232967E">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38.5.1（1）装配式建筑采用的技术标准、规范及要求：</w:t>
      </w:r>
    </w:p>
    <w:p w14:paraId="66E6D80E">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□国家《装配式混凝土建筑技术标准》（GB/T51231-2016）、《装配式钢结构建筑技术标准》（GB/T51232-2016）、《钢筋套筒灌浆连接应用技术规程》（JGJ355-2015）</w:t>
      </w:r>
    </w:p>
    <w:p w14:paraId="654A97B9">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□《装配式钢结构建筑技术规程》（DBJ/T 15-177-2020）、《装配式混凝土结构工程预制构件生产质量验收规程》（T/GZBC10-2019）、《装配式混凝土结构工程施工质量验收规程》(DB4401/T16-2019)</w:t>
      </w:r>
    </w:p>
    <w:p w14:paraId="30AF5A3F">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□《广州市住房和城乡建设委员会关于印发广州市装配式建筑工程质量安全管理指引(试行)的通知》（穗建质[2018]477 号）。</w:t>
      </w:r>
    </w:p>
    <w:p w14:paraId="70018732">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□其他标准、规范及文件：</w:t>
      </w:r>
    </w:p>
    <w:p w14:paraId="5CBA4938">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（2）本项目装配式建筑选用的评价标准：</w:t>
      </w:r>
    </w:p>
    <w:p w14:paraId="641F2245">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□国家《装配式混凝土建筑技术标准》（GB/T51231-2016）</w:t>
      </w:r>
    </w:p>
    <w:p w14:paraId="5C31EBD7">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□广东省《装配式建筑评价标准》（DBJ/T15-163-2019）</w:t>
      </w:r>
    </w:p>
    <w:p w14:paraId="637EA2ED">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各装配式单体工程的名称及装配率（或评价等级）要求：</w:t>
      </w:r>
      <w:r>
        <w:rPr>
          <w:rFonts w:hint="eastAsia" w:ascii="仿宋_GB2312" w:hAnsi="仿宋_GB2312" w:eastAsia="仿宋_GB2312" w:cs="仿宋_GB2312"/>
          <w:color w:val="auto"/>
          <w:sz w:val="24"/>
          <w:highlight w:val="none"/>
          <w:u w:val="single"/>
        </w:rPr>
        <w:t xml:space="preserve">  </w:t>
      </w:r>
    </w:p>
    <w:p w14:paraId="72CA4177">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38.6 设计审查</w:t>
      </w:r>
    </w:p>
    <w:p w14:paraId="6E5D4E3B">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38.6.1.1 发包人对承包人设计文件审查的范围、内容的约定：</w:t>
      </w:r>
    </w:p>
    <w:p w14:paraId="4B2B0675">
      <w:pPr>
        <w:ind w:left="210" w:leftChars="100" w:firstLine="240" w:firstLineChars="100"/>
        <w:rPr>
          <w:rFonts w:ascii="仿宋" w:hAnsi="Times New Roman" w:eastAsia="仿宋" w:cs="仿宋"/>
          <w:color w:val="auto"/>
          <w:kern w:val="0"/>
          <w:sz w:val="24"/>
          <w:highlight w:val="none"/>
          <w:u w:val="single"/>
        </w:rPr>
      </w:pPr>
      <w:r>
        <w:rPr>
          <w:rFonts w:hint="eastAsia" w:ascii="仿宋" w:hAnsi="Times New Roman" w:eastAsia="仿宋" w:cs="仿宋"/>
          <w:color w:val="auto"/>
          <w:kern w:val="0"/>
          <w:sz w:val="24"/>
          <w:highlight w:val="none"/>
          <w:u w:val="single"/>
        </w:rPr>
        <w:t>承包人的设计文件应报发包人审查同意。审查的范围和内容在发包人要求中约定。</w:t>
      </w:r>
    </w:p>
    <w:p w14:paraId="6A99D92E">
      <w:pPr>
        <w:ind w:left="210" w:leftChars="100"/>
        <w:rPr>
          <w:rFonts w:ascii="仿宋" w:hAnsi="Times New Roman" w:eastAsia="仿宋" w:cs="仿宋"/>
          <w:color w:val="auto"/>
          <w:kern w:val="0"/>
          <w:sz w:val="24"/>
          <w:highlight w:val="none"/>
          <w:u w:val="single"/>
        </w:rPr>
      </w:pPr>
      <w:r>
        <w:rPr>
          <w:rFonts w:hint="eastAsia" w:ascii="仿宋" w:hAnsi="Times New Roman" w:eastAsia="仿宋" w:cs="仿宋"/>
          <w:color w:val="auto"/>
          <w:kern w:val="0"/>
          <w:sz w:val="24"/>
          <w:highlight w:val="none"/>
          <w:u w:val="single"/>
        </w:rPr>
        <w:t>承包人的设计文件不需要政府有关部门审查或批准的，承包人应当严格按照经发包人审查同意的设计文件设计和实施工程。</w:t>
      </w:r>
    </w:p>
    <w:p w14:paraId="26E9D252">
      <w:pPr>
        <w:ind w:left="210" w:leftChars="100" w:firstLine="240" w:firstLineChars="100"/>
        <w:rPr>
          <w:rFonts w:ascii="仿宋" w:hAnsi="Times New Roman" w:eastAsia="仿宋" w:cs="仿宋"/>
          <w:color w:val="auto"/>
          <w:kern w:val="0"/>
          <w:sz w:val="24"/>
          <w:highlight w:val="none"/>
          <w:u w:val="single"/>
        </w:rPr>
      </w:pPr>
      <w:r>
        <w:rPr>
          <w:rFonts w:hint="eastAsia" w:ascii="仿宋" w:hAnsi="Times New Roman" w:eastAsia="仿宋" w:cs="仿宋"/>
          <w:color w:val="auto"/>
          <w:kern w:val="0"/>
          <w:sz w:val="24"/>
          <w:highlight w:val="none"/>
          <w:u w:val="single"/>
        </w:rPr>
        <w:t>设计文件需政府有关部门审查或批准的，发包人应在审查同意承包人的设计文件后</w:t>
      </w:r>
      <w:r>
        <w:rPr>
          <w:rFonts w:ascii="仿宋" w:hAnsi="Times New Roman" w:eastAsia="仿宋" w:cs="仿宋"/>
          <w:color w:val="auto"/>
          <w:kern w:val="0"/>
          <w:sz w:val="24"/>
          <w:highlight w:val="none"/>
          <w:u w:val="single"/>
        </w:rPr>
        <w:t xml:space="preserve">7 </w:t>
      </w:r>
      <w:r>
        <w:rPr>
          <w:rFonts w:hint="eastAsia" w:ascii="仿宋" w:hAnsi="Times New Roman" w:eastAsia="仿宋" w:cs="仿宋"/>
          <w:color w:val="auto"/>
          <w:kern w:val="0"/>
          <w:sz w:val="24"/>
          <w:highlight w:val="none"/>
          <w:u w:val="single"/>
        </w:rPr>
        <w:t>天内，承包人向政府有关部门报送设计文件，发包人应予以协助。对于政府有关部门的审查意见，不需要修改发包人要求的，承包人需按该审查意见修改承包人的设计文件；需要修改发包人要求的，发包人应重新提出发包人要求，承包人应根据新提出的发包人要求修改承包人文件。</w:t>
      </w:r>
    </w:p>
    <w:p w14:paraId="55DE7E88">
      <w:pPr>
        <w:ind w:left="210" w:leftChars="100" w:firstLine="240" w:firstLineChars="100"/>
        <w:rPr>
          <w:rFonts w:hint="eastAsia" w:ascii="仿宋_GB2312" w:hAnsi="仿宋_GB2312" w:eastAsia="仿宋_GB2312" w:cs="仿宋_GB2312"/>
          <w:color w:val="auto"/>
          <w:sz w:val="24"/>
          <w:highlight w:val="none"/>
        </w:rPr>
      </w:pPr>
      <w:r>
        <w:rPr>
          <w:rFonts w:hint="eastAsia" w:ascii="仿宋" w:hAnsi="Times New Roman" w:eastAsia="仿宋" w:cs="仿宋"/>
          <w:color w:val="auto"/>
          <w:kern w:val="0"/>
          <w:sz w:val="24"/>
          <w:highlight w:val="none"/>
          <w:u w:val="single"/>
        </w:rPr>
        <w:t>政府有关部门审查批准的，承包人应当严格按照批准后的承包人的设计文件设计和实施工程</w:t>
      </w:r>
      <w:r>
        <w:rPr>
          <w:rFonts w:hint="eastAsia" w:ascii="仿宋" w:hAnsi="Times New Roman" w:eastAsia="仿宋" w:cs="仿宋"/>
          <w:color w:val="auto"/>
          <w:kern w:val="0"/>
          <w:sz w:val="24"/>
          <w:highlight w:val="none"/>
        </w:rPr>
        <w:t>。</w:t>
      </w:r>
    </w:p>
    <w:p w14:paraId="0CFD358D">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38.6.1.2 发包人对承包人设计文件的审查期限：</w:t>
      </w:r>
    </w:p>
    <w:p w14:paraId="2847A03B">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通用条款第 38.6.1.2 款约定；</w:t>
      </w:r>
    </w:p>
    <w:p w14:paraId="636B31FF">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另有约定：</w:t>
      </w:r>
      <w:r>
        <w:rPr>
          <w:rFonts w:hint="eastAsia" w:ascii="仿宋_GB2312" w:hAnsi="仿宋_GB2312" w:eastAsia="仿宋_GB2312" w:cs="仿宋_GB2312"/>
          <w:color w:val="auto"/>
          <w:sz w:val="24"/>
          <w:highlight w:val="none"/>
          <w:u w:val="single"/>
        </w:rPr>
        <w:t xml:space="preserve">  </w:t>
      </w:r>
    </w:p>
    <w:p w14:paraId="10BCBDC5">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38.6.3.2 发包人需要组织审查会议的，审查会议的审查形式和时间：</w:t>
      </w:r>
    </w:p>
    <w:p w14:paraId="595C8F87">
      <w:pPr>
        <w:ind w:left="210" w:leftChars="100"/>
        <w:rPr>
          <w:rFonts w:ascii="仿宋" w:hAnsi="Times New Roman" w:eastAsia="仿宋" w:cs="仿宋"/>
          <w:color w:val="auto"/>
          <w:kern w:val="0"/>
          <w:sz w:val="24"/>
          <w:highlight w:val="none"/>
        </w:rPr>
      </w:pPr>
      <w:r>
        <w:rPr>
          <w:rFonts w:ascii="仿宋_GB2312" w:hAnsi="仿宋_GB2312" w:eastAsia="仿宋_GB2312" w:cs="仿宋_GB2312"/>
          <w:color w:val="auto"/>
          <w:sz w:val="24"/>
          <w:highlight w:val="none"/>
        </w:rPr>
        <w:t>①审查形式：</w:t>
      </w:r>
      <w:r>
        <w:rPr>
          <w:rFonts w:hint="eastAsia" w:ascii="仿宋" w:hAnsi="Times New Roman" w:eastAsia="仿宋" w:cs="仿宋"/>
          <w:color w:val="auto"/>
          <w:kern w:val="0"/>
          <w:sz w:val="24"/>
          <w:highlight w:val="none"/>
          <w:u w:val="single"/>
        </w:rPr>
        <w:t>在发包人要求中约定</w:t>
      </w:r>
      <w:r>
        <w:rPr>
          <w:rFonts w:hint="eastAsia" w:ascii="仿宋" w:hAnsi="Times New Roman" w:eastAsia="仿宋" w:cs="仿宋"/>
          <w:color w:val="auto"/>
          <w:kern w:val="0"/>
          <w:sz w:val="24"/>
          <w:highlight w:val="none"/>
        </w:rPr>
        <w:t>。</w:t>
      </w:r>
    </w:p>
    <w:p w14:paraId="5C930E68">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②审查时间：</w:t>
      </w:r>
      <w:r>
        <w:rPr>
          <w:rFonts w:hint="eastAsia" w:ascii="仿宋" w:hAnsi="Times New Roman" w:eastAsia="仿宋" w:cs="仿宋"/>
          <w:color w:val="auto"/>
          <w:kern w:val="0"/>
          <w:sz w:val="24"/>
          <w:highlight w:val="none"/>
          <w:u w:val="single"/>
        </w:rPr>
        <w:t>在发包人要求中约定</w:t>
      </w:r>
      <w:r>
        <w:rPr>
          <w:rFonts w:hint="eastAsia" w:ascii="仿宋" w:hAnsi="Times New Roman" w:eastAsia="仿宋" w:cs="仿宋"/>
          <w:color w:val="auto"/>
          <w:kern w:val="0"/>
          <w:sz w:val="24"/>
          <w:highlight w:val="none"/>
        </w:rPr>
        <w:t>。</w:t>
      </w:r>
    </w:p>
    <w:p w14:paraId="04C632A8">
      <w:pPr>
        <w:ind w:left="210" w:leftChars="100"/>
        <w:rPr>
          <w:rFonts w:hint="eastAsia" w:ascii="仿宋_GB2312" w:hAnsi="仿宋_GB2312" w:eastAsia="仿宋_GB2312" w:cs="仿宋_GB2312"/>
          <w:color w:val="auto"/>
          <w:sz w:val="24"/>
          <w:highlight w:val="none"/>
        </w:rPr>
      </w:pPr>
    </w:p>
    <w:p w14:paraId="399EC3D8">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40. 进度计划和报告</w:t>
      </w:r>
    </w:p>
    <w:p w14:paraId="6BCE8E4A">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40.3 提交工程进度报告和修订进度计划</w:t>
      </w:r>
    </w:p>
    <w:p w14:paraId="0D10C655">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承包人编制月勘察进度报告和修订进度计划的约定：</w:t>
      </w:r>
      <w:r>
        <w:rPr>
          <w:rFonts w:hint="eastAsia" w:ascii="仿宋_GB2312" w:hAnsi="仿宋_GB2312" w:eastAsia="仿宋_GB2312" w:cs="仿宋_GB2312"/>
          <w:color w:val="auto"/>
          <w:sz w:val="24"/>
          <w:highlight w:val="none"/>
          <w:u w:val="single"/>
        </w:rPr>
        <w:t xml:space="preserve">    </w:t>
      </w:r>
    </w:p>
    <w:p w14:paraId="19FCE325">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承包人编制月初步设计进度报告和修订进度计划的约定：</w:t>
      </w:r>
      <w:r>
        <w:rPr>
          <w:rFonts w:hint="eastAsia" w:ascii="仿宋_GB2312" w:hAnsi="仿宋_GB2312" w:eastAsia="仿宋_GB2312" w:cs="仿宋_GB2312"/>
          <w:color w:val="auto"/>
          <w:sz w:val="24"/>
          <w:highlight w:val="none"/>
          <w:u w:val="single"/>
        </w:rPr>
        <w:t>按通用条款。</w:t>
      </w:r>
    </w:p>
    <w:p w14:paraId="58BB2DFF">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承包人编制月施工图设计进度报告和修订进度计划的约定：</w:t>
      </w:r>
      <w:r>
        <w:rPr>
          <w:rFonts w:hint="eastAsia" w:ascii="仿宋_GB2312" w:hAnsi="仿宋_GB2312" w:eastAsia="仿宋_GB2312" w:cs="仿宋_GB2312"/>
          <w:color w:val="auto"/>
          <w:sz w:val="24"/>
          <w:highlight w:val="none"/>
          <w:u w:val="single"/>
        </w:rPr>
        <w:t>按通用条款。</w:t>
      </w:r>
    </w:p>
    <w:p w14:paraId="29773B3A">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□承包人编制月BIM技术应用进度报告和修订进度计划的约定：</w:t>
      </w:r>
      <w:r>
        <w:rPr>
          <w:rFonts w:hint="eastAsia" w:ascii="仿宋_GB2312" w:hAnsi="仿宋_GB2312" w:eastAsia="仿宋_GB2312" w:cs="仿宋_GB2312"/>
          <w:color w:val="auto"/>
          <w:sz w:val="24"/>
          <w:highlight w:val="none"/>
          <w:u w:val="single"/>
        </w:rPr>
        <w:t xml:space="preserve">  </w:t>
      </w:r>
    </w:p>
    <w:p w14:paraId="0BA40479">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承包人编制月施工进度报告和修订进度计划的约定：</w:t>
      </w:r>
      <w:r>
        <w:rPr>
          <w:rFonts w:hint="eastAsia" w:ascii="仿宋_GB2312" w:hAnsi="仿宋_GB2312" w:eastAsia="仿宋_GB2312" w:cs="仿宋_GB2312"/>
          <w:color w:val="auto"/>
          <w:sz w:val="24"/>
          <w:highlight w:val="none"/>
          <w:u w:val="single"/>
        </w:rPr>
        <w:t>按通用条款。</w:t>
      </w:r>
    </w:p>
    <w:p w14:paraId="2FBDF758">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承包人编制月设备及工器具购置进度报告和修订进度计划的约定：</w:t>
      </w:r>
      <w:r>
        <w:rPr>
          <w:rFonts w:hint="eastAsia" w:ascii="仿宋_GB2312" w:hAnsi="仿宋_GB2312" w:eastAsia="仿宋_GB2312" w:cs="仿宋_GB2312"/>
          <w:color w:val="auto"/>
          <w:sz w:val="24"/>
          <w:highlight w:val="none"/>
          <w:u w:val="single"/>
        </w:rPr>
        <w:t>按通用条款。</w:t>
      </w:r>
    </w:p>
    <w:p w14:paraId="31616C3D">
      <w:pPr>
        <w:ind w:left="210" w:leftChars="100"/>
        <w:rPr>
          <w:rFonts w:hint="eastAsia"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□承包人编制月其他服务进度报告和修订进度计划的约定：</w:t>
      </w:r>
      <w:r>
        <w:rPr>
          <w:rFonts w:hint="eastAsia" w:ascii="仿宋_GB2312" w:hAnsi="仿宋_GB2312" w:eastAsia="仿宋_GB2312" w:cs="仿宋_GB2312"/>
          <w:color w:val="auto"/>
          <w:sz w:val="24"/>
          <w:highlight w:val="none"/>
          <w:u w:val="single"/>
        </w:rPr>
        <w:t xml:space="preserve">  </w:t>
      </w:r>
    </w:p>
    <w:p w14:paraId="00D63C83">
      <w:pPr>
        <w:ind w:left="210" w:leftChars="100"/>
        <w:rPr>
          <w:rFonts w:hint="eastAsia" w:ascii="仿宋_GB2312" w:hAnsi="仿宋_GB2312" w:eastAsia="仿宋_GB2312" w:cs="仿宋_GB2312"/>
          <w:color w:val="auto"/>
          <w:sz w:val="24"/>
          <w:highlight w:val="none"/>
          <w:u w:val="single"/>
        </w:rPr>
      </w:pPr>
    </w:p>
    <w:p w14:paraId="70DE1E1E">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41. 开始工作或开工</w:t>
      </w:r>
    </w:p>
    <w:p w14:paraId="4325BA29">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41.2.1 开始工作</w:t>
      </w:r>
    </w:p>
    <w:p w14:paraId="3F94E11A">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①发包人签发开始勘察工作指令的时间要求：</w:t>
      </w:r>
    </w:p>
    <w:p w14:paraId="7BFA518A">
      <w:pPr>
        <w:ind w:left="210" w:leftChars="100"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按通用条款约定的时间。</w:t>
      </w:r>
    </w:p>
    <w:p w14:paraId="036FF532">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 xml:space="preserve">  </w:t>
      </w:r>
    </w:p>
    <w:p w14:paraId="51AE231A">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②发包人签发开始设计工作指令的时间要求：</w:t>
      </w:r>
    </w:p>
    <w:p w14:paraId="0D789F9F">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按通用条款约定的时间。</w:t>
      </w:r>
    </w:p>
    <w:p w14:paraId="7469FC7E">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 xml:space="preserve">  </w:t>
      </w:r>
    </w:p>
    <w:p w14:paraId="61ECCDDB">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③发包人签发开始 BIM 技术应用工作指令的时间要求：</w:t>
      </w:r>
    </w:p>
    <w:p w14:paraId="2C46B862">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 □按通用条款约定的时间。</w:t>
      </w:r>
    </w:p>
    <w:p w14:paraId="64CDEC0E">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 xml:space="preserve">  </w:t>
      </w:r>
    </w:p>
    <w:p w14:paraId="0F889382">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④发包人签发开始设备及工器具购置工作指令的时间要求：</w:t>
      </w:r>
    </w:p>
    <w:p w14:paraId="0563EDC8">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 □按通用条款约定的时间。</w:t>
      </w:r>
    </w:p>
    <w:p w14:paraId="23B62A0B">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 xml:space="preserve">  </w:t>
      </w:r>
    </w:p>
    <w:p w14:paraId="01618667">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42.2.2 开工</w:t>
      </w:r>
    </w:p>
    <w:p w14:paraId="4E6BFE86">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发包人签发开工令的时间要求：</w:t>
      </w:r>
    </w:p>
    <w:p w14:paraId="100C8E6C">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按通用条款约定的时间。</w:t>
      </w:r>
    </w:p>
    <w:p w14:paraId="0BF200F5">
      <w:pPr>
        <w:ind w:left="210" w:leftChars="100"/>
        <w:rPr>
          <w:rFonts w:hint="eastAsia"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 xml:space="preserve">  </w:t>
      </w:r>
    </w:p>
    <w:p w14:paraId="6136BA70">
      <w:pPr>
        <w:ind w:left="210" w:leftChars="100"/>
        <w:rPr>
          <w:rFonts w:hint="eastAsia" w:ascii="仿宋_GB2312" w:hAnsi="仿宋_GB2312" w:eastAsia="仿宋_GB2312" w:cs="仿宋_GB2312"/>
          <w:color w:val="auto"/>
          <w:sz w:val="24"/>
          <w:highlight w:val="none"/>
          <w:u w:val="single"/>
        </w:rPr>
      </w:pPr>
    </w:p>
    <w:p w14:paraId="5CDABFF4">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42. 暂停工作、暂停施工和复工</w:t>
      </w:r>
    </w:p>
    <w:p w14:paraId="48920395">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42.4 发包人、承包人原因和不可抗力因素造成暂停施工的责任</w:t>
      </w:r>
    </w:p>
    <w:p w14:paraId="389D00F8">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（4）承包人原因造成暂停施工的其他原因：</w:t>
      </w:r>
      <w:r>
        <w:rPr>
          <w:rFonts w:hint="eastAsia" w:ascii="仿宋_GB2312" w:hAnsi="仿宋_GB2312" w:eastAsia="仿宋_GB2312" w:cs="仿宋_GB2312"/>
          <w:color w:val="auto"/>
          <w:sz w:val="24"/>
          <w:highlight w:val="none"/>
          <w:u w:val="single"/>
        </w:rPr>
        <w:t>质量事故；安全生产事故；因承包人管理不善，可能导致现场混乱；承包人违规施工，经监理工程师通知改正但仍不执行。</w:t>
      </w:r>
    </w:p>
    <w:p w14:paraId="724E5012">
      <w:pPr>
        <w:rPr>
          <w:rFonts w:hint="eastAsia" w:ascii="仿宋_GB2312" w:hAnsi="仿宋_GB2312" w:eastAsia="仿宋_GB2312" w:cs="仿宋_GB2312"/>
          <w:color w:val="auto"/>
          <w:sz w:val="24"/>
          <w:highlight w:val="none"/>
        </w:rPr>
      </w:pPr>
    </w:p>
    <w:p w14:paraId="301673D5">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43. 工期和工期延误</w:t>
      </w:r>
    </w:p>
    <w:p w14:paraId="219795DA">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43.1 工期计算</w:t>
      </w:r>
    </w:p>
    <w:p w14:paraId="58D7813D">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合同工程的工期约定为（ </w:t>
      </w:r>
      <w:r>
        <w:rPr>
          <w:rFonts w:hint="eastAsia" w:ascii="仿宋_GB2312" w:hAnsi="仿宋_GB2312" w:eastAsia="仿宋_GB2312" w:cs="仿宋_GB2312"/>
          <w:color w:val="auto"/>
          <w:sz w:val="24"/>
          <w:highlight w:val="none"/>
        </w:rPr>
        <w:t>90</w:t>
      </w:r>
      <w:r>
        <w:rPr>
          <w:rFonts w:ascii="仿宋_GB2312" w:hAnsi="仿宋_GB2312" w:eastAsia="仿宋_GB2312" w:cs="仿宋_GB2312"/>
          <w:color w:val="auto"/>
          <w:sz w:val="24"/>
          <w:highlight w:val="none"/>
        </w:rPr>
        <w:t xml:space="preserve">  ）天。</w:t>
      </w:r>
    </w:p>
    <w:p w14:paraId="6AB07A7C">
      <w:pPr>
        <w:widowControl/>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43.1.1 本合同工程的勘察工期</w:t>
      </w:r>
      <w:r>
        <w:rPr>
          <w:rFonts w:ascii="仿宋_GB2312" w:hAnsi="宋体" w:eastAsia="仿宋_GB2312" w:cs="仿宋_GB2312"/>
          <w:i w:val="0"/>
          <w:caps w:val="0"/>
          <w:color w:val="auto"/>
          <w:spacing w:val="0"/>
          <w:kern w:val="0"/>
          <w:sz w:val="24"/>
          <w:szCs w:val="24"/>
          <w:highlight w:val="none"/>
          <w:u w:val="single"/>
          <w:lang w:val="en-US" w:eastAsia="zh-CN" w:bidi="ar"/>
        </w:rPr>
        <w:t>(绝对日期或相对日期):具体以发包人发出的书面指令为准</w:t>
      </w:r>
      <w:r>
        <w:rPr>
          <w:rFonts w:hint="eastAsia" w:ascii="仿宋_GB2312" w:hAnsi="宋体" w:eastAsia="仿宋_GB2312" w:cs="仿宋_GB2312"/>
          <w:i w:val="0"/>
          <w:caps w:val="0"/>
          <w:color w:val="auto"/>
          <w:spacing w:val="0"/>
          <w:kern w:val="0"/>
          <w:sz w:val="24"/>
          <w:szCs w:val="24"/>
          <w:highlight w:val="none"/>
          <w:u w:val="single"/>
          <w:lang w:val="en-US" w:eastAsia="zh-CN" w:bidi="ar"/>
        </w:rPr>
        <w:t>；完成工作日期(绝对日期或相对日期):以实际正式设计日期+合同要求为准</w:t>
      </w:r>
      <w:r>
        <w:rPr>
          <w:rFonts w:ascii="仿宋_GB2312" w:hAnsi="仿宋_GB2312" w:eastAsia="仿宋_GB2312" w:cs="仿宋_GB2312"/>
          <w:color w:val="auto"/>
          <w:sz w:val="24"/>
          <w:szCs w:val="24"/>
          <w:highlight w:val="none"/>
        </w:rPr>
        <w:t>。</w:t>
      </w:r>
    </w:p>
    <w:p w14:paraId="57AA26BA">
      <w:pPr>
        <w:widowControl/>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ascii="仿宋_GB2312" w:hAnsi="仿宋_GB2312" w:eastAsia="仿宋_GB2312" w:cs="仿宋_GB2312"/>
          <w:color w:val="auto"/>
          <w:sz w:val="24"/>
          <w:szCs w:val="24"/>
          <w:highlight w:val="none"/>
        </w:rPr>
        <w:t>43.1.2 本合同工程的设计工期</w:t>
      </w:r>
      <w:r>
        <w:rPr>
          <w:rFonts w:ascii="仿宋_GB2312" w:hAnsi="宋体" w:eastAsia="仿宋_GB2312" w:cs="仿宋_GB2312"/>
          <w:i w:val="0"/>
          <w:caps w:val="0"/>
          <w:color w:val="auto"/>
          <w:spacing w:val="0"/>
          <w:kern w:val="0"/>
          <w:sz w:val="24"/>
          <w:szCs w:val="24"/>
          <w:highlight w:val="none"/>
          <w:u w:val="single"/>
          <w:lang w:val="en-US" w:eastAsia="zh-CN" w:bidi="ar"/>
        </w:rPr>
        <w:t>(绝对日期或相对日期):具体以发包人发出的书面指令为准</w:t>
      </w:r>
      <w:r>
        <w:rPr>
          <w:rFonts w:hint="eastAsia" w:ascii="仿宋_GB2312" w:hAnsi="宋体" w:eastAsia="仿宋_GB2312" w:cs="仿宋_GB2312"/>
          <w:i w:val="0"/>
          <w:caps w:val="0"/>
          <w:color w:val="auto"/>
          <w:spacing w:val="0"/>
          <w:kern w:val="0"/>
          <w:sz w:val="24"/>
          <w:szCs w:val="24"/>
          <w:highlight w:val="none"/>
          <w:u w:val="single"/>
          <w:lang w:val="en-US" w:eastAsia="zh-CN" w:bidi="ar"/>
        </w:rPr>
        <w:t>；完成工作日期(绝对日期或相对日期):以实际正式设计日期+合同要求为准；</w:t>
      </w:r>
      <w:r>
        <w:rPr>
          <w:rFonts w:ascii="仿宋_GB2312" w:hAnsi="仿宋_GB2312" w:eastAsia="仿宋_GB2312" w:cs="仿宋_GB2312"/>
          <w:color w:val="auto"/>
          <w:sz w:val="24"/>
          <w:szCs w:val="24"/>
          <w:highlight w:val="none"/>
        </w:rPr>
        <w:t>。</w:t>
      </w:r>
    </w:p>
    <w:p w14:paraId="64AF46EA">
      <w:pPr>
        <w:ind w:left="210" w:left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ascii="仿宋_GB2312" w:hAnsi="仿宋_GB2312" w:eastAsia="仿宋_GB2312" w:cs="仿宋_GB2312"/>
          <w:color w:val="auto"/>
          <w:sz w:val="24"/>
          <w:szCs w:val="24"/>
          <w:highlight w:val="none"/>
        </w:rPr>
        <w:t>43.1.3 本合同工程的 BIM 技术应用工期约定为</w:t>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rPr>
        <w:t>天。其中初步设计阶段工期为</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rPr>
        <w:t>天；施工图设计阶段工期为</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rPr>
        <w:t>天；施工阶段工期为</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rPr>
        <w:t>天；竣工验收、</w:t>
      </w:r>
    </w:p>
    <w:p w14:paraId="184ED5F4">
      <w:pPr>
        <w:ind w:left="210" w:leftChars="100"/>
        <w:rPr>
          <w:rFonts w:hint="eastAsia"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结算阶段工期为</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rPr>
        <w:t>天；运营维护阶段工期为</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single"/>
        </w:rPr>
        <w:t>/</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rPr>
        <w:t>天。</w:t>
      </w:r>
    </w:p>
    <w:p w14:paraId="14936802">
      <w:pPr>
        <w:ind w:left="210" w:leftChars="100"/>
        <w:rPr>
          <w:rFonts w:hint="eastAsia"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□43.1.4 本合同工程的设备及工器具购置工期约定为</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rPr>
        <w:t>天。</w:t>
      </w:r>
    </w:p>
    <w:p w14:paraId="412091A5">
      <w:pPr>
        <w:pStyle w:val="9"/>
        <w:widowControl/>
        <w:spacing w:beforeAutospacing="0" w:after="0" w:afterAutospacing="0" w:line="324" w:lineRule="atLeast"/>
        <w:ind w:left="0" w:right="0" w:firstLine="315"/>
        <w:jc w:val="both"/>
        <w:rPr>
          <w:rFonts w:ascii="-webkit-standard" w:hAnsi="-webkit-standard" w:eastAsia="-webkit-standard" w:cs="-webkit-standard"/>
          <w:i w:val="0"/>
          <w:caps w:val="0"/>
          <w:color w:val="auto"/>
          <w:spacing w:val="0"/>
          <w:sz w:val="24"/>
          <w:szCs w:val="24"/>
          <w:highlight w:val="none"/>
          <w:u w:val="none"/>
        </w:rPr>
      </w:pPr>
      <w:r>
        <w:rPr>
          <w:rFonts w:hint="eastAsia" w:ascii="仿宋_GB2312" w:hAnsi="仿宋_GB2312" w:eastAsia="仿宋_GB2312" w:cs="仿宋_GB2312"/>
          <w:color w:val="auto"/>
          <w:sz w:val="24"/>
          <w:szCs w:val="24"/>
          <w:highlight w:val="none"/>
        </w:rPr>
        <w:t>☑</w:t>
      </w:r>
      <w:r>
        <w:rPr>
          <w:rFonts w:ascii="仿宋_GB2312" w:hAnsi="仿宋_GB2312" w:eastAsia="仿宋_GB2312" w:cs="仿宋_GB2312"/>
          <w:color w:val="auto"/>
          <w:sz w:val="24"/>
          <w:szCs w:val="24"/>
          <w:highlight w:val="none"/>
        </w:rPr>
        <w:t>43.1.5 本合同工程的施工工期</w:t>
      </w:r>
      <w:r>
        <w:rPr>
          <w:rFonts w:ascii="仿宋_GB2312" w:hAnsi="-webkit-standard" w:eastAsia="仿宋_GB2312" w:cs="仿宋_GB2312"/>
          <w:i w:val="0"/>
          <w:caps w:val="0"/>
          <w:color w:val="auto"/>
          <w:spacing w:val="0"/>
          <w:sz w:val="24"/>
          <w:szCs w:val="24"/>
          <w:highlight w:val="none"/>
          <w:u w:val="single"/>
        </w:rPr>
        <w:t>(绝对日期或相对日期):具体以发包人或总监理工程师发出的书面开工令为准</w:t>
      </w:r>
      <w:r>
        <w:rPr>
          <w:rFonts w:hint="eastAsia" w:ascii="仿宋_GB2312" w:hAnsi="-webkit-standard" w:eastAsia="仿宋_GB2312" w:cs="仿宋_GB2312"/>
          <w:i w:val="0"/>
          <w:caps w:val="0"/>
          <w:color w:val="auto"/>
          <w:spacing w:val="0"/>
          <w:sz w:val="24"/>
          <w:szCs w:val="24"/>
          <w:highlight w:val="none"/>
          <w:u w:val="single"/>
        </w:rPr>
        <w:t>；竣工日期(绝对日期或相对日期):以实际正式开工日期+合同总工期为准；</w:t>
      </w:r>
    </w:p>
    <w:p w14:paraId="24A86453">
      <w:pPr>
        <w:pStyle w:val="9"/>
        <w:widowControl/>
        <w:spacing w:beforeAutospacing="0" w:after="0" w:afterAutospacing="0" w:line="324" w:lineRule="atLeast"/>
        <w:ind w:left="0" w:right="0" w:firstLine="315"/>
        <w:jc w:val="both"/>
        <w:rPr>
          <w:rFonts w:hint="eastAsia" w:ascii="仿宋_GB2312" w:hAnsi="仿宋_GB2312" w:eastAsia="仿宋_GB2312" w:cs="仿宋_GB2312"/>
          <w:color w:val="auto"/>
          <w:sz w:val="24"/>
          <w:highlight w:val="none"/>
        </w:rPr>
      </w:pPr>
      <w:r>
        <w:rPr>
          <w:rFonts w:hint="eastAsia" w:ascii="仿宋_GB2312" w:hAnsi="-webkit-standard" w:eastAsia="仿宋_GB2312" w:cs="仿宋_GB2312"/>
          <w:b/>
          <w:i w:val="0"/>
          <w:caps w:val="0"/>
          <w:color w:val="auto"/>
          <w:spacing w:val="0"/>
          <w:sz w:val="24"/>
          <w:szCs w:val="24"/>
          <w:highlight w:val="none"/>
          <w:u w:val="single"/>
        </w:rPr>
        <w:t>施工关键节点工期要求(实施时间按发包人的具体要求执行)</w:t>
      </w:r>
      <w:r>
        <w:rPr>
          <w:rFonts w:ascii="仿宋_GB2312" w:hAnsi="仿宋_GB2312" w:eastAsia="仿宋_GB2312" w:cs="仿宋_GB2312"/>
          <w:color w:val="auto"/>
          <w:sz w:val="24"/>
          <w:szCs w:val="24"/>
          <w:highlight w:val="none"/>
        </w:rPr>
        <w:t>。</w:t>
      </w:r>
    </w:p>
    <w:p w14:paraId="6B468CB5">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43.2 合同中包括有多个单项工程的，各单项工程的工期约定：</w:t>
      </w:r>
    </w:p>
    <w:p w14:paraId="7DCF6FD1">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①单项工程（工程名称）</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，工期约定为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天；</w:t>
      </w:r>
    </w:p>
    <w:p w14:paraId="151DA873">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②单项工程（工程名称）</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，工期约定为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天。</w:t>
      </w:r>
    </w:p>
    <w:p w14:paraId="24847351">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43.9 赶工措施费</w:t>
      </w:r>
    </w:p>
    <w:p w14:paraId="539ED62A">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□发包人要求的合同工程施工工期小于定额工期的</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%时，根据广东省建设工程计价依据规定的赶工措施费率</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%计算；</w:t>
      </w:r>
    </w:p>
    <w:p w14:paraId="6F43F879">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□发包人要求的合同工程施工工期小于定额工期的</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%时，根据广州市住房和城乡建设局发布的赶工措施费规定的赶工措施费率</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%计算；</w:t>
      </w:r>
    </w:p>
    <w:p w14:paraId="5359C582">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□发包人要求的合同工程施工工期小于定额工期的</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%时，根据广州市建设工程造价管理站发布的赶工措施费规定的赶工措施费率</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%计算；</w:t>
      </w:r>
    </w:p>
    <w:p w14:paraId="359EEFAA">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□发包人要求的合同工程施工工期小于定额工期的</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%时，发包人、承包人约定赶工措施费率按</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%计算。</w:t>
      </w:r>
    </w:p>
    <w:p w14:paraId="0174091D">
      <w:pPr>
        <w:ind w:left="210" w:leftChars="100"/>
        <w:rPr>
          <w:rFonts w:hint="eastAsia" w:ascii="仿宋_GB2312" w:hAnsi="仿宋_GB2312" w:eastAsia="仿宋_GB2312" w:cs="仿宋_GB2312"/>
          <w:color w:val="auto"/>
          <w:sz w:val="24"/>
          <w:highlight w:val="none"/>
        </w:rPr>
      </w:pPr>
    </w:p>
    <w:p w14:paraId="74ACD0BB">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45. 竣工日期</w:t>
      </w:r>
    </w:p>
    <w:p w14:paraId="5D40CB67">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45.1 约定计划竣工日期</w:t>
      </w:r>
    </w:p>
    <w:p w14:paraId="5284385D">
      <w:pPr>
        <w:ind w:left="210" w:leftChars="100"/>
        <w:rPr>
          <w:rFonts w:hint="eastAsia"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计划竣工日期：</w:t>
      </w:r>
      <w:r>
        <w:rPr>
          <w:rFonts w:hint="eastAsia" w:ascii="仿宋_GB2312" w:hAnsi="仿宋_GB2312" w:eastAsia="仿宋_GB2312" w:cs="仿宋_GB2312"/>
          <w:color w:val="auto"/>
          <w:sz w:val="24"/>
          <w:highlight w:val="none"/>
          <w:u w:val="single"/>
        </w:rPr>
        <w:t xml:space="preserve">  按本合同协议书第七条。</w:t>
      </w:r>
    </w:p>
    <w:p w14:paraId="5826774C">
      <w:pPr>
        <w:ind w:left="210" w:leftChars="100"/>
        <w:rPr>
          <w:rFonts w:hint="eastAsia" w:ascii="仿宋_GB2312" w:hAnsi="仿宋_GB2312" w:eastAsia="仿宋_GB2312" w:cs="仿宋_GB2312"/>
          <w:color w:val="auto"/>
          <w:sz w:val="24"/>
          <w:highlight w:val="none"/>
          <w:u w:val="single"/>
        </w:rPr>
      </w:pPr>
    </w:p>
    <w:p w14:paraId="38D60EC8">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★49. 质量标准</w:t>
      </w:r>
    </w:p>
    <w:p w14:paraId="3513CF1E">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★49.1 约定工作质量或工程质量标准</w:t>
      </w:r>
    </w:p>
    <w:p w14:paraId="6C27595E">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①勘察工作质量标准与成果验收标准</w:t>
      </w:r>
      <w:r>
        <w:rPr>
          <w:rFonts w:ascii="仿宋_GB2312" w:hAnsi="仿宋_GB2312" w:eastAsia="仿宋_GB2312" w:cs="仿宋_GB2312"/>
          <w:color w:val="auto"/>
          <w:sz w:val="24"/>
          <w:highlight w:val="none"/>
          <w:u w:val="single"/>
        </w:rPr>
        <w:t>：</w:t>
      </w:r>
      <w:bookmarkStart w:id="3" w:name="_Hlk149727092"/>
      <w:r>
        <w:rPr>
          <w:rFonts w:hint="eastAsia" w:ascii="仿宋_GB2312" w:hAnsi="仿宋_GB2312" w:eastAsia="仿宋_GB2312" w:cs="仿宋_GB2312"/>
          <w:color w:val="auto"/>
          <w:sz w:val="24"/>
          <w:highlight w:val="none"/>
          <w:u w:val="single"/>
        </w:rPr>
        <w:t>符合建设工程勘察设计的相关标准、规范及本工程勘察设计任务书的要求。</w:t>
      </w:r>
      <w:bookmarkEnd w:id="3"/>
    </w:p>
    <w:p w14:paraId="1995153D">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②设计工作质量标准与成果验收标准：</w:t>
      </w:r>
      <w:r>
        <w:rPr>
          <w:rFonts w:ascii="仿宋_GB2312" w:hAnsi="仿宋_GB2312" w:eastAsia="仿宋_GB2312" w:cs="仿宋_GB2312"/>
          <w:color w:val="auto"/>
          <w:sz w:val="24"/>
          <w:highlight w:val="none"/>
          <w:u w:val="single"/>
        </w:rPr>
        <w:t>符合《建设工程质量管理条例》、《建设工程勘察设计管理条例》、《建筑工程设计文件编制深度规定（2016年版）》等国家及地方有关工程设计管理法规和规章，达到行业相关规范技术标准等要求；符合建设工程勘察设计的技术规范及本项目设计任务书的要求。</w:t>
      </w:r>
    </w:p>
    <w:p w14:paraId="5F6F580B">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③施工图设计工作质量标准与成果验收标准：</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w:t>
      </w:r>
    </w:p>
    <w:p w14:paraId="5E551311">
      <w:pPr>
        <w:ind w:left="210" w:leftChars="100"/>
        <w:rPr>
          <w:rFonts w:hint="eastAsia" w:ascii="仿宋_GB2312" w:hAnsi="仿宋_GB2312" w:eastAsia="仿宋_GB2312" w:cs="仿宋_GB2312"/>
          <w:color w:val="auto"/>
          <w:sz w:val="24"/>
          <w:highlight w:val="none"/>
        </w:rPr>
      </w:pPr>
      <w:r>
        <w:rPr>
          <w:rFonts w:hint="eastAsia" w:ascii="Segoe UI Symbol" w:hAnsi="Segoe UI Symbol" w:eastAsia="仿宋_GB2312" w:cs="Segoe UI Symbol"/>
          <w:color w:val="auto"/>
          <w:sz w:val="24"/>
          <w:highlight w:val="none"/>
        </w:rPr>
        <w:t>□</w:t>
      </w:r>
      <w:r>
        <w:rPr>
          <w:rFonts w:ascii="仿宋_GB2312" w:hAnsi="仿宋_GB2312" w:eastAsia="仿宋_GB2312" w:cs="仿宋_GB2312"/>
          <w:color w:val="auto"/>
          <w:sz w:val="24"/>
          <w:highlight w:val="none"/>
        </w:rPr>
        <w:t>④BIM 技术应用工作质量标准与成果验收标准：</w:t>
      </w:r>
      <w:r>
        <w:rPr>
          <w:rFonts w:hint="eastAsia" w:ascii="仿宋_GB2312" w:hAnsi="仿宋_GB2312" w:eastAsia="仿宋_GB2312" w:cs="仿宋_GB2312"/>
          <w:color w:val="auto"/>
          <w:sz w:val="24"/>
          <w:highlight w:val="none"/>
          <w:u w:val="single"/>
        </w:rPr>
        <w:t>满足国家相关规范、规程以及广州市地方标准设计技术规范等文件要求</w:t>
      </w:r>
      <w:r>
        <w:rPr>
          <w:rFonts w:hint="eastAsia"/>
          <w:color w:val="auto"/>
          <w:sz w:val="24"/>
          <w:highlight w:val="none"/>
        </w:rPr>
        <w:t>。</w:t>
      </w:r>
    </w:p>
    <w:p w14:paraId="1E87217E">
      <w:pPr>
        <w:ind w:left="210" w:leftChars="100"/>
        <w:rPr>
          <w:rFonts w:hint="eastAsia" w:ascii="仿宋_GB2312" w:hAnsi="仿宋_GB2312" w:eastAsia="仿宋_GB2312" w:cs="仿宋_GB2312"/>
          <w:color w:val="auto"/>
          <w:sz w:val="24"/>
          <w:highlight w:val="none"/>
        </w:rPr>
      </w:pPr>
      <w:r>
        <w:rPr>
          <w:rFonts w:ascii="Segoe UI Symbol" w:hAnsi="Segoe UI Symbol" w:eastAsia="仿宋_GB2312" w:cs="Segoe UI Symbol"/>
          <w:color w:val="auto"/>
          <w:sz w:val="24"/>
          <w:highlight w:val="none"/>
        </w:rPr>
        <w:t>☑</w:t>
      </w:r>
      <w:r>
        <w:rPr>
          <w:rFonts w:ascii="仿宋_GB2312" w:hAnsi="仿宋_GB2312" w:eastAsia="仿宋_GB2312" w:cs="仿宋_GB2312"/>
          <w:color w:val="auto"/>
          <w:sz w:val="24"/>
          <w:highlight w:val="none"/>
        </w:rPr>
        <w:t>⑤设备及工器具购置工作质量标准与验收标准：</w:t>
      </w:r>
      <w:r>
        <w:rPr>
          <w:rFonts w:hint="eastAsia" w:ascii="仿宋_GB2312" w:hAnsi="仿宋_GB2312" w:eastAsia="仿宋_GB2312" w:cs="仿宋_GB2312"/>
          <w:color w:val="auto"/>
          <w:sz w:val="24"/>
          <w:highlight w:val="none"/>
          <w:u w:val="single"/>
        </w:rPr>
        <w:t>符合国家规范、标准要求</w:t>
      </w:r>
      <w:r>
        <w:rPr>
          <w:rFonts w:hint="eastAsia"/>
          <w:color w:val="auto"/>
          <w:szCs w:val="21"/>
          <w:highlight w:val="none"/>
        </w:rPr>
        <w:t>。</w:t>
      </w:r>
    </w:p>
    <w:p w14:paraId="3503585F">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⑥施工质量标准与验收标准</w:t>
      </w:r>
    </w:p>
    <w:p w14:paraId="4B0DAF72">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（a）工程质量标准：</w:t>
      </w:r>
      <w:r>
        <w:rPr>
          <w:rFonts w:hint="eastAsia" w:ascii="仿宋_GB2312" w:hAnsi="仿宋_GB2312" w:eastAsia="仿宋_GB2312" w:cs="仿宋_GB2312"/>
          <w:color w:val="auto"/>
          <w:sz w:val="24"/>
          <w:highlight w:val="none"/>
          <w:u w:val="single"/>
        </w:rPr>
        <w:t>符合国家、地方现行工程质量验收标准及规范，质量等级为合格，并满足发包人要求。</w:t>
      </w:r>
    </w:p>
    <w:p w14:paraId="1692F09E">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（b）特殊质量标准和要求：</w:t>
      </w:r>
      <w:r>
        <w:rPr>
          <w:rFonts w:hint="eastAsia" w:ascii="仿宋_GB2312" w:hAnsi="仿宋_GB2312" w:eastAsia="仿宋_GB2312" w:cs="仿宋_GB2312"/>
          <w:color w:val="auto"/>
          <w:sz w:val="24"/>
          <w:highlight w:val="none"/>
          <w:u w:val="single"/>
        </w:rPr>
        <w:t xml:space="preserve"> / </w:t>
      </w:r>
    </w:p>
    <w:p w14:paraId="7F723759">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（c）工程质量验收标准：</w:t>
      </w:r>
      <w:r>
        <w:rPr>
          <w:rFonts w:ascii="仿宋_GB2312" w:hAnsi="仿宋_GB2312" w:eastAsia="仿宋_GB2312" w:cs="仿宋_GB2312"/>
          <w:color w:val="auto"/>
          <w:sz w:val="24"/>
          <w:highlight w:val="none"/>
          <w:u w:val="single"/>
        </w:rPr>
        <w:t>按照国家最新颁布《建筑工程施工质量验收统一标准》（GB 50300-2013）及相应配套的各专业验收规范，一次竣工验收合格</w:t>
      </w:r>
      <w:r>
        <w:rPr>
          <w:rFonts w:hint="eastAsia" w:ascii="仿宋_GB2312" w:hAnsi="仿宋_GB2312" w:eastAsia="仿宋_GB2312" w:cs="仿宋_GB2312"/>
          <w:color w:val="auto"/>
          <w:sz w:val="24"/>
          <w:highlight w:val="none"/>
          <w:u w:val="single"/>
        </w:rPr>
        <w:t>。</w:t>
      </w:r>
    </w:p>
    <w:p w14:paraId="21E615CC">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（d）装配式建筑质量验收标准：</w:t>
      </w:r>
    </w:p>
    <w:p w14:paraId="2A14714D">
      <w:pPr>
        <w:ind w:left="420" w:left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《装配式住宅建筑检测技术标准》（JGJ/T485－2019）</w:t>
      </w:r>
    </w:p>
    <w:p w14:paraId="5CF98469">
      <w:pPr>
        <w:ind w:left="420" w:left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《装配式混凝土建筑工程施工质量验收规程》（T/CCIA/T0008-2019）</w:t>
      </w:r>
    </w:p>
    <w:p w14:paraId="3B1CF8FA">
      <w:pPr>
        <w:ind w:left="420" w:left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其它：</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14:paraId="6D147379">
      <w:pPr>
        <w:ind w:left="420" w:leftChars="2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⑦其它专题标准和要求：</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14:paraId="53440E3B">
      <w:pPr>
        <w:ind w:left="210" w:leftChars="100"/>
        <w:rPr>
          <w:rFonts w:hint="eastAsia" w:ascii="仿宋_GB2312" w:hAnsi="仿宋_GB2312" w:eastAsia="仿宋_GB2312" w:cs="仿宋_GB2312"/>
          <w:color w:val="auto"/>
          <w:sz w:val="24"/>
          <w:highlight w:val="none"/>
          <w:u w:val="single"/>
        </w:rPr>
      </w:pPr>
    </w:p>
    <w:p w14:paraId="37479072">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★50. 工程质量创优</w:t>
      </w:r>
    </w:p>
    <w:p w14:paraId="348158A3">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50.1发包人鼓励承包人实施工程质量创优，本工程的质量创优目标及评价标准为：</w:t>
      </w:r>
    </w:p>
    <w:p w14:paraId="5A5B717A">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市级优秀勘察设计奖（□一等奖 □二等奖 □三等奖 □其它：</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），其评</w:t>
      </w:r>
    </w:p>
    <w:p w14:paraId="1EC4207A">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价标准：</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14:paraId="3F0280C7">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省部级优秀勘察设计奖（□一等奖 □二等奖 □三等奖 □其它：</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），其</w:t>
      </w:r>
    </w:p>
    <w:p w14:paraId="1E4D6801">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评价标准：</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14:paraId="23FE5267">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国家级优秀勘察设计奖（□金奖 □银奖 □其它：</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），其评价标准：</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14:paraId="6FF5966C">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市级工程优质奖，其评价标准：</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14:paraId="1607EB8F">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省级工程优质奖，其评价标准：</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14:paraId="3C82D95A">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国家级工程优质奖，其评价标准：</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14:paraId="342AF513">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精品工程，其评价标准：</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14:paraId="55DAFF3B">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其它：</w:t>
      </w:r>
      <w:r>
        <w:rPr>
          <w:rFonts w:hint="eastAsia" w:ascii="仿宋_GB2312" w:hAnsi="仿宋_GB2312" w:eastAsia="仿宋_GB2312" w:cs="仿宋_GB2312"/>
          <w:color w:val="auto"/>
          <w:sz w:val="24"/>
          <w:highlight w:val="none"/>
          <w:u w:val="single"/>
        </w:rPr>
        <w:t>本条不适用</w:t>
      </w:r>
    </w:p>
    <w:p w14:paraId="7E1ED780">
      <w:pPr>
        <w:ind w:left="210" w:leftChars="100"/>
        <w:rPr>
          <w:rFonts w:hint="eastAsia" w:ascii="仿宋_GB2312" w:hAnsi="仿宋_GB2312" w:eastAsia="仿宋_GB2312" w:cs="仿宋_GB2312"/>
          <w:color w:val="auto"/>
          <w:sz w:val="24"/>
          <w:highlight w:val="none"/>
          <w:u w:val="single"/>
        </w:rPr>
      </w:pPr>
    </w:p>
    <w:p w14:paraId="1422B9C0">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★52. 绿色施工安全防护</w:t>
      </w:r>
    </w:p>
    <w:p w14:paraId="14E06989">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52.1 绿色施工安全防护的要求</w:t>
      </w:r>
    </w:p>
    <w:p w14:paraId="70BE7244">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按通用条款的约定。</w:t>
      </w:r>
    </w:p>
    <w:p w14:paraId="3C494E94">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 xml:space="preserve">  </w:t>
      </w:r>
    </w:p>
    <w:p w14:paraId="20771B76">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其中：施工扬尘污染防治措施：</w:t>
      </w:r>
    </w:p>
    <w:p w14:paraId="73371F9E">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1、承包人主要职责：</w:t>
      </w:r>
    </w:p>
    <w:p w14:paraId="6DE87C62">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1）应当依照《广东省人民政府办公厅关于印发广东省建设工程施工扬尘污染防治管理办法（试行）的通知》和合同约定，具体承担建设工程施工扬尘污染防治工作，配备相关管理人员，落实施工现场各项扬尘污染防治措施，建立扬尘污染防治检查制度，定期组织建设工程施工扬尘污染防治专项检查。政府发布污染预警时，施工现场立即启动应急响应。</w:t>
      </w:r>
    </w:p>
    <w:p w14:paraId="49B5DD17">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2）应当建立扬尘污染防治公示制度，在施工现场出入口将工程概况、扬尘污染防治措施、非道路移动机械使用清单、建设各方责任单位名称及项目负责人姓名、本企业以及工程所在地相关行业主管部门的投诉举报电话等信息向社会公示。</w:t>
      </w:r>
    </w:p>
    <w:p w14:paraId="2833D328">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（3）应当在项目施工前编制扬尘污染防治专项方案和扬尘污染防治费用使用计划，明确扬尘控制目标、防治部位、控制措施，并将扬尘污染防治费用专项使用。</w:t>
      </w:r>
    </w:p>
    <w:p w14:paraId="13B0F777">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（4）应当与具备相应资格的运输企业、建筑废弃物处置场所签订处置协议,及时清运建筑土方、工程渣土、建筑废弃物等散装物料。</w:t>
      </w:r>
    </w:p>
    <w:p w14:paraId="5AF0B4C8">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（5）承包人应当对分包单位的扬尘污染防治工作负总责，并与分包单位签订相关管理协议，督促分包单位全面落实各项扬尘污染防治措施。</w:t>
      </w:r>
    </w:p>
    <w:p w14:paraId="71F4241C">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（6）建设工程应当使用散装水泥或者商品混凝土；由于交通、施工场地等客观条件限制，需要使用袋装水泥的，应当经建设行政管理部门批准。</w:t>
      </w:r>
    </w:p>
    <w:p w14:paraId="1706A6F6">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（7）满足《广州市住房和城乡建设委员会关于印发建设工程扬尘防治“6个100%”管理标准细化措施的通知》要求。</w:t>
      </w:r>
    </w:p>
    <w:p w14:paraId="0C607160">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2、承包人扬尘控制管理标准</w:t>
      </w:r>
    </w:p>
    <w:p w14:paraId="13DF6F59">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（1） 施工现场的主要道路要进行硬化处理。裸露的场地和堆放的土方应采取覆盖、固化或绿化等措施。</w:t>
      </w:r>
    </w:p>
    <w:p w14:paraId="4B2ECD1A">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（2） 施工现场土方作业应采取防止扬尘措施，主要道路应定期清扫、洒水。</w:t>
      </w:r>
    </w:p>
    <w:p w14:paraId="0C13EEB5">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（3） 拆除建（构）筑物时，应采用隔离、洒水等降噪、降尘措施，并及时清理废弃物。</w:t>
      </w:r>
    </w:p>
    <w:p w14:paraId="789CEAED">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（4） 建筑物内垃圾应采用容器或搭设专用封闭式垃圾道的方式清运，严禁随意抛掷。</w:t>
      </w:r>
    </w:p>
    <w:p w14:paraId="4A96D201">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（5）土方和建筑垃圾的运输必须采用封闭式运输车辆或采取覆盖措施。施工现场出口处应设置车辆冲洗设施，并应对驶出的车辆进行清洗。</w:t>
      </w:r>
    </w:p>
    <w:p w14:paraId="5CBB7577">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（6） 施工现场严禁焚烧各类废弃物。</w:t>
      </w:r>
    </w:p>
    <w:p w14:paraId="02879F29">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（7）在规定区域内的施工现场应使用预拌制混凝土及预拌砂浆。采用现场搅拌混凝土或砂浆的场所应采取封闭、降尘、降噪措施。水泥和其他易飞扬的细颗粒建筑材料应密闭存放或采取覆盖等措施。</w:t>
      </w:r>
    </w:p>
    <w:p w14:paraId="7C54A869">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（8）当在道路施工进行铣刨、切割等作业时，应采取有效的防扬尘措施。灰土和无机料应采用预拌进场，碾压过程中应洒水降尘。</w:t>
      </w:r>
    </w:p>
    <w:p w14:paraId="16896B75">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（9） 施工现场的机械设备、车辆的尾气排放应符合国家环保排放标准。</w:t>
      </w:r>
    </w:p>
    <w:p w14:paraId="03AF625C">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single"/>
        </w:rPr>
        <w:t>（10）当环境空气质量指数达到中度及以上的污染时，施工现场应增加洒水频次，加强覆盖措施，减少造成大气污染的施工作业。</w:t>
      </w:r>
    </w:p>
    <w:p w14:paraId="0A1100BB">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用工实名管理：</w:t>
      </w:r>
      <w:r>
        <w:rPr>
          <w:rFonts w:hint="eastAsia" w:ascii="仿宋_GB2312" w:hAnsi="仿宋_GB2312" w:eastAsia="仿宋_GB2312" w:cs="仿宋_GB2312"/>
          <w:color w:val="auto"/>
          <w:sz w:val="24"/>
          <w:highlight w:val="none"/>
          <w:u w:val="single"/>
        </w:rPr>
        <w:t xml:space="preserve">  </w:t>
      </w:r>
    </w:p>
    <w:p w14:paraId="40D64BCD">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52.2 用工实名制、工人工资支付分账管理</w:t>
      </w:r>
    </w:p>
    <w:p w14:paraId="55956726">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按通用条款的约定以及以下文件规定：</w:t>
      </w:r>
    </w:p>
    <w:p w14:paraId="02F1C2C8">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①《保障农民工工资支付条例》（国务院令第 724 号）</w:t>
      </w:r>
    </w:p>
    <w:p w14:paraId="425EDF73">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 《广东省住房和城乡建设厅关于印发房屋建筑和市政基础设施工程用工实名管理暂行办法的通知》（粤建规范〔2018〕1 号）</w:t>
      </w:r>
    </w:p>
    <w:p w14:paraId="61B4C7BF">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③《广州市住房和城乡建设局 广州市人力资源和社会保障局 广州市交通运输局 广州市水务局 广州市林业和园林局 中国人民银行广州分行营业管理部关于印发广州市建设领域工人工资支付分账管理实施细则的通知》（穗建规字【2020】18 号）</w:t>
      </w:r>
    </w:p>
    <w:p w14:paraId="7AAC18B4">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④《广州市住房和城乡建设局关于印发广州市建筑施工实名制管理办法的通知》（穗建规字【2020】37 号）</w:t>
      </w:r>
    </w:p>
    <w:p w14:paraId="5A88C8C7">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⑤其他文件：</w:t>
      </w:r>
      <w:r>
        <w:rPr>
          <w:rFonts w:hint="eastAsia" w:ascii="仿宋_GB2312" w:hAnsi="仿宋_GB2312" w:eastAsia="仿宋_GB2312" w:cs="仿宋_GB2312"/>
          <w:color w:val="auto"/>
          <w:sz w:val="24"/>
          <w:highlight w:val="none"/>
          <w:u w:val="single"/>
        </w:rPr>
        <w:t>《广州市花都区人力资源和社会保障局等七部门关于印发&lt;花都区建设领域工人工资支付分账管理实施细则&gt;的通知》（花人社[2016]82号文）、关于印发《广东省建设工程领域工人工资支付专用账户管理办法》的通知（粵人社规〔2018〕14号）、广州市住房和城乡建设局关于明确我市房建市政工程开工时核验实名制和工人工资支付分账管理相关证明材料的通知（穗建筑〔2019〕352号）、《广州市建设领域工人工资支付分账管理实施细则》（穗建规字〔2020〕37号文）。</w:t>
      </w:r>
    </w:p>
    <w:p w14:paraId="0B2924FE">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 xml:space="preserve">  </w:t>
      </w:r>
    </w:p>
    <w:p w14:paraId="749936D5">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52.6 治安管理</w:t>
      </w:r>
    </w:p>
    <w:p w14:paraId="432EA395">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按通用条款的约定。</w:t>
      </w:r>
    </w:p>
    <w:p w14:paraId="1FD7E726">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 xml:space="preserve">  </w:t>
      </w:r>
    </w:p>
    <w:p w14:paraId="5A4BC8AE">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52.8 发包人鼓励创建文明工地，创文明工地目标：</w:t>
      </w:r>
    </w:p>
    <w:p w14:paraId="7F881E3E">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市级安全文明绿色施工样板工地；</w:t>
      </w:r>
    </w:p>
    <w:p w14:paraId="26B33FCB">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省级安全文明示范工地；</w:t>
      </w:r>
    </w:p>
    <w:p w14:paraId="50AFB84F">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国家级安全文明工地；</w:t>
      </w:r>
    </w:p>
    <w:p w14:paraId="49D72329">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广州市建筑业绿色施工示范工程；</w:t>
      </w:r>
    </w:p>
    <w:p w14:paraId="3C454C87">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广东省建筑业绿色施工示范工程；</w:t>
      </w:r>
    </w:p>
    <w:p w14:paraId="3FAA04C6">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全国建筑业绿色施工示范工程；</w:t>
      </w:r>
    </w:p>
    <w:p w14:paraId="604F038D">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其它</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本条不适用 </w:t>
      </w:r>
    </w:p>
    <w:p w14:paraId="0139E959">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52.9 特别安全生产事项</w:t>
      </w:r>
    </w:p>
    <w:p w14:paraId="3A53FC8B">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危险性较大分部分项专项工程施工技术措施标准、要求：</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14:paraId="17462926">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危险性较大分部分项专项工程施工技术措施费：</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元。</w:t>
      </w:r>
    </w:p>
    <w:p w14:paraId="6E166C5C">
      <w:pPr>
        <w:rPr>
          <w:rFonts w:hint="eastAsia" w:ascii="仿宋_GB2312" w:hAnsi="仿宋_GB2312" w:eastAsia="仿宋_GB2312" w:cs="仿宋_GB2312"/>
          <w:color w:val="auto"/>
          <w:sz w:val="24"/>
          <w:highlight w:val="none"/>
        </w:rPr>
      </w:pPr>
    </w:p>
    <w:p w14:paraId="3B5C8C27">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53. 测量放线</w:t>
      </w:r>
    </w:p>
    <w:p w14:paraId="0CE8A406">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53.1 测设施工控制网</w:t>
      </w:r>
    </w:p>
    <w:p w14:paraId="5F4C0CF5">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承包人提交施工控制网资料的时间：</w:t>
      </w:r>
      <w:r>
        <w:rPr>
          <w:rFonts w:ascii="仿宋_GB2312" w:hAnsi="仿宋_GB2312" w:eastAsia="仿宋_GB2312" w:cs="仿宋_GB2312"/>
          <w:color w:val="auto"/>
          <w:sz w:val="24"/>
          <w:highlight w:val="none"/>
          <w:u w:val="single"/>
        </w:rPr>
        <w:t>合同签订后7天内提供。</w:t>
      </w:r>
    </w:p>
    <w:p w14:paraId="730D4855">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53.4 施工控制网（点）管理与使用</w:t>
      </w:r>
    </w:p>
    <w:p w14:paraId="1ABE0238">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测量放线误差的约定：</w:t>
      </w:r>
      <w:r>
        <w:rPr>
          <w:rFonts w:ascii="仿宋_GB2312" w:hAnsi="仿宋_GB2312" w:eastAsia="仿宋_GB2312" w:cs="仿宋_GB2312"/>
          <w:color w:val="auto"/>
          <w:sz w:val="24"/>
          <w:highlight w:val="none"/>
          <w:u w:val="single"/>
        </w:rPr>
        <w:t>按施工规范。</w:t>
      </w:r>
    </w:p>
    <w:p w14:paraId="7EDA3120">
      <w:pPr>
        <w:rPr>
          <w:rFonts w:hint="eastAsia" w:ascii="仿宋_GB2312" w:hAnsi="仿宋_GB2312" w:eastAsia="仿宋_GB2312" w:cs="仿宋_GB2312"/>
          <w:color w:val="auto"/>
          <w:sz w:val="24"/>
          <w:highlight w:val="none"/>
        </w:rPr>
      </w:pPr>
    </w:p>
    <w:p w14:paraId="000D1C26">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55. 发包人供应工程材料和工程设备</w:t>
      </w:r>
    </w:p>
    <w:p w14:paraId="7ABDA0FD">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55.1 约定供应的工程材料和工程设备</w:t>
      </w:r>
    </w:p>
    <w:p w14:paraId="5D8F0BA7">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发包人不供应工程材料和工程设备，本条不适用。</w:t>
      </w:r>
    </w:p>
    <w:p w14:paraId="6CF350D2">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发包人供应工程材料和工程设备的，应与承包人约定“发包人供应工程材料和工程设备一览表”，作为本合同的附件。</w:t>
      </w:r>
    </w:p>
    <w:p w14:paraId="35000AC0">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55.8 约定结算方式</w:t>
      </w:r>
    </w:p>
    <w:p w14:paraId="6AEFEE8D">
      <w:pPr>
        <w:ind w:left="210" w:leftChars="100"/>
        <w:rPr>
          <w:rFonts w:hint="eastAsia"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发包人供应工程材料和工程设备的结算方式：</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w:t>
      </w:r>
    </w:p>
    <w:p w14:paraId="6BC2E5C9">
      <w:pPr>
        <w:ind w:left="210" w:leftChars="100"/>
        <w:rPr>
          <w:rFonts w:hint="eastAsia" w:ascii="仿宋_GB2312" w:hAnsi="仿宋_GB2312" w:eastAsia="仿宋_GB2312" w:cs="仿宋_GB2312"/>
          <w:color w:val="auto"/>
          <w:sz w:val="24"/>
          <w:highlight w:val="none"/>
          <w:u w:val="single"/>
        </w:rPr>
      </w:pPr>
    </w:p>
    <w:p w14:paraId="5CE1F749">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56. 承包人购置设备及工器具、采购工程材料和工程设备</w:t>
      </w:r>
    </w:p>
    <w:p w14:paraId="28C4A621">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56.1 承包人购置设备及工器具</w:t>
      </w:r>
    </w:p>
    <w:p w14:paraId="47045142">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发包人不委托承包人购置设备及工器具，本条不适用。</w:t>
      </w:r>
    </w:p>
    <w:p w14:paraId="2FA922A5">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发包人委托承包人购置设备及工器具</w:t>
      </w:r>
    </w:p>
    <w:p w14:paraId="0BC3CEA7">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①具体内容：</w:t>
      </w:r>
      <w:r>
        <w:rPr>
          <w:rFonts w:hint="eastAsia" w:ascii="仿宋_GB2312" w:hAnsi="仿宋_GB2312" w:eastAsia="仿宋_GB2312" w:cs="仿宋_GB2312"/>
          <w:color w:val="auto"/>
          <w:sz w:val="24"/>
          <w:highlight w:val="none"/>
          <w:u w:val="single"/>
        </w:rPr>
        <w:t>以发包人书面要求为准</w:t>
      </w:r>
      <w:r>
        <w:rPr>
          <w:rFonts w:hint="eastAsia" w:ascii="仿宋_GB2312" w:hAnsi="仿宋_GB2312" w:eastAsia="仿宋_GB2312" w:cs="仿宋_GB2312"/>
          <w:color w:val="auto"/>
          <w:sz w:val="24"/>
          <w:highlight w:val="none"/>
        </w:rPr>
        <w:t>。</w:t>
      </w:r>
    </w:p>
    <w:p w14:paraId="65E16DA3">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56.2 承包人采购工程材料和工程设备</w:t>
      </w:r>
    </w:p>
    <w:p w14:paraId="7191552E">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按通用条款约定，由承包人负责运输和保管。</w:t>
      </w:r>
    </w:p>
    <w:p w14:paraId="3F21C875">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运输和保管另作约定：</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 xml:space="preserve"> 。</w:t>
      </w:r>
    </w:p>
    <w:p w14:paraId="55CA5C79">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r>
        <w:rPr>
          <w:rFonts w:ascii="仿宋_GB2312" w:hAnsi="仿宋_GB2312" w:eastAsia="仿宋_GB2312" w:cs="仿宋_GB2312"/>
          <w:color w:val="auto"/>
          <w:sz w:val="24"/>
          <w:highlight w:val="none"/>
        </w:rPr>
        <w:t>通过“广州市集群采购管理服务综合平台”采购：</w:t>
      </w:r>
    </w:p>
    <w:p w14:paraId="7A092445">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采购方式另作约定：</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 xml:space="preserve"> 。</w:t>
      </w:r>
    </w:p>
    <w:p w14:paraId="59A58BD0">
      <w:pPr>
        <w:widowControl/>
        <w:jc w:val="left"/>
        <w:rPr>
          <w:color w:val="auto"/>
          <w:highlight w:val="none"/>
          <w:u w:val="single"/>
        </w:rPr>
      </w:pPr>
      <w:r>
        <w:rPr>
          <w:rFonts w:ascii="仿宋" w:hAnsi="仿宋" w:eastAsia="仿宋" w:cs="仿宋"/>
          <w:color w:val="auto"/>
          <w:kern w:val="0"/>
          <w:sz w:val="24"/>
          <w:highlight w:val="none"/>
          <w:u w:val="single"/>
          <w:lang w:bidi="ar"/>
        </w:rPr>
        <w:t xml:space="preserve">56.2.1承包人提供的材料和工程设备 </w:t>
      </w:r>
    </w:p>
    <w:p w14:paraId="0E4B75C8">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承包人采购材料设备的约定： </w:t>
      </w:r>
    </w:p>
    <w:p w14:paraId="10E1D344">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1）本工程所采用的所有材料及设备的各种规格、型号、性能、参数、等级均应符合中华人民共和国的国家、行业、地方及设计规定的工程建设技术标准。承包人提供的所有材料设备应按招标文件的规定和承包人的投标承诺以及经发包人确定的规格、品牌、技术参数、质量等级要求，并应按照发包人要求提前30天向发包人提供样品、有关资料和采购计划，经发包人和监理书面确认后，方可采购进场。直接影响工程品质和外观效果的材料、设备，必须经发包人现场书面确认后才能大面积使用，相关样板费用含在合同价中考虑，在结算时不再另行计取。 </w:t>
      </w:r>
    </w:p>
    <w:p w14:paraId="0A4658CF">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2）本工程所采用的所有主要材料、设备到货前24小时，需以书面形式通知发包人和监理工程师，再由发包人、承包人及监理人、造价咨询四方共同就材料设备的种类、产地、品牌、数量、规格、技术参数、质量等级等，按国家制定的有关产品质量标准规范要求进行验收或抽查试验，承包人并应向发包人、监理人提供有关产品合格证、许可证、准用证等证明和出厂日期等以供核对。 </w:t>
      </w:r>
    </w:p>
    <w:p w14:paraId="12ACD667">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（3）承包人应于每月 25 日前向发包人提交下月《供应材料设备一览表》，详细填报如下数据：材料设备名称、规格型号、品牌、计量单位、数量、单价、供应时间、送达地点，附送产品合格证（复印件）。 </w:t>
      </w:r>
    </w:p>
    <w:p w14:paraId="0EED5A53">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（4）由承包人采购的主要材料、大宗设备须向发包人提供正式发票复印件备案。 </w:t>
      </w:r>
    </w:p>
    <w:p w14:paraId="7CBE5DA8">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（5）承包人采购的进口材料设备产品必须是从国家规定的正规渠道进口的产品，具有合法手续，其所发生的一切法律责任由承包人负责。 </w:t>
      </w:r>
    </w:p>
    <w:p w14:paraId="17C034C7">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（6）承包人应负责材料的保管及成品半成品的保管工作。 </w:t>
      </w:r>
    </w:p>
    <w:p w14:paraId="4A17E24A">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（7）承包人提供的材料设备产品的质量必须符合国家建材行业和机电行业等标准要求，按要求需检测后使用的材料需经检测合格后才能使用。 </w:t>
      </w:r>
    </w:p>
    <w:p w14:paraId="332F83B2">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8）承包人负责选购的材料和设备应确保符合招标文件和设计文件的要求，提供的所有灯具、五金及配套件等材料必须是全新的和没有缺陷的，承包人还应向发包人提供有关制造商的书面质量保证书和试验报告，以确认材料、五金及配套件符合要求，发包人确认后，方可进场并投入使用，未经发包人确认的材料和设备擅自进场的，发包人有权拒绝使用，由此造成的损失由承包人自行承担。发包人对任何材料的认可并不分担承包人应负的责任。 </w:t>
      </w:r>
    </w:p>
    <w:p w14:paraId="04E33F1A">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（9）无论何种原因，出现不合格材料用于工程的情况，均由承包人承担应有的责任。 </w:t>
      </w:r>
    </w:p>
    <w:p w14:paraId="3826C53C">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10）本工程所用材料必须使用全新及没有缺陷的材料，由承包人负责采购、运输、保管、检测并确定材料符合招标文件、设计图纸、现行规范以及当地有关规定的要求，承包人需无条件按发包人要求进行材料选样、送样、打样工作。发包人推荐主材品牌以及其与监理人对任何材料的批准和指导并不免除承包人对所采购的材料按合同应承担的责任。 </w:t>
      </w:r>
    </w:p>
    <w:p w14:paraId="274628FE">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11）若发现承包人以伪劣产品充抵或与发包人（监理人）确认的材料设备不符，发包人有权要求承包人更换直到符合要求。若发生此类事件，按承包人违约相关条款处理，发包人可以从合同价款中直接扣抵。在施工过程中发生设备、材料丢失或损坏，由承包人自行承担经济责任。 </w:t>
      </w:r>
    </w:p>
    <w:p w14:paraId="555074B8">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12）发包人有权在承包人材料采购的任一环节进行监控，并行使最终的质量检验认可权和否决权；如果发包人在监控过程和检验中发现该材料不符合规定的质量要求，承包人应督促供应商整改更换，由此造成的工期延误或费用增加均由承包人承担。 </w:t>
      </w:r>
    </w:p>
    <w:p w14:paraId="414C5F5E">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56.2.3 材料和工程设备的保管：发包人供应的材料和工程设备的保管费用由承包人承担。 </w:t>
      </w:r>
    </w:p>
    <w:p w14:paraId="70F7912A">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承包人提交保管、维护方案的时间：由发包人与承包人另行约定。 </w:t>
      </w:r>
    </w:p>
    <w:p w14:paraId="65A8382F">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发包人提供的库房、堆场、设施和设备：无。 </w:t>
      </w:r>
    </w:p>
    <w:p w14:paraId="7A718B60">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56.2.4样品的报送与封存 </w:t>
      </w:r>
    </w:p>
    <w:p w14:paraId="7207BA49">
      <w:pPr>
        <w:widowControl/>
        <w:jc w:val="left"/>
        <w:rPr>
          <w:rFonts w:hint="eastAsia"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承包人采购的材料设备，施工前均须提供封样，经发包人确认后方可批量采购进场施工。需要承包人报送样品的材料或工程设备，样品种类包括但不限于：建筑结构材料、功能材料、装饰装修材料、门窗幕墙材料、建筑电气给排水材料、消防材料等，材料样品的名称、品牌、规格、数量以图纸和实际使用需求确定。</w:t>
      </w:r>
    </w:p>
    <w:p w14:paraId="363BFFB0">
      <w:pPr>
        <w:widowControl/>
        <w:jc w:val="left"/>
        <w:rPr>
          <w:color w:val="auto"/>
          <w:highlight w:val="none"/>
          <w:u w:val="single"/>
        </w:rPr>
      </w:pPr>
      <w:r>
        <w:rPr>
          <w:rFonts w:hint="eastAsia" w:ascii="仿宋" w:hAnsi="仿宋" w:eastAsia="仿宋" w:cs="仿宋"/>
          <w:color w:val="auto"/>
          <w:kern w:val="0"/>
          <w:sz w:val="24"/>
          <w:highlight w:val="none"/>
          <w:u w:val="single"/>
          <w:lang w:bidi="ar"/>
        </w:rPr>
        <w:t>为确保达到设计意图，确保工程质量要求，除需确认材料样板外，大面积施工前还需完成工艺样板及实体样板。</w:t>
      </w:r>
    </w:p>
    <w:p w14:paraId="01A4F8D8">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（1）工艺样板 </w:t>
      </w:r>
    </w:p>
    <w:p w14:paraId="4D319DBA">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用于验证设计缺陷、施工错误，供交底及指导后续大面施工的样板，包含实体工艺样板、集中交底样板。 </w:t>
      </w:r>
    </w:p>
    <w:p w14:paraId="24F98FFC">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（2） 实体工艺样板：设置在实体施工楼栋或施工场地内的，供施工、监理、工程分管人员交底及指导后续施工，包含：建安工艺样板、精装修工艺样板、景观工艺样板。 </w:t>
      </w:r>
    </w:p>
    <w:p w14:paraId="1D131EFC">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（3）集中交底样板：在施工现场集中展示，包含设计立面样板墙和建安工艺交底样板。 </w:t>
      </w:r>
    </w:p>
    <w:p w14:paraId="3C4F1DFC">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其中设计立面样板墙用于进行设计建筑外立面的材料选样、效果验证，建安工程交底样板供施工班组、监理的交底、培训、学习。 </w:t>
      </w:r>
    </w:p>
    <w:p w14:paraId="14385A63">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56.3 双方当事人约定的实施方法、设备、设施和材料： </w:t>
      </w:r>
    </w:p>
    <w:p w14:paraId="23D88142">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1）合同实施过程中承包人不得降低材料的规格、数量、档次、质量等级和擅自变更材料品种和型号。监理人、发包人有权在承包人材料、设备采购的任一环节进行监督控制，并行使最终的认可权和否决权；若监理人、发包人在监督控制过程和检验中发现该材料、设备不符合规定的要求，承包人应进行整改直至发包人满意为止，且保留改为发包人供应的权利，由此造成的工期延误责任和费用增加由承包人承担。 </w:t>
      </w:r>
    </w:p>
    <w:p w14:paraId="17DF5D4D">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2）承包人采购的所有材料必须按照当地政府主管部门及规范要求进行检验，并满足工程竣工要求。所有材料必须现场取样，经发包人、监理共同见证后送至发包人认可的第三方检测机构进行检测。 </w:t>
      </w:r>
    </w:p>
    <w:p w14:paraId="4EE690CC">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3）采购材料到货后，承包人应向发包人提交装箱清单、测试报告、产品合格证书、使用说明书、质保书、保养、维护所必须的资料，如有国外生产制造的，除提供上述资料外，还应提供制造商所在地的商会出的原产地证明和商检证明。承包人所购进口设备必须出示海关报关等证明材料且为原件，承包人报海关时必须与发包人共同完成。 </w:t>
      </w:r>
    </w:p>
    <w:p w14:paraId="4FCF6C48">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4）材料设备采购和使用前须按本工程施工技术要求中材料认可程序得到发包人的认可，双方约定由承包人自购的材料、设备，其规格、技术指标、质量等级详见施工图和发包人要求，发包人要求有推荐品牌的材料、设备，承包人必须按发包人在推荐品牌中选定的一种釆购，同时必须满足相关技术规范要求。 </w:t>
      </w:r>
    </w:p>
    <w:p w14:paraId="3D572BA9">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5）对于未指定品牌或厂家的材料、设备，承包人应在现场使用7 天前递交3 种以上样品供发包人认可，如发包人认为样品不满足图纸、招标文件要求、或认为质量式样不满意的，承包商应无条件进行更换并重新提交样品，直到发包人认可为止。否则造成的工期延误由承包人承担。 </w:t>
      </w:r>
    </w:p>
    <w:p w14:paraId="4DCDABC5">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6）承包人应按发包人要求提供相应品牌的设备、材料。 </w:t>
      </w:r>
    </w:p>
    <w:p w14:paraId="1E8AE566">
      <w:pPr>
        <w:widowControl/>
        <w:jc w:val="left"/>
        <w:rPr>
          <w:rFonts w:hint="eastAsia" w:ascii="仿宋_GB2312" w:hAnsi="仿宋_GB2312" w:eastAsia="仿宋_GB2312" w:cs="仿宋_GB2312"/>
          <w:color w:val="auto"/>
          <w:sz w:val="24"/>
          <w:highlight w:val="none"/>
          <w:u w:val="single"/>
        </w:rPr>
      </w:pPr>
      <w:r>
        <w:rPr>
          <w:rFonts w:hint="eastAsia" w:ascii="仿宋" w:hAnsi="仿宋" w:eastAsia="仿宋" w:cs="仿宋"/>
          <w:color w:val="auto"/>
          <w:kern w:val="0"/>
          <w:sz w:val="24"/>
          <w:highlight w:val="none"/>
          <w:u w:val="single"/>
          <w:lang w:bidi="ar"/>
        </w:rPr>
        <w:t>7）发包人可按项目实际情况推荐材料、设备品牌，承包人按此执行；推荐的材料、设备品牌须满足相关技术规范要求和成本要求。</w:t>
      </w:r>
    </w:p>
    <w:p w14:paraId="66E52469">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56.9 禁止指定采购工程材料和工程设备</w:t>
      </w:r>
    </w:p>
    <w:p w14:paraId="30201F31">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发包人依法指定的生产厂家和供应商：</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 xml:space="preserve"> 。</w:t>
      </w:r>
    </w:p>
    <w:p w14:paraId="13A034FC">
      <w:pPr>
        <w:ind w:left="210" w:leftChars="100"/>
        <w:rPr>
          <w:rFonts w:hint="eastAsia"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发包人要求的工程材料和工程设备质量标准、质量等级：</w:t>
      </w:r>
      <w:r>
        <w:rPr>
          <w:rFonts w:hint="eastAsia" w:ascii="仿宋_GB2312" w:hAnsi="仿宋_GB2312" w:eastAsia="仿宋_GB2312" w:cs="仿宋_GB2312"/>
          <w:color w:val="auto"/>
          <w:sz w:val="24"/>
          <w:highlight w:val="none"/>
          <w:u w:val="single"/>
        </w:rPr>
        <w:t>确保符合国家、省、市或行业现行的工程建设质量标准并达到合格。</w:t>
      </w:r>
    </w:p>
    <w:p w14:paraId="742E83BA">
      <w:pPr>
        <w:ind w:left="210" w:leftChars="100"/>
        <w:rPr>
          <w:rFonts w:hint="eastAsia" w:ascii="仿宋_GB2312" w:hAnsi="仿宋_GB2312" w:eastAsia="仿宋_GB2312" w:cs="仿宋_GB2312"/>
          <w:color w:val="auto"/>
          <w:sz w:val="24"/>
          <w:highlight w:val="none"/>
          <w:u w:val="single"/>
        </w:rPr>
      </w:pPr>
    </w:p>
    <w:p w14:paraId="4B5021BC">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57. 设备及工器具的验收、工程材料和工程设备的检验试验</w:t>
      </w:r>
    </w:p>
    <w:p w14:paraId="6662BF58">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57.1 设备及工器具的验收</w:t>
      </w:r>
    </w:p>
    <w:p w14:paraId="7A6F0A57">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发包人不委托承包人购置设备及工器具，本条不适用。</w:t>
      </w:r>
    </w:p>
    <w:p w14:paraId="286D62C2">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发包人委托承包人购置设备及工器具</w:t>
      </w:r>
    </w:p>
    <w:p w14:paraId="019A2D94">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按通用条款约定。</w:t>
      </w:r>
    </w:p>
    <w:p w14:paraId="3768DD60">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另作约定：</w:t>
      </w:r>
      <w:r>
        <w:rPr>
          <w:rFonts w:hint="eastAsia" w:ascii="仿宋_GB2312" w:hAnsi="仿宋_GB2312" w:eastAsia="仿宋_GB2312" w:cs="仿宋_GB2312"/>
          <w:color w:val="auto"/>
          <w:sz w:val="24"/>
          <w:highlight w:val="none"/>
          <w:u w:val="single"/>
        </w:rPr>
        <w:t xml:space="preserve">  </w:t>
      </w:r>
    </w:p>
    <w:p w14:paraId="3850E9F5">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57.3 工程材料和工程设备的见证取样与不见证取样检验试验见证取样检验试验的工程材料和工程设备约定：</w:t>
      </w:r>
    </w:p>
    <w:p w14:paraId="059DAAE7">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①种类：</w:t>
      </w:r>
      <w:r>
        <w:rPr>
          <w:rFonts w:hint="eastAsia" w:ascii="仿宋_GB2312" w:hAnsi="仿宋_GB2312" w:eastAsia="仿宋_GB2312" w:cs="仿宋_GB2312"/>
          <w:color w:val="auto"/>
          <w:sz w:val="24"/>
          <w:highlight w:val="none"/>
          <w:u w:val="single"/>
        </w:rPr>
        <w:t>按相关法律法规或当地相关主管部门的要求</w:t>
      </w:r>
      <w:r>
        <w:rPr>
          <w:rFonts w:hint="eastAsia" w:ascii="仿宋_GB2312" w:hAnsi="仿宋_GB2312" w:eastAsia="仿宋_GB2312" w:cs="仿宋_GB2312"/>
          <w:color w:val="auto"/>
          <w:sz w:val="24"/>
          <w:highlight w:val="none"/>
        </w:rPr>
        <w:t>。</w:t>
      </w:r>
    </w:p>
    <w:p w14:paraId="508C5EB3">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②检测机构：</w:t>
      </w:r>
      <w:r>
        <w:rPr>
          <w:rFonts w:hint="eastAsia" w:ascii="仿宋_GB2312" w:hAnsi="仿宋_GB2312" w:eastAsia="仿宋_GB2312" w:cs="仿宋_GB2312"/>
          <w:color w:val="auto"/>
          <w:sz w:val="24"/>
          <w:highlight w:val="none"/>
          <w:u w:val="single"/>
        </w:rPr>
        <w:t>按相关法律法规或当地相关主管部门的要求</w:t>
      </w:r>
      <w:r>
        <w:rPr>
          <w:rFonts w:hint="eastAsia" w:ascii="仿宋_GB2312" w:hAnsi="仿宋_GB2312" w:eastAsia="仿宋_GB2312" w:cs="仿宋_GB2312"/>
          <w:color w:val="auto"/>
          <w:sz w:val="24"/>
          <w:highlight w:val="none"/>
        </w:rPr>
        <w:t>。</w:t>
      </w:r>
    </w:p>
    <w:p w14:paraId="4270EB1D">
      <w:pPr>
        <w:widowControl/>
        <w:jc w:val="left"/>
        <w:rPr>
          <w:color w:val="auto"/>
          <w:highlight w:val="none"/>
          <w:u w:val="single"/>
        </w:rPr>
      </w:pPr>
      <w:r>
        <w:rPr>
          <w:rFonts w:ascii="仿宋" w:hAnsi="仿宋" w:eastAsia="仿宋" w:cs="仿宋"/>
          <w:color w:val="auto"/>
          <w:kern w:val="0"/>
          <w:sz w:val="24"/>
          <w:highlight w:val="none"/>
          <w:u w:val="single"/>
          <w:lang w:bidi="ar"/>
        </w:rPr>
        <w:t xml:space="preserve">其他说明： </w:t>
      </w:r>
    </w:p>
    <w:p w14:paraId="71C29298">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（1）采购材料、设备等自检费用已包含在管理费中，不再另行支付。 </w:t>
      </w:r>
    </w:p>
    <w:p w14:paraId="3621C9A9">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（2）依据国家有关法律、法规和工程建设强制性标准，对基坑监测、沉降观测、桩基础、主体结构工程由发包人委托第三方监测及检测。 </w:t>
      </w:r>
    </w:p>
    <w:p w14:paraId="5782E833">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（3）依据国家有关法律、法规和工程建设强制性标准，对幕墙工程、门窗工程等涉及结构安全项目和民用建筑工程室内环境污染控制、建筑节能等项目的抽样检测费用等第三方监测检测费用由发包人直接委托。 </w:t>
      </w:r>
    </w:p>
    <w:p w14:paraId="35657F3C">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4）由发包人委托的第三方检测，承包人应配合协助发包人完成材料、构配件试验及工程实体检测工作，包括不限于配合送检、提供送检材料、工程设备、装配式构件、养护室等，相关配合费由承包人承担，承包人在投标下浮率中已综合考虑这部分费用，不再额外开项及套取定额。 </w:t>
      </w:r>
    </w:p>
    <w:p w14:paraId="59D95F7F">
      <w:pPr>
        <w:widowControl/>
        <w:jc w:val="left"/>
        <w:rPr>
          <w:color w:val="auto"/>
          <w:highlight w:val="none"/>
        </w:rPr>
      </w:pPr>
      <w:r>
        <w:rPr>
          <w:rFonts w:hint="eastAsia" w:ascii="仿宋" w:hAnsi="仿宋" w:eastAsia="仿宋" w:cs="仿宋"/>
          <w:color w:val="auto"/>
          <w:kern w:val="0"/>
          <w:sz w:val="24"/>
          <w:highlight w:val="none"/>
          <w:u w:val="single"/>
          <w:lang w:bidi="ar"/>
        </w:rPr>
        <w:t>（5）当发包人、上级主管部门或质量安全监督部门提出对工程检测复检要求时，承包人应予以配合，检测结果合格的费用由发包人承担，检测结果不合格的，检测费用及其整改恢复等费用由承包人承担</w:t>
      </w:r>
      <w:r>
        <w:rPr>
          <w:rFonts w:hint="eastAsia" w:ascii="仿宋" w:hAnsi="仿宋" w:eastAsia="仿宋" w:cs="仿宋"/>
          <w:color w:val="auto"/>
          <w:kern w:val="0"/>
          <w:sz w:val="24"/>
          <w:highlight w:val="none"/>
          <w:lang w:bidi="ar"/>
        </w:rPr>
        <w:t>。</w:t>
      </w:r>
    </w:p>
    <w:p w14:paraId="44F20845">
      <w:pPr>
        <w:ind w:left="210" w:leftChars="100"/>
        <w:rPr>
          <w:rFonts w:hint="eastAsia" w:ascii="仿宋_GB2312" w:hAnsi="仿宋_GB2312" w:eastAsia="仿宋_GB2312" w:cs="仿宋_GB2312"/>
          <w:color w:val="auto"/>
          <w:sz w:val="24"/>
          <w:highlight w:val="none"/>
          <w:u w:val="single"/>
        </w:rPr>
      </w:pPr>
    </w:p>
    <w:p w14:paraId="7F49FF60">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58. 施工设备和临时设施</w:t>
      </w:r>
    </w:p>
    <w:p w14:paraId="52313A41">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58.1 承包人配置的施工设备和临时设施</w:t>
      </w:r>
    </w:p>
    <w:p w14:paraId="0DC44A4E">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按通用条款约定，承包人承担修建临时设施的费用。</w:t>
      </w:r>
    </w:p>
    <w:p w14:paraId="5F7B49C5">
      <w:pPr>
        <w:widowControl/>
        <w:ind w:left="210" w:leftChars="1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另作约定：</w:t>
      </w:r>
      <w:r>
        <w:rPr>
          <w:rFonts w:ascii="仿宋" w:hAnsi="仿宋" w:eastAsia="仿宋" w:cs="仿宋"/>
          <w:color w:val="auto"/>
          <w:kern w:val="0"/>
          <w:sz w:val="24"/>
          <w:highlight w:val="none"/>
          <w:u w:val="single"/>
          <w:lang w:bidi="ar"/>
        </w:rPr>
        <w:t>临时设施的费用和临时占地手续和费用承担的特别约定：由承包人实施并承担相关费用。与本</w:t>
      </w:r>
      <w:r>
        <w:rPr>
          <w:rFonts w:hint="eastAsia" w:ascii="仿宋" w:hAnsi="仿宋" w:eastAsia="仿宋" w:cs="仿宋"/>
          <w:color w:val="auto"/>
          <w:kern w:val="0"/>
          <w:sz w:val="24"/>
          <w:highlight w:val="none"/>
          <w:u w:val="single"/>
          <w:lang w:bidi="ar"/>
        </w:rPr>
        <w:t>工程有关的临时设施及场地由承包人自行解决（含租地、租房、二次搬迁、临时污水并网、临时水电接驳、场地拆除清理平整等全部费用），施工期间临时道路及场地排水等由承包人根据现状施工组织，并满足施工及桩基检测等工程验收、检测要求；临时设施建筑构件的燃烧性能等级应为A级，相关费用承包人含在合同价中考虑，不再另行计取。</w:t>
      </w:r>
      <w:r>
        <w:rPr>
          <w:rFonts w:hint="eastAsia" w:ascii="仿宋_GB2312" w:hAnsi="仿宋_GB2312" w:eastAsia="仿宋_GB2312" w:cs="仿宋_GB2312"/>
          <w:color w:val="auto"/>
          <w:sz w:val="24"/>
          <w:highlight w:val="none"/>
          <w:u w:val="single"/>
        </w:rPr>
        <w:t xml:space="preserve">  </w:t>
      </w:r>
    </w:p>
    <w:p w14:paraId="4B9A4D89">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58.2 发包人提供的施工设备和临时设施</w:t>
      </w:r>
    </w:p>
    <w:p w14:paraId="4B4AA600">
      <w:pPr>
        <w:ind w:left="210" w:leftChars="100"/>
        <w:rPr>
          <w:rFonts w:hint="eastAsia"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发包人提供施工设备和临时设施的约定：</w:t>
      </w:r>
      <w:r>
        <w:rPr>
          <w:rFonts w:hint="eastAsia" w:ascii="仿宋_GB2312" w:hAnsi="仿宋_GB2312" w:eastAsia="仿宋_GB2312" w:cs="仿宋_GB2312"/>
          <w:color w:val="auto"/>
          <w:sz w:val="24"/>
          <w:highlight w:val="none"/>
          <w:u w:val="single"/>
        </w:rPr>
        <w:t xml:space="preserve"> / </w:t>
      </w:r>
    </w:p>
    <w:p w14:paraId="33123699">
      <w:pPr>
        <w:ind w:left="210" w:leftChars="100"/>
        <w:rPr>
          <w:rFonts w:hint="eastAsia" w:ascii="仿宋_GB2312" w:hAnsi="仿宋_GB2312" w:eastAsia="仿宋_GB2312" w:cs="仿宋_GB2312"/>
          <w:color w:val="auto"/>
          <w:sz w:val="24"/>
          <w:highlight w:val="none"/>
          <w:u w:val="single"/>
        </w:rPr>
      </w:pPr>
    </w:p>
    <w:p w14:paraId="2C8BF30A">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★60. 隐蔽工程和中间验收</w:t>
      </w:r>
    </w:p>
    <w:p w14:paraId="4EF1EC46">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60.1 隐蔽工程或中间验收的通知</w:t>
      </w:r>
    </w:p>
    <w:p w14:paraId="27D56F1E">
      <w:pPr>
        <w:ind w:left="210" w:leftChars="100" w:firstLine="480" w:firstLine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隐蔽工程或中间验收部位未经专业监理工程师验收合格，不得隐蔽或继续施工，否则该部分工程被视为不合格，由此所产生的返工费用由承包人承担。</w:t>
      </w:r>
    </w:p>
    <w:p w14:paraId="588CE2F9">
      <w:pPr>
        <w:ind w:left="210" w:leftChars="100" w:firstLine="480" w:firstLineChars="200"/>
        <w:rPr>
          <w:rFonts w:hint="eastAsia"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中间验收的部位有：</w:t>
      </w:r>
      <w:r>
        <w:rPr>
          <w:rFonts w:ascii="仿宋_GB2312" w:hAnsi="仿宋_GB2312" w:eastAsia="仿宋_GB2312" w:cs="仿宋_GB2312"/>
          <w:color w:val="auto"/>
          <w:sz w:val="24"/>
          <w:highlight w:val="none"/>
          <w:u w:val="single"/>
        </w:rPr>
        <w:t>由发包人、监理人或质监机构根据工程特点及有关规定确认的有关分部（子分部）工程。</w:t>
      </w:r>
    </w:p>
    <w:p w14:paraId="5CD09106">
      <w:pPr>
        <w:ind w:left="210" w:leftChars="100" w:firstLine="480" w:firstLineChars="200"/>
        <w:rPr>
          <w:rFonts w:hint="eastAsia" w:ascii="仿宋_GB2312" w:hAnsi="仿宋_GB2312" w:eastAsia="仿宋_GB2312" w:cs="仿宋_GB2312"/>
          <w:color w:val="auto"/>
          <w:sz w:val="24"/>
          <w:highlight w:val="none"/>
          <w:u w:val="single"/>
        </w:rPr>
      </w:pPr>
    </w:p>
    <w:p w14:paraId="49C44574">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62. 工程试车</w:t>
      </w:r>
    </w:p>
    <w:p w14:paraId="7B45E915">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62.1 试车内容</w:t>
      </w:r>
    </w:p>
    <w:p w14:paraId="47737A29">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不需要试车的，本条不适用。</w:t>
      </w:r>
    </w:p>
    <w:p w14:paraId="0703B064">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需要试车的，试车的内容和要求：</w:t>
      </w:r>
      <w:r>
        <w:rPr>
          <w:rFonts w:hint="eastAsia" w:ascii="仿宋_GB2312" w:hAnsi="仿宋_GB2312" w:eastAsia="仿宋_GB2312" w:cs="仿宋_GB2312"/>
          <w:color w:val="auto"/>
          <w:sz w:val="24"/>
          <w:highlight w:val="none"/>
          <w:u w:val="single"/>
        </w:rPr>
        <w:t xml:space="preserve">  </w:t>
      </w:r>
    </w:p>
    <w:p w14:paraId="325DD351">
      <w:pPr>
        <w:ind w:left="210" w:leftChars="100"/>
        <w:rPr>
          <w:rFonts w:hint="eastAsia" w:ascii="仿宋_GB2312" w:hAnsi="仿宋_GB2312" w:eastAsia="仿宋_GB2312" w:cs="仿宋_GB2312"/>
          <w:color w:val="auto"/>
          <w:sz w:val="24"/>
          <w:highlight w:val="none"/>
        </w:rPr>
      </w:pPr>
    </w:p>
    <w:p w14:paraId="2C47FE76">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★63. 工程变更</w:t>
      </w:r>
    </w:p>
    <w:p w14:paraId="59F3289D">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63.4 承包人提出工程变更建议</w:t>
      </w:r>
    </w:p>
    <w:p w14:paraId="30579F25">
      <w:pPr>
        <w:rPr>
          <w:rFonts w:hint="eastAsia"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发包人采纳承包人建议带来利益的计奖方法：</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w:t>
      </w:r>
    </w:p>
    <w:p w14:paraId="1D0478FE">
      <w:pPr>
        <w:rPr>
          <w:rFonts w:hint="eastAsia" w:ascii="仿宋_GB2312" w:hAnsi="仿宋_GB2312" w:eastAsia="仿宋_GB2312" w:cs="仿宋_GB2312"/>
          <w:color w:val="auto"/>
          <w:sz w:val="24"/>
          <w:highlight w:val="none"/>
          <w:u w:val="single"/>
        </w:rPr>
      </w:pPr>
    </w:p>
    <w:p w14:paraId="13705039">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64. 竣工验收条件</w:t>
      </w:r>
    </w:p>
    <w:p w14:paraId="65A238BE">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64.1 竣工验收条件</w:t>
      </w:r>
    </w:p>
    <w:p w14:paraId="05CA8363">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（6）竣工资料应当符合基本建设项目档案管理的要求：</w:t>
      </w:r>
    </w:p>
    <w:p w14:paraId="2DA205FB">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国家档案局、国家计委关于印发《基本建设项目档案资料管理暂行规定》的通知（国档发［1988］4 号）；</w:t>
      </w:r>
    </w:p>
    <w:p w14:paraId="309F7DC3">
      <w:pPr>
        <w:widowControl/>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广东省档案局实施《基本建设项目档案资料管理暂行规定》细则</w:t>
      </w:r>
      <w:r>
        <w:rPr>
          <w:rFonts w:ascii="仿宋" w:hAnsi="仿宋" w:eastAsia="仿宋" w:cs="仿宋"/>
          <w:color w:val="auto"/>
          <w:kern w:val="0"/>
          <w:sz w:val="24"/>
          <w:highlight w:val="none"/>
          <w:lang w:bidi="ar"/>
        </w:rPr>
        <w:t>、</w:t>
      </w:r>
      <w:r>
        <w:rPr>
          <w:rFonts w:ascii="仿宋" w:hAnsi="仿宋" w:eastAsia="仿宋" w:cs="仿宋"/>
          <w:color w:val="auto"/>
          <w:kern w:val="0"/>
          <w:sz w:val="24"/>
          <w:highlight w:val="none"/>
          <w:u w:val="single"/>
          <w:lang w:bidi="ar"/>
        </w:rPr>
        <w:t>《城市建设档案管理规</w:t>
      </w:r>
      <w:r>
        <w:rPr>
          <w:rFonts w:hint="eastAsia" w:ascii="仿宋" w:hAnsi="仿宋" w:eastAsia="仿宋" w:cs="仿宋"/>
          <w:color w:val="auto"/>
          <w:kern w:val="0"/>
          <w:sz w:val="24"/>
          <w:highlight w:val="none"/>
          <w:u w:val="single"/>
          <w:lang w:bidi="ar"/>
        </w:rPr>
        <w:t>定》、《广州市城市建设档案管理办法》、《广州市建筑工程文件整理及档案移交规定》、《广州市建设工程档案编制指南》等国家、省、市档案管理规定及发包人对档案资料的具体要求，承包方负责对竣工资料进行收集、整理、组卷、编制目录、汇总和管理</w:t>
      </w:r>
      <w:r>
        <w:rPr>
          <w:rFonts w:hint="eastAsia" w:ascii="仿宋" w:hAnsi="仿宋" w:eastAsia="仿宋" w:cs="仿宋"/>
          <w:color w:val="auto"/>
          <w:kern w:val="0"/>
          <w:sz w:val="24"/>
          <w:highlight w:val="none"/>
          <w:lang w:bidi="ar"/>
        </w:rPr>
        <w:t>。</w:t>
      </w:r>
    </w:p>
    <w:p w14:paraId="5233E697">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 xml:space="preserve">☑ </w:t>
      </w:r>
      <w:r>
        <w:rPr>
          <w:rFonts w:ascii="仿宋_GB2312" w:hAnsi="仿宋_GB2312" w:eastAsia="仿宋_GB2312" w:cs="仿宋_GB2312"/>
          <w:color w:val="auto"/>
          <w:sz w:val="24"/>
          <w:highlight w:val="none"/>
        </w:rPr>
        <w:t>其它约定：</w:t>
      </w:r>
      <w:r>
        <w:rPr>
          <w:rFonts w:hint="eastAsia" w:ascii="仿宋_GB2312" w:hAnsi="仿宋_GB2312" w:eastAsia="仿宋_GB2312" w:cs="仿宋_GB2312"/>
          <w:color w:val="auto"/>
          <w:sz w:val="24"/>
          <w:highlight w:val="none"/>
          <w:u w:val="single"/>
        </w:rPr>
        <w:t>按</w:t>
      </w:r>
      <w:r>
        <w:rPr>
          <w:rFonts w:hint="eastAsia" w:ascii="仿宋_GB2312" w:hAnsi="仿宋_GB2312" w:eastAsia="仿宋_GB2312" w:cs="仿宋_GB2312"/>
          <w:strike/>
          <w:color w:val="auto"/>
          <w:sz w:val="24"/>
          <w:highlight w:val="none"/>
          <w:u w:val="single"/>
        </w:rPr>
        <w:t>相关法律法规或</w:t>
      </w:r>
      <w:r>
        <w:rPr>
          <w:rFonts w:hint="eastAsia" w:ascii="仿宋_GB2312" w:hAnsi="仿宋_GB2312" w:eastAsia="仿宋_GB2312" w:cs="仿宋_GB2312"/>
          <w:color w:val="auto"/>
          <w:sz w:val="24"/>
          <w:highlight w:val="none"/>
          <w:u w:val="single"/>
        </w:rPr>
        <w:t>当地相关主管部门及发包人的要求</w:t>
      </w:r>
      <w:r>
        <w:rPr>
          <w:rFonts w:hint="eastAsia" w:ascii="仿宋_GB2312" w:hAnsi="仿宋_GB2312" w:eastAsia="仿宋_GB2312" w:cs="仿宋_GB2312"/>
          <w:color w:val="auto"/>
          <w:sz w:val="24"/>
          <w:highlight w:val="none"/>
        </w:rPr>
        <w:t>。</w:t>
      </w:r>
    </w:p>
    <w:p w14:paraId="559E6879">
      <w:pPr>
        <w:ind w:left="210" w:leftChars="100"/>
        <w:rPr>
          <w:rFonts w:hint="eastAsia" w:ascii="仿宋_GB2312" w:hAnsi="仿宋_GB2312" w:eastAsia="仿宋_GB2312" w:cs="仿宋_GB2312"/>
          <w:color w:val="auto"/>
          <w:sz w:val="24"/>
          <w:highlight w:val="none"/>
          <w:u w:val="single"/>
        </w:rPr>
      </w:pPr>
    </w:p>
    <w:p w14:paraId="5072141E">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★65. 竣工验收</w:t>
      </w:r>
    </w:p>
    <w:p w14:paraId="209A4033">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65.1 竣工验收标准</w:t>
      </w:r>
    </w:p>
    <w:p w14:paraId="7AAA7DF7">
      <w:pPr>
        <w:ind w:left="210" w:leftChars="100"/>
        <w:rPr>
          <w:rFonts w:hint="eastAsia"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合同工程竣工验收标准：</w:t>
      </w:r>
      <w:r>
        <w:rPr>
          <w:rFonts w:ascii="仿宋_GB2312" w:hAnsi="仿宋_GB2312" w:eastAsia="仿宋_GB2312" w:cs="仿宋_GB2312"/>
          <w:color w:val="auto"/>
          <w:sz w:val="24"/>
          <w:highlight w:val="none"/>
          <w:u w:val="single"/>
        </w:rPr>
        <w:t>符合国家、省、市或行业现行的工程建设质量验收标准并达到合格。</w:t>
      </w:r>
    </w:p>
    <w:p w14:paraId="70E84A7B">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★65.8 单项工程和工程部位验收</w:t>
      </w:r>
    </w:p>
    <w:p w14:paraId="6CBC6EE4">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合同工程无单项工程、无工程部位提前验收的，本款不适用。</w:t>
      </w:r>
    </w:p>
    <w:p w14:paraId="33EA775F">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合同工程单项工程或工程部位需提前验收的，各单项工程或工程部位的名称、竣工验收</w:t>
      </w:r>
    </w:p>
    <w:p w14:paraId="26B404A5">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时间和范围如下：</w:t>
      </w:r>
    </w:p>
    <w:p w14:paraId="002B03AF">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① </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（名称）工程或部位，竣工验收时间为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，其范围包括：</w:t>
      </w:r>
      <w:r>
        <w:rPr>
          <w:rFonts w:hint="eastAsia" w:ascii="仿宋_GB2312" w:hAnsi="仿宋_GB2312" w:eastAsia="仿宋_GB2312" w:cs="仿宋_GB2312"/>
          <w:color w:val="auto"/>
          <w:sz w:val="24"/>
          <w:highlight w:val="none"/>
          <w:u w:val="single"/>
        </w:rPr>
        <w:t xml:space="preserve">  </w:t>
      </w:r>
    </w:p>
    <w:p w14:paraId="1536DAA5">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② </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（名称）工程或部位，竣工验收时间为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，其范围包括：</w:t>
      </w:r>
      <w:r>
        <w:rPr>
          <w:rFonts w:hint="eastAsia" w:ascii="仿宋_GB2312" w:hAnsi="仿宋_GB2312" w:eastAsia="仿宋_GB2312" w:cs="仿宋_GB2312"/>
          <w:color w:val="auto"/>
          <w:sz w:val="24"/>
          <w:highlight w:val="none"/>
          <w:u w:val="single"/>
        </w:rPr>
        <w:t xml:space="preserve">  </w:t>
      </w:r>
    </w:p>
    <w:p w14:paraId="1A0B1815">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65.9 施工期运行</w:t>
      </w:r>
    </w:p>
    <w:p w14:paraId="119FAE27">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合同工程无单项工程、无工程部位在施工期运行的，本款不适用。</w:t>
      </w:r>
    </w:p>
    <w:p w14:paraId="3890DAFB">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合同工程单项工程或工程部位需在施工期运行的，各单项工程或工程部位的名称、运行</w:t>
      </w:r>
    </w:p>
    <w:p w14:paraId="0179BD55">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时间如下：</w:t>
      </w:r>
    </w:p>
    <w:p w14:paraId="4C963EAF">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① </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（名称）工程或部位，运行时间为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14:paraId="249BA1E0">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② </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（名称）工程或部位，运行时间为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14:paraId="215D5387">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65.10 竣工清场</w:t>
      </w:r>
    </w:p>
    <w:p w14:paraId="0C7EB965">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按通用条款约定</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rPr>
        <w:t>应在竣工验收合格后10天内完成竣工清场，并移交发包人，否则发包人可自行或委托第三方恢复或清理，所发生的费用从应支付或将支付给承包人的款项中扣除</w:t>
      </w:r>
      <w:r>
        <w:rPr>
          <w:rFonts w:ascii="仿宋_GB2312" w:hAnsi="仿宋_GB2312" w:eastAsia="仿宋_GB2312" w:cs="仿宋_GB2312"/>
          <w:color w:val="auto"/>
          <w:sz w:val="24"/>
          <w:highlight w:val="none"/>
        </w:rPr>
        <w:t>。</w:t>
      </w:r>
    </w:p>
    <w:p w14:paraId="79F9523F">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另作约定：</w:t>
      </w:r>
      <w:r>
        <w:rPr>
          <w:rFonts w:hint="eastAsia" w:ascii="仿宋_GB2312" w:hAnsi="仿宋_GB2312" w:eastAsia="仿宋_GB2312" w:cs="仿宋_GB2312"/>
          <w:color w:val="auto"/>
          <w:sz w:val="24"/>
          <w:highlight w:val="none"/>
          <w:u w:val="single"/>
        </w:rPr>
        <w:t xml:space="preserve">  </w:t>
      </w:r>
    </w:p>
    <w:p w14:paraId="062AFD90">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65.11 施工队伍的撤离</w:t>
      </w:r>
    </w:p>
    <w:p w14:paraId="03E1DC44">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按通用条款约定，承包人的人员和施工设备全部撤离施工现场。</w:t>
      </w:r>
    </w:p>
    <w:p w14:paraId="7D94E439">
      <w:pPr>
        <w:ind w:left="210" w:leftChars="100"/>
        <w:rPr>
          <w:rFonts w:hint="eastAsia"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 另作约定：</w:t>
      </w:r>
      <w:r>
        <w:rPr>
          <w:rFonts w:hint="eastAsia" w:ascii="仿宋_GB2312" w:hAnsi="仿宋_GB2312" w:eastAsia="仿宋_GB2312" w:cs="仿宋_GB2312"/>
          <w:color w:val="auto"/>
          <w:sz w:val="24"/>
          <w:highlight w:val="none"/>
          <w:u w:val="single"/>
        </w:rPr>
        <w:t xml:space="preserve">  </w:t>
      </w:r>
    </w:p>
    <w:p w14:paraId="3D642F56">
      <w:pPr>
        <w:ind w:left="210" w:leftChars="100"/>
        <w:rPr>
          <w:rFonts w:hint="eastAsia" w:ascii="仿宋_GB2312" w:hAnsi="仿宋_GB2312" w:eastAsia="仿宋_GB2312" w:cs="仿宋_GB2312"/>
          <w:color w:val="auto"/>
          <w:sz w:val="24"/>
          <w:highlight w:val="none"/>
          <w:u w:val="single"/>
        </w:rPr>
      </w:pPr>
    </w:p>
    <w:p w14:paraId="05A850F2">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66. 缺陷责任与质量保修</w:t>
      </w:r>
    </w:p>
    <w:p w14:paraId="472F499E">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66.1 缺陷责任期计算</w:t>
      </w:r>
    </w:p>
    <w:p w14:paraId="5C92F1F0">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缺陷责任期：</w:t>
      </w:r>
      <w:r>
        <w:rPr>
          <w:rFonts w:hint="eastAsia" w:ascii="仿宋_GB2312" w:hAnsi="仿宋_GB2312" w:eastAsia="仿宋_GB2312" w:cs="仿宋_GB2312"/>
          <w:color w:val="auto"/>
          <w:sz w:val="24"/>
          <w:highlight w:val="none"/>
        </w:rPr>
        <w:t>除</w:t>
      </w:r>
      <w:r>
        <w:rPr>
          <w:rFonts w:hint="eastAsia" w:ascii="仿宋" w:hAnsi="仿宋" w:eastAsia="仿宋" w:cs="仿宋"/>
          <w:color w:val="auto"/>
          <w:sz w:val="24"/>
          <w:highlight w:val="none"/>
        </w:rPr>
        <w:t>屋面防水工程、有防水要求的卫生间、房间和外墙面的防渗漏工程部分为</w:t>
      </w:r>
      <w:r>
        <w:rPr>
          <w:rFonts w:hint="eastAsia" w:ascii="仿宋" w:hAnsi="仿宋" w:eastAsia="仿宋" w:cs="仿宋"/>
          <w:color w:val="auto"/>
          <w:sz w:val="24"/>
          <w:highlight w:val="none"/>
          <w:u w:val="single"/>
        </w:rPr>
        <w:t>五</w:t>
      </w:r>
      <w:r>
        <w:rPr>
          <w:rFonts w:hint="eastAsia" w:ascii="仿宋" w:hAnsi="仿宋" w:eastAsia="仿宋" w:cs="仿宋"/>
          <w:color w:val="auto"/>
          <w:sz w:val="24"/>
          <w:highlight w:val="none"/>
        </w:rPr>
        <w:t>年外，其他部分为</w:t>
      </w:r>
      <w:r>
        <w:rPr>
          <w:rFonts w:ascii="仿宋_GB2312" w:hAnsi="仿宋_GB2312" w:eastAsia="仿宋_GB2312" w:cs="仿宋_GB2312"/>
          <w:color w:val="auto"/>
          <w:sz w:val="24"/>
          <w:highlight w:val="none"/>
          <w:u w:val="single"/>
        </w:rPr>
        <w:t>两年，自工程实际竣工验收合格之日起计。</w:t>
      </w:r>
    </w:p>
    <w:p w14:paraId="180ECDE5">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66.8 质量保修期计算</w:t>
      </w:r>
    </w:p>
    <w:p w14:paraId="342F5E03">
      <w:pPr>
        <w:ind w:left="210" w:leftChars="100"/>
        <w:rPr>
          <w:rFonts w:hint="eastAsia"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质量保修期：</w:t>
      </w:r>
      <w:r>
        <w:rPr>
          <w:rFonts w:ascii="仿宋_GB2312" w:hAnsi="仿宋_GB2312" w:eastAsia="仿宋_GB2312" w:cs="仿宋_GB2312"/>
          <w:color w:val="auto"/>
          <w:sz w:val="24"/>
          <w:highlight w:val="none"/>
          <w:u w:val="single"/>
        </w:rPr>
        <w:t>按照《建设工程质量管理条例》规定。</w:t>
      </w:r>
    </w:p>
    <w:p w14:paraId="2F8F5219">
      <w:pPr>
        <w:ind w:left="210" w:leftChars="100"/>
        <w:rPr>
          <w:rFonts w:hint="eastAsia" w:ascii="仿宋_GB2312" w:hAnsi="仿宋_GB2312" w:eastAsia="仿宋_GB2312" w:cs="仿宋_GB2312"/>
          <w:color w:val="auto"/>
          <w:sz w:val="24"/>
          <w:highlight w:val="none"/>
          <w:u w:val="single"/>
        </w:rPr>
      </w:pPr>
    </w:p>
    <w:p w14:paraId="22760DBE">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68. 联合体牵头人项目管理费</w:t>
      </w:r>
    </w:p>
    <w:p w14:paraId="0E90370F">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承包人为非联合体的，本条不适用。</w:t>
      </w:r>
    </w:p>
    <w:p w14:paraId="59F61A23">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承包人为联合体的，牵头人项目管理费的约定：</w:t>
      </w:r>
    </w:p>
    <w:p w14:paraId="22FBA85E">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①联合体牵头人项目管理费的金额，按本合同协议书约定的金额执行。</w:t>
      </w:r>
    </w:p>
    <w:p w14:paraId="0B0BAECC">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②发包人向承包人支付牵头人项目管理费的时间、比例：</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w:t>
      </w:r>
      <w:r>
        <w:rPr>
          <w:rFonts w:ascii="仿宋_GB2312" w:hAnsi="仿宋_GB2312" w:eastAsia="仿宋_GB2312" w:cs="仿宋_GB2312"/>
          <w:color w:val="auto"/>
          <w:sz w:val="24"/>
          <w:highlight w:val="none"/>
          <w:u w:val="single"/>
        </w:rPr>
        <w:t xml:space="preserve"> </w:t>
      </w:r>
    </w:p>
    <w:p w14:paraId="62824066">
      <w:pPr>
        <w:ind w:left="210" w:leftChars="100"/>
        <w:rPr>
          <w:rFonts w:hint="eastAsia"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③</w:t>
      </w:r>
      <w:bookmarkStart w:id="4" w:name="_Hlk156554070"/>
      <w:r>
        <w:rPr>
          <w:rFonts w:ascii="仿宋_GB2312" w:hAnsi="仿宋_GB2312" w:eastAsia="仿宋_GB2312" w:cs="仿宋_GB2312"/>
          <w:color w:val="auto"/>
          <w:sz w:val="24"/>
          <w:highlight w:val="none"/>
        </w:rPr>
        <w:t>牵头人及其授权的承包人代表不作为或存在过错</w:t>
      </w:r>
      <w:r>
        <w:rPr>
          <w:rFonts w:hint="eastAsia" w:ascii="仿宋_GB2312" w:hAnsi="仿宋_GB2312" w:eastAsia="仿宋_GB2312" w:cs="仿宋_GB2312"/>
          <w:color w:val="auto"/>
          <w:sz w:val="24"/>
          <w:highlight w:val="none"/>
        </w:rPr>
        <w:t>的</w:t>
      </w:r>
      <w:r>
        <w:rPr>
          <w:rFonts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rPr>
        <w:t>应当承担违约责任，</w:t>
      </w:r>
      <w:r>
        <w:rPr>
          <w:rFonts w:ascii="仿宋_GB2312" w:hAnsi="仿宋_GB2312" w:eastAsia="仿宋_GB2312" w:cs="仿宋_GB2312"/>
          <w:color w:val="auto"/>
          <w:sz w:val="24"/>
          <w:highlight w:val="none"/>
        </w:rPr>
        <w:t>发包人有权部分或全部扣除</w:t>
      </w:r>
      <w:r>
        <w:rPr>
          <w:rFonts w:hint="eastAsia" w:ascii="仿宋_GB2312" w:hAnsi="仿宋_GB2312" w:eastAsia="仿宋_GB2312" w:cs="仿宋_GB2312"/>
          <w:color w:val="auto"/>
          <w:sz w:val="24"/>
          <w:highlight w:val="none"/>
        </w:rPr>
        <w:t>应付的该项</w:t>
      </w:r>
      <w:r>
        <w:rPr>
          <w:rFonts w:ascii="仿宋_GB2312" w:hAnsi="仿宋_GB2312" w:eastAsia="仿宋_GB2312" w:cs="仿宋_GB2312"/>
          <w:color w:val="auto"/>
          <w:sz w:val="24"/>
          <w:highlight w:val="none"/>
        </w:rPr>
        <w:t>费用，</w:t>
      </w:r>
      <w:r>
        <w:rPr>
          <w:rFonts w:hint="eastAsia" w:ascii="仿宋_GB2312" w:hAnsi="仿宋_GB2312" w:eastAsia="仿宋_GB2312" w:cs="仿宋_GB2312"/>
          <w:color w:val="auto"/>
          <w:sz w:val="24"/>
          <w:highlight w:val="none"/>
        </w:rPr>
        <w:t>违约金计算方式</w:t>
      </w:r>
      <w:r>
        <w:rPr>
          <w:rFonts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按合同总价</w:t>
      </w:r>
      <w:r>
        <w:rPr>
          <w:rFonts w:ascii="仿宋_GB2312" w:hAnsi="仿宋_GB2312" w:eastAsia="仿宋_GB2312" w:cs="仿宋_GB2312"/>
          <w:color w:val="auto"/>
          <w:sz w:val="24"/>
          <w:highlight w:val="none"/>
          <w:u w:val="single"/>
        </w:rPr>
        <w:t>1%</w:t>
      </w:r>
      <w:r>
        <w:rPr>
          <w:rFonts w:hint="eastAsia" w:ascii="仿宋_GB2312" w:hAnsi="仿宋_GB2312" w:eastAsia="仿宋_GB2312" w:cs="仿宋_GB2312"/>
          <w:color w:val="auto"/>
          <w:sz w:val="24"/>
          <w:highlight w:val="none"/>
          <w:u w:val="single"/>
        </w:rPr>
        <w:t>计算，发包人有权直接在当期应付进度款中进行扣除。</w:t>
      </w:r>
      <w:bookmarkEnd w:id="4"/>
    </w:p>
    <w:p w14:paraId="356A1EA7">
      <w:pPr>
        <w:ind w:left="210" w:leftChars="100"/>
        <w:rPr>
          <w:rFonts w:hint="eastAsia" w:ascii="仿宋_GB2312" w:hAnsi="仿宋_GB2312" w:eastAsia="仿宋_GB2312" w:cs="仿宋_GB2312"/>
          <w:color w:val="auto"/>
          <w:sz w:val="24"/>
          <w:highlight w:val="none"/>
          <w:u w:val="single"/>
        </w:rPr>
      </w:pPr>
    </w:p>
    <w:p w14:paraId="5D1AA223">
      <w:pPr>
        <w:rPr>
          <w:rFonts w:hint="eastAsia" w:ascii="仿宋_GB2312" w:hAnsi="仿宋_GB2312" w:eastAsia="仿宋_GB2312" w:cs="仿宋_GB2312"/>
          <w:color w:val="auto"/>
          <w:sz w:val="24"/>
          <w:highlight w:val="none"/>
        </w:rPr>
      </w:pPr>
      <w:bookmarkStart w:id="5" w:name="_Hlk156393307"/>
      <w:r>
        <w:rPr>
          <w:rFonts w:ascii="仿宋_GB2312" w:hAnsi="仿宋_GB2312" w:eastAsia="仿宋_GB2312" w:cs="仿宋_GB2312"/>
          <w:color w:val="auto"/>
          <w:sz w:val="24"/>
          <w:highlight w:val="none"/>
        </w:rPr>
        <w:t>★69. 合同价格的约定与调整</w:t>
      </w:r>
    </w:p>
    <w:p w14:paraId="6DB97410">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69.2 合同价格的形式</w:t>
      </w:r>
    </w:p>
    <w:p w14:paraId="04994795">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总价合同。</w:t>
      </w:r>
    </w:p>
    <w:p w14:paraId="0F37C5C2">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总价合同＋部分单价合同。其中，总价合同、单价合同的适用工程范围按专用条款第 72条。</w:t>
      </w:r>
    </w:p>
    <w:p w14:paraId="1420875D">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另作约定：</w:t>
      </w:r>
    </w:p>
    <w:p w14:paraId="5EC5FF3F">
      <w:pPr>
        <w:widowControl/>
        <w:jc w:val="left"/>
        <w:rPr>
          <w:color w:val="auto"/>
          <w:highlight w:val="none"/>
          <w:u w:val="single"/>
        </w:rPr>
      </w:pPr>
      <w:r>
        <w:rPr>
          <w:rFonts w:ascii="仿宋" w:hAnsi="仿宋" w:eastAsia="仿宋" w:cs="仿宋"/>
          <w:b/>
          <w:bCs/>
          <w:color w:val="auto"/>
          <w:kern w:val="0"/>
          <w:sz w:val="24"/>
          <w:highlight w:val="none"/>
          <w:u w:val="single"/>
          <w:lang w:bidi="ar"/>
        </w:rPr>
        <w:t>本合同总价构成</w:t>
      </w:r>
      <w:r>
        <w:rPr>
          <w:rFonts w:hint="eastAsia" w:ascii="仿宋" w:hAnsi="仿宋" w:eastAsia="仿宋" w:cs="仿宋"/>
          <w:color w:val="auto"/>
          <w:kern w:val="0"/>
          <w:sz w:val="24"/>
          <w:highlight w:val="none"/>
          <w:u w:val="single"/>
          <w:lang w:bidi="ar"/>
        </w:rPr>
        <w:t xml:space="preserve">：合同价款由工程勘察设计费、建安工程费构成，包括但不限于本工程的现状场地移交后工作面的复核及交接、方案设计、初步设计及初步设计概算、施工图设计、施工图预算编制、工程施工等完成合同总承包内容中所有工作所需的设计费、专家评审费和建安工程费，即本项目的设计、采购、施工至工程竣工验收、工程结算、工程保修以及项目移交等全过程的工程总承包交钥匙工程所有费用。合同价款包含但不限于完成工程项目的建安工程费及其施工管理费、配合费、协调费、安全文明施工费（包含垃圾清运费）、联合试运转费、技术服务费、设计费、专家评审费、设计概算费、施工图预算编制费、材料设备采购保管费、安装费、调试费、检测费（除必须由建设方委托检测部分内容）、验收费、人员培训费、保险、风险费用、利润、规费、措施项目费、税金、手续等政策性文件规定的其它所有费用，以及合同中明确的其他责任、义务。合同价格为含税价，按增值税一般计税，承包人应当按照承包人的要求提供相应的增值税发票。 </w:t>
      </w:r>
    </w:p>
    <w:p w14:paraId="0A13B189">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（1）勘察设计费：本工程设计费按专用条款72.1.2执行 </w:t>
      </w:r>
    </w:p>
    <w:p w14:paraId="782A2502">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（2）建安工程费用：建安工程费用=建安工程费+设备及工器具购置费 </w:t>
      </w:r>
    </w:p>
    <w:p w14:paraId="2A671A50">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①建安工程费包含但不限于合同范围内的工程施工费用、措施费、管理费、利润、规费、税金及保险风险费等所有费用。 </w:t>
      </w:r>
    </w:p>
    <w:p w14:paraId="45C081C8">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②设备及工器具购置费内容包括本项目涉及的所有内容。 </w:t>
      </w:r>
    </w:p>
    <w:p w14:paraId="618746A4">
      <w:pPr>
        <w:widowControl/>
        <w:jc w:val="left"/>
        <w:rPr>
          <w:color w:val="auto"/>
          <w:highlight w:val="none"/>
          <w:u w:val="single"/>
        </w:rPr>
      </w:pPr>
      <w:r>
        <w:rPr>
          <w:rFonts w:ascii="仿宋" w:hAnsi="仿宋" w:eastAsia="仿宋" w:cs="仿宋"/>
          <w:color w:val="auto"/>
          <w:kern w:val="0"/>
          <w:sz w:val="24"/>
          <w:highlight w:val="none"/>
          <w:u w:val="single"/>
          <w:lang w:bidi="ar"/>
        </w:rPr>
        <w:fldChar w:fldCharType="begin"/>
      </w:r>
      <w:r>
        <w:rPr>
          <w:rFonts w:ascii="仿宋" w:hAnsi="仿宋" w:eastAsia="仿宋" w:cs="仿宋"/>
          <w:color w:val="auto"/>
          <w:kern w:val="0"/>
          <w:sz w:val="24"/>
          <w:highlight w:val="none"/>
          <w:u w:val="single"/>
          <w:lang w:bidi="ar"/>
        </w:rPr>
        <w:instrText xml:space="preserve"> </w:instrText>
      </w:r>
      <w:r>
        <w:rPr>
          <w:rFonts w:hint="eastAsia" w:ascii="仿宋" w:hAnsi="仿宋" w:eastAsia="仿宋" w:cs="仿宋"/>
          <w:color w:val="auto"/>
          <w:kern w:val="0"/>
          <w:sz w:val="24"/>
          <w:highlight w:val="none"/>
          <w:u w:val="single"/>
          <w:lang w:bidi="ar"/>
        </w:rPr>
        <w:instrText xml:space="preserve">= 3 \* GB3</w:instrText>
      </w:r>
      <w:r>
        <w:rPr>
          <w:rFonts w:ascii="仿宋" w:hAnsi="仿宋" w:eastAsia="仿宋" w:cs="仿宋"/>
          <w:color w:val="auto"/>
          <w:kern w:val="0"/>
          <w:sz w:val="24"/>
          <w:highlight w:val="none"/>
          <w:u w:val="single"/>
          <w:lang w:bidi="ar"/>
        </w:rPr>
        <w:instrText xml:space="preserve"> </w:instrText>
      </w:r>
      <w:r>
        <w:rPr>
          <w:rFonts w:ascii="仿宋" w:hAnsi="仿宋" w:eastAsia="仿宋" w:cs="仿宋"/>
          <w:color w:val="auto"/>
          <w:kern w:val="0"/>
          <w:sz w:val="24"/>
          <w:highlight w:val="none"/>
          <w:u w:val="single"/>
          <w:lang w:bidi="ar"/>
        </w:rPr>
        <w:fldChar w:fldCharType="separate"/>
      </w:r>
      <w:r>
        <w:rPr>
          <w:rFonts w:hint="eastAsia" w:ascii="仿宋" w:hAnsi="仿宋" w:eastAsia="仿宋" w:cs="仿宋"/>
          <w:color w:val="auto"/>
          <w:kern w:val="0"/>
          <w:sz w:val="24"/>
          <w:highlight w:val="none"/>
          <w:u w:val="single"/>
          <w:lang w:bidi="ar"/>
        </w:rPr>
        <w:t>③</w:t>
      </w:r>
      <w:r>
        <w:rPr>
          <w:rFonts w:ascii="仿宋" w:hAnsi="仿宋" w:eastAsia="仿宋" w:cs="仿宋"/>
          <w:color w:val="auto"/>
          <w:kern w:val="0"/>
          <w:sz w:val="24"/>
          <w:highlight w:val="none"/>
          <w:u w:val="single"/>
          <w:lang w:bidi="ar"/>
        </w:rPr>
        <w:fldChar w:fldCharType="end"/>
      </w:r>
      <w:r>
        <w:rPr>
          <w:rFonts w:hint="eastAsia" w:ascii="仿宋" w:hAnsi="仿宋" w:eastAsia="仿宋" w:cs="仿宋"/>
          <w:color w:val="auto"/>
          <w:kern w:val="0"/>
          <w:sz w:val="24"/>
          <w:highlight w:val="none"/>
          <w:u w:val="single"/>
          <w:lang w:bidi="ar"/>
        </w:rPr>
        <w:t xml:space="preserve">承包人还须配合由发包人另行发包、采购的工程、材料（设备）招标等工作。上述费用由承包人自行承担，并综合考虑在报价中。 </w:t>
      </w:r>
    </w:p>
    <w:p w14:paraId="79F09B80">
      <w:pPr>
        <w:widowControl/>
        <w:jc w:val="left"/>
        <w:rPr>
          <w:color w:val="auto"/>
          <w:highlight w:val="none"/>
          <w:u w:val="single"/>
        </w:rPr>
      </w:pPr>
      <w:r>
        <w:rPr>
          <w:rFonts w:hint="eastAsia" w:ascii="仿宋" w:hAnsi="仿宋" w:eastAsia="仿宋" w:cs="仿宋"/>
          <w:color w:val="auto"/>
          <w:kern w:val="0"/>
          <w:sz w:val="24"/>
          <w:highlight w:val="none"/>
          <w:u w:val="single"/>
          <w:lang w:bidi="ar"/>
        </w:rPr>
        <w:t xml:space="preserve">④承包人协助发包人报批报建、联合验收（竣备）、城建归档等工作，其发生的费用，由承包人自行承担，并综合考虑在报价中。 </w:t>
      </w:r>
    </w:p>
    <w:p w14:paraId="63B307F4">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69.3 合同价款的调整事项</w:t>
      </w:r>
    </w:p>
    <w:p w14:paraId="162EE403">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（2）可调价变更的量化指标。</w:t>
      </w:r>
    </w:p>
    <w:p w14:paraId="7EC563B3">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 相对于合同基础资料的重大调整量化指标：</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14:paraId="79F15E55">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 重大地质变化量化指标：</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14:paraId="50AEB7A0">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③ 不可抗力导致工程费增减额的承担比例：</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14:paraId="2CBDC228">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（6）其他调整事项：</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w:t>
      </w:r>
    </w:p>
    <w:p w14:paraId="7EB5E748">
      <w:pPr>
        <w:ind w:left="210" w:leftChars="100"/>
        <w:rPr>
          <w:rFonts w:hint="eastAsia" w:ascii="仿宋_GB2312" w:hAnsi="仿宋_GB2312" w:eastAsia="仿宋_GB2312" w:cs="仿宋_GB2312"/>
          <w:color w:val="auto"/>
          <w:sz w:val="24"/>
          <w:highlight w:val="none"/>
        </w:rPr>
      </w:pPr>
    </w:p>
    <w:p w14:paraId="4FC922BD">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★71. 工作量或工程量</w:t>
      </w:r>
    </w:p>
    <w:p w14:paraId="65D9ABCD">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71.1 清单工程量包括的工作内容</w:t>
      </w:r>
    </w:p>
    <w:p w14:paraId="2850D644">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按通用条款约定，</w:t>
      </w:r>
      <w:r>
        <w:rPr>
          <w:rFonts w:ascii="仿宋_GB2312" w:hAnsi="仿宋_GB2312" w:eastAsia="仿宋_GB2312" w:cs="仿宋_GB2312"/>
          <w:color w:val="auto"/>
          <w:sz w:val="24"/>
          <w:highlight w:val="none"/>
          <w:u w:val="single"/>
        </w:rPr>
        <w:t>合同履行过程中，需发生现场计量工作时，计量工作都应在发包人现场管理人员（工程师）及发包人委派的监理单位人员在场情况下，由承包人测量，计量记录须经发包人现场管理人员（工程师）及发包人委派的监理单位人员审核。对于质量不合格或因无原始技术记录而使其质量无法确认的工作内容，无法返修至合格或补充证明资料的，发包人将不予计量，不予结算</w:t>
      </w:r>
      <w:r>
        <w:rPr>
          <w:rFonts w:ascii="仿宋_GB2312" w:hAnsi="仿宋_GB2312" w:eastAsia="仿宋_GB2312" w:cs="仿宋_GB2312"/>
          <w:color w:val="auto"/>
          <w:sz w:val="24"/>
          <w:highlight w:val="none"/>
        </w:rPr>
        <w:t>。</w:t>
      </w:r>
    </w:p>
    <w:p w14:paraId="0673F488">
      <w:pPr>
        <w:widowControl/>
        <w:ind w:firstLine="240" w:firstLineChars="100"/>
        <w:jc w:val="left"/>
        <w:rPr>
          <w:rFonts w:hint="eastAsia" w:ascii="仿宋_GB2312" w:hAnsi="仿宋_GB2312" w:eastAsia="仿宋_GB2312" w:cs="仿宋_GB2312"/>
          <w:color w:val="auto"/>
          <w:sz w:val="24"/>
          <w:highlight w:val="none"/>
          <w:u w:val="single"/>
        </w:rPr>
      </w:pPr>
      <w:r>
        <w:rPr>
          <w:rFonts w:hint="eastAsia" w:ascii="Segoe UI Symbol" w:hAnsi="Segoe UI Symbol" w:eastAsia="仿宋_GB2312" w:cs="Segoe UI Symbol"/>
          <w:color w:val="auto"/>
          <w:sz w:val="24"/>
          <w:highlight w:val="none"/>
        </w:rPr>
        <w:t>□</w:t>
      </w: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 xml:space="preserve"> / </w:t>
      </w:r>
      <w:r>
        <w:rPr>
          <w:rFonts w:hint="eastAsia" w:ascii="仿宋_GB2312" w:hAnsi="仿宋_GB2312" w:eastAsia="仿宋_GB2312" w:cs="仿宋_GB2312"/>
          <w:color w:val="auto"/>
          <w:sz w:val="24"/>
          <w:highlight w:val="none"/>
        </w:rPr>
        <w:t xml:space="preserve">。 </w:t>
      </w:r>
      <w:r>
        <w:rPr>
          <w:rFonts w:ascii="仿宋_GB2312" w:hAnsi="仿宋_GB2312" w:eastAsia="仿宋_GB2312" w:cs="仿宋_GB2312"/>
          <w:color w:val="auto"/>
          <w:sz w:val="24"/>
          <w:highlight w:val="none"/>
        </w:rPr>
        <w:t xml:space="preserve">  </w:t>
      </w:r>
    </w:p>
    <w:p w14:paraId="18132C43">
      <w:pPr>
        <w:rPr>
          <w:rFonts w:hint="eastAsia" w:ascii="仿宋_GB2312" w:hAnsi="仿宋_GB2312" w:eastAsia="仿宋_GB2312" w:cs="仿宋_GB2312"/>
          <w:color w:val="auto"/>
          <w:sz w:val="24"/>
          <w:highlight w:val="none"/>
          <w:u w:val="single"/>
        </w:rPr>
      </w:pPr>
    </w:p>
    <w:p w14:paraId="22D131E3">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★72. 计量和计价</w:t>
      </w:r>
    </w:p>
    <w:p w14:paraId="5DC5B2F7">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72.1 计量和计价的依据</w:t>
      </w:r>
    </w:p>
    <w:p w14:paraId="69C55978">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72.1.2 工程设计费的计量规则与计价办法</w:t>
      </w:r>
    </w:p>
    <w:p w14:paraId="16A31EAD">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总价合同：按协议书约定的价格总价包干，除合同约定允许调整的事项外，总价不予调整。</w:t>
      </w:r>
    </w:p>
    <w:p w14:paraId="7083983A">
      <w:pPr>
        <w:ind w:left="210" w:leftChars="100"/>
        <w:rPr>
          <w:rFonts w:hint="eastAsia" w:ascii="仿宋" w:hAnsi="仿宋" w:eastAsia="仿宋" w:cs="仿宋"/>
          <w:color w:val="auto"/>
          <w:kern w:val="0"/>
          <w:sz w:val="24"/>
          <w:highlight w:val="none"/>
          <w:lang w:bidi="ar"/>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另作约定：</w:t>
      </w:r>
      <w:r>
        <w:rPr>
          <w:rFonts w:ascii="仿宋" w:hAnsi="仿宋" w:eastAsia="仿宋" w:cs="仿宋"/>
          <w:color w:val="auto"/>
          <w:kern w:val="0"/>
          <w:sz w:val="24"/>
          <w:highlight w:val="none"/>
          <w:u w:val="single"/>
          <w:lang w:bidi="ar"/>
        </w:rPr>
        <w:t>合同为暂定总价，</w:t>
      </w:r>
      <w:r>
        <w:rPr>
          <w:rFonts w:hint="eastAsia" w:ascii="仿宋" w:hAnsi="仿宋" w:eastAsia="仿宋" w:cs="仿宋"/>
          <w:color w:val="auto"/>
          <w:kern w:val="0"/>
          <w:sz w:val="24"/>
          <w:highlight w:val="none"/>
          <w:u w:val="single"/>
          <w:lang w:bidi="ar"/>
        </w:rPr>
        <w:t>设计费</w:t>
      </w:r>
      <w:r>
        <w:rPr>
          <w:rFonts w:ascii="仿宋" w:hAnsi="仿宋" w:eastAsia="仿宋" w:cs="仿宋"/>
          <w:color w:val="auto"/>
          <w:kern w:val="0"/>
          <w:sz w:val="24"/>
          <w:highlight w:val="none"/>
          <w:u w:val="single"/>
          <w:lang w:bidi="ar"/>
        </w:rPr>
        <w:t>结算原则如下</w:t>
      </w:r>
      <w:r>
        <w:rPr>
          <w:rFonts w:ascii="仿宋" w:hAnsi="仿宋" w:eastAsia="仿宋" w:cs="仿宋"/>
          <w:color w:val="auto"/>
          <w:kern w:val="0"/>
          <w:sz w:val="24"/>
          <w:highlight w:val="none"/>
          <w:lang w:bidi="ar"/>
        </w:rPr>
        <w:t>：</w:t>
      </w:r>
    </w:p>
    <w:p w14:paraId="7F6D7624">
      <w:pPr>
        <w:ind w:firstLine="422" w:firstLineChars="176"/>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（1）</w:t>
      </w:r>
      <w:r>
        <w:rPr>
          <w:rFonts w:ascii="仿宋_GB2312" w:hAnsi="仿宋_GB2312" w:eastAsia="仿宋_GB2312" w:cs="仿宋_GB2312"/>
          <w:b/>
          <w:bCs/>
          <w:color w:val="auto"/>
          <w:sz w:val="24"/>
          <w:highlight w:val="none"/>
          <w:u w:val="single"/>
        </w:rPr>
        <w:t>本工程</w:t>
      </w:r>
      <w:r>
        <w:rPr>
          <w:rFonts w:hint="eastAsia" w:ascii="仿宋_GB2312" w:hAnsi="仿宋_GB2312" w:eastAsia="仿宋_GB2312" w:cs="仿宋_GB2312"/>
          <w:b/>
          <w:bCs/>
          <w:color w:val="auto"/>
          <w:sz w:val="24"/>
          <w:highlight w:val="none"/>
          <w:u w:val="single"/>
        </w:rPr>
        <w:t>勘察设计费结算价</w:t>
      </w:r>
      <w:r>
        <w:rPr>
          <w:rFonts w:hint="eastAsia" w:ascii="仿宋_GB2312" w:hAnsi="仿宋_GB2312" w:eastAsia="仿宋_GB2312" w:cs="仿宋_GB2312"/>
          <w:color w:val="auto"/>
          <w:sz w:val="24"/>
          <w:highlight w:val="none"/>
          <w:u w:val="single"/>
        </w:rPr>
        <w:t>按国家计委、建设部《工程勘察设计收费标准》（计价格[2002]10号）</w:t>
      </w:r>
      <w:r>
        <w:rPr>
          <w:rFonts w:ascii="仿宋_GB2312" w:hAnsi="仿宋_GB2312" w:eastAsia="仿宋_GB2312" w:cs="仿宋_GB2312"/>
          <w:color w:val="auto"/>
          <w:sz w:val="24"/>
          <w:highlight w:val="none"/>
          <w:u w:val="single"/>
        </w:rPr>
        <w:t>规定</w:t>
      </w:r>
      <w:r>
        <w:rPr>
          <w:rFonts w:hint="eastAsia" w:ascii="仿宋_GB2312" w:hAnsi="仿宋_GB2312" w:eastAsia="仿宋_GB2312" w:cs="仿宋_GB2312"/>
          <w:color w:val="auto"/>
          <w:sz w:val="24"/>
          <w:highlight w:val="none"/>
          <w:u w:val="single"/>
        </w:rPr>
        <w:t>计算</w:t>
      </w:r>
      <w:r>
        <w:rPr>
          <w:rFonts w:ascii="仿宋_GB2312" w:hAnsi="仿宋_GB2312" w:eastAsia="仿宋_GB2312" w:cs="仿宋_GB2312"/>
          <w:color w:val="auto"/>
          <w:sz w:val="24"/>
          <w:highlight w:val="none"/>
          <w:u w:val="single"/>
        </w:rPr>
        <w:t>下浮率为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后，再结合中标下浮率计算</w:t>
      </w:r>
      <w:r>
        <w:rPr>
          <w:rFonts w:ascii="仿宋_GB2312" w:hAnsi="仿宋_GB2312" w:eastAsia="仿宋_GB2312" w:cs="仿宋_GB2312"/>
          <w:color w:val="auto"/>
          <w:sz w:val="24"/>
          <w:highlight w:val="none"/>
          <w:u w:val="single"/>
        </w:rPr>
        <w:t>，即本工程最终应计取的设计费=</w:t>
      </w:r>
      <w:r>
        <w:rPr>
          <w:rFonts w:hint="eastAsia" w:ascii="仿宋_GB2312" w:hAnsi="仿宋_GB2312" w:eastAsia="仿宋_GB2312" w:cs="仿宋_GB2312"/>
          <w:color w:val="auto"/>
          <w:sz w:val="24"/>
          <w:highlight w:val="none"/>
          <w:u w:val="single"/>
        </w:rPr>
        <w:t>【</w:t>
      </w:r>
      <w:r>
        <w:rPr>
          <w:rFonts w:ascii="仿宋_GB2312" w:hAnsi="仿宋_GB2312" w:eastAsia="仿宋_GB2312" w:cs="仿宋_GB2312"/>
          <w:color w:val="auto"/>
          <w:sz w:val="24"/>
          <w:highlight w:val="none"/>
          <w:u w:val="single"/>
        </w:rPr>
        <w:t>基本设计收费×(1-</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%)×（1-投标下浮率）</w:t>
      </w:r>
      <w:r>
        <w:rPr>
          <w:rFonts w:hint="eastAsia" w:ascii="仿宋_GB2312" w:hAnsi="仿宋_GB2312" w:eastAsia="仿宋_GB2312" w:cs="仿宋_GB2312"/>
          <w:color w:val="auto"/>
          <w:sz w:val="24"/>
          <w:highlight w:val="none"/>
          <w:u w:val="single"/>
        </w:rPr>
        <w:t>】</w:t>
      </w:r>
      <w:r>
        <w:rPr>
          <w:rFonts w:ascii="仿宋_GB2312" w:hAnsi="仿宋_GB2312" w:eastAsia="仿宋_GB2312" w:cs="仿宋_GB2312"/>
          <w:color w:val="auto"/>
          <w:sz w:val="24"/>
          <w:highlight w:val="none"/>
          <w:u w:val="single"/>
        </w:rPr>
        <w:t>。</w:t>
      </w:r>
    </w:p>
    <w:p w14:paraId="5EC60235">
      <w:pPr>
        <w:ind w:firstLine="422" w:firstLineChars="176"/>
        <w:rPr>
          <w:rFonts w:hint="eastAsia" w:ascii="仿宋" w:hAnsi="仿宋" w:eastAsia="仿宋" w:cs="仿宋"/>
          <w:color w:val="auto"/>
          <w:kern w:val="0"/>
          <w:sz w:val="24"/>
          <w:highlight w:val="none"/>
          <w:u w:val="single"/>
          <w:lang w:bidi="ar"/>
        </w:rPr>
      </w:pPr>
      <w:r>
        <w:rPr>
          <w:rFonts w:ascii="仿宋" w:hAnsi="仿宋" w:eastAsia="仿宋" w:cs="仿宋"/>
          <w:color w:val="auto"/>
          <w:kern w:val="0"/>
          <w:sz w:val="24"/>
          <w:highlight w:val="none"/>
          <w:u w:val="single"/>
          <w:lang w:bidi="ar"/>
        </w:rPr>
        <w:fldChar w:fldCharType="begin"/>
      </w:r>
      <w:r>
        <w:rPr>
          <w:rFonts w:ascii="仿宋" w:hAnsi="仿宋" w:eastAsia="仿宋" w:cs="仿宋"/>
          <w:color w:val="auto"/>
          <w:kern w:val="0"/>
          <w:sz w:val="24"/>
          <w:highlight w:val="none"/>
          <w:u w:val="single"/>
          <w:lang w:bidi="ar"/>
        </w:rPr>
        <w:instrText xml:space="preserve"> </w:instrText>
      </w:r>
      <w:r>
        <w:rPr>
          <w:rFonts w:hint="eastAsia" w:ascii="仿宋" w:hAnsi="仿宋" w:eastAsia="仿宋" w:cs="仿宋"/>
          <w:color w:val="auto"/>
          <w:kern w:val="0"/>
          <w:sz w:val="24"/>
          <w:highlight w:val="none"/>
          <w:u w:val="single"/>
          <w:lang w:bidi="ar"/>
        </w:rPr>
        <w:instrText xml:space="preserve">= 1 \* GB3</w:instrText>
      </w:r>
      <w:r>
        <w:rPr>
          <w:rFonts w:ascii="仿宋" w:hAnsi="仿宋" w:eastAsia="仿宋" w:cs="仿宋"/>
          <w:color w:val="auto"/>
          <w:kern w:val="0"/>
          <w:sz w:val="24"/>
          <w:highlight w:val="none"/>
          <w:u w:val="single"/>
          <w:lang w:bidi="ar"/>
        </w:rPr>
        <w:instrText xml:space="preserve"> </w:instrText>
      </w:r>
      <w:r>
        <w:rPr>
          <w:rFonts w:ascii="仿宋" w:hAnsi="仿宋" w:eastAsia="仿宋" w:cs="仿宋"/>
          <w:color w:val="auto"/>
          <w:kern w:val="0"/>
          <w:sz w:val="24"/>
          <w:highlight w:val="none"/>
          <w:u w:val="single"/>
          <w:lang w:bidi="ar"/>
        </w:rPr>
        <w:fldChar w:fldCharType="separate"/>
      </w:r>
      <w:r>
        <w:rPr>
          <w:rFonts w:hint="eastAsia" w:ascii="仿宋" w:hAnsi="仿宋" w:eastAsia="仿宋" w:cs="仿宋"/>
          <w:color w:val="auto"/>
          <w:kern w:val="0"/>
          <w:sz w:val="24"/>
          <w:highlight w:val="none"/>
          <w:u w:val="single"/>
          <w:lang w:bidi="ar"/>
        </w:rPr>
        <w:t>①</w:t>
      </w:r>
      <w:r>
        <w:rPr>
          <w:rFonts w:ascii="仿宋" w:hAnsi="仿宋" w:eastAsia="仿宋" w:cs="仿宋"/>
          <w:color w:val="auto"/>
          <w:kern w:val="0"/>
          <w:sz w:val="24"/>
          <w:highlight w:val="none"/>
          <w:u w:val="single"/>
          <w:lang w:bidi="ar"/>
        </w:rPr>
        <w:fldChar w:fldCharType="end"/>
      </w:r>
      <w:r>
        <w:rPr>
          <w:rFonts w:ascii="仿宋" w:hAnsi="仿宋" w:eastAsia="仿宋" w:cs="仿宋"/>
          <w:color w:val="auto"/>
          <w:kern w:val="0"/>
          <w:sz w:val="24"/>
          <w:highlight w:val="none"/>
          <w:u w:val="single"/>
          <w:lang w:bidi="ar"/>
        </w:rPr>
        <w:t>本工程基本设计费</w:t>
      </w:r>
      <w:r>
        <w:rPr>
          <w:rFonts w:hint="eastAsia" w:ascii="仿宋" w:hAnsi="仿宋" w:eastAsia="仿宋" w:cs="仿宋"/>
          <w:color w:val="auto"/>
          <w:kern w:val="0"/>
          <w:sz w:val="24"/>
          <w:highlight w:val="none"/>
          <w:u w:val="single"/>
          <w:lang w:bidi="ar"/>
        </w:rPr>
        <w:t>结算</w:t>
      </w:r>
      <w:r>
        <w:rPr>
          <w:rFonts w:ascii="仿宋" w:hAnsi="仿宋" w:eastAsia="仿宋" w:cs="仿宋"/>
          <w:color w:val="auto"/>
          <w:kern w:val="0"/>
          <w:sz w:val="24"/>
          <w:highlight w:val="none"/>
          <w:u w:val="single"/>
          <w:lang w:bidi="ar"/>
        </w:rPr>
        <w:t>计算方式：</w:t>
      </w:r>
      <w:r>
        <w:rPr>
          <w:rFonts w:hint="eastAsia" w:ascii="仿宋_GB2312" w:hAnsi="仿宋_GB2312" w:eastAsia="仿宋_GB2312" w:cs="仿宋_GB2312"/>
          <w:color w:val="auto"/>
          <w:sz w:val="24"/>
          <w:highlight w:val="none"/>
          <w:u w:val="single"/>
        </w:rPr>
        <w:t>按国家计委、建设部《工程勘察设计收费标准》（计价格[2002]10号）</w:t>
      </w:r>
      <w:r>
        <w:rPr>
          <w:rFonts w:ascii="仿宋" w:hAnsi="仿宋" w:eastAsia="仿宋" w:cs="仿宋"/>
          <w:color w:val="auto"/>
          <w:kern w:val="0"/>
          <w:sz w:val="24"/>
          <w:highlight w:val="none"/>
          <w:u w:val="single"/>
          <w:lang w:bidi="ar"/>
        </w:rPr>
        <w:t>相关规定</w:t>
      </w:r>
      <w:r>
        <w:rPr>
          <w:rFonts w:hint="eastAsia" w:ascii="仿宋" w:hAnsi="仿宋" w:eastAsia="仿宋" w:cs="仿宋"/>
          <w:color w:val="auto"/>
          <w:kern w:val="0"/>
          <w:sz w:val="24"/>
          <w:highlight w:val="none"/>
          <w:u w:val="single"/>
          <w:lang w:bidi="ar"/>
        </w:rPr>
        <w:t>并执行下浮率</w:t>
      </w:r>
      <w:r>
        <w:rPr>
          <w:rFonts w:ascii="仿宋" w:hAnsi="仿宋" w:eastAsia="仿宋" w:cs="仿宋"/>
          <w:color w:val="auto"/>
          <w:kern w:val="0"/>
          <w:sz w:val="24"/>
          <w:highlight w:val="none"/>
          <w:u w:val="single"/>
          <w:lang w:bidi="ar"/>
        </w:rPr>
        <w:t>计取。</w:t>
      </w:r>
    </w:p>
    <w:p w14:paraId="238C30AB">
      <w:pPr>
        <w:ind w:firstLine="422" w:firstLineChars="176"/>
        <w:rPr>
          <w:rFonts w:hint="eastAsia" w:ascii="仿宋" w:hAnsi="仿宋" w:eastAsia="仿宋" w:cs="仿宋"/>
          <w:color w:val="auto"/>
          <w:kern w:val="0"/>
          <w:sz w:val="24"/>
          <w:highlight w:val="none"/>
          <w:u w:val="single"/>
          <w:lang w:bidi="ar"/>
        </w:rPr>
      </w:pPr>
      <w:r>
        <w:rPr>
          <w:rFonts w:ascii="仿宋" w:hAnsi="仿宋" w:eastAsia="仿宋" w:cs="仿宋"/>
          <w:color w:val="auto"/>
          <w:kern w:val="0"/>
          <w:sz w:val="24"/>
          <w:highlight w:val="none"/>
          <w:u w:val="single"/>
          <w:lang w:bidi="ar"/>
        </w:rPr>
        <w:t>基本设计收费=</w:t>
      </w:r>
      <w:bookmarkStart w:id="6" w:name="_Hlk142749578"/>
      <w:r>
        <w:rPr>
          <w:rFonts w:ascii="仿宋" w:hAnsi="仿宋" w:eastAsia="仿宋" w:cs="仿宋"/>
          <w:color w:val="auto"/>
          <w:kern w:val="0"/>
          <w:sz w:val="24"/>
          <w:highlight w:val="none"/>
          <w:u w:val="single"/>
          <w:lang w:bidi="ar"/>
        </w:rPr>
        <w:t>工程设计收费基价</w:t>
      </w:r>
      <w:bookmarkEnd w:id="6"/>
      <w:r>
        <w:rPr>
          <w:rFonts w:ascii="仿宋" w:hAnsi="仿宋" w:eastAsia="仿宋" w:cs="仿宋"/>
          <w:color w:val="auto"/>
          <w:kern w:val="0"/>
          <w:sz w:val="24"/>
          <w:highlight w:val="none"/>
          <w:u w:val="single"/>
          <w:lang w:bidi="ar"/>
        </w:rPr>
        <w:t>×专业调整系数工程复杂程度调整系数×附加调整系数。</w:t>
      </w:r>
      <w:r>
        <w:rPr>
          <w:rFonts w:hint="eastAsia" w:ascii="仿宋" w:hAnsi="仿宋" w:eastAsia="仿宋" w:cs="仿宋"/>
          <w:color w:val="auto"/>
          <w:kern w:val="0"/>
          <w:sz w:val="24"/>
          <w:highlight w:val="none"/>
          <w:u w:val="single"/>
          <w:lang w:bidi="ar"/>
        </w:rPr>
        <w:t>项目基本设计费按经</w:t>
      </w:r>
      <w:r>
        <w:rPr>
          <w:rFonts w:hint="eastAsia" w:ascii="仿宋_GB2312" w:hAnsi="仿宋_GB2312" w:eastAsia="仿宋_GB2312" w:cs="仿宋_GB2312"/>
          <w:color w:val="auto"/>
          <w:sz w:val="24"/>
          <w:highlight w:val="none"/>
          <w:u w:val="single"/>
        </w:rPr>
        <w:t>审核单位</w:t>
      </w:r>
      <w:r>
        <w:rPr>
          <w:rFonts w:hint="eastAsia" w:ascii="仿宋_GB2312" w:hAnsi="仿宋_GB2312" w:eastAsia="仿宋_GB2312" w:cs="仿宋_GB2312"/>
          <w:color w:val="auto"/>
          <w:sz w:val="24"/>
          <w:highlight w:val="none"/>
          <w:u w:val="single"/>
        </w:rPr>
        <w:t>审定的结算建安费</w:t>
      </w:r>
      <w:r>
        <w:rPr>
          <w:rFonts w:ascii="仿宋" w:hAnsi="仿宋" w:eastAsia="仿宋" w:cs="仿宋"/>
          <w:color w:val="auto"/>
          <w:kern w:val="0"/>
          <w:sz w:val="24"/>
          <w:highlight w:val="none"/>
          <w:u w:val="single"/>
          <w:lang w:bidi="ar"/>
        </w:rPr>
        <w:t>为计费</w:t>
      </w:r>
      <w:r>
        <w:rPr>
          <w:rFonts w:hint="eastAsia" w:ascii="仿宋" w:hAnsi="仿宋" w:eastAsia="仿宋" w:cs="仿宋"/>
          <w:color w:val="auto"/>
          <w:kern w:val="0"/>
          <w:sz w:val="24"/>
          <w:highlight w:val="none"/>
          <w:u w:val="single"/>
          <w:lang w:bidi="ar"/>
        </w:rPr>
        <w:t>额。</w:t>
      </w:r>
    </w:p>
    <w:p w14:paraId="1B06C8E7">
      <w:pPr>
        <w:ind w:firstLine="422" w:firstLineChars="176"/>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设计费最终结算价由财政部门结算评审审定金额为准。如遇审计部门审计，本合同最终结算价款以审计部门的审计结果为准。</w:t>
      </w:r>
    </w:p>
    <w:p w14:paraId="0BED2450">
      <w:pPr>
        <w:ind w:left="-141" w:leftChars="-67" w:firstLine="283" w:firstLineChars="118"/>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72.1.4 设备及工器具购置费的计量规则与计价办法</w:t>
      </w:r>
    </w:p>
    <w:p w14:paraId="4ED0C5BB">
      <w:pPr>
        <w:ind w:left="-141" w:leftChars="-67" w:firstLine="283" w:firstLineChars="118"/>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总价合同：</w:t>
      </w:r>
    </w:p>
    <w:p w14:paraId="12B3147C">
      <w:pPr>
        <w:ind w:left="-141" w:leftChars="-67" w:firstLine="283" w:firstLineChars="118"/>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计量规则与计价办法：按协议书约定的价格总价包干，除合同约定允许调整的事项外，合同总价不予调整。</w:t>
      </w:r>
    </w:p>
    <w:p w14:paraId="7279C513">
      <w:pPr>
        <w:ind w:left="-141" w:leftChars="-67" w:firstLine="283" w:firstLineChars="118"/>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结算价＝协议书约定的相应总价±合同约定的价格调整</w:t>
      </w:r>
    </w:p>
    <w:p w14:paraId="00111DE2">
      <w:pPr>
        <w:ind w:left="-141" w:leftChars="-67" w:firstLine="283" w:firstLineChars="118"/>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□总价合同＋部分单价合同</w:t>
      </w:r>
    </w:p>
    <w:p w14:paraId="52AF132C">
      <w:pPr>
        <w:ind w:left="-141" w:leftChars="-67" w:firstLine="283" w:firstLineChars="118"/>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①适用范围：总价合同的范围为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14:paraId="52B5ED39">
      <w:pPr>
        <w:ind w:left="-141" w:leftChars="-67" w:firstLine="283" w:firstLineChars="118"/>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单价合同的范围为：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14:paraId="4BC05727">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②计量规则与计价办法：</w:t>
      </w:r>
    </w:p>
    <w:p w14:paraId="2E37BB3A">
      <w:pPr>
        <w:ind w:left="-141" w:leftChars="-67" w:firstLine="424" w:firstLineChars="177"/>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采用总价合同的部分，按协议书约定的价格总价包干，除合同约定允许调整的事项外，合同总价不予调整。</w:t>
      </w:r>
    </w:p>
    <w:p w14:paraId="0990102B">
      <w:pPr>
        <w:ind w:left="-141" w:leftChars="-67" w:firstLine="424" w:firstLineChars="177"/>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采用单价合同的部分，按合同价格清单约定的综合单价包干，除合同约定可以调整的事项外，工作量或工程量按实计算，综合单价不予调整。</w:t>
      </w:r>
    </w:p>
    <w:p w14:paraId="67A452C9">
      <w:pPr>
        <w:ind w:left="-141" w:leftChars="-67" w:firstLine="424" w:firstLineChars="177"/>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结算价＝采用总价合同部分的结算价（A）+采用单价合同的部分的结算价（B）</w:t>
      </w:r>
    </w:p>
    <w:p w14:paraId="5D4C5CE2">
      <w:pPr>
        <w:ind w:left="-141" w:leftChars="-67" w:firstLine="424" w:firstLineChars="177"/>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其中：A＝协议书约定的相应总价±合同约定的价格调整</w:t>
      </w:r>
    </w:p>
    <w:p w14:paraId="1F903C8D">
      <w:pPr>
        <w:ind w:left="-141" w:leftChars="-67" w:firstLine="424" w:firstLineChars="177"/>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B＝中标综合单价×实际数量</w:t>
      </w:r>
    </w:p>
    <w:p w14:paraId="7CDA00AC">
      <w:pPr>
        <w:ind w:left="-141" w:leftChars="-67" w:firstLine="424" w:firstLineChars="17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另作约定：</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设备及工器具购置费</w:t>
      </w:r>
      <w:r>
        <w:rPr>
          <w:rFonts w:hint="eastAsia" w:ascii="仿宋_GB2312" w:hAnsi="仿宋_GB2312" w:eastAsia="仿宋_GB2312" w:cs="仿宋_GB2312"/>
          <w:color w:val="auto"/>
          <w:sz w:val="24"/>
          <w:highlight w:val="none"/>
          <w:u w:val="single"/>
        </w:rPr>
        <w:t>已包含在</w:t>
      </w:r>
      <w:r>
        <w:rPr>
          <w:rFonts w:ascii="仿宋_GB2312" w:hAnsi="仿宋_GB2312" w:eastAsia="仿宋_GB2312" w:cs="仿宋_GB2312"/>
          <w:color w:val="auto"/>
          <w:sz w:val="24"/>
          <w:highlight w:val="none"/>
          <w:u w:val="single"/>
        </w:rPr>
        <w:t>建筑安装工程费</w:t>
      </w:r>
      <w:r>
        <w:rPr>
          <w:rFonts w:hint="eastAsia" w:ascii="仿宋_GB2312" w:hAnsi="仿宋_GB2312" w:eastAsia="仿宋_GB2312" w:cs="仿宋_GB2312"/>
          <w:color w:val="auto"/>
          <w:sz w:val="24"/>
          <w:highlight w:val="none"/>
          <w:u w:val="single"/>
        </w:rPr>
        <w:t xml:space="preserve">中，计价办法详见72.1.5条。 </w:t>
      </w:r>
    </w:p>
    <w:p w14:paraId="2249F456">
      <w:pPr>
        <w:ind w:left="-141" w:leftChars="-67" w:firstLine="424" w:firstLineChars="177"/>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72.1.5 建筑安装工程费的计量规则与计价办法</w:t>
      </w:r>
    </w:p>
    <w:p w14:paraId="50E3EC01">
      <w:pPr>
        <w:ind w:left="-141" w:leftChars="-67" w:firstLine="424" w:firstLineChars="177"/>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总价合同：</w:t>
      </w:r>
    </w:p>
    <w:p w14:paraId="3F360109">
      <w:pPr>
        <w:ind w:left="-141" w:leftChars="-67" w:firstLine="424" w:firstLineChars="177"/>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计量规则与计价办法：按协议书约定的价格总价包干，除合同约定允许调整的事项外，合同总价不予调整。</w:t>
      </w:r>
    </w:p>
    <w:p w14:paraId="431AD5B1">
      <w:pPr>
        <w:ind w:left="-141" w:leftChars="-67" w:firstLine="424" w:firstLineChars="177"/>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结算价＝协议书约定的相应总价±合同约定的价格调整－发包人批准的优化设计降低造价。</w:t>
      </w:r>
    </w:p>
    <w:p w14:paraId="0E58540A">
      <w:pPr>
        <w:ind w:left="-141" w:leftChars="-67" w:firstLine="424" w:firstLineChars="177"/>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□总价合同＋部分单价合同</w:t>
      </w:r>
    </w:p>
    <w:p w14:paraId="5F7F7B27">
      <w:pPr>
        <w:ind w:left="-141" w:leftChars="-67" w:firstLine="424" w:firstLineChars="177"/>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①适用范围：总价合同的范围为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14:paraId="6FCAD672">
      <w:pPr>
        <w:ind w:left="-141" w:leftChars="-67" w:firstLine="424" w:firstLineChars="177"/>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单价合同的范围为：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14:paraId="156F4E4B">
      <w:pPr>
        <w:ind w:left="-141" w:leftChars="-67" w:firstLine="424" w:firstLineChars="177"/>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②计量规则与计价办法：</w:t>
      </w:r>
    </w:p>
    <w:p w14:paraId="703B867A">
      <w:pPr>
        <w:ind w:left="-141" w:leftChars="-67" w:firstLine="424" w:firstLineChars="177"/>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采用总价合同的部分，按协议书约定的价格总价包干，除合同约定允许调整的事项外，合同总价不予调整。</w:t>
      </w:r>
    </w:p>
    <w:p w14:paraId="2E3BAB6F">
      <w:pPr>
        <w:ind w:left="-141" w:leftChars="-67" w:firstLine="424" w:firstLineChars="177"/>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采用单价合同的部分，按合同价格清单约定的综合单价包干，除合同约定可以调整的事项外，工作量或工程量按实计算，综合单价不予调整。</w:t>
      </w:r>
    </w:p>
    <w:p w14:paraId="746559F5">
      <w:pPr>
        <w:ind w:left="-141" w:leftChars="-67" w:firstLine="424" w:firstLineChars="177"/>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结算价＝采用总价合同部分的结算价（A）+采用单价合同的部分的结算价（B）</w:t>
      </w:r>
    </w:p>
    <w:p w14:paraId="079061A4">
      <w:pPr>
        <w:ind w:left="-141" w:leftChars="-67" w:firstLine="424" w:firstLineChars="177"/>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其中：A＝协议书约定的相应总价±合同约定的价格调整－发包人批准的优化设计降低造价</w:t>
      </w:r>
    </w:p>
    <w:p w14:paraId="736D3D6F">
      <w:pPr>
        <w:ind w:left="-141" w:leftChars="-67" w:firstLine="424" w:firstLineChars="177"/>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B＝中标综合单价×实际数量±合同约定的价格调整</w:t>
      </w:r>
    </w:p>
    <w:p w14:paraId="6F975B7B">
      <w:pPr>
        <w:ind w:left="-141" w:leftChars="-67" w:firstLine="424" w:firstLineChars="177"/>
        <w:rPr>
          <w:rFonts w:hint="eastAsia" w:ascii="仿宋" w:hAnsi="仿宋" w:eastAsia="仿宋" w:cs="仿宋"/>
          <w:color w:val="auto"/>
          <w:kern w:val="0"/>
          <w:sz w:val="24"/>
          <w:highlight w:val="none"/>
          <w:lang w:bidi="ar"/>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 xml:space="preserve"> </w:t>
      </w:r>
      <w:r>
        <w:rPr>
          <w:rFonts w:ascii="仿宋" w:hAnsi="仿宋" w:eastAsia="仿宋" w:cs="仿宋"/>
          <w:color w:val="auto"/>
          <w:kern w:val="0"/>
          <w:sz w:val="24"/>
          <w:highlight w:val="none"/>
          <w:u w:val="single"/>
          <w:lang w:bidi="ar"/>
        </w:rPr>
        <w:t>合同为暂定总价，合同价款结算原则如下</w:t>
      </w:r>
      <w:r>
        <w:rPr>
          <w:rFonts w:ascii="仿宋" w:hAnsi="仿宋" w:eastAsia="仿宋" w:cs="仿宋"/>
          <w:color w:val="auto"/>
          <w:kern w:val="0"/>
          <w:sz w:val="24"/>
          <w:highlight w:val="none"/>
          <w:lang w:bidi="ar"/>
        </w:rPr>
        <w:t>：</w:t>
      </w:r>
    </w:p>
    <w:p w14:paraId="4A343A0D">
      <w:pPr>
        <w:ind w:left="-141" w:leftChars="-67" w:firstLine="426" w:firstLineChars="177"/>
        <w:rPr>
          <w:rFonts w:hint="eastAsia" w:ascii="仿宋" w:hAnsi="仿宋" w:eastAsia="仿宋" w:cs="仿宋"/>
          <w:b/>
          <w:bCs/>
          <w:color w:val="auto"/>
          <w:kern w:val="0"/>
          <w:sz w:val="24"/>
          <w:highlight w:val="none"/>
          <w:u w:val="single"/>
          <w:lang w:bidi="ar"/>
        </w:rPr>
      </w:pPr>
      <w:r>
        <w:rPr>
          <w:rFonts w:hint="eastAsia" w:ascii="仿宋" w:hAnsi="仿宋" w:eastAsia="仿宋" w:cs="仿宋"/>
          <w:b/>
          <w:bCs/>
          <w:color w:val="auto"/>
          <w:kern w:val="0"/>
          <w:sz w:val="24"/>
          <w:highlight w:val="none"/>
          <w:u w:val="single"/>
          <w:lang w:bidi="ar"/>
        </w:rPr>
        <w:t>建安工程费结算原则：</w:t>
      </w:r>
    </w:p>
    <w:p w14:paraId="402A7EE5">
      <w:pPr>
        <w:ind w:left="-141" w:leftChars="-67" w:firstLine="424" w:firstLineChars="177"/>
        <w:rPr>
          <w:rFonts w:hint="eastAsia"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本合同的工程承包价是双方按照合同协议书第八条约定确定的合同价格清单合价，并签订补充合同确定，并以此作为后续工程变更和结算的基础。结算时发包人以工程师依据中华人民共和国国家标准《建设工程工程量清单计价规范》（GBGB50500-2013）、工程计价办法、工程量计算规则、图纸等规定计量确认的实际工程量乘以合同价格清单综合单价（即经确定的价格清单的包干综合单价作为进度款和结算依据，除合同约定调整以外，不再调整综合单价）并加上合价包干的总价措施项目费、按实际完成数量计算的单价措施项目费、其他项目费、规费及税金作为结算和支付依据（招标文件约定措施项目费可调整的按约定的调整方法调整）。结算价包括实施过程中工程变更、签证、价差调整、工程量清单偏差、政策性调整等引起合同价格调整等其他合法的结算资料。</w:t>
      </w:r>
    </w:p>
    <w:p w14:paraId="1715BB5B">
      <w:pPr>
        <w:ind w:left="-141" w:leftChars="-67" w:firstLine="424" w:firstLineChars="177"/>
        <w:rPr>
          <w:rFonts w:hint="eastAsia"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承包人必须对结算工作进行全过程造价管理。即从中标之日起，至提交完整结算资料并完成财政部门结算审核为止。在某个分部分项验收的同时。也按结算资料的要求（资料真实完整、手续齐全、数据准确）对相应阶段结算工作的完成情况进行验收。监理单位负责对结算全工程进行指导和监督，并做好检查记录工作。该记录将作为支付监理费、工程进度款的参考资料。承包人在提交竣工验收申请报告的同时向工程师提交工程结算资料，工程师收到承包人递交的竣工结算报告及符合发包人要求的结算资料后进行核实，提出审核意见后半个月内送交发包人，承包人延误提交结算资料，按5000元/天处以罚款，罚款上限为履约保函载明最高限额</w:t>
      </w:r>
      <w:r>
        <w:rPr>
          <w:rFonts w:hint="eastAsia" w:ascii="仿宋" w:hAnsi="仿宋" w:eastAsia="仿宋" w:cs="仿宋"/>
          <w:strike/>
          <w:color w:val="auto"/>
          <w:kern w:val="0"/>
          <w:sz w:val="24"/>
          <w:highlight w:val="none"/>
          <w:u w:val="single"/>
          <w:lang w:bidi="ar"/>
        </w:rPr>
        <w:t>履约保证金</w:t>
      </w:r>
      <w:r>
        <w:rPr>
          <w:rFonts w:hint="eastAsia" w:ascii="仿宋" w:hAnsi="仿宋" w:eastAsia="仿宋" w:cs="仿宋"/>
          <w:color w:val="auto"/>
          <w:kern w:val="0"/>
          <w:sz w:val="24"/>
          <w:highlight w:val="none"/>
          <w:u w:val="single"/>
          <w:lang w:bidi="ar"/>
        </w:rPr>
        <w:t>的20%。发包人按照财政部门关于财政性资金投资项目工程预结算审核工作的有关要求进行结算送审，承包人应派专人配合发包人进行全过程造价指标分析、控制及结算工作，最终以财政部门审定的的财政结算评审价作为合同结算价款，确保结算总金额低于基于中标下浮率及施工图纸确定的预算价；</w:t>
      </w:r>
    </w:p>
    <w:p w14:paraId="3E2709F2">
      <w:pPr>
        <w:ind w:left="-141" w:leftChars="-67" w:firstLine="424" w:firstLineChars="177"/>
        <w:rPr>
          <w:rFonts w:hint="eastAsia"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计算公式：建安工程费=工程不含税造价×（1-投标下浮率）+税金。</w:t>
      </w:r>
    </w:p>
    <w:p w14:paraId="3E70F263">
      <w:pPr>
        <w:ind w:left="-141" w:leftChars="-67" w:firstLine="424" w:firstLineChars="177"/>
        <w:rPr>
          <w:rFonts w:hint="eastAsia"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(1)关于材料和人工调差：</w:t>
      </w:r>
    </w:p>
    <w:p w14:paraId="4147D469">
      <w:pPr>
        <w:ind w:left="-141" w:leftChars="-67" w:firstLine="424" w:firstLineChars="177"/>
        <w:rPr>
          <w:rFonts w:hint="eastAsia"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（a）材料调差范围：实体工程中钢材（含钢筋）、预拌混凝土（砂浆）、水泥、砂、碎石、石屑（石粉）、混凝土制品（如混凝土砌块、预制管材等）；</w:t>
      </w:r>
    </w:p>
    <w:p w14:paraId="67C697F2">
      <w:pPr>
        <w:ind w:left="-141" w:leftChars="-67" w:firstLine="424" w:firstLineChars="177"/>
        <w:rPr>
          <w:rFonts w:hint="eastAsia"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（b）人工调差范围：项目实施过程不调整。</w:t>
      </w:r>
    </w:p>
    <w:p w14:paraId="27C2AD77">
      <w:pPr>
        <w:ind w:left="-141" w:leftChars="-67" w:firstLine="424" w:firstLineChars="177"/>
        <w:rPr>
          <w:rFonts w:hint="eastAsia"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c）主材和人工调差的触发条件：在实施期内，当广州市建设工程造价管理站当月发布的信息价涨落幅度超过预算审定中综合单价对应的材料价的5%，方可对超过部分的价差进行调整（例如：超过6%，只调1%，依此类推）；在实施期内，当广州市建设工程造价管理站当月发布的人工工日价格涨落幅度超过预算审定中综合单价对应的人工工日价格的5%，方可对超过部分的人工进行调整（例如：超过6%，只调1%，依此类推）。</w:t>
      </w:r>
    </w:p>
    <w:p w14:paraId="5EF66432">
      <w:pPr>
        <w:ind w:left="-141" w:leftChars="-67" w:firstLine="424" w:firstLineChars="177"/>
        <w:rPr>
          <w:rFonts w:hint="eastAsia"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（d）材料和人工调差按月进行调整，调整费用不再下浮且不再参与其他计费（除增值税税费外）。</w:t>
      </w:r>
    </w:p>
    <w:p w14:paraId="320A8A39">
      <w:pPr>
        <w:ind w:left="-141" w:leftChars="-67" w:firstLine="424" w:firstLineChars="177"/>
        <w:rPr>
          <w:rFonts w:hint="eastAsia"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（2）关于变更结算原则</w:t>
      </w:r>
    </w:p>
    <w:p w14:paraId="4E5A67B9">
      <w:pPr>
        <w:ind w:left="-141" w:leftChars="-67" w:firstLine="424" w:firstLineChars="177"/>
        <w:rPr>
          <w:rFonts w:hint="eastAsia"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（a)变更综合单价确定原则：</w:t>
      </w:r>
    </w:p>
    <w:p w14:paraId="5E3DFB87">
      <w:pPr>
        <w:ind w:left="-141" w:leftChars="-67" w:firstLine="424" w:firstLineChars="177"/>
        <w:rPr>
          <w:rFonts w:hint="eastAsia"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①已审定的预算清单中已有相同项目的适用的综合单价，则沿用。</w:t>
      </w:r>
    </w:p>
    <w:p w14:paraId="74FFFC7E">
      <w:pPr>
        <w:ind w:left="-141" w:leftChars="-67" w:firstLine="424" w:firstLineChars="177"/>
        <w:rPr>
          <w:rFonts w:hint="eastAsia"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②已审定的预算清单中已有类似项目的综合单价，则按类似项目的综合单价对相应子目、消耗量、单价等进行调整换算，原管理费、利润水平不变。如已审定的预算清单中类似项目的综合单价有两个以上，则由发包人按消耗量最少、管理费和利润取费最低的优先顺序选择类似项目综合单价进行换算。如换算时出现类似项目中没有的材料单价，按实际施工期间花都区建设行政主管部门发布的相关文件计算,缺项部分按《花都地区建设工程常用材料税前综合价格》计算，综合价格中没有的材料单价凭发包人及监理审核确认的有效发票的材料单价计算。</w:t>
      </w:r>
    </w:p>
    <w:p w14:paraId="3AE38624">
      <w:pPr>
        <w:ind w:left="-141" w:leftChars="-67" w:firstLine="424" w:firstLineChars="177"/>
        <w:rPr>
          <w:rFonts w:hint="eastAsia"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③已审定的预算清单中没有相同项目或类似项目的，采用清单计价方式，套取招标期间施行的相关定额，人工、材料、机械价格按实际施工期间花都区建设行政主管部门的有关规定，缺项部分按广州市造价管理站同期《花都地区建设工程常用材料税前综合价格》计算，《花都地区建设工程常用材料税前综合价格》没有的材料单价，凭监理单位和发包人确认的有效发票的材料单价计算。本项目按增值税计算税金，采用一般计税方法，计费程序执行最新文件(计费程序表出现上下限的,按其平均值计)。</w:t>
      </w:r>
    </w:p>
    <w:p w14:paraId="0EC466DB">
      <w:pPr>
        <w:ind w:left="-141" w:leftChars="-67" w:firstLine="424" w:firstLineChars="177"/>
        <w:rPr>
          <w:rFonts w:hint="eastAsia"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4、如相关定额没有相应子目的，双方协商约定。</w:t>
      </w:r>
    </w:p>
    <w:p w14:paraId="6FCEC37C">
      <w:pPr>
        <w:ind w:left="-141" w:leftChars="-67" w:firstLine="424" w:firstLineChars="177"/>
        <w:rPr>
          <w:rFonts w:hint="eastAsia"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 xml:space="preserve">(b)变更措施项目费调整约定： </w:t>
      </w:r>
    </w:p>
    <w:p w14:paraId="15F76731">
      <w:pPr>
        <w:ind w:left="-141" w:leftChars="-67" w:firstLine="424" w:firstLineChars="177"/>
        <w:rPr>
          <w:rFonts w:hint="eastAsia"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①安全文明措施费，按系数计算的安全文明措施费，按招标期间施行定额或相关规定的费率计取。</w:t>
      </w:r>
    </w:p>
    <w:p w14:paraId="4FDD86F6">
      <w:pPr>
        <w:ind w:left="-141" w:leftChars="-67" w:firstLine="424" w:firstLineChars="177"/>
        <w:rPr>
          <w:rFonts w:hint="eastAsia"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按工程量计算的措施项目，按实际工程进行计算，单价按招标期间施行有关定额或规定编制。</w:t>
      </w:r>
    </w:p>
    <w:p w14:paraId="05B3BE76">
      <w:pPr>
        <w:ind w:left="-141" w:leftChars="-67" w:firstLine="424" w:firstLineChars="177"/>
        <w:rPr>
          <w:rFonts w:hint="eastAsia" w:ascii="仿宋" w:hAnsi="仿宋" w:eastAsia="仿宋" w:cs="仿宋"/>
          <w:color w:val="auto"/>
          <w:kern w:val="0"/>
          <w:sz w:val="24"/>
          <w:highlight w:val="none"/>
          <w:u w:val="single"/>
          <w:lang w:bidi="ar"/>
        </w:rPr>
      </w:pPr>
      <w:r>
        <w:rPr>
          <w:rFonts w:hint="eastAsia" w:ascii="仿宋" w:hAnsi="仿宋" w:eastAsia="仿宋" w:cs="仿宋"/>
          <w:color w:val="auto"/>
          <w:kern w:val="0"/>
          <w:sz w:val="24"/>
          <w:highlight w:val="none"/>
          <w:u w:val="single"/>
          <w:lang w:bidi="ar"/>
        </w:rPr>
        <w:t>以合价包干的措施费原则上不予调整，但下列原因除外：因规划建设行政主管部门原因造成重大设计方案调整的；非因承包人原因造成施工工艺发生重大改变的；因特殊原因，必须甩项的。遇征地拆迁或政策影响，部分或全部工程须甩项完工的，按照甩项部分建安费占总建安费比例扣减计算。承包人的临设布置方案需经发包人审核通过后方可实施；承包人的交通疏解方案需经发包人审核通过且经发包人确认后方可实施，如承包人实际的实施方案造价超出审核方案造价，则按审核方案造价进行结算。</w:t>
      </w:r>
    </w:p>
    <w:p w14:paraId="15B12504">
      <w:pPr>
        <w:ind w:left="-141" w:leftChars="-67" w:firstLine="424" w:firstLineChars="177"/>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single"/>
        </w:rPr>
        <w:t xml:space="preserve"> </w:t>
      </w:r>
    </w:p>
    <w:p w14:paraId="694CF280">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72.1.6 其他服务项目费用的计量规则与计价办法</w:t>
      </w:r>
    </w:p>
    <w:p w14:paraId="00D66F85">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按通用条款 72.1.6 约定。</w:t>
      </w:r>
    </w:p>
    <w:p w14:paraId="43F59EA1">
      <w:pPr>
        <w:ind w:left="-141" w:leftChars="-67" w:firstLine="424" w:firstLineChars="177"/>
        <w:rPr>
          <w:rFonts w:hint="eastAsia"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 另作约定：</w:t>
      </w:r>
      <w:r>
        <w:rPr>
          <w:rFonts w:hint="eastAsia"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p>
    <w:p w14:paraId="7A4A3946">
      <w:pPr>
        <w:ind w:left="210" w:leftChars="100"/>
        <w:rPr>
          <w:rFonts w:hint="eastAsia" w:ascii="仿宋_GB2312" w:hAnsi="仿宋_GB2312" w:eastAsia="仿宋_GB2312" w:cs="仿宋_GB2312"/>
          <w:color w:val="auto"/>
          <w:sz w:val="24"/>
          <w:highlight w:val="none"/>
          <w:u w:val="single"/>
        </w:rPr>
      </w:pPr>
    </w:p>
    <w:p w14:paraId="2D65D5E9">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★73. 暂列金额</w:t>
      </w:r>
    </w:p>
    <w:p w14:paraId="1724B1D1">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73.1 暂列金额的用途</w:t>
      </w:r>
    </w:p>
    <w:p w14:paraId="007AE551">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合同工程的暂列金额为</w:t>
      </w:r>
      <w:r>
        <w:rPr>
          <w:rFonts w:hint="eastAsia" w:ascii="仿宋_GB2312" w:hAnsi="仿宋_GB2312" w:eastAsia="仿宋_GB2312" w:cs="仿宋_GB2312"/>
          <w:color w:val="auto"/>
          <w:sz w:val="24"/>
          <w:highlight w:val="none"/>
          <w:u w:val="single"/>
        </w:rPr>
        <w:t xml:space="preserve"> 按招标文件约定 </w:t>
      </w:r>
      <w:r>
        <w:rPr>
          <w:rFonts w:ascii="仿宋_GB2312" w:hAnsi="仿宋_GB2312" w:eastAsia="仿宋_GB2312" w:cs="仿宋_GB2312"/>
          <w:color w:val="auto"/>
          <w:sz w:val="24"/>
          <w:highlight w:val="none"/>
        </w:rPr>
        <w:t>元。</w:t>
      </w:r>
    </w:p>
    <w:p w14:paraId="5EC8B272">
      <w:pPr>
        <w:ind w:left="210" w:leftChars="100"/>
        <w:rPr>
          <w:rFonts w:hint="eastAsia" w:ascii="仿宋_GB2312" w:hAnsi="仿宋_GB2312" w:eastAsia="仿宋_GB2312" w:cs="仿宋_GB2312"/>
          <w:color w:val="auto"/>
          <w:sz w:val="24"/>
          <w:highlight w:val="none"/>
        </w:rPr>
      </w:pPr>
    </w:p>
    <w:p w14:paraId="376D3AD1">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★75. 暂估价</w:t>
      </w:r>
    </w:p>
    <w:p w14:paraId="3C6A627E">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★75.1 依法必须招标的工程材料、工程设备或专业工程暂估价的的约定</w:t>
      </w:r>
    </w:p>
    <w:p w14:paraId="100ED7FE">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合同双方当事人的权利、义务</w:t>
      </w:r>
    </w:p>
    <w:p w14:paraId="7266C9AA">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□工程材料、工程设备：</w:t>
      </w:r>
      <w:r>
        <w:rPr>
          <w:rFonts w:hint="eastAsia" w:ascii="仿宋_GB2312" w:hAnsi="仿宋_GB2312" w:eastAsia="仿宋_GB2312" w:cs="仿宋_GB2312"/>
          <w:color w:val="auto"/>
          <w:sz w:val="24"/>
          <w:highlight w:val="none"/>
          <w:u w:val="single"/>
        </w:rPr>
        <w:t xml:space="preserve"> / </w:t>
      </w:r>
    </w:p>
    <w:p w14:paraId="318481FC">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□专业工程：</w:t>
      </w:r>
      <w:r>
        <w:rPr>
          <w:rFonts w:hint="eastAsia" w:ascii="仿宋_GB2312" w:hAnsi="仿宋_GB2312" w:eastAsia="仿宋_GB2312" w:cs="仿宋_GB2312"/>
          <w:color w:val="auto"/>
          <w:sz w:val="24"/>
          <w:highlight w:val="none"/>
          <w:u w:val="single"/>
        </w:rPr>
        <w:t xml:space="preserve"> / </w:t>
      </w:r>
    </w:p>
    <w:p w14:paraId="4D888DB4">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75.3 依法不需要招标的专业工程暂估价的约定</w:t>
      </w:r>
    </w:p>
    <w:p w14:paraId="57CBED48">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按通用条款约定，由造价咨询人与承包人确定。</w:t>
      </w:r>
    </w:p>
    <w:p w14:paraId="40BDF421">
      <w:pPr>
        <w:ind w:left="210" w:leftChars="100"/>
        <w:rPr>
          <w:rFonts w:hint="eastAsia"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 另作约定：</w:t>
      </w:r>
      <w:r>
        <w:rPr>
          <w:rFonts w:hint="eastAsia" w:ascii="仿宋_GB2312" w:hAnsi="仿宋_GB2312" w:eastAsia="仿宋_GB2312" w:cs="仿宋_GB2312"/>
          <w:color w:val="auto"/>
          <w:sz w:val="24"/>
          <w:highlight w:val="none"/>
          <w:u w:val="single"/>
        </w:rPr>
        <w:t xml:space="preserve">  /</w:t>
      </w:r>
    </w:p>
    <w:p w14:paraId="451B506F">
      <w:pPr>
        <w:ind w:left="210" w:leftChars="100"/>
        <w:rPr>
          <w:rFonts w:hint="eastAsia" w:ascii="仿宋_GB2312" w:hAnsi="仿宋_GB2312" w:eastAsia="仿宋_GB2312" w:cs="仿宋_GB2312"/>
          <w:color w:val="auto"/>
          <w:sz w:val="24"/>
          <w:highlight w:val="none"/>
          <w:u w:val="single"/>
        </w:rPr>
      </w:pPr>
    </w:p>
    <w:p w14:paraId="4220AA1D">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★76. 提前竣工奖与误期赔偿费</w:t>
      </w:r>
    </w:p>
    <w:p w14:paraId="6CFC1C08">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76.1 提前竣工奖</w:t>
      </w:r>
    </w:p>
    <w:p w14:paraId="644C2C65">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①提前竣工奖额度</w:t>
      </w:r>
    </w:p>
    <w:p w14:paraId="205EAC98">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未约定提前竣工奖的，本款不适用。</w:t>
      </w:r>
    </w:p>
    <w:p w14:paraId="70928AB9">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约定提前竣工奖的，每日历天应奖额度为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元。</w:t>
      </w:r>
    </w:p>
    <w:p w14:paraId="056B884C">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②提前竣工奖的最高限额</w:t>
      </w:r>
    </w:p>
    <w:p w14:paraId="254860A3">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□按通用条款约定为合同价款的5%，即</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元。</w:t>
      </w:r>
    </w:p>
    <w:p w14:paraId="2DBFD0AB">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另作约定：</w:t>
      </w:r>
      <w:r>
        <w:rPr>
          <w:rFonts w:hint="eastAsia" w:ascii="仿宋_GB2312" w:hAnsi="仿宋_GB2312" w:eastAsia="仿宋_GB2312" w:cs="仿宋_GB2312"/>
          <w:color w:val="auto"/>
          <w:sz w:val="24"/>
          <w:highlight w:val="none"/>
          <w:u w:val="single"/>
        </w:rPr>
        <w:t xml:space="preserve">  </w:t>
      </w:r>
    </w:p>
    <w:p w14:paraId="54200602">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76.2 误期赔偿费</w:t>
      </w:r>
    </w:p>
    <w:p w14:paraId="6E80FC75">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 每日历天应赔偿额度为</w:t>
      </w:r>
      <w:r>
        <w:rPr>
          <w:rFonts w:hint="eastAsia" w:ascii="仿宋_GB2312" w:hAnsi="仿宋_GB2312" w:eastAsia="仿宋_GB2312" w:cs="仿宋_GB2312"/>
          <w:b/>
          <w:bCs/>
          <w:color w:val="auto"/>
          <w:sz w:val="24"/>
          <w:highlight w:val="none"/>
          <w:u w:val="single"/>
        </w:rPr>
        <w:t xml:space="preserve"> 2000 </w:t>
      </w:r>
      <w:r>
        <w:rPr>
          <w:rFonts w:ascii="仿宋_GB2312" w:hAnsi="仿宋_GB2312" w:eastAsia="仿宋_GB2312" w:cs="仿宋_GB2312"/>
          <w:color w:val="auto"/>
          <w:sz w:val="24"/>
          <w:highlight w:val="none"/>
        </w:rPr>
        <w:t>元。</w:t>
      </w:r>
    </w:p>
    <w:p w14:paraId="047B514A">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 误期赔偿费的最高限额</w:t>
      </w:r>
    </w:p>
    <w:p w14:paraId="51848987">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按通用条款约定为合同</w:t>
      </w:r>
      <w:r>
        <w:rPr>
          <w:rFonts w:hint="eastAsia" w:ascii="仿宋_GB2312" w:hAnsi="仿宋_GB2312" w:eastAsia="仿宋_GB2312" w:cs="仿宋_GB2312"/>
          <w:color w:val="auto"/>
          <w:sz w:val="24"/>
          <w:highlight w:val="none"/>
        </w:rPr>
        <w:t>总</w:t>
      </w:r>
      <w:r>
        <w:rPr>
          <w:rFonts w:ascii="仿宋_GB2312" w:hAnsi="仿宋_GB2312" w:eastAsia="仿宋_GB2312" w:cs="仿宋_GB2312"/>
          <w:color w:val="auto"/>
          <w:sz w:val="24"/>
          <w:highlight w:val="none"/>
        </w:rPr>
        <w:t>价款的5%，即</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元。</w:t>
      </w:r>
    </w:p>
    <w:p w14:paraId="5A5C4D07">
      <w:pPr>
        <w:ind w:left="210" w:leftChars="100"/>
        <w:rPr>
          <w:rFonts w:hint="eastAsia" w:ascii="仿宋_GB2312" w:hAnsi="仿宋_GB2312" w:eastAsia="仿宋_GB2312" w:cs="仿宋_GB2312"/>
          <w:b/>
          <w:bCs/>
          <w:color w:val="auto"/>
          <w:sz w:val="24"/>
          <w:highlight w:val="none"/>
          <w:u w:val="single"/>
        </w:rPr>
      </w:pPr>
      <w:r>
        <w:rPr>
          <w:rFonts w:ascii="仿宋_GB2312" w:hAnsi="仿宋_GB2312" w:eastAsia="仿宋_GB2312" w:cs="仿宋_GB2312"/>
          <w:color w:val="auto"/>
          <w:sz w:val="24"/>
          <w:highlight w:val="none"/>
        </w:rPr>
        <w:t>□ 另作约定：</w:t>
      </w:r>
    </w:p>
    <w:p w14:paraId="2424AB71">
      <w:pPr>
        <w:ind w:left="210" w:leftChars="100"/>
        <w:rPr>
          <w:rFonts w:hint="eastAsia" w:ascii="仿宋_GB2312" w:hAnsi="仿宋_GB2312" w:eastAsia="仿宋_GB2312" w:cs="仿宋_GB2312"/>
          <w:b/>
          <w:bCs/>
          <w:color w:val="auto"/>
          <w:sz w:val="24"/>
          <w:highlight w:val="none"/>
          <w:u w:val="single"/>
        </w:rPr>
      </w:pPr>
    </w:p>
    <w:p w14:paraId="292E0355">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★77. 优质优价费用</w:t>
      </w:r>
    </w:p>
    <w:p w14:paraId="3A032129">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77.1 优质优价费用的约定</w:t>
      </w:r>
    </w:p>
    <w:p w14:paraId="074D6D46">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约定优质优价费用的，其计算方法：</w:t>
      </w:r>
      <w:r>
        <w:rPr>
          <w:rFonts w:hint="eastAsia" w:ascii="仿宋_GB2312" w:hAnsi="仿宋_GB2312" w:eastAsia="仿宋_GB2312" w:cs="仿宋_GB2312"/>
          <w:color w:val="auto"/>
          <w:sz w:val="24"/>
          <w:highlight w:val="none"/>
          <w:u w:val="single"/>
        </w:rPr>
        <w:t xml:space="preserve"> 本项目不设优质优价费用。 </w:t>
      </w:r>
    </w:p>
    <w:p w14:paraId="5EE9189A">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77.2 优质优价费用计提与支付</w:t>
      </w:r>
    </w:p>
    <w:p w14:paraId="7DFD7F9A">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优质优价费用的计算额度：</w:t>
      </w:r>
    </w:p>
    <w:p w14:paraId="689BAC2F">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按通用条款约定计算，当合同工程同时获得上述多个奖项的，优质优价费用只按最高奖项的额度计算。国家级质量奖，优质优价费用率为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%，计费基础为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；省级质量奖，优质优价费用率为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%，计费基础为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；市级质量奖，优质优价费用率为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%，计费基础为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；精品工程</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，优质优价费用率为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%，计费基础为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；其它质量奖</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，优质优价费用率为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%，计费基础为</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14:paraId="5AD4ED55">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另作约定（工程优质费率参考广东省建设工程计价依据工程优质费、广州市住房和城乡建设局发布的工程优质费率；合同工程同时获得下列多个奖项的，只按最高奖项的额度计算。）：</w:t>
      </w:r>
    </w:p>
    <w:p w14:paraId="3F0252DE">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国家级质量奖，工程优质费</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14:paraId="1B6583F8">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省级质量奖，工程优质费</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14:paraId="4D139D34">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市级质量奖，工程优质费</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14:paraId="5A5AC7F8">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精品工程，工程优质费</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14:paraId="7F3B17A9">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其它质量奖：工程优质费</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14:paraId="5AED3C8E">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□获得优质奖项的最迟时间限制：竣工结算获批准后后</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年内。</w:t>
      </w:r>
    </w:p>
    <w:p w14:paraId="2993E8FE">
      <w:pPr>
        <w:ind w:left="210" w:leftChars="100"/>
        <w:rPr>
          <w:rFonts w:hint="eastAsia" w:ascii="仿宋_GB2312" w:hAnsi="仿宋_GB2312" w:eastAsia="仿宋_GB2312" w:cs="仿宋_GB2312"/>
          <w:color w:val="auto"/>
          <w:sz w:val="24"/>
          <w:highlight w:val="none"/>
        </w:rPr>
      </w:pPr>
    </w:p>
    <w:p w14:paraId="0F83438C">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79. 可调价变更定价</w:t>
      </w:r>
    </w:p>
    <w:p w14:paraId="230F657F">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79.2 可调价变更工作项目的定价</w:t>
      </w:r>
    </w:p>
    <w:p w14:paraId="48EC09E0">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按通用条款第 79.2 款约定执行。</w:t>
      </w:r>
    </w:p>
    <w:p w14:paraId="3FCC8F8E">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(3)合同中没有相同也没有类似清单项目的，其计价依据、计量规则和计价方法：</w:t>
      </w:r>
      <w:r>
        <w:rPr>
          <w:rFonts w:hint="eastAsia" w:ascii="仿宋_GB2312" w:hAnsi="仿宋_GB2312" w:eastAsia="仿宋_GB2312" w:cs="仿宋_GB2312"/>
          <w:color w:val="auto"/>
          <w:sz w:val="24"/>
          <w:highlight w:val="none"/>
          <w:u w:val="single"/>
        </w:rPr>
        <w:t xml:space="preserve">  </w:t>
      </w:r>
    </w:p>
    <w:p w14:paraId="3BD3970A">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(4)“类似清单项目”的认定原则：</w:t>
      </w:r>
      <w:r>
        <w:rPr>
          <w:rFonts w:hint="eastAsia" w:ascii="仿宋_GB2312" w:hAnsi="仿宋_GB2312" w:eastAsia="仿宋_GB2312" w:cs="仿宋_GB2312"/>
          <w:color w:val="auto"/>
          <w:sz w:val="24"/>
          <w:highlight w:val="none"/>
          <w:u w:val="single"/>
        </w:rPr>
        <w:t xml:space="preserve">  </w:t>
      </w:r>
    </w:p>
    <w:p w14:paraId="0BAB66EB">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□另作约定：</w:t>
      </w:r>
      <w:r>
        <w:rPr>
          <w:rFonts w:hint="eastAsia" w:ascii="仿宋_GB2312" w:hAnsi="仿宋_GB2312" w:eastAsia="仿宋_GB2312" w:cs="仿宋_GB2312"/>
          <w:color w:val="auto"/>
          <w:sz w:val="24"/>
          <w:highlight w:val="none"/>
          <w:u w:val="single"/>
        </w:rPr>
        <w:t xml:space="preserve">  </w:t>
      </w:r>
    </w:p>
    <w:p w14:paraId="70C14505">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79.3 可调价变更实体项目的定价</w:t>
      </w:r>
    </w:p>
    <w:p w14:paraId="0C0F4B9B">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按通用条款第 79.3 款约定执行。</w:t>
      </w:r>
    </w:p>
    <w:p w14:paraId="72B9B6AE">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(3)合同中没有相同也没有类似清单项目的，其计价依据、计量规则和计价方法：</w:t>
      </w:r>
      <w:r>
        <w:rPr>
          <w:rFonts w:hint="eastAsia" w:ascii="仿宋_GB2312" w:hAnsi="仿宋_GB2312" w:eastAsia="仿宋_GB2312" w:cs="仿宋_GB2312"/>
          <w:color w:val="auto"/>
          <w:sz w:val="24"/>
          <w:highlight w:val="none"/>
          <w:u w:val="single"/>
        </w:rPr>
        <w:t xml:space="preserve">  </w:t>
      </w:r>
    </w:p>
    <w:p w14:paraId="5C8DAD50">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(4)“类似清单项目”的认定原则：</w:t>
      </w:r>
      <w:r>
        <w:rPr>
          <w:rFonts w:hint="eastAsia" w:ascii="仿宋_GB2312" w:hAnsi="仿宋_GB2312" w:eastAsia="仿宋_GB2312" w:cs="仿宋_GB2312"/>
          <w:color w:val="auto"/>
          <w:sz w:val="24"/>
          <w:highlight w:val="none"/>
          <w:u w:val="single"/>
        </w:rPr>
        <w:t xml:space="preserve">  </w:t>
      </w:r>
    </w:p>
    <w:p w14:paraId="35B6F0AB">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□另作约定：</w:t>
      </w:r>
      <w:r>
        <w:rPr>
          <w:rFonts w:hint="eastAsia" w:ascii="仿宋_GB2312" w:hAnsi="仿宋_GB2312" w:eastAsia="仿宋_GB2312" w:cs="仿宋_GB2312"/>
          <w:color w:val="auto"/>
          <w:sz w:val="24"/>
          <w:highlight w:val="none"/>
          <w:u w:val="single"/>
        </w:rPr>
        <w:t xml:space="preserve">  </w:t>
      </w:r>
    </w:p>
    <w:p w14:paraId="2B07B415">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79.4 可调价变更措施项目的定价</w:t>
      </w:r>
    </w:p>
    <w:p w14:paraId="2E74B29A">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按通用条款第 79.4 款约定执行。</w:t>
      </w:r>
    </w:p>
    <w:p w14:paraId="3BB4F4C9">
      <w:pPr>
        <w:ind w:left="210" w:leftChars="100"/>
        <w:rPr>
          <w:rFonts w:hint="eastAsia"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□另作约定：</w:t>
      </w:r>
      <w:r>
        <w:rPr>
          <w:rFonts w:hint="eastAsia" w:ascii="仿宋_GB2312" w:hAnsi="仿宋_GB2312" w:eastAsia="仿宋_GB2312" w:cs="仿宋_GB2312"/>
          <w:color w:val="auto"/>
          <w:sz w:val="24"/>
          <w:highlight w:val="none"/>
          <w:u w:val="single"/>
        </w:rPr>
        <w:t xml:space="preserve">  </w:t>
      </w:r>
    </w:p>
    <w:p w14:paraId="792B5C69">
      <w:pPr>
        <w:rPr>
          <w:rFonts w:hint="eastAsia" w:ascii="仿宋_GB2312" w:hAnsi="仿宋_GB2312" w:eastAsia="仿宋_GB2312" w:cs="仿宋_GB2312"/>
          <w:color w:val="auto"/>
          <w:sz w:val="24"/>
          <w:highlight w:val="none"/>
        </w:rPr>
      </w:pPr>
    </w:p>
    <w:p w14:paraId="3A3D5D3C">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★81. 现场签证价格的确定</w:t>
      </w:r>
    </w:p>
    <w:p w14:paraId="3974283A">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81.3 现场签证报告的确认</w:t>
      </w:r>
    </w:p>
    <w:p w14:paraId="68905476">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提交现场签证报告的时间：</w:t>
      </w:r>
    </w:p>
    <w:p w14:paraId="089709EF">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按通用条款的约定的时间提交。</w:t>
      </w:r>
    </w:p>
    <w:p w14:paraId="1DC5EC24">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另作约定：</w:t>
      </w:r>
      <w:r>
        <w:rPr>
          <w:rFonts w:hint="eastAsia" w:ascii="仿宋_GB2312" w:hAnsi="仿宋_GB2312" w:eastAsia="仿宋_GB2312" w:cs="仿宋_GB2312"/>
          <w:color w:val="auto"/>
          <w:sz w:val="24"/>
          <w:highlight w:val="none"/>
          <w:u w:val="single"/>
        </w:rPr>
        <w:t xml:space="preserve">  </w:t>
      </w:r>
    </w:p>
    <w:p w14:paraId="678A1F1C">
      <w:pPr>
        <w:rPr>
          <w:rFonts w:hint="eastAsia" w:ascii="仿宋_GB2312" w:hAnsi="仿宋_GB2312" w:eastAsia="仿宋_GB2312" w:cs="仿宋_GB2312"/>
          <w:color w:val="auto"/>
          <w:sz w:val="24"/>
          <w:highlight w:val="none"/>
        </w:rPr>
      </w:pPr>
    </w:p>
    <w:p w14:paraId="0D47C130">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★82. 物价涨落的价格调整</w:t>
      </w:r>
    </w:p>
    <w:p w14:paraId="00497FA0">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82.1 物价涨落的价格调整</w:t>
      </w:r>
    </w:p>
    <w:p w14:paraId="1986795A">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□按通用条款第 82.3 款第 1 种方式对合同价格进行调整。</w:t>
      </w:r>
    </w:p>
    <w:p w14:paraId="743181F2">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□按通用条款第 82.3 款第 2 种方式对合同价格进行调整。</w:t>
      </w:r>
    </w:p>
    <w:p w14:paraId="39C0C0AB">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另作约定：</w:t>
      </w:r>
      <w:r>
        <w:rPr>
          <w:rFonts w:hint="eastAsia" w:ascii="仿宋_GB2312" w:hAnsi="仿宋_GB2312" w:eastAsia="仿宋_GB2312" w:cs="仿宋_GB2312"/>
          <w:color w:val="auto"/>
          <w:sz w:val="24"/>
          <w:highlight w:val="none"/>
          <w:u w:val="single"/>
        </w:rPr>
        <w:t>合同履行期间，</w:t>
      </w:r>
      <w:r>
        <w:rPr>
          <w:rFonts w:ascii="仿宋_GB2312" w:hAnsi="仿宋_GB2312" w:eastAsia="仿宋_GB2312" w:cs="仿宋_GB2312"/>
          <w:color w:val="auto"/>
          <w:sz w:val="24"/>
          <w:highlight w:val="none"/>
          <w:u w:val="single"/>
        </w:rPr>
        <w:t>实体工程中钢材（含钢筋）、预拌混凝土（砂浆）、水泥、砂、碎石、石屑（石粉）、混凝土制品（如混凝土砌块、预制管材等）</w:t>
      </w:r>
      <w:r>
        <w:rPr>
          <w:rFonts w:hint="eastAsia" w:ascii="仿宋_GB2312" w:hAnsi="仿宋_GB2312" w:eastAsia="仿宋_GB2312" w:cs="仿宋_GB2312"/>
          <w:color w:val="auto"/>
          <w:sz w:val="24"/>
          <w:highlight w:val="none"/>
          <w:u w:val="single"/>
        </w:rPr>
        <w:t>价格上涨或下落幅度超过合同基准期（递交投标文件截止日期前28天）价格的5%（不含5%），由承包人承担涨幅5%（含5%）以内的部分，超出5%的部分由发包人补偿给承包人。跌幅超过5%（不含5%）的部分由承包人退还给发包人。上述价格的调整范围以当期政府造价部门发布的指导价为调整基准依据（优先执行当期花都区造价部门发布的地方材料税前综合价格）。原投标清单综合单价中的人工、材料、机械、管理费及利润水平维持不变。如在投标文件中相应的单价出现两种以上不同价格的，则按最低的单价执行。</w:t>
      </w:r>
    </w:p>
    <w:p w14:paraId="60B5056D">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82.2 人工费的调整方法</w:t>
      </w:r>
    </w:p>
    <w:p w14:paraId="40D56A4C">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□按通用条款第 82.2 款约定进行调整。</w:t>
      </w:r>
    </w:p>
    <w:p w14:paraId="51153BAA">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人工单价调整条件的约定：</w:t>
      </w:r>
      <w:r>
        <w:rPr>
          <w:rFonts w:hint="eastAsia" w:ascii="仿宋_GB2312" w:hAnsi="仿宋_GB2312" w:eastAsia="仿宋_GB2312" w:cs="仿宋_GB2312"/>
          <w:color w:val="auto"/>
          <w:sz w:val="24"/>
          <w:highlight w:val="none"/>
          <w:u w:val="single"/>
        </w:rPr>
        <w:t>按专用条款第 82.1 款</w:t>
      </w:r>
      <w:r>
        <w:rPr>
          <w:rFonts w:ascii="仿宋_GB2312" w:hAnsi="仿宋_GB2312" w:eastAsia="仿宋_GB2312" w:cs="仿宋_GB2312"/>
          <w:color w:val="auto"/>
          <w:sz w:val="24"/>
          <w:highlight w:val="none"/>
        </w:rPr>
        <w:t>。</w:t>
      </w:r>
    </w:p>
    <w:p w14:paraId="3E27B376">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82.3 承包人采购工程材料和工程设备的材料设备费、施工机具费调整方法</w:t>
      </w:r>
    </w:p>
    <w:p w14:paraId="2A4D83F4">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第 1 种方式：采用政府信息指导价进行价格调整。</w:t>
      </w:r>
    </w:p>
    <w:p w14:paraId="07F7C855">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（a）允许调整价格的工程材料品种：</w:t>
      </w:r>
      <w:r>
        <w:rPr>
          <w:rFonts w:hint="eastAsia" w:ascii="仿宋_GB2312" w:hAnsi="仿宋_GB2312" w:eastAsia="仿宋_GB2312" w:cs="仿宋_GB2312"/>
          <w:color w:val="auto"/>
          <w:sz w:val="24"/>
          <w:highlight w:val="none"/>
          <w:u w:val="single"/>
        </w:rPr>
        <w:t xml:space="preserve">  </w:t>
      </w:r>
    </w:p>
    <w:p w14:paraId="5209A6B3">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（b）工程材料单价涨跌幅度:</w:t>
      </w:r>
    </w:p>
    <w:p w14:paraId="49420C1A">
      <w:pPr>
        <w:ind w:left="210" w:leftChars="1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合同履行期间工程材料、工程设备单价涨跌幅度按通用条款约定。</w:t>
      </w:r>
    </w:p>
    <w:p w14:paraId="0D1EAE46">
      <w:pPr>
        <w:ind w:left="210" w:leftChars="100" w:firstLine="480" w:firstLine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□合同履行期间工程材料、工程设备单价涨跌幅度的约定：</w:t>
      </w:r>
      <w:r>
        <w:rPr>
          <w:rFonts w:hint="eastAsia" w:ascii="仿宋_GB2312" w:hAnsi="仿宋_GB2312" w:eastAsia="仿宋_GB2312" w:cs="仿宋_GB2312"/>
          <w:color w:val="auto"/>
          <w:sz w:val="24"/>
          <w:highlight w:val="none"/>
          <w:u w:val="single"/>
        </w:rPr>
        <w:t xml:space="preserve">  </w:t>
      </w:r>
    </w:p>
    <w:p w14:paraId="6606EDC5">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（c）工程材料、工程设备基准价格:</w:t>
      </w:r>
      <w:r>
        <w:rPr>
          <w:rFonts w:hint="eastAsia" w:ascii="仿宋_GB2312" w:hAnsi="仿宋_GB2312" w:eastAsia="仿宋_GB2312" w:cs="仿宋_GB2312"/>
          <w:color w:val="auto"/>
          <w:sz w:val="24"/>
          <w:highlight w:val="none"/>
          <w:u w:val="single"/>
        </w:rPr>
        <w:t xml:space="preserve">  </w:t>
      </w:r>
    </w:p>
    <w:p w14:paraId="1633BC20">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（d）工程材料、工程设备基准价格的计算依据、计算方式以及单价涨跌幅的确定方法:</w:t>
      </w:r>
      <w:r>
        <w:rPr>
          <w:rFonts w:hint="eastAsia" w:ascii="仿宋_GB2312" w:hAnsi="仿宋_GB2312" w:eastAsia="仿宋_GB2312" w:cs="仿宋_GB2312"/>
          <w:color w:val="auto"/>
          <w:sz w:val="24"/>
          <w:highlight w:val="none"/>
          <w:u w:val="single"/>
        </w:rPr>
        <w:t xml:space="preserve">  </w:t>
      </w:r>
    </w:p>
    <w:p w14:paraId="7DBCC28E">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（e）允许调整价格的施工机具品种：</w:t>
      </w:r>
      <w:r>
        <w:rPr>
          <w:rFonts w:hint="eastAsia" w:ascii="仿宋_GB2312" w:hAnsi="仿宋_GB2312" w:eastAsia="仿宋_GB2312" w:cs="仿宋_GB2312"/>
          <w:color w:val="auto"/>
          <w:sz w:val="24"/>
          <w:highlight w:val="none"/>
          <w:u w:val="single"/>
        </w:rPr>
        <w:t xml:space="preserve">  </w:t>
      </w:r>
    </w:p>
    <w:p w14:paraId="3B52731C">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（f）可调整合同价格的施工机具台班单价变化幅度：</w:t>
      </w:r>
      <w:r>
        <w:rPr>
          <w:rFonts w:hint="eastAsia" w:ascii="仿宋_GB2312" w:hAnsi="仿宋_GB2312" w:eastAsia="仿宋_GB2312" w:cs="仿宋_GB2312"/>
          <w:color w:val="auto"/>
          <w:sz w:val="24"/>
          <w:highlight w:val="none"/>
          <w:u w:val="single"/>
        </w:rPr>
        <w:t xml:space="preserve">  </w:t>
      </w:r>
    </w:p>
    <w:p w14:paraId="659AA9FB">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（g）施工机具台班单价变化幅度、台班单价的计算依据、计算方式：</w:t>
      </w:r>
      <w:r>
        <w:rPr>
          <w:rFonts w:hint="eastAsia" w:ascii="仿宋_GB2312" w:hAnsi="仿宋_GB2312" w:eastAsia="仿宋_GB2312" w:cs="仿宋_GB2312"/>
          <w:color w:val="auto"/>
          <w:sz w:val="24"/>
          <w:highlight w:val="none"/>
          <w:u w:val="single"/>
        </w:rPr>
        <w:t xml:space="preserve">  </w:t>
      </w:r>
    </w:p>
    <w:p w14:paraId="01145711">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第 2 种方式：其他价格调整方式的约定：</w:t>
      </w:r>
      <w:r>
        <w:rPr>
          <w:rFonts w:hint="eastAsia" w:ascii="仿宋_GB2312" w:hAnsi="仿宋_GB2312" w:eastAsia="仿宋_GB2312" w:cs="仿宋_GB2312"/>
          <w:color w:val="auto"/>
          <w:sz w:val="24"/>
          <w:highlight w:val="none"/>
          <w:u w:val="single"/>
        </w:rPr>
        <w:t xml:space="preserve">  </w:t>
      </w:r>
    </w:p>
    <w:p w14:paraId="482F40E6">
      <w:pPr>
        <w:ind w:left="210" w:leftChars="100"/>
        <w:rPr>
          <w:rFonts w:hint="eastAsia" w:ascii="仿宋_GB2312" w:hAnsi="仿宋_GB2312" w:eastAsia="仿宋_GB2312" w:cs="仿宋_GB2312"/>
          <w:color w:val="auto"/>
          <w:sz w:val="24"/>
          <w:highlight w:val="none"/>
          <w:u w:val="single"/>
        </w:rPr>
      </w:pPr>
    </w:p>
    <w:p w14:paraId="171F0C67">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★83. 支付事项</w:t>
      </w:r>
    </w:p>
    <w:p w14:paraId="56446062">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83.2 计算利息的利率</w:t>
      </w:r>
    </w:p>
    <w:p w14:paraId="5BAD4727">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全国银行间同业拆借中心公布的贷款市场报价利率（LPR）</w:t>
      </w:r>
    </w:p>
    <w:p w14:paraId="7C1E6169">
      <w:pPr>
        <w:ind w:left="210" w:leftChars="100"/>
        <w:rPr>
          <w:rFonts w:hint="eastAsia" w:ascii="仿宋_GB2312" w:hAnsi="仿宋_GB2312" w:eastAsia="仿宋_GB2312" w:cs="仿宋_GB2312"/>
          <w:color w:val="auto"/>
          <w:sz w:val="24"/>
          <w:highlight w:val="none"/>
          <w:u w:val="single"/>
        </w:rPr>
      </w:pPr>
      <w:r>
        <w:rPr>
          <w:rFonts w:ascii="Segoe UI Symbol" w:hAnsi="Segoe UI Symbol" w:eastAsia="仿宋_GB2312" w:cs="Segoe UI Symbol"/>
          <w:color w:val="auto"/>
          <w:sz w:val="24"/>
          <w:highlight w:val="none"/>
        </w:rPr>
        <w:t>☑</w:t>
      </w:r>
      <w:r>
        <w:rPr>
          <w:rFonts w:ascii="仿宋_GB2312" w:hAnsi="仿宋_GB2312" w:eastAsia="仿宋_GB2312" w:cs="仿宋_GB2312"/>
          <w:color w:val="auto"/>
          <w:sz w:val="24"/>
          <w:highlight w:val="none"/>
        </w:rPr>
        <w:t xml:space="preserve"> 另作约定：</w:t>
      </w:r>
      <w:r>
        <w:rPr>
          <w:rFonts w:ascii="仿宋_GB2312" w:hAnsi="仿宋_GB2312" w:eastAsia="仿宋_GB2312" w:cs="仿宋_GB2312"/>
          <w:color w:val="auto"/>
          <w:sz w:val="24"/>
          <w:highlight w:val="none"/>
          <w:u w:val="single"/>
        </w:rPr>
        <w:t>不论何种情况，本合同均不计算利息。</w:t>
      </w:r>
    </w:p>
    <w:p w14:paraId="071DE02F">
      <w:pPr>
        <w:ind w:left="210" w:leftChars="100"/>
        <w:rPr>
          <w:rFonts w:hint="eastAsia" w:ascii="仿宋_GB2312" w:hAnsi="仿宋_GB2312" w:eastAsia="仿宋_GB2312" w:cs="仿宋_GB2312"/>
          <w:color w:val="auto"/>
          <w:sz w:val="24"/>
          <w:highlight w:val="none"/>
          <w:u w:val="single"/>
        </w:rPr>
      </w:pPr>
    </w:p>
    <w:bookmarkEnd w:id="5"/>
    <w:p w14:paraId="38A31F86">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★84. 预付款</w:t>
      </w:r>
    </w:p>
    <w:p w14:paraId="51F9AB2C">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84.1 预付款的约定及管理</w:t>
      </w:r>
    </w:p>
    <w:p w14:paraId="53D942FE">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□无预付款，本条不适用。</w:t>
      </w:r>
    </w:p>
    <w:p w14:paraId="612ED307">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有预付款，其支付办法和抵扣方式，按专用条款第 84.2 款和第 84.4 款约定。</w:t>
      </w:r>
    </w:p>
    <w:p w14:paraId="03E9F056">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另作约定：</w:t>
      </w:r>
    </w:p>
    <w:p w14:paraId="3C43809F">
      <w:pPr>
        <w:ind w:left="210" w:leftChars="100"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ascii="仿宋_GB2312" w:hAnsi="仿宋_GB2312" w:eastAsia="仿宋_GB2312" w:cs="仿宋_GB2312"/>
          <w:color w:val="auto"/>
          <w:sz w:val="24"/>
          <w:highlight w:val="none"/>
        </w:rPr>
        <w:t>工程勘察费预付款支付比例及金额：</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val="en-US" w:eastAsia="zh-CN"/>
        </w:rPr>
        <w:t>25</w:t>
      </w:r>
      <w:r>
        <w:rPr>
          <w:rFonts w:hint="eastAsia" w:ascii="仿宋_GB2312" w:hAnsi="仿宋_GB2312" w:eastAsia="仿宋_GB2312" w:cs="仿宋_GB2312"/>
          <w:color w:val="auto"/>
          <w:sz w:val="24"/>
          <w:highlight w:val="none"/>
          <w:u w:val="single"/>
        </w:rPr>
        <w:t>%</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14:paraId="09ED0D68">
      <w:pPr>
        <w:ind w:left="210" w:leftChars="100"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工程设计费预付款支付比例及金额：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w:t>
      </w:r>
    </w:p>
    <w:p w14:paraId="40E40641">
      <w:pPr>
        <w:ind w:left="210" w:leftChars="100" w:firstLine="240" w:firstLine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□BIM 技术应用费预付款支付比例及金额：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14:paraId="3F373E18">
      <w:pPr>
        <w:ind w:left="210" w:leftChars="100" w:firstLine="240" w:firstLine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□设备及工器具购置费预付款支付比例及金额：</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14:paraId="63CA56A4">
      <w:pPr>
        <w:ind w:left="210" w:leftChars="100" w:firstLine="240" w:firstLine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建筑安装工程费（扣除暂列金额、暂估价、绿色安全防护措施费等）预付款支付比例及金额：</w:t>
      </w:r>
      <w:r>
        <w:rPr>
          <w:rFonts w:hint="eastAsia" w:ascii="仿宋_GB2312" w:hAnsi="仿宋_GB2312" w:eastAsia="仿宋_GB2312" w:cs="仿宋_GB2312"/>
          <w:color w:val="auto"/>
          <w:sz w:val="24"/>
          <w:highlight w:val="none"/>
          <w:u w:val="single"/>
        </w:rPr>
        <w:t>修正合同价建安费总价的</w:t>
      </w:r>
      <w:r>
        <w:rPr>
          <w:rFonts w:hint="eastAsia" w:ascii="仿宋_GB2312" w:hAnsi="仿宋_GB2312" w:eastAsia="仿宋_GB2312" w:cs="仿宋_GB2312"/>
          <w:color w:val="auto"/>
          <w:sz w:val="24"/>
          <w:highlight w:val="none"/>
          <w:u w:val="single"/>
          <w:lang w:val="en-US" w:eastAsia="zh-CN"/>
        </w:rPr>
        <w:t>25</w:t>
      </w:r>
      <w:r>
        <w:rPr>
          <w:rFonts w:hint="eastAsia" w:ascii="仿宋_GB2312" w:hAnsi="仿宋_GB2312" w:eastAsia="仿宋_GB2312" w:cs="仿宋_GB2312"/>
          <w:color w:val="auto"/>
          <w:sz w:val="24"/>
          <w:highlight w:val="none"/>
          <w:u w:val="single"/>
        </w:rPr>
        <w:t>%</w:t>
      </w:r>
    </w:p>
    <w:p w14:paraId="497F1F1F">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□其他费用预付款支付比例及金额：</w:t>
      </w:r>
      <w:r>
        <w:rPr>
          <w:rFonts w:hint="eastAsia" w:ascii="仿宋_GB2312" w:hAnsi="仿宋_GB2312" w:eastAsia="仿宋_GB2312" w:cs="仿宋_GB2312"/>
          <w:color w:val="auto"/>
          <w:sz w:val="24"/>
          <w:highlight w:val="none"/>
          <w:u w:val="single"/>
        </w:rPr>
        <w:t xml:space="preserve">  </w:t>
      </w:r>
    </w:p>
    <w:p w14:paraId="740F56D4">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84.2 提交预付款支付申请期限：</w:t>
      </w:r>
    </w:p>
    <w:p w14:paraId="189663B6">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按通用条款第 84.2 款约定。</w:t>
      </w:r>
    </w:p>
    <w:p w14:paraId="055DFBB8">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另作约定：</w:t>
      </w:r>
      <w:r>
        <w:rPr>
          <w:rFonts w:hint="eastAsia" w:ascii="仿宋_GB2312" w:hAnsi="仿宋_GB2312" w:eastAsia="仿宋_GB2312" w:cs="仿宋_GB2312"/>
          <w:color w:val="auto"/>
          <w:sz w:val="24"/>
          <w:highlight w:val="none"/>
          <w:u w:val="single"/>
        </w:rPr>
        <w:t>签订合同后且概算审定后15个工作日内承包人按照发包人要求办理请款手续，承包人向发包人收取预付款时须提供与承包人名称一致的增值税发票。</w:t>
      </w:r>
    </w:p>
    <w:p w14:paraId="2F5DE1B3">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84.4 预付款的扣回</w:t>
      </w:r>
    </w:p>
    <w:p w14:paraId="4BB300D3">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□按通用条款约定。</w:t>
      </w:r>
    </w:p>
    <w:p w14:paraId="5C20EB73">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其它抵扣方式：</w:t>
      </w:r>
      <w:r>
        <w:rPr>
          <w:rFonts w:hint="eastAsia" w:ascii="仿宋_GB2312" w:hAnsi="仿宋_GB2312" w:eastAsia="仿宋_GB2312" w:cs="仿宋_GB2312"/>
          <w:color w:val="auto"/>
          <w:sz w:val="24"/>
          <w:highlight w:val="none"/>
          <w:u w:val="single"/>
        </w:rPr>
        <w:t>预付款按已完的工程量，按比例扣回，预付款扣回比例按下表执行。</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2"/>
        <w:gridCol w:w="2570"/>
        <w:gridCol w:w="2110"/>
      </w:tblGrid>
      <w:tr w14:paraId="5D9AA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962" w:type="dxa"/>
            <w:tcBorders>
              <w:top w:val="single" w:color="auto" w:sz="4" w:space="0"/>
              <w:left w:val="single" w:color="auto" w:sz="4" w:space="0"/>
              <w:bottom w:val="single" w:color="auto" w:sz="4" w:space="0"/>
              <w:right w:val="single" w:color="auto" w:sz="4" w:space="0"/>
            </w:tcBorders>
            <w:vAlign w:val="center"/>
          </w:tcPr>
          <w:p w14:paraId="1F11DCB2">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清单内已完工作量与合同承包价（扣除了暂列金额）的比例（a）</w:t>
            </w:r>
          </w:p>
        </w:tc>
        <w:tc>
          <w:tcPr>
            <w:tcW w:w="2570" w:type="dxa"/>
            <w:tcBorders>
              <w:top w:val="single" w:color="auto" w:sz="4" w:space="0"/>
              <w:left w:val="single" w:color="auto" w:sz="4" w:space="0"/>
              <w:bottom w:val="single" w:color="auto" w:sz="4" w:space="0"/>
              <w:right w:val="single" w:color="auto" w:sz="4" w:space="0"/>
            </w:tcBorders>
            <w:vAlign w:val="center"/>
          </w:tcPr>
          <w:p w14:paraId="67129175">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扣回预付款的比例</w:t>
            </w:r>
          </w:p>
        </w:tc>
        <w:tc>
          <w:tcPr>
            <w:tcW w:w="2110" w:type="dxa"/>
            <w:tcBorders>
              <w:top w:val="single" w:color="auto" w:sz="4" w:space="0"/>
              <w:left w:val="single" w:color="auto" w:sz="4" w:space="0"/>
              <w:bottom w:val="single" w:color="auto" w:sz="4" w:space="0"/>
              <w:right w:val="single" w:color="auto" w:sz="4" w:space="0"/>
            </w:tcBorders>
            <w:vAlign w:val="center"/>
          </w:tcPr>
          <w:p w14:paraId="2398F34B">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累计扣回比例</w:t>
            </w:r>
          </w:p>
        </w:tc>
      </w:tr>
      <w:tr w14:paraId="4C4303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3962" w:type="dxa"/>
            <w:tcBorders>
              <w:top w:val="single" w:color="auto" w:sz="4" w:space="0"/>
              <w:left w:val="single" w:color="auto" w:sz="4" w:space="0"/>
              <w:bottom w:val="single" w:color="auto" w:sz="4" w:space="0"/>
              <w:right w:val="single" w:color="auto" w:sz="4" w:space="0"/>
            </w:tcBorders>
          </w:tcPr>
          <w:p w14:paraId="65289951">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10%≤a＜20％</w:t>
            </w:r>
          </w:p>
        </w:tc>
        <w:tc>
          <w:tcPr>
            <w:tcW w:w="2570" w:type="dxa"/>
            <w:tcBorders>
              <w:top w:val="single" w:color="auto" w:sz="4" w:space="0"/>
              <w:left w:val="single" w:color="auto" w:sz="4" w:space="0"/>
              <w:bottom w:val="single" w:color="auto" w:sz="4" w:space="0"/>
              <w:right w:val="single" w:color="auto" w:sz="4" w:space="0"/>
            </w:tcBorders>
          </w:tcPr>
          <w:p w14:paraId="496A1ECC">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10％</w:t>
            </w:r>
          </w:p>
        </w:tc>
        <w:tc>
          <w:tcPr>
            <w:tcW w:w="2110" w:type="dxa"/>
            <w:tcBorders>
              <w:top w:val="single" w:color="auto" w:sz="4" w:space="0"/>
              <w:left w:val="single" w:color="auto" w:sz="4" w:space="0"/>
              <w:bottom w:val="single" w:color="auto" w:sz="4" w:space="0"/>
              <w:right w:val="single" w:color="auto" w:sz="4" w:space="0"/>
            </w:tcBorders>
          </w:tcPr>
          <w:p w14:paraId="202F16E8">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10％</w:t>
            </w:r>
          </w:p>
        </w:tc>
      </w:tr>
      <w:tr w14:paraId="79BFEE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962" w:type="dxa"/>
            <w:tcBorders>
              <w:top w:val="single" w:color="auto" w:sz="4" w:space="0"/>
              <w:left w:val="single" w:color="auto" w:sz="4" w:space="0"/>
              <w:bottom w:val="single" w:color="auto" w:sz="4" w:space="0"/>
              <w:right w:val="single" w:color="auto" w:sz="4" w:space="0"/>
            </w:tcBorders>
          </w:tcPr>
          <w:p w14:paraId="03E1A578">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20%≤a＜40％</w:t>
            </w:r>
          </w:p>
        </w:tc>
        <w:tc>
          <w:tcPr>
            <w:tcW w:w="2570" w:type="dxa"/>
            <w:tcBorders>
              <w:top w:val="single" w:color="auto" w:sz="4" w:space="0"/>
              <w:left w:val="single" w:color="auto" w:sz="4" w:space="0"/>
              <w:bottom w:val="single" w:color="auto" w:sz="4" w:space="0"/>
              <w:right w:val="single" w:color="auto" w:sz="4" w:space="0"/>
            </w:tcBorders>
          </w:tcPr>
          <w:p w14:paraId="56041DFF">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25％</w:t>
            </w:r>
          </w:p>
        </w:tc>
        <w:tc>
          <w:tcPr>
            <w:tcW w:w="2110" w:type="dxa"/>
            <w:tcBorders>
              <w:top w:val="single" w:color="auto" w:sz="4" w:space="0"/>
              <w:left w:val="single" w:color="auto" w:sz="4" w:space="0"/>
              <w:bottom w:val="single" w:color="auto" w:sz="4" w:space="0"/>
              <w:right w:val="single" w:color="auto" w:sz="4" w:space="0"/>
            </w:tcBorders>
          </w:tcPr>
          <w:p w14:paraId="4A188081">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35％</w:t>
            </w:r>
          </w:p>
        </w:tc>
      </w:tr>
      <w:tr w14:paraId="12F420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3962" w:type="dxa"/>
            <w:tcBorders>
              <w:top w:val="single" w:color="auto" w:sz="4" w:space="0"/>
              <w:left w:val="single" w:color="auto" w:sz="4" w:space="0"/>
              <w:bottom w:val="single" w:color="auto" w:sz="4" w:space="0"/>
              <w:right w:val="single" w:color="auto" w:sz="4" w:space="0"/>
            </w:tcBorders>
          </w:tcPr>
          <w:p w14:paraId="2A734423">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40%≤a＜50％</w:t>
            </w:r>
          </w:p>
        </w:tc>
        <w:tc>
          <w:tcPr>
            <w:tcW w:w="2570" w:type="dxa"/>
            <w:tcBorders>
              <w:top w:val="single" w:color="auto" w:sz="4" w:space="0"/>
              <w:left w:val="single" w:color="auto" w:sz="4" w:space="0"/>
              <w:bottom w:val="single" w:color="auto" w:sz="4" w:space="0"/>
              <w:right w:val="single" w:color="auto" w:sz="4" w:space="0"/>
            </w:tcBorders>
          </w:tcPr>
          <w:p w14:paraId="52051C43">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35％</w:t>
            </w:r>
          </w:p>
        </w:tc>
        <w:tc>
          <w:tcPr>
            <w:tcW w:w="2110" w:type="dxa"/>
            <w:tcBorders>
              <w:top w:val="single" w:color="auto" w:sz="4" w:space="0"/>
              <w:left w:val="single" w:color="auto" w:sz="4" w:space="0"/>
              <w:bottom w:val="single" w:color="auto" w:sz="4" w:space="0"/>
              <w:right w:val="single" w:color="auto" w:sz="4" w:space="0"/>
            </w:tcBorders>
          </w:tcPr>
          <w:p w14:paraId="5392C171">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70％</w:t>
            </w:r>
          </w:p>
        </w:tc>
      </w:tr>
      <w:tr w14:paraId="0CB95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3962" w:type="dxa"/>
            <w:tcBorders>
              <w:top w:val="single" w:color="auto" w:sz="4" w:space="0"/>
              <w:left w:val="single" w:color="auto" w:sz="4" w:space="0"/>
              <w:bottom w:val="single" w:color="auto" w:sz="4" w:space="0"/>
              <w:right w:val="single" w:color="auto" w:sz="4" w:space="0"/>
            </w:tcBorders>
          </w:tcPr>
          <w:p w14:paraId="33D1996C">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50%≤a＜60％</w:t>
            </w:r>
          </w:p>
        </w:tc>
        <w:tc>
          <w:tcPr>
            <w:tcW w:w="2570" w:type="dxa"/>
            <w:tcBorders>
              <w:top w:val="single" w:color="auto" w:sz="4" w:space="0"/>
              <w:left w:val="single" w:color="auto" w:sz="4" w:space="0"/>
              <w:bottom w:val="single" w:color="auto" w:sz="4" w:space="0"/>
              <w:right w:val="single" w:color="auto" w:sz="4" w:space="0"/>
            </w:tcBorders>
          </w:tcPr>
          <w:p w14:paraId="5EFF686A">
            <w:pPr>
              <w:spacing w:line="360" w:lineRule="auto"/>
              <w:jc w:val="center"/>
              <w:rPr>
                <w:rFonts w:hint="eastAsia" w:ascii="仿宋_GB2312" w:hAnsi="仿宋_GB2312" w:eastAsia="仿宋_GB2312" w:cs="仿宋_GB2312"/>
                <w:color w:val="auto"/>
                <w:szCs w:val="21"/>
                <w:highlight w:val="none"/>
              </w:rPr>
            </w:pPr>
            <w:r>
              <w:rPr>
                <w:rFonts w:ascii="仿宋_GB2312" w:hAnsi="仿宋_GB2312" w:eastAsia="仿宋_GB2312" w:cs="仿宋_GB2312"/>
                <w:color w:val="auto"/>
                <w:szCs w:val="21"/>
                <w:highlight w:val="none"/>
              </w:rPr>
              <w:t>30%</w:t>
            </w:r>
          </w:p>
        </w:tc>
        <w:tc>
          <w:tcPr>
            <w:tcW w:w="2110" w:type="dxa"/>
            <w:tcBorders>
              <w:top w:val="single" w:color="auto" w:sz="4" w:space="0"/>
              <w:left w:val="single" w:color="auto" w:sz="4" w:space="0"/>
              <w:bottom w:val="single" w:color="auto" w:sz="4" w:space="0"/>
              <w:right w:val="single" w:color="auto" w:sz="4" w:space="0"/>
            </w:tcBorders>
          </w:tcPr>
          <w:p w14:paraId="18CAC3AD">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100%</w:t>
            </w:r>
          </w:p>
        </w:tc>
      </w:tr>
    </w:tbl>
    <w:p w14:paraId="63BDFA34">
      <w:pPr>
        <w:rPr>
          <w:rFonts w:hint="eastAsia" w:ascii="仿宋_GB2312" w:hAnsi="仿宋_GB2312" w:eastAsia="仿宋_GB2312" w:cs="仿宋_GB2312"/>
          <w:color w:val="auto"/>
          <w:sz w:val="24"/>
          <w:highlight w:val="none"/>
        </w:rPr>
      </w:pPr>
    </w:p>
    <w:p w14:paraId="5F57B0C7">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★85. 绿色施工安全防护费</w:t>
      </w:r>
    </w:p>
    <w:p w14:paraId="796B84E7">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85.1 绿色施工安全防护费的内容、范围和金额</w:t>
      </w:r>
    </w:p>
    <w:p w14:paraId="487B5CC1">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①内容和范围</w:t>
      </w:r>
    </w:p>
    <w:p w14:paraId="6EF23344">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按通用条款的约定，以现行省、市有关文件规定为准。</w:t>
      </w:r>
    </w:p>
    <w:p w14:paraId="24870117">
      <w:pPr>
        <w:ind w:left="210" w:leftChars="100"/>
        <w:rPr>
          <w:rFonts w:hint="eastAsia" w:ascii="仿宋_GB2312" w:hAnsi="仿宋_GB2312" w:eastAsia="仿宋_GB2312" w:cs="仿宋_GB2312"/>
          <w:color w:val="auto"/>
          <w:sz w:val="24"/>
          <w:highlight w:val="none"/>
        </w:rPr>
      </w:pPr>
      <w:r>
        <w:rPr>
          <w:rFonts w:hint="eastAsia" w:ascii="Segoe UI Symbol" w:hAnsi="Segoe UI Symbol" w:eastAsia="仿宋_GB2312" w:cs="Segoe UI Symbol"/>
          <w:color w:val="auto"/>
          <w:sz w:val="24"/>
          <w:highlight w:val="none"/>
        </w:rPr>
        <w:t>□</w:t>
      </w: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 xml:space="preserve">无。 </w:t>
      </w:r>
    </w:p>
    <w:p w14:paraId="5AA86DB5">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②绿色施工安全防护费的总金额为</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元。</w:t>
      </w:r>
    </w:p>
    <w:p w14:paraId="7758932A">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85.2 支付申请的提交与核实</w:t>
      </w:r>
    </w:p>
    <w:p w14:paraId="68D78D82">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按通用条款的约定。</w:t>
      </w:r>
    </w:p>
    <w:p w14:paraId="03776E53">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与当期工程进度款同时申请与核实。</w:t>
      </w:r>
    </w:p>
    <w:p w14:paraId="4F03499E">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85.3 费用支付</w:t>
      </w:r>
    </w:p>
    <w:p w14:paraId="53AE4A3E">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绿色施工安全防护费的支付办法和抵扣方式：</w:t>
      </w:r>
    </w:p>
    <w:p w14:paraId="12734751">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按通用条款的约定。</w:t>
      </w:r>
    </w:p>
    <w:p w14:paraId="0E331299">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根据工程进度按比例支付，并与当期工程进度款同时支付。</w:t>
      </w:r>
    </w:p>
    <w:p w14:paraId="37EB4B93">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85.6 文明工地增加费</w:t>
      </w:r>
    </w:p>
    <w:p w14:paraId="36167487">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文明工地增加费的计算额度：</w:t>
      </w:r>
    </w:p>
    <w:p w14:paraId="41AB144C">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按通用条款约定计算。</w:t>
      </w:r>
    </w:p>
    <w:p w14:paraId="63C6B543">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本项目不设文明工地增加费。</w:t>
      </w:r>
    </w:p>
    <w:p w14:paraId="4A7AAB87">
      <w:pPr>
        <w:ind w:left="210" w:leftChars="100"/>
        <w:rPr>
          <w:rFonts w:hint="eastAsia" w:ascii="仿宋_GB2312" w:hAnsi="仿宋_GB2312" w:eastAsia="仿宋_GB2312" w:cs="仿宋_GB2312"/>
          <w:color w:val="auto"/>
          <w:sz w:val="24"/>
          <w:highlight w:val="none"/>
        </w:rPr>
      </w:pPr>
    </w:p>
    <w:p w14:paraId="0E3C5956">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★86. 进度款</w:t>
      </w:r>
    </w:p>
    <w:p w14:paraId="50701BB1">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86.1 约定支付期限和提交支付申请</w:t>
      </w:r>
    </w:p>
    <w:p w14:paraId="3AF31520">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勘察</w:t>
      </w:r>
      <w:r>
        <w:rPr>
          <w:rFonts w:ascii="仿宋_GB2312" w:hAnsi="仿宋_GB2312" w:eastAsia="仿宋_GB2312" w:cs="仿宋_GB2312"/>
          <w:color w:val="auto"/>
          <w:sz w:val="24"/>
          <w:highlight w:val="none"/>
        </w:rPr>
        <w:t>设计</w:t>
      </w:r>
    </w:p>
    <w:p w14:paraId="5CE6B8BF">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①支付期限、比例</w:t>
      </w:r>
    </w:p>
    <w:p w14:paraId="1EB90B3F">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以月为支付周期，支付比例为本月已完工作或工程款的</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14:paraId="254AA8FB">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以季度为支付周期，支付比例为本季度已完工作或工程款的</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14:paraId="0D1D67AF">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以形象进度为支付周期，支付比例为本形象进度内已完工作或工程款的</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%或另行约定，具体约定如下：</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14:paraId="49EE3855">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其它方式：</w:t>
      </w:r>
      <w:r>
        <w:rPr>
          <w:rFonts w:hint="eastAsia" w:ascii="仿宋_GB2312" w:hAnsi="仿宋_GB2312" w:eastAsia="仿宋_GB2312" w:cs="仿宋_GB2312"/>
          <w:color w:val="auto"/>
          <w:sz w:val="24"/>
          <w:highlight w:val="none"/>
        </w:rPr>
        <w:t>勘察</w:t>
      </w:r>
      <w:r>
        <w:rPr>
          <w:rFonts w:hint="eastAsia" w:ascii="仿宋_GB2312" w:hAnsi="仿宋_GB2312" w:eastAsia="仿宋_GB2312" w:cs="仿宋_GB2312"/>
          <w:color w:val="auto"/>
          <w:sz w:val="24"/>
          <w:highlight w:val="none"/>
          <w:u w:val="single"/>
        </w:rPr>
        <w:t>设计费支付方式如下</w:t>
      </w:r>
      <w:r>
        <w:rPr>
          <w:rFonts w:hint="eastAsia" w:ascii="仿宋_GB2312" w:hAnsi="仿宋_GB2312" w:eastAsia="仿宋_GB2312" w:cs="仿宋_GB2312"/>
          <w:color w:val="auto"/>
          <w:sz w:val="24"/>
          <w:highlight w:val="none"/>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3891"/>
        <w:gridCol w:w="3673"/>
      </w:tblGrid>
      <w:tr w14:paraId="5AEC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tcPr>
          <w:p w14:paraId="7BA82860">
            <w:pPr>
              <w:jc w:val="center"/>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支付阶段</w:t>
            </w:r>
          </w:p>
        </w:tc>
        <w:tc>
          <w:tcPr>
            <w:tcW w:w="3891" w:type="dxa"/>
          </w:tcPr>
          <w:p w14:paraId="2C5EDDFD">
            <w:pPr>
              <w:jc w:val="center"/>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支付条件</w:t>
            </w:r>
          </w:p>
        </w:tc>
        <w:tc>
          <w:tcPr>
            <w:tcW w:w="3673" w:type="dxa"/>
          </w:tcPr>
          <w:p w14:paraId="794BED8E">
            <w:pPr>
              <w:jc w:val="center"/>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支付比例</w:t>
            </w:r>
          </w:p>
        </w:tc>
      </w:tr>
      <w:tr w14:paraId="2DD4E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4" w:type="dxa"/>
            <w:vAlign w:val="center"/>
          </w:tcPr>
          <w:p w14:paraId="7EBEA1A6">
            <w:pPr>
              <w:jc w:val="center"/>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第一期支付</w:t>
            </w:r>
          </w:p>
        </w:tc>
        <w:tc>
          <w:tcPr>
            <w:tcW w:w="3891" w:type="dxa"/>
          </w:tcPr>
          <w:p w14:paraId="61E4E520">
            <w:pPr>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承包人完成施工图设计，并获施工图审查通过，取得施工图审查合格书</w:t>
            </w:r>
          </w:p>
        </w:tc>
        <w:tc>
          <w:tcPr>
            <w:tcW w:w="3673" w:type="dxa"/>
          </w:tcPr>
          <w:p w14:paraId="495B1A00">
            <w:pPr>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支付至概算审核价相应勘察设计费的50%；</w:t>
            </w:r>
          </w:p>
        </w:tc>
      </w:tr>
      <w:tr w14:paraId="1B49E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vAlign w:val="center"/>
          </w:tcPr>
          <w:p w14:paraId="0FD3D08F">
            <w:pPr>
              <w:jc w:val="center"/>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第二期支付</w:t>
            </w:r>
          </w:p>
        </w:tc>
        <w:tc>
          <w:tcPr>
            <w:tcW w:w="3891" w:type="dxa"/>
          </w:tcPr>
          <w:p w14:paraId="449327E5">
            <w:pPr>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完成本项目设计范围内的全部建安工程后</w:t>
            </w:r>
          </w:p>
        </w:tc>
        <w:tc>
          <w:tcPr>
            <w:tcW w:w="3673" w:type="dxa"/>
          </w:tcPr>
          <w:p w14:paraId="1C8F0E24">
            <w:pPr>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支付至概算审核价相应勘察设计费的70%；</w:t>
            </w:r>
          </w:p>
        </w:tc>
      </w:tr>
      <w:tr w14:paraId="1B03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724" w:type="dxa"/>
            <w:vAlign w:val="center"/>
          </w:tcPr>
          <w:p w14:paraId="7CA28486">
            <w:pPr>
              <w:jc w:val="center"/>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第三期支付</w:t>
            </w:r>
          </w:p>
        </w:tc>
        <w:tc>
          <w:tcPr>
            <w:tcW w:w="3891" w:type="dxa"/>
          </w:tcPr>
          <w:p w14:paraId="6DEFAE2D">
            <w:pPr>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待本项目设计范围内的全部建安工程竣工验收合格后</w:t>
            </w:r>
          </w:p>
        </w:tc>
        <w:tc>
          <w:tcPr>
            <w:tcW w:w="3673" w:type="dxa"/>
          </w:tcPr>
          <w:p w14:paraId="091669E2">
            <w:pPr>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支付至概算审核价相应勘察设计费的80%；</w:t>
            </w:r>
          </w:p>
        </w:tc>
      </w:tr>
      <w:tr w14:paraId="050C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vAlign w:val="center"/>
          </w:tcPr>
          <w:p w14:paraId="63E7FE20">
            <w:pPr>
              <w:jc w:val="center"/>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尾款</w:t>
            </w:r>
          </w:p>
        </w:tc>
        <w:tc>
          <w:tcPr>
            <w:tcW w:w="3891" w:type="dxa"/>
          </w:tcPr>
          <w:p w14:paraId="444FD69E">
            <w:pPr>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待本项目完成最终结算审核后</w:t>
            </w:r>
          </w:p>
        </w:tc>
        <w:tc>
          <w:tcPr>
            <w:tcW w:w="3673" w:type="dxa"/>
          </w:tcPr>
          <w:p w14:paraId="5F5BA982">
            <w:pPr>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支付至勘察设计费结算评审金额的100%；</w:t>
            </w:r>
          </w:p>
        </w:tc>
      </w:tr>
    </w:tbl>
    <w:p w14:paraId="430C78E9">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注：</w:t>
      </w:r>
    </w:p>
    <w:p w14:paraId="3657785D">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1）所有工程款项的支付均需承包人提出书面申请，发包人经办部门收到书面申请资料后3个工作日内给出审核意见，原则上审核通过后的30个工作日内完成付款手续，财政投资项目付款时间以财政部门批准时间为准。</w:t>
      </w:r>
    </w:p>
    <w:p w14:paraId="4462659A">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single"/>
        </w:rPr>
        <w:t>（2）不论何种情况，本工程设计费均不计算利息。承包人收款前需提供合法有效票据给发包人</w:t>
      </w:r>
      <w:r>
        <w:rPr>
          <w:rFonts w:hint="eastAsia" w:ascii="仿宋_GB2312" w:hAnsi="仿宋_GB2312" w:eastAsia="仿宋_GB2312" w:cs="仿宋_GB2312"/>
          <w:color w:val="auto"/>
          <w:sz w:val="24"/>
          <w:highlight w:val="none"/>
        </w:rPr>
        <w:t>。</w:t>
      </w:r>
    </w:p>
    <w:p w14:paraId="5E632152">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②政府资金投资工程的支付期、支付办法：</w:t>
      </w:r>
      <w:r>
        <w:rPr>
          <w:rFonts w:hint="eastAsia" w:ascii="仿宋_GB2312" w:hAnsi="仿宋_GB2312" w:eastAsia="仿宋_GB2312" w:cs="仿宋_GB2312"/>
          <w:color w:val="auto"/>
          <w:sz w:val="24"/>
          <w:highlight w:val="none"/>
          <w:u w:val="single"/>
        </w:rPr>
        <w:t>上述所有的支付时间不包含政府部门审批时间，承包人已清楚明白本项目工程款的拨付程序，并理解因政府部门审核请款手续对时间等方面的影响与发包人无关，故非发包人原因造成的工程款支付拖延，不得向发包人要求计付拖延工程款期间的利息及因此导致的其他损失。承包人应委派专人负责跟进报酬支付呈批过程的相关事务。</w:t>
      </w:r>
    </w:p>
    <w:p w14:paraId="78427501">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(11)本期间应支付或扣留（回）的其他款项：</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u w:val="single"/>
        </w:rPr>
        <w:t>/</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14:paraId="6501EFCC">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施工</w:t>
      </w:r>
    </w:p>
    <w:p w14:paraId="6150B43A">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①支付期限、比例</w:t>
      </w:r>
    </w:p>
    <w:p w14:paraId="1F3AD475">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以月为支付周期，支付比例为本月已完工作或工程款的</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14:paraId="616B09F0">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以季度为支付周期，支付比例为本季度已完工作或工程款的</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14:paraId="3FC46E9A">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以形象进度为支付周期，支付比例为本形象进度内已完工作或工程款的</w:t>
      </w:r>
      <w:r>
        <w:rPr>
          <w:rFonts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%或另行约定，具体约定如下：</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14:paraId="5F561654">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其它方式：</w:t>
      </w:r>
    </w:p>
    <w:p w14:paraId="17DD479C">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A 按月支付。</w:t>
      </w:r>
    </w:p>
    <w:p w14:paraId="6E0267AC">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B 工程施工进度比例是指已完成的分部分项清单工程量总价对比整个项目的分部分项清单工程量总价的比例。计量支付时，以审核单位审定的施工图预算的工程量清单中各子项的工程量及综合单价作为计量支付的上限，补充协议除外。</w:t>
      </w:r>
    </w:p>
    <w:p w14:paraId="5314A31E">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C 任何项目的计量与支付必须按合同约定的技术条件、发包人批准的施工图有关要求及规定完成，包括合同约定的与项目计量有关且必须完成的责任和义务。</w:t>
      </w:r>
    </w:p>
    <w:p w14:paraId="590121C2">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D 已完工项目的计量与支付需得到总监理工程师和发包人的认可。如承包人的工作不能使总监理工程师和发包人满意（如：质量不合格，工程进度缓慢，施工承包管理和配合服务不到位或有其他方面违反合同的行为等），总监理工程师和发包人有权拒绝计量与支付。</w:t>
      </w:r>
    </w:p>
    <w:p w14:paraId="642C55AC">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E 当月实际完成工程量：月工程款=当月完成的审核单位审定的施工图预算范围内的</w:t>
      </w:r>
      <w:r>
        <w:rPr>
          <w:rFonts w:hint="eastAsia" w:ascii="仿宋_GB2312" w:hAnsi="仿宋_GB2312" w:eastAsia="仿宋_GB2312" w:cs="仿宋_GB2312"/>
          <w:color w:val="auto"/>
          <w:sz w:val="24"/>
          <w:highlight w:val="none"/>
          <w:u w:val="single"/>
        </w:rPr>
        <w:t>工程造价</w:t>
      </w:r>
      <w:r>
        <w:rPr>
          <w:rFonts w:hint="eastAsia" w:ascii="仿宋_GB2312" w:hAnsi="仿宋_GB2312" w:eastAsia="仿宋_GB2312" w:cs="仿宋_GB2312"/>
          <w:color w:val="auto"/>
          <w:sz w:val="24"/>
          <w:highlight w:val="none"/>
          <w:u w:val="single"/>
        </w:rPr>
        <w:t>×80％-当月应扣款。</w:t>
      </w:r>
    </w:p>
    <w:p w14:paraId="2040E4E7">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 xml:space="preserve">F 月实际完成的审核单位审定的施工图预算范围内的工程进度款以监理单位审核计量、第三方咨询审核计量和发包人审定确认为准，审核单位审定的施工图预算外新增加工程费用待工程结算后进行支付（补充合同约定除外），不与进度款同期支付，另有约定的除外。 </w:t>
      </w:r>
    </w:p>
    <w:p w14:paraId="35757478">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G 承包人完成建设工程竣工验收且实体移交后，发包人累计支付至合同内完成工程量的80%。</w:t>
      </w:r>
    </w:p>
    <w:p w14:paraId="75E274F8">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 xml:space="preserve">H 本工程需取得竣工验收报告后方可办理工程结算，当工程结算经花都区财政投资评审中心评审（或符合资质要求的第三方审核单位）通过后，乙方提交请款资料，向发包人申请拨付至结算总价的97%。 如工程已具备结算条件而因承包人原因两年内不结算的，监理单位与发包人有权根据已有工程资料送花都区财政投资评审中心（或符合资质要求的第三方审核单位）结算本项目。 </w:t>
      </w:r>
    </w:p>
    <w:p w14:paraId="5413024C">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I 本合同工程结算经终审部门定审、承包人按合同完整移交工程且不发生合同条款违约情形的，发包人累计支付至本合同结算定审金额的97%，留下本合同结算定审金额的</w:t>
      </w:r>
      <w:r>
        <w:rPr>
          <w:rFonts w:ascii="仿宋_GB2312" w:hAnsi="仿宋_GB2312" w:eastAsia="仿宋_GB2312" w:cs="仿宋_GB2312"/>
          <w:color w:val="auto"/>
          <w:sz w:val="24"/>
          <w:highlight w:val="none"/>
          <w:u w:val="single"/>
        </w:rPr>
        <w:t>3%</w:t>
      </w:r>
      <w:r>
        <w:rPr>
          <w:rFonts w:hint="eastAsia" w:ascii="仿宋_GB2312" w:hAnsi="仿宋_GB2312" w:eastAsia="仿宋_GB2312" w:cs="仿宋_GB2312"/>
          <w:color w:val="auto"/>
          <w:sz w:val="24"/>
          <w:highlight w:val="none"/>
          <w:u w:val="single"/>
        </w:rPr>
        <w:t>作为工程质量保修金并按如下约定方式支付：</w:t>
      </w:r>
    </w:p>
    <w:p w14:paraId="635A7A74">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a 缺陷责任期按66.1条，缺陷责任期内由承包人原因造成的缺陷，承包人应负责维修，并承担鉴定及维修费用；如承包人不维修也不承担费用，发包人可按合同约定扣除工程质量保修金，并由承包人承担违约责任；承包人维修并承担相应费用后，不免除承担对工程损失的赔偿责任。</w:t>
      </w:r>
    </w:p>
    <w:p w14:paraId="5A877CE6">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b 工程竣工验收合格且缺陷责任期后，在工程缺陷责任期内未出现违约情形，发包人应在收到承包人的款项申请手续且扣除应扣款项后三十天内将本合同结算定审金额的所有工程尾款无息支付给承包人。</w:t>
      </w:r>
    </w:p>
    <w:p w14:paraId="2B49C063">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J 结清工程尾款不豁免承包人继续按照本合同（含合同附件）约定应承担的保修责任。所有工程款项的支付均需承包人提出书面申请，发包人经办部门收到书面申请资料后3个工作日内给出审核意见，原则上审核通过后的30个工作日内完成付款手续，财政投资项目付款时间以财政部门批准时间为准。</w:t>
      </w:r>
    </w:p>
    <w:p w14:paraId="356E53B6">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K 承包人收款前需提供合法有效等额票据给发包人。</w:t>
      </w:r>
    </w:p>
    <w:p w14:paraId="357B2213">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single"/>
        </w:rPr>
        <w:t>L 总承包单位注册地不在广州市花都区的，需要提供总承包建筑商向建设单位开具发票的复印件和总承包建筑商在花都预缴税费的《增值税预缴税款表》复印件（需加盖有国税申报受理章）和花都税务机关开具的国税、地税税收完税证明复印件。</w:t>
      </w:r>
    </w:p>
    <w:p w14:paraId="156376F1">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②政府资金投资工程的支付期、支付办法：</w:t>
      </w:r>
      <w:r>
        <w:rPr>
          <w:rFonts w:hint="eastAsia" w:ascii="仿宋_GB2312" w:hAnsi="仿宋_GB2312" w:eastAsia="仿宋_GB2312" w:cs="仿宋_GB2312"/>
          <w:color w:val="auto"/>
          <w:sz w:val="24"/>
          <w:highlight w:val="none"/>
          <w:u w:val="single"/>
        </w:rPr>
        <w:t>上述所有的支付时间不包含政府部门审批时间，承包人已清楚明白本项目工程款的拨付程序，并理解因政府部门审核请款手续对时间等方面的影响与发包人无关，故非发包人原因造成的工程款支付拖延，不得向发包人要求计付拖延工程款期间的利息及因此导致的其他损失。承包人应委派专人负责跟进报酬支付呈批过程的相关事务。</w:t>
      </w:r>
    </w:p>
    <w:p w14:paraId="0F88A155">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(11)本期间应支付或扣留（回）的其他款项：</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14:paraId="3DC6B8CE">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BIM 技术应用</w:t>
      </w:r>
    </w:p>
    <w:p w14:paraId="7547843E">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①支付期限、比例</w:t>
      </w:r>
    </w:p>
    <w:p w14:paraId="0BD1E911">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以月为支付周期，支付比例为本月已完工作或工程款的</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14:paraId="21615DAF">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以季度为支付周期，支付比例为本季度已完工作或工程款的</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14:paraId="5CC3D216">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以形象进度为支付周期，支付比例为本形象进度内已完工作或工程款的</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%或另行约定，具体约定如下：</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14:paraId="7331866C">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其它方式：</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14:paraId="7F572715">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②政府资金投资工程的支付期、支付办法：</w:t>
      </w:r>
      <w:r>
        <w:rPr>
          <w:rFonts w:hint="eastAsia" w:ascii="仿宋_GB2312" w:hAnsi="仿宋_GB2312" w:eastAsia="仿宋_GB2312" w:cs="仿宋_GB2312"/>
          <w:color w:val="auto"/>
          <w:sz w:val="24"/>
          <w:highlight w:val="none"/>
          <w:u w:val="single"/>
        </w:rPr>
        <w:t xml:space="preserve">  </w:t>
      </w:r>
    </w:p>
    <w:p w14:paraId="366BF485">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(11)本期间应支付或扣留（回）的其他款项：</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14:paraId="4F08B1E4">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设备及工器具购置</w:t>
      </w:r>
    </w:p>
    <w:p w14:paraId="57723591">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①支付期限、比例</w:t>
      </w:r>
    </w:p>
    <w:p w14:paraId="1D78BDDB">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以月为支付周期，支付比例为本月已完工作或工程款的</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14:paraId="1C0F8E81">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以季度为支付周期，支付比例为本季度已完工作或工程款的</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14:paraId="33A96253">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以形象进度为支付周期，支付比例为本形象进度内已完工作或工程款的</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%或另行约定，具体约定如下：</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14:paraId="5CC3CF31">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其它方式：</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14:paraId="4B60BE4C">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②政府资金投资工程的支付期、支付办法：</w:t>
      </w:r>
      <w:r>
        <w:rPr>
          <w:rFonts w:hint="eastAsia" w:ascii="仿宋_GB2312" w:hAnsi="仿宋_GB2312" w:eastAsia="仿宋_GB2312" w:cs="仿宋_GB2312"/>
          <w:color w:val="auto"/>
          <w:sz w:val="24"/>
          <w:highlight w:val="none"/>
          <w:u w:val="single"/>
        </w:rPr>
        <w:t xml:space="preserve">  </w:t>
      </w:r>
    </w:p>
    <w:p w14:paraId="691CB445">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(11)本期间应支付或扣留（回）的其他款项：</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14:paraId="532CFF80">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其它</w:t>
      </w:r>
    </w:p>
    <w:p w14:paraId="765CB5AF">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①支付期限、比例</w:t>
      </w:r>
    </w:p>
    <w:p w14:paraId="2C4B673F">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以月为支付周期，支付比例为本月已完工作或工程款的</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14:paraId="68F22260">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以季度为支付周期，支付比例为本季度已完工作或工程款的</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14:paraId="24C19A3C">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以形象进度为支付周期，支付比例为本形象进度内已完工作或工程款的</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%或另行约定，具体约定如下：</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14:paraId="3BD0B362">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其它方式：</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14:paraId="07BFA1B3">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②政府资金投资工程的支付期、支付办法：</w:t>
      </w:r>
      <w:r>
        <w:rPr>
          <w:rFonts w:hint="eastAsia" w:ascii="仿宋_GB2312" w:hAnsi="仿宋_GB2312" w:eastAsia="仿宋_GB2312" w:cs="仿宋_GB2312"/>
          <w:color w:val="auto"/>
          <w:sz w:val="24"/>
          <w:highlight w:val="none"/>
          <w:u w:val="single"/>
        </w:rPr>
        <w:t xml:space="preserve">  </w:t>
      </w:r>
    </w:p>
    <w:p w14:paraId="6A3854C7">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(11)本期间应支付或扣留（回）的其他款项：</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14:paraId="103B775E">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86.2 期中支付的最低限额为：□勘察</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元；□设计</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元；□施工</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元；□BIM 技术应用</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元；□设备及工器具购置</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元；□其它</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元。</w:t>
      </w:r>
    </w:p>
    <w:p w14:paraId="17E84D62">
      <w:pPr>
        <w:ind w:left="210" w:leftChars="100"/>
        <w:rPr>
          <w:rFonts w:hint="eastAsia" w:ascii="仿宋_GB2312" w:hAnsi="仿宋_GB2312" w:eastAsia="仿宋_GB2312" w:cs="仿宋_GB2312"/>
          <w:color w:val="auto"/>
          <w:sz w:val="24"/>
          <w:highlight w:val="none"/>
        </w:rPr>
      </w:pPr>
    </w:p>
    <w:p w14:paraId="378D9BC1">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★87. 竣工结算</w:t>
      </w:r>
    </w:p>
    <w:p w14:paraId="5791BCD4">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87.1 约定结算程序和时限</w:t>
      </w:r>
    </w:p>
    <w:p w14:paraId="71265B44">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①竣工结算的程序和时限：</w:t>
      </w:r>
    </w:p>
    <w:p w14:paraId="74E9E487">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按通用条款的约定办理。</w:t>
      </w:r>
    </w:p>
    <w:p w14:paraId="0EC37396">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另作约定：</w:t>
      </w:r>
      <w:r>
        <w:rPr>
          <w:rFonts w:hint="eastAsia" w:ascii="仿宋_GB2312" w:hAnsi="仿宋_GB2312" w:eastAsia="仿宋_GB2312" w:cs="仿宋_GB2312"/>
          <w:color w:val="auto"/>
          <w:sz w:val="24"/>
          <w:highlight w:val="none"/>
          <w:u w:val="single"/>
        </w:rPr>
        <w:t>承包人应在竣工验收合格后九十天内向发包人递交竣工结算文件，并按财政结算评审程序办理</w:t>
      </w:r>
      <w:r>
        <w:rPr>
          <w:rFonts w:ascii="仿宋_GB2312" w:hAnsi="仿宋_GB2312" w:eastAsia="仿宋_GB2312" w:cs="仿宋_GB2312"/>
          <w:color w:val="auto"/>
          <w:sz w:val="24"/>
          <w:highlight w:val="none"/>
        </w:rPr>
        <w:t>。</w:t>
      </w:r>
    </w:p>
    <w:p w14:paraId="2CC69F61">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②过程结算约定</w:t>
      </w:r>
    </w:p>
    <w:p w14:paraId="0166E6FD">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□（a）工程勘察费结算的程序：</w:t>
      </w:r>
      <w:r>
        <w:rPr>
          <w:rFonts w:hint="eastAsia" w:ascii="仿宋_GB2312" w:hAnsi="仿宋_GB2312" w:eastAsia="仿宋_GB2312" w:cs="仿宋_GB2312"/>
          <w:color w:val="auto"/>
          <w:sz w:val="24"/>
          <w:highlight w:val="none"/>
          <w:u w:val="single"/>
        </w:rPr>
        <w:t xml:space="preserve"> / </w:t>
      </w:r>
    </w:p>
    <w:p w14:paraId="0DA56619">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过程结算支付时限与支付比例：</w:t>
      </w:r>
      <w:r>
        <w:rPr>
          <w:rFonts w:hint="eastAsia" w:ascii="仿宋_GB2312" w:hAnsi="仿宋_GB2312" w:eastAsia="仿宋_GB2312" w:cs="仿宋_GB2312"/>
          <w:color w:val="auto"/>
          <w:sz w:val="24"/>
          <w:highlight w:val="none"/>
          <w:u w:val="single"/>
        </w:rPr>
        <w:t xml:space="preserve"> / </w:t>
      </w:r>
    </w:p>
    <w:p w14:paraId="603D6543">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采用过程结算方法时结算价款的编制与核对：</w:t>
      </w:r>
      <w:r>
        <w:rPr>
          <w:rFonts w:hint="eastAsia" w:ascii="仿宋_GB2312" w:hAnsi="仿宋_GB2312" w:eastAsia="仿宋_GB2312" w:cs="仿宋_GB2312"/>
          <w:color w:val="auto"/>
          <w:sz w:val="24"/>
          <w:highlight w:val="none"/>
          <w:u w:val="single"/>
        </w:rPr>
        <w:t xml:space="preserve"> / </w:t>
      </w:r>
    </w:p>
    <w:p w14:paraId="556EF0DA">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（b）工程设计费结算的程序：</w:t>
      </w:r>
      <w:r>
        <w:rPr>
          <w:rFonts w:hint="eastAsia" w:ascii="仿宋_GB2312" w:hAnsi="仿宋_GB2312" w:eastAsia="仿宋_GB2312" w:cs="仿宋_GB2312"/>
          <w:color w:val="auto"/>
          <w:sz w:val="24"/>
          <w:highlight w:val="none"/>
          <w:u w:val="single"/>
        </w:rPr>
        <w:t xml:space="preserve"> / </w:t>
      </w:r>
    </w:p>
    <w:p w14:paraId="6D7B82FB">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过程结算支付时限：</w:t>
      </w:r>
      <w:r>
        <w:rPr>
          <w:rFonts w:hint="eastAsia" w:ascii="仿宋_GB2312" w:hAnsi="仿宋_GB2312" w:eastAsia="仿宋_GB2312" w:cs="仿宋_GB2312"/>
          <w:color w:val="auto"/>
          <w:sz w:val="24"/>
          <w:highlight w:val="none"/>
          <w:u w:val="single"/>
        </w:rPr>
        <w:t xml:space="preserve"> / </w:t>
      </w:r>
    </w:p>
    <w:p w14:paraId="658D8A8E">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采用过程结算方法时结算价款的编制与核对：</w:t>
      </w:r>
      <w:r>
        <w:rPr>
          <w:rFonts w:hint="eastAsia" w:ascii="仿宋_GB2312" w:hAnsi="仿宋_GB2312" w:eastAsia="仿宋_GB2312" w:cs="仿宋_GB2312"/>
          <w:color w:val="auto"/>
          <w:sz w:val="24"/>
          <w:highlight w:val="none"/>
          <w:u w:val="single"/>
        </w:rPr>
        <w:t xml:space="preserve"> / </w:t>
      </w:r>
    </w:p>
    <w:p w14:paraId="6FD78670">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□（c）BIM 技术应用费结算的程序：</w:t>
      </w:r>
      <w:r>
        <w:rPr>
          <w:rFonts w:hint="eastAsia" w:ascii="仿宋_GB2312" w:hAnsi="仿宋_GB2312" w:eastAsia="仿宋_GB2312" w:cs="仿宋_GB2312"/>
          <w:color w:val="auto"/>
          <w:sz w:val="24"/>
          <w:highlight w:val="none"/>
          <w:u w:val="single"/>
        </w:rPr>
        <w:t xml:space="preserve">  /</w:t>
      </w:r>
    </w:p>
    <w:p w14:paraId="58BB2651">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过程结算支付时限：</w:t>
      </w:r>
      <w:r>
        <w:rPr>
          <w:rFonts w:hint="eastAsia" w:ascii="仿宋_GB2312" w:hAnsi="仿宋_GB2312" w:eastAsia="仿宋_GB2312" w:cs="仿宋_GB2312"/>
          <w:color w:val="auto"/>
          <w:sz w:val="24"/>
          <w:highlight w:val="none"/>
          <w:u w:val="single"/>
        </w:rPr>
        <w:t xml:space="preserve"> / </w:t>
      </w:r>
    </w:p>
    <w:p w14:paraId="31233194">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采用过程结算方法时结算价款的编制与核对：</w:t>
      </w:r>
      <w:r>
        <w:rPr>
          <w:rFonts w:hint="eastAsia" w:ascii="仿宋_GB2312" w:hAnsi="仿宋_GB2312" w:eastAsia="仿宋_GB2312" w:cs="仿宋_GB2312"/>
          <w:color w:val="auto"/>
          <w:sz w:val="24"/>
          <w:highlight w:val="none"/>
          <w:u w:val="single"/>
        </w:rPr>
        <w:t xml:space="preserve"> / </w:t>
      </w:r>
    </w:p>
    <w:p w14:paraId="62FCA723">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□（d）设备及工器具购置费结算的程序：</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p>
    <w:p w14:paraId="6B09EBAC">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过程结算支付时限：</w:t>
      </w:r>
      <w:r>
        <w:rPr>
          <w:rFonts w:hint="eastAsia" w:ascii="仿宋_GB2312" w:hAnsi="仿宋_GB2312" w:eastAsia="仿宋_GB2312" w:cs="仿宋_GB2312"/>
          <w:color w:val="auto"/>
          <w:sz w:val="24"/>
          <w:highlight w:val="none"/>
          <w:u w:val="single"/>
        </w:rPr>
        <w:t xml:space="preserve">  /</w:t>
      </w:r>
    </w:p>
    <w:p w14:paraId="567F7801">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采用过程结算方法时结算价款的编制与核对：</w:t>
      </w:r>
      <w:r>
        <w:rPr>
          <w:rFonts w:hint="eastAsia" w:ascii="仿宋_GB2312" w:hAnsi="仿宋_GB2312" w:eastAsia="仿宋_GB2312" w:cs="仿宋_GB2312"/>
          <w:color w:val="auto"/>
          <w:sz w:val="24"/>
          <w:highlight w:val="none"/>
          <w:u w:val="single"/>
        </w:rPr>
        <w:t xml:space="preserve">  /</w:t>
      </w:r>
    </w:p>
    <w:p w14:paraId="69A6C49A">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□（e）建筑安装工程费结算的程序：</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p>
    <w:p w14:paraId="3CD32A11">
      <w:pPr>
        <w:ind w:left="210" w:leftChars="100" w:firstLine="720" w:firstLineChars="3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一、施工过程结算的程序：</w:t>
      </w:r>
      <w:r>
        <w:rPr>
          <w:rFonts w:hint="eastAsia" w:ascii="仿宋_GB2312" w:hAnsi="仿宋_GB2312" w:eastAsia="仿宋_GB2312" w:cs="仿宋_GB2312"/>
          <w:color w:val="auto"/>
          <w:sz w:val="24"/>
          <w:highlight w:val="none"/>
          <w:u w:val="single"/>
        </w:rPr>
        <w:t xml:space="preserve">  /</w:t>
      </w:r>
    </w:p>
    <w:p w14:paraId="5BA606CA">
      <w:pPr>
        <w:ind w:left="210" w:leftChars="100" w:firstLine="720" w:firstLineChars="3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二、施工过程结算节点的约定：</w:t>
      </w:r>
      <w:r>
        <w:rPr>
          <w:rFonts w:hint="eastAsia" w:ascii="仿宋_GB2312" w:hAnsi="仿宋_GB2312" w:eastAsia="仿宋_GB2312" w:cs="仿宋_GB2312"/>
          <w:color w:val="auto"/>
          <w:sz w:val="24"/>
          <w:highlight w:val="none"/>
        </w:rPr>
        <w:t>/</w:t>
      </w:r>
    </w:p>
    <w:p w14:paraId="64A99C08">
      <w:pPr>
        <w:ind w:left="1260" w:leftChars="6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工程分标段施工的，以标段完成作为施工过程结算节点：</w:t>
      </w:r>
      <w:r>
        <w:rPr>
          <w:rFonts w:hint="eastAsia" w:ascii="仿宋_GB2312" w:hAnsi="仿宋_GB2312" w:eastAsia="仿宋_GB2312" w:cs="仿宋_GB2312"/>
          <w:color w:val="auto"/>
          <w:sz w:val="24"/>
          <w:highlight w:val="none"/>
          <w:u w:val="single"/>
        </w:rPr>
        <w:t xml:space="preserve"> / </w:t>
      </w:r>
    </w:p>
    <w:p w14:paraId="3FC5BA30">
      <w:pPr>
        <w:ind w:left="1260" w:leftChars="6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□合同工程包括有多个单项工程、单位工程，以单项工程、单位工程竣工作为施工过程结算节点，具体节点为：</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14:paraId="1E8DF420">
      <w:pPr>
        <w:ind w:left="1260" w:leftChars="6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□规模较大且计划工期超过一年的单项工程，以年度内完成的形象进度节点或时间（季、年等）作为施工过程结算节点，具体节点为：</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14:paraId="63459C14">
      <w:pPr>
        <w:ind w:left="1260" w:leftChars="6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□以完成合同约定的专业工程或附属工程作为施工过程结算节点，具体节点为：</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14:paraId="2DECACE1">
      <w:pPr>
        <w:ind w:left="1260" w:leftChars="6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□其它：</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14:paraId="4E935F19">
      <w:pPr>
        <w:ind w:left="210" w:leftChars="100" w:firstLine="720" w:firstLineChars="3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三、施工过程结算价款的编制与核对：</w:t>
      </w:r>
      <w:r>
        <w:rPr>
          <w:rFonts w:hint="eastAsia" w:ascii="仿宋_GB2312" w:hAnsi="仿宋_GB2312" w:eastAsia="仿宋_GB2312" w:cs="仿宋_GB2312"/>
          <w:color w:val="auto"/>
          <w:sz w:val="24"/>
          <w:highlight w:val="none"/>
          <w:u w:val="single"/>
        </w:rPr>
        <w:t xml:space="preserve"> / </w:t>
      </w:r>
    </w:p>
    <w:p w14:paraId="4B85D99F">
      <w:pPr>
        <w:ind w:left="210" w:leftChars="100" w:firstLine="720" w:firstLineChars="3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四、采用施工过程结算方法时竣工结算价款的编制与核对：</w:t>
      </w:r>
      <w:r>
        <w:rPr>
          <w:rFonts w:hint="eastAsia" w:ascii="仿宋_GB2312" w:hAnsi="仿宋_GB2312" w:eastAsia="仿宋_GB2312" w:cs="仿宋_GB2312"/>
          <w:color w:val="auto"/>
          <w:sz w:val="24"/>
          <w:highlight w:val="none"/>
          <w:u w:val="single"/>
        </w:rPr>
        <w:t xml:space="preserve"> / </w:t>
      </w:r>
    </w:p>
    <w:p w14:paraId="695E6D0A">
      <w:pPr>
        <w:ind w:left="210" w:leftChars="100" w:firstLine="720" w:firstLineChars="3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五、施工过程结算支付时限：</w:t>
      </w:r>
      <w:r>
        <w:rPr>
          <w:rFonts w:hint="eastAsia" w:ascii="仿宋_GB2312" w:hAnsi="仿宋_GB2312" w:eastAsia="仿宋_GB2312" w:cs="仿宋_GB2312"/>
          <w:color w:val="auto"/>
          <w:sz w:val="24"/>
          <w:highlight w:val="none"/>
          <w:u w:val="single"/>
        </w:rPr>
        <w:t xml:space="preserve"> / </w:t>
      </w:r>
    </w:p>
    <w:p w14:paraId="778EF694">
      <w:pPr>
        <w:ind w:left="210" w:leftChars="100" w:firstLine="720" w:firstLineChars="3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六、施工过程结算的其他约定：</w:t>
      </w:r>
      <w:r>
        <w:rPr>
          <w:rFonts w:hint="eastAsia" w:ascii="仿宋_GB2312" w:hAnsi="仿宋_GB2312" w:eastAsia="仿宋_GB2312" w:cs="仿宋_GB2312"/>
          <w:color w:val="auto"/>
          <w:sz w:val="24"/>
          <w:highlight w:val="none"/>
          <w:u w:val="single"/>
        </w:rPr>
        <w:t xml:space="preserve"> / </w:t>
      </w:r>
      <w:r>
        <w:rPr>
          <w:rFonts w:ascii="仿宋_GB2312" w:hAnsi="仿宋_GB2312" w:eastAsia="仿宋_GB2312" w:cs="仿宋_GB2312"/>
          <w:color w:val="auto"/>
          <w:sz w:val="24"/>
          <w:highlight w:val="none"/>
        </w:rPr>
        <w:t>。</w:t>
      </w:r>
    </w:p>
    <w:p w14:paraId="2E073D99">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□（f）其它项目结算的程序：</w:t>
      </w:r>
    </w:p>
    <w:p w14:paraId="1199BCEE">
      <w:pPr>
        <w:ind w:left="210" w:leftChars="100" w:firstLine="720" w:firstLineChars="3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过程结算支付时限：</w:t>
      </w:r>
      <w:r>
        <w:rPr>
          <w:rFonts w:hint="eastAsia" w:ascii="仿宋_GB2312" w:hAnsi="仿宋_GB2312" w:eastAsia="仿宋_GB2312" w:cs="仿宋_GB2312"/>
          <w:color w:val="auto"/>
          <w:sz w:val="24"/>
          <w:highlight w:val="none"/>
          <w:u w:val="single"/>
        </w:rPr>
        <w:t xml:space="preserve"> / </w:t>
      </w:r>
    </w:p>
    <w:p w14:paraId="1F63EE15">
      <w:pPr>
        <w:ind w:left="210" w:leftChars="100" w:firstLine="720" w:firstLineChars="3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采用过程结算方法时结算价款的编制与核对：</w:t>
      </w:r>
      <w:r>
        <w:rPr>
          <w:rFonts w:hint="eastAsia" w:ascii="仿宋_GB2312" w:hAnsi="仿宋_GB2312" w:eastAsia="仿宋_GB2312" w:cs="仿宋_GB2312"/>
          <w:color w:val="auto"/>
          <w:sz w:val="24"/>
          <w:highlight w:val="none"/>
          <w:u w:val="single"/>
        </w:rPr>
        <w:t xml:space="preserve"> / </w:t>
      </w:r>
    </w:p>
    <w:p w14:paraId="09E2E663">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87.2 递交结算文件及其限制</w:t>
      </w:r>
    </w:p>
    <w:p w14:paraId="40C3775F">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①竣工结算文件清单：</w:t>
      </w:r>
    </w:p>
    <w:p w14:paraId="5EEBE307">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勘察服务费结算书</w:t>
      </w:r>
    </w:p>
    <w:p w14:paraId="344AC2F5">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设计服务费结算书</w:t>
      </w:r>
    </w:p>
    <w:p w14:paraId="633DFEEF">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设备及工器具购置费结算书（如果有）</w:t>
      </w:r>
    </w:p>
    <w:p w14:paraId="3788B166">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建筑安装工程费结算书</w:t>
      </w:r>
    </w:p>
    <w:p w14:paraId="16851CE5">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□其他：</w:t>
      </w:r>
    </w:p>
    <w:p w14:paraId="2F1CB0F0">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②竣工结算需要提供的其它资料</w:t>
      </w:r>
    </w:p>
    <w:p w14:paraId="1B371B4F">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（1）工程量计算书</w:t>
      </w:r>
    </w:p>
    <w:p w14:paraId="571B172D">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（2）钢筋抽料表（如果有）</w:t>
      </w:r>
    </w:p>
    <w:p w14:paraId="1FFB727A">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（3）本合同</w:t>
      </w:r>
    </w:p>
    <w:p w14:paraId="79CB4AB3">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（4）工程竣工图</w:t>
      </w:r>
    </w:p>
    <w:p w14:paraId="5C6FEC50">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（5）工作成果验收确认或工程竣工验收资料</w:t>
      </w:r>
    </w:p>
    <w:p w14:paraId="257BA2FF">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（6）图纸会审记录</w:t>
      </w:r>
    </w:p>
    <w:p w14:paraId="7E04A3B8">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（7）设计变更单</w:t>
      </w:r>
    </w:p>
    <w:p w14:paraId="2DDBBD02">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（8）工程洽商记录</w:t>
      </w:r>
    </w:p>
    <w:p w14:paraId="0A756897">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（9）监理人通知或发包人工作指令、开工令</w:t>
      </w:r>
    </w:p>
    <w:p w14:paraId="483A8281">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（10）会议纪要</w:t>
      </w:r>
    </w:p>
    <w:p w14:paraId="07B9ADFB">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（11）现场签证单</w:t>
      </w:r>
    </w:p>
    <w:p w14:paraId="3C596874">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（12）工程材料、工程设备单价呈批审核单</w:t>
      </w:r>
    </w:p>
    <w:p w14:paraId="5C328639">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（13）综合单价呈批审核单</w:t>
      </w:r>
    </w:p>
    <w:p w14:paraId="17368549">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（14）招标文件、答疑纪要</w:t>
      </w:r>
    </w:p>
    <w:p w14:paraId="1A967E3D">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（15）投标文件（含经济标软件版）、中标通知书</w:t>
      </w:r>
    </w:p>
    <w:p w14:paraId="60AD1DCB">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（16）发包人供应工程材料收货验收签收单</w:t>
      </w:r>
    </w:p>
    <w:p w14:paraId="53D08D36">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（17）工期履行审核表</w:t>
      </w:r>
    </w:p>
    <w:p w14:paraId="469D412E">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（18）移交资料签收表</w:t>
      </w:r>
    </w:p>
    <w:p w14:paraId="1E9107C3">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（19）其他有关资料：</w:t>
      </w:r>
      <w:r>
        <w:rPr>
          <w:rFonts w:hint="eastAsia" w:ascii="仿宋_GB2312" w:hAnsi="仿宋_GB2312" w:eastAsia="仿宋_GB2312" w:cs="仿宋_GB2312"/>
          <w:color w:val="auto"/>
          <w:sz w:val="24"/>
          <w:highlight w:val="none"/>
          <w:u w:val="single"/>
        </w:rPr>
        <w:t xml:space="preserve"> 按财政结算评审部门要求 </w:t>
      </w:r>
    </w:p>
    <w:p w14:paraId="3682D645">
      <w:pPr>
        <w:ind w:left="210" w:leftChars="100"/>
        <w:rPr>
          <w:rFonts w:hint="eastAsia" w:ascii="仿宋_GB2312" w:hAnsi="仿宋_GB2312" w:eastAsia="仿宋_GB2312" w:cs="仿宋_GB2312"/>
          <w:color w:val="auto"/>
          <w:sz w:val="24"/>
          <w:highlight w:val="none"/>
          <w:u w:val="single"/>
        </w:rPr>
      </w:pPr>
    </w:p>
    <w:p w14:paraId="3012620A">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★88. 结算款</w:t>
      </w:r>
    </w:p>
    <w:p w14:paraId="40099559">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88.1 提交竣工支付申请</w:t>
      </w:r>
    </w:p>
    <w:p w14:paraId="31741E93">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①竣工支付时限</w:t>
      </w:r>
    </w:p>
    <w:p w14:paraId="58D4059E">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按通用条款的约定，在造价咨询人签发竣工结算支付证书后的 28 天内。</w:t>
      </w:r>
    </w:p>
    <w:p w14:paraId="0878CD97">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另有约定：</w:t>
      </w:r>
      <w:r>
        <w:rPr>
          <w:rFonts w:hint="eastAsia" w:ascii="仿宋_GB2312" w:hAnsi="仿宋_GB2312" w:eastAsia="仿宋_GB2312" w:cs="仿宋_GB2312"/>
          <w:color w:val="auto"/>
          <w:sz w:val="24"/>
          <w:highlight w:val="none"/>
          <w:u w:val="single"/>
        </w:rPr>
        <w:t>承包人应在竣工验收合格后九十天内向发包人递交竣工结算文件，发包人在按财政结算评审程序办理完结算后30个工作日内完成付款手续，具体付款时间以财政部门批准时间为准</w:t>
      </w:r>
      <w:r>
        <w:rPr>
          <w:rFonts w:ascii="仿宋_GB2312" w:hAnsi="仿宋_GB2312" w:eastAsia="仿宋_GB2312" w:cs="仿宋_GB2312"/>
          <w:color w:val="auto"/>
          <w:sz w:val="24"/>
          <w:highlight w:val="none"/>
        </w:rPr>
        <w:t>。</w:t>
      </w:r>
    </w:p>
    <w:p w14:paraId="34406FA5">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②政府资金投资工程的支付期、支付办法</w:t>
      </w:r>
    </w:p>
    <w:p w14:paraId="71A70814">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按通用条款的约定。</w:t>
      </w:r>
    </w:p>
    <w:p w14:paraId="15781033">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另有约定：</w:t>
      </w:r>
      <w:r>
        <w:rPr>
          <w:rFonts w:hint="eastAsia" w:ascii="仿宋" w:hAnsi="仿宋" w:eastAsia="仿宋" w:cs="仿宋"/>
          <w:color w:val="auto"/>
          <w:kern w:val="0"/>
          <w:sz w:val="24"/>
          <w:highlight w:val="none"/>
          <w:u w:val="single"/>
        </w:rPr>
        <w:t>/</w:t>
      </w:r>
      <w:r>
        <w:rPr>
          <w:rFonts w:ascii="仿宋_GB2312" w:hAnsi="仿宋_GB2312" w:eastAsia="仿宋_GB2312" w:cs="仿宋_GB2312"/>
          <w:color w:val="auto"/>
          <w:sz w:val="24"/>
          <w:highlight w:val="none"/>
        </w:rPr>
        <w:t>。</w:t>
      </w:r>
    </w:p>
    <w:p w14:paraId="5D39A131">
      <w:pPr>
        <w:ind w:left="210" w:leftChars="100"/>
        <w:rPr>
          <w:rFonts w:hint="eastAsia"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③实施过程结算的，其竣工结算支付方法：</w:t>
      </w:r>
      <w:r>
        <w:rPr>
          <w:rFonts w:hint="eastAsia" w:ascii="仿宋_GB2312" w:hAnsi="仿宋_GB2312" w:eastAsia="仿宋_GB2312" w:cs="仿宋_GB2312"/>
          <w:color w:val="auto"/>
          <w:sz w:val="24"/>
          <w:highlight w:val="none"/>
          <w:u w:val="single"/>
        </w:rPr>
        <w:t xml:space="preserve"> / </w:t>
      </w:r>
    </w:p>
    <w:p w14:paraId="61329903">
      <w:pPr>
        <w:ind w:left="210" w:leftChars="100"/>
        <w:rPr>
          <w:rFonts w:hint="eastAsia" w:ascii="仿宋_GB2312" w:hAnsi="仿宋_GB2312" w:eastAsia="仿宋_GB2312" w:cs="仿宋_GB2312"/>
          <w:color w:val="auto"/>
          <w:sz w:val="24"/>
          <w:highlight w:val="none"/>
          <w:u w:val="single"/>
        </w:rPr>
      </w:pPr>
    </w:p>
    <w:p w14:paraId="39C83F01">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★89. 质量保证金</w:t>
      </w:r>
    </w:p>
    <w:p w14:paraId="708039D6">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89.2 质量保证金的约定与扣留</w:t>
      </w:r>
    </w:p>
    <w:p w14:paraId="73BD1358">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89.2.1 质量保证金预留方式</w:t>
      </w:r>
    </w:p>
    <w:p w14:paraId="3337B250">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□由承包人提交质量保证金银行保函；</w:t>
      </w:r>
    </w:p>
    <w:p w14:paraId="282D2761">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□由承包人提交质量保证金担保公司担保；</w:t>
      </w:r>
    </w:p>
    <w:p w14:paraId="0C509D14">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□由承包人提交质量保证金保证保险；</w:t>
      </w:r>
    </w:p>
    <w:p w14:paraId="6641C065">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□由发包人在支付工程进度款或结算款时逐次扣留，直到扣留的质量保证金总额达到专用条款约定的的金额为止；</w:t>
      </w:r>
    </w:p>
    <w:p w14:paraId="500677F1">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由发包人选择在工程竣工结算时一次性扣留相应比例的工程款；</w:t>
      </w:r>
    </w:p>
    <w:p w14:paraId="20BBB950">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□双方约定的其他方式：</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14:paraId="0055A01E">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89.2.2 质量保证金金额的约定：</w:t>
      </w:r>
    </w:p>
    <w:p w14:paraId="491AD382">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□按通用条款约定为合同价格中建筑安装工程费、设备及工器具购置费（如果有）部分结算总额的3%，即</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元。</w:t>
      </w:r>
    </w:p>
    <w:p w14:paraId="0C525690">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另有约定：</w:t>
      </w:r>
      <w:r>
        <w:rPr>
          <w:rFonts w:ascii="仿宋_GB2312" w:hAnsi="仿宋_GB2312" w:eastAsia="仿宋_GB2312" w:cs="仿宋_GB2312"/>
          <w:color w:val="auto"/>
          <w:sz w:val="24"/>
          <w:highlight w:val="none"/>
          <w:u w:val="single"/>
        </w:rPr>
        <w:t>质量保证金按结算价款的3%</w:t>
      </w:r>
    </w:p>
    <w:p w14:paraId="6E82FD0B">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89.3 质量保证金的约返还</w:t>
      </w:r>
    </w:p>
    <w:p w14:paraId="2F752312">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逾期返还质量保证金的计息标准：</w:t>
      </w:r>
    </w:p>
    <w:p w14:paraId="6D1C230F">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中国人民银行公布的同期贷款利率；</w:t>
      </w:r>
    </w:p>
    <w:p w14:paraId="50B98197">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全国银行间同业拆借中心公布的贷款市场报价利率（LPR）；</w:t>
      </w:r>
    </w:p>
    <w:p w14:paraId="0460AD98">
      <w:pPr>
        <w:ind w:left="210" w:leftChars="100"/>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另有约定：</w:t>
      </w:r>
      <w:r>
        <w:rPr>
          <w:rFonts w:hint="eastAsia" w:ascii="仿宋_GB2312" w:hAnsi="仿宋_GB2312" w:eastAsia="仿宋_GB2312" w:cs="仿宋_GB2312"/>
          <w:color w:val="auto"/>
          <w:sz w:val="24"/>
          <w:highlight w:val="none"/>
          <w:u w:val="single"/>
        </w:rPr>
        <w:t>质保</w:t>
      </w:r>
      <w:r>
        <w:rPr>
          <w:rFonts w:ascii="仿宋_GB2312" w:hAnsi="仿宋_GB2312" w:eastAsia="仿宋_GB2312" w:cs="仿宋_GB2312"/>
          <w:color w:val="auto"/>
          <w:sz w:val="24"/>
          <w:highlight w:val="none"/>
          <w:u w:val="single"/>
        </w:rPr>
        <w:t>期满后无息退还。</w:t>
      </w:r>
    </w:p>
    <w:p w14:paraId="65FDC20B">
      <w:pPr>
        <w:ind w:left="210" w:leftChars="100"/>
        <w:rPr>
          <w:rFonts w:hint="eastAsia" w:ascii="仿宋_GB2312" w:hAnsi="仿宋_GB2312" w:eastAsia="仿宋_GB2312" w:cs="仿宋_GB2312"/>
          <w:color w:val="auto"/>
          <w:sz w:val="24"/>
          <w:highlight w:val="none"/>
          <w:u w:val="single"/>
        </w:rPr>
      </w:pPr>
    </w:p>
    <w:p w14:paraId="4E9CD3D3">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90. 最终清算款</w:t>
      </w:r>
    </w:p>
    <w:p w14:paraId="0D9D6578">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90.1 提交最终清算支付申请</w:t>
      </w:r>
    </w:p>
    <w:p w14:paraId="274E75BC">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1、最终清算支付申请</w:t>
      </w:r>
    </w:p>
    <w:p w14:paraId="171BC64C">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提交份数：</w:t>
      </w:r>
      <w:r>
        <w:rPr>
          <w:rFonts w:ascii="仿宋_GB2312" w:hAnsi="仿宋_GB2312" w:eastAsia="仿宋_GB2312" w:cs="仿宋_GB2312"/>
          <w:color w:val="auto"/>
          <w:sz w:val="24"/>
          <w:highlight w:val="none"/>
          <w:u w:val="single"/>
        </w:rPr>
        <w:t>两份</w:t>
      </w:r>
      <w:r>
        <w:rPr>
          <w:rFonts w:hint="eastAsia" w:ascii="仿宋_GB2312" w:hAnsi="仿宋_GB2312" w:eastAsia="仿宋_GB2312" w:cs="仿宋_GB2312"/>
          <w:color w:val="auto"/>
          <w:sz w:val="24"/>
          <w:highlight w:val="none"/>
          <w:u w:val="single"/>
        </w:rPr>
        <w:t>。</w:t>
      </w:r>
    </w:p>
    <w:p w14:paraId="2BA9E0F0">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提交期限：</w:t>
      </w:r>
      <w:r>
        <w:rPr>
          <w:rFonts w:ascii="仿宋_GB2312" w:hAnsi="仿宋_GB2312" w:eastAsia="仿宋_GB2312" w:cs="仿宋_GB2312"/>
          <w:color w:val="auto"/>
          <w:sz w:val="24"/>
          <w:highlight w:val="none"/>
          <w:u w:val="single"/>
        </w:rPr>
        <w:t>缺陷责任期满后一个月内。</w:t>
      </w:r>
    </w:p>
    <w:p w14:paraId="5A0570E8">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2、最终清算支付时限</w:t>
      </w:r>
    </w:p>
    <w:p w14:paraId="3E24F32C">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按通用条款的约定，在造价咨询人签发最终清算支付证书后的14天内。</w:t>
      </w:r>
    </w:p>
    <w:p w14:paraId="1C71F0EE">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另有约定：</w:t>
      </w:r>
      <w:r>
        <w:rPr>
          <w:rFonts w:hint="eastAsia" w:ascii="仿宋" w:hAnsi="Times New Roman" w:eastAsia="仿宋" w:cs="仿宋"/>
          <w:color w:val="auto"/>
          <w:kern w:val="0"/>
          <w:sz w:val="24"/>
          <w:highlight w:val="none"/>
          <w:u w:val="single"/>
        </w:rPr>
        <w:t>详见专用条款</w:t>
      </w:r>
      <w:r>
        <w:rPr>
          <w:rFonts w:ascii="仿宋" w:hAnsi="Times New Roman" w:eastAsia="仿宋" w:cs="仿宋"/>
          <w:color w:val="auto"/>
          <w:kern w:val="0"/>
          <w:sz w:val="24"/>
          <w:highlight w:val="none"/>
          <w:u w:val="single"/>
        </w:rPr>
        <w:t>86.1</w:t>
      </w:r>
      <w:r>
        <w:rPr>
          <w:rFonts w:hint="eastAsia" w:ascii="仿宋" w:hAnsi="Times New Roman" w:eastAsia="仿宋" w:cs="仿宋"/>
          <w:color w:val="auto"/>
          <w:kern w:val="0"/>
          <w:sz w:val="24"/>
          <w:highlight w:val="none"/>
          <w:u w:val="single"/>
        </w:rPr>
        <w:t>条款</w:t>
      </w:r>
      <w:r>
        <w:rPr>
          <w:rFonts w:hint="eastAsia" w:ascii="仿宋_GB2312" w:hAnsi="仿宋_GB2312" w:eastAsia="仿宋_GB2312" w:cs="仿宋_GB2312"/>
          <w:color w:val="auto"/>
          <w:sz w:val="24"/>
          <w:highlight w:val="none"/>
          <w:u w:val="single"/>
        </w:rPr>
        <w:t>。</w:t>
      </w:r>
    </w:p>
    <w:p w14:paraId="7D61730A">
      <w:pPr>
        <w:ind w:left="210" w:leftChars="100"/>
        <w:rPr>
          <w:rFonts w:hint="eastAsia" w:ascii="仿宋_GB2312" w:hAnsi="仿宋_GB2312" w:eastAsia="仿宋_GB2312" w:cs="仿宋_GB2312"/>
          <w:color w:val="auto"/>
          <w:sz w:val="24"/>
          <w:highlight w:val="none"/>
        </w:rPr>
      </w:pPr>
    </w:p>
    <w:p w14:paraId="641FF0A7">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91. 合同争议</w:t>
      </w:r>
    </w:p>
    <w:p w14:paraId="5CA7F4ED">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91.4 调解或认定</w:t>
      </w:r>
    </w:p>
    <w:p w14:paraId="4FAE991F">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争议调解或认定机构：</w:t>
      </w:r>
    </w:p>
    <w:p w14:paraId="2EE86494">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按通用条款的约定。</w:t>
      </w:r>
    </w:p>
    <w:p w14:paraId="0C719762">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另有约定：</w:t>
      </w:r>
    </w:p>
    <w:p w14:paraId="0532DA92">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91.6 仲裁或诉讼</w:t>
      </w:r>
    </w:p>
    <w:p w14:paraId="741BDD68">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解决争议的方式：</w:t>
      </w:r>
    </w:p>
    <w:p w14:paraId="008BCE33">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向约定的仲裁委员会申请仲裁，约定的仲裁委员会为：</w:t>
      </w:r>
    </w:p>
    <w:p w14:paraId="616606E4">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向有管辖权的人民法院提起诉讼。</w:t>
      </w:r>
    </w:p>
    <w:p w14:paraId="0FB7A8CA">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向</w:t>
      </w:r>
      <w:r>
        <w:rPr>
          <w:rFonts w:hint="eastAsia" w:ascii="仿宋_GB2312" w:hAnsi="仿宋_GB2312" w:eastAsia="仿宋_GB2312" w:cs="仿宋_GB2312"/>
          <w:color w:val="auto"/>
          <w:sz w:val="24"/>
          <w:highlight w:val="none"/>
        </w:rPr>
        <w:t>工程所在地的</w:t>
      </w:r>
      <w:r>
        <w:rPr>
          <w:rFonts w:ascii="仿宋_GB2312" w:hAnsi="仿宋_GB2312" w:eastAsia="仿宋_GB2312" w:cs="仿宋_GB2312"/>
          <w:color w:val="auto"/>
          <w:sz w:val="24"/>
          <w:highlight w:val="none"/>
        </w:rPr>
        <w:t>广州市花都区人民法院提起诉讼。</w:t>
      </w:r>
    </w:p>
    <w:p w14:paraId="51E2ECA2">
      <w:pPr>
        <w:ind w:left="210" w:leftChars="100"/>
        <w:rPr>
          <w:rFonts w:hint="eastAsia" w:ascii="仿宋_GB2312" w:hAnsi="仿宋_GB2312" w:eastAsia="仿宋_GB2312" w:cs="仿宋_GB2312"/>
          <w:color w:val="auto"/>
          <w:sz w:val="24"/>
          <w:highlight w:val="none"/>
        </w:rPr>
      </w:pPr>
    </w:p>
    <w:p w14:paraId="00049C4F">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92. 合同解除</w:t>
      </w:r>
    </w:p>
    <w:p w14:paraId="48548082">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92.3 因承包人的原因解除</w:t>
      </w:r>
    </w:p>
    <w:p w14:paraId="66651541">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承包人有下列情形之一者，发包人可以解除合同：</w:t>
      </w:r>
    </w:p>
    <w:p w14:paraId="6D9871F8">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（4）承包人拖延完工且能偿付的误期赔偿费最高限额为</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合同总价的5% </w:t>
      </w:r>
      <w:r>
        <w:rPr>
          <w:rFonts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14:paraId="6D346B45">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（13）承包人严重违反合同的其他违约行为：</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14:paraId="21D871CB">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92.4 发包人有下列情形之一者，承包人可以解除合同：</w:t>
      </w:r>
    </w:p>
    <w:p w14:paraId="1BEC9C3F">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（9）发包人严重违反合同的其他违约行为：</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ascii="仿宋_GB2312" w:hAnsi="仿宋_GB2312" w:eastAsia="仿宋_GB2312" w:cs="仿宋_GB2312"/>
          <w:color w:val="auto"/>
          <w:sz w:val="24"/>
          <w:highlight w:val="none"/>
        </w:rPr>
        <w:t>。</w:t>
      </w:r>
    </w:p>
    <w:p w14:paraId="5E5A927A">
      <w:pPr>
        <w:ind w:left="210" w:leftChars="100"/>
        <w:rPr>
          <w:rFonts w:hint="eastAsia" w:ascii="仿宋_GB2312" w:hAnsi="仿宋_GB2312" w:eastAsia="仿宋_GB2312" w:cs="仿宋_GB2312"/>
          <w:color w:val="auto"/>
          <w:sz w:val="24"/>
          <w:highlight w:val="none"/>
        </w:rPr>
      </w:pPr>
    </w:p>
    <w:p w14:paraId="53ADA6AE">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★95 承包人违约</w:t>
      </w:r>
    </w:p>
    <w:p w14:paraId="29648F0F">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95.1 承包人违约的情形</w:t>
      </w:r>
    </w:p>
    <w:p w14:paraId="22BA60CE">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承包人违约的其他情形</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p>
    <w:p w14:paraId="34F76D8D">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95.2 通知改正</w:t>
      </w:r>
    </w:p>
    <w:p w14:paraId="76742D15">
      <w:pPr>
        <w:autoSpaceDE w:val="0"/>
        <w:autoSpaceDN w:val="0"/>
        <w:adjustRightInd w:val="0"/>
        <w:jc w:val="left"/>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发包人通知承包人纠正或采取补救措施的合理期限是：</w:t>
      </w:r>
      <w:r>
        <w:rPr>
          <w:rFonts w:ascii="仿宋_GB2312" w:hAnsi="仿宋_GB2312" w:eastAsia="仿宋_GB2312" w:cs="仿宋_GB2312"/>
          <w:color w:val="auto"/>
          <w:sz w:val="24"/>
          <w:highlight w:val="none"/>
          <w:u w:val="single"/>
        </w:rPr>
        <w:t xml:space="preserve"> </w:t>
      </w:r>
      <w:r>
        <w:rPr>
          <w:rFonts w:hint="eastAsia" w:ascii="仿宋" w:hAnsi="Times New Roman" w:eastAsia="仿宋" w:cs="仿宋"/>
          <w:color w:val="auto"/>
          <w:kern w:val="0"/>
          <w:sz w:val="24"/>
          <w:highlight w:val="none"/>
          <w:u w:val="single"/>
        </w:rPr>
        <w:t>接到通知</w:t>
      </w:r>
      <w:r>
        <w:rPr>
          <w:rFonts w:ascii="仿宋" w:hAnsi="Times New Roman" w:eastAsia="仿宋" w:cs="仿宋"/>
          <w:color w:val="auto"/>
          <w:kern w:val="0"/>
          <w:sz w:val="24"/>
          <w:highlight w:val="none"/>
          <w:u w:val="single"/>
        </w:rPr>
        <w:t>24</w:t>
      </w:r>
      <w:r>
        <w:rPr>
          <w:rFonts w:hint="eastAsia" w:ascii="仿宋" w:hAnsi="Times New Roman" w:eastAsia="仿宋" w:cs="仿宋"/>
          <w:color w:val="auto"/>
          <w:kern w:val="0"/>
          <w:sz w:val="24"/>
          <w:highlight w:val="none"/>
          <w:u w:val="single"/>
        </w:rPr>
        <w:t>小时内完成整改，紧急情况需立即处理</w:t>
      </w:r>
      <w:r>
        <w:rPr>
          <w:rFonts w:hint="eastAsia" w:ascii="仿宋" w:hAnsi="Times New Roman" w:eastAsia="仿宋" w:cs="仿宋"/>
          <w:color w:val="auto"/>
          <w:kern w:val="0"/>
          <w:sz w:val="24"/>
          <w:highlight w:val="none"/>
        </w:rPr>
        <w:t>。未及时相应及采取补救措施的，每延误</w:t>
      </w:r>
      <w:r>
        <w:rPr>
          <w:rFonts w:ascii="仿宋" w:hAnsi="Times New Roman" w:eastAsia="仿宋" w:cs="仿宋"/>
          <w:color w:val="auto"/>
          <w:kern w:val="0"/>
          <w:sz w:val="24"/>
          <w:highlight w:val="none"/>
        </w:rPr>
        <w:t>24</w:t>
      </w:r>
      <w:r>
        <w:rPr>
          <w:rFonts w:hint="eastAsia" w:ascii="仿宋" w:hAnsi="Times New Roman" w:eastAsia="仿宋" w:cs="仿宋"/>
          <w:color w:val="auto"/>
          <w:kern w:val="0"/>
          <w:sz w:val="24"/>
          <w:highlight w:val="none"/>
        </w:rPr>
        <w:t>小时，按2000元支付违约金。</w:t>
      </w:r>
      <w:r>
        <w:rPr>
          <w:rFonts w:ascii="仿宋_GB2312" w:hAnsi="仿宋_GB2312" w:eastAsia="仿宋_GB2312" w:cs="仿宋_GB2312"/>
          <w:color w:val="auto"/>
          <w:sz w:val="24"/>
          <w:highlight w:val="none"/>
          <w:u w:val="single"/>
        </w:rPr>
        <w:t xml:space="preserve"> </w:t>
      </w:r>
    </w:p>
    <w:p w14:paraId="462AE01F">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95.3 承包人违约的责任</w:t>
      </w:r>
    </w:p>
    <w:p w14:paraId="31B67248">
      <w:pPr>
        <w:autoSpaceDE w:val="0"/>
        <w:autoSpaceDN w:val="0"/>
        <w:adjustRightInd w:val="0"/>
        <w:jc w:val="left"/>
        <w:rPr>
          <w:rFonts w:hint="eastAsia" w:ascii="仿宋_GB2312" w:hAnsi="仿宋_GB2312" w:eastAsia="仿宋_GB2312" w:cs="仿宋_GB2312"/>
          <w:color w:val="auto"/>
          <w:sz w:val="24"/>
          <w:highlight w:val="none"/>
          <w:u w:val="single"/>
        </w:rPr>
      </w:pPr>
      <w:r>
        <w:rPr>
          <w:rFonts w:ascii="仿宋_GB2312" w:hAnsi="仿宋_GB2312" w:eastAsia="仿宋_GB2312" w:cs="仿宋_GB2312"/>
          <w:color w:val="auto"/>
          <w:sz w:val="24"/>
          <w:highlight w:val="none"/>
        </w:rPr>
        <w:t>承包人违约责任的承担方式和计算方法：</w:t>
      </w:r>
      <w:r>
        <w:rPr>
          <w:rFonts w:hint="eastAsia" w:ascii="仿宋_GB2312" w:hAnsi="仿宋_GB2312" w:eastAsia="仿宋_GB2312" w:cs="仿宋_GB2312"/>
          <w:color w:val="auto"/>
          <w:sz w:val="24"/>
          <w:highlight w:val="none"/>
        </w:rPr>
        <w:t>承包人应当赔偿发包人全部损失，包括直接损失和间接损失。</w:t>
      </w:r>
    </w:p>
    <w:p w14:paraId="2CA40D23">
      <w:pPr>
        <w:ind w:left="210" w:leftChars="100"/>
        <w:rPr>
          <w:rFonts w:hint="eastAsia" w:ascii="仿宋_GB2312" w:hAnsi="仿宋_GB2312" w:eastAsia="仿宋_GB2312" w:cs="仿宋_GB2312"/>
          <w:color w:val="auto"/>
          <w:sz w:val="24"/>
          <w:highlight w:val="none"/>
        </w:rPr>
      </w:pPr>
    </w:p>
    <w:p w14:paraId="33C925F3">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99. 保密要求</w:t>
      </w:r>
    </w:p>
    <w:p w14:paraId="06B97DDF">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99.1 提供保密信息和履行保密义务</w:t>
      </w:r>
    </w:p>
    <w:p w14:paraId="6F6D5076">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提供保密信息的期限：</w:t>
      </w:r>
      <w:r>
        <w:rPr>
          <w:rFonts w:ascii="仿宋_GB2312" w:hAnsi="仿宋_GB2312" w:eastAsia="仿宋_GB2312" w:cs="仿宋_GB2312"/>
          <w:color w:val="auto"/>
          <w:sz w:val="24"/>
          <w:highlight w:val="none"/>
          <w:u w:val="single"/>
        </w:rPr>
        <w:t>永久。</w:t>
      </w:r>
    </w:p>
    <w:p w14:paraId="237400FB">
      <w:pPr>
        <w:ind w:left="210" w:leftChars="100"/>
        <w:rPr>
          <w:rFonts w:hint="eastAsia" w:ascii="仿宋_GB2312" w:hAnsi="仿宋_GB2312" w:eastAsia="仿宋_GB2312" w:cs="仿宋_GB2312"/>
          <w:color w:val="auto"/>
          <w:sz w:val="24"/>
          <w:highlight w:val="none"/>
        </w:rPr>
      </w:pPr>
    </w:p>
    <w:p w14:paraId="694E1F38">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102. 合同份数</w:t>
      </w:r>
    </w:p>
    <w:p w14:paraId="22519F5F">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102.1 约定提供合同文件</w:t>
      </w:r>
    </w:p>
    <w:p w14:paraId="12C933E4">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提供合同文本：</w:t>
      </w:r>
    </w:p>
    <w:p w14:paraId="136A9C63">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 xml:space="preserve"> 按通用条款的约定，由发包人向承包人提供。</w:t>
      </w:r>
    </w:p>
    <w:p w14:paraId="16A89659">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另有约定：</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p>
    <w:p w14:paraId="6F6B734A">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102.2 正副本效力</w:t>
      </w:r>
    </w:p>
    <w:p w14:paraId="14E80A1A">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合同的份数：</w:t>
      </w:r>
    </w:p>
    <w:p w14:paraId="5842C786">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正本</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4 </w:t>
      </w:r>
      <w:r>
        <w:rPr>
          <w:rFonts w:ascii="仿宋_GB2312" w:hAnsi="仿宋_GB2312" w:eastAsia="仿宋_GB2312" w:cs="仿宋_GB2312"/>
          <w:color w:val="auto"/>
          <w:sz w:val="24"/>
          <w:highlight w:val="none"/>
        </w:rPr>
        <w:t>份，副本</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8 </w:t>
      </w:r>
      <w:r>
        <w:rPr>
          <w:rFonts w:ascii="仿宋_GB2312" w:hAnsi="仿宋_GB2312" w:eastAsia="仿宋_GB2312" w:cs="仿宋_GB2312"/>
          <w:color w:val="auto"/>
          <w:sz w:val="24"/>
          <w:highlight w:val="none"/>
        </w:rPr>
        <w:t>份。</w:t>
      </w:r>
    </w:p>
    <w:p w14:paraId="0B4D5C79">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其中：发包人正本</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2 </w:t>
      </w:r>
      <w:r>
        <w:rPr>
          <w:rFonts w:ascii="仿宋_GB2312" w:hAnsi="仿宋_GB2312" w:eastAsia="仿宋_GB2312" w:cs="仿宋_GB2312"/>
          <w:color w:val="auto"/>
          <w:sz w:val="24"/>
          <w:highlight w:val="none"/>
        </w:rPr>
        <w:t>份，副本</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2 </w:t>
      </w:r>
      <w:r>
        <w:rPr>
          <w:rFonts w:ascii="仿宋_GB2312" w:hAnsi="仿宋_GB2312" w:eastAsia="仿宋_GB2312" w:cs="仿宋_GB2312"/>
          <w:color w:val="auto"/>
          <w:sz w:val="24"/>
          <w:highlight w:val="none"/>
        </w:rPr>
        <w:t>份；</w:t>
      </w:r>
    </w:p>
    <w:p w14:paraId="481BDF7D">
      <w:pPr>
        <w:ind w:left="210" w:leftChars="100" w:firstLine="720" w:firstLineChars="3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承包人正本</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2 </w:t>
      </w:r>
      <w:r>
        <w:rPr>
          <w:rFonts w:ascii="仿宋_GB2312" w:hAnsi="仿宋_GB2312" w:eastAsia="仿宋_GB2312" w:cs="仿宋_GB2312"/>
          <w:color w:val="auto"/>
          <w:sz w:val="24"/>
          <w:highlight w:val="none"/>
        </w:rPr>
        <w:t>份，副本</w:t>
      </w:r>
      <w:r>
        <w:rPr>
          <w:rFonts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 xml:space="preserve">6 </w:t>
      </w:r>
      <w:r>
        <w:rPr>
          <w:rFonts w:ascii="仿宋_GB2312" w:hAnsi="仿宋_GB2312" w:eastAsia="仿宋_GB2312" w:cs="仿宋_GB2312"/>
          <w:color w:val="auto"/>
          <w:sz w:val="24"/>
          <w:highlight w:val="none"/>
        </w:rPr>
        <w:t>份。</w:t>
      </w:r>
    </w:p>
    <w:p w14:paraId="122B291E">
      <w:pPr>
        <w:ind w:left="210" w:leftChars="100" w:firstLine="720" w:firstLineChars="300"/>
        <w:rPr>
          <w:rFonts w:hint="eastAsia" w:ascii="仿宋_GB2312" w:hAnsi="仿宋_GB2312" w:eastAsia="仿宋_GB2312" w:cs="仿宋_GB2312"/>
          <w:color w:val="auto"/>
          <w:sz w:val="24"/>
          <w:highlight w:val="none"/>
        </w:rPr>
      </w:pPr>
    </w:p>
    <w:p w14:paraId="6862C308">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104.合同其他补充</w:t>
      </w:r>
    </w:p>
    <w:p w14:paraId="6B42D83D">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104</w:t>
      </w:r>
      <w:r>
        <w:rPr>
          <w:rFonts w:ascii="仿宋_GB2312" w:hAnsi="仿宋_GB2312" w:eastAsia="仿宋_GB2312" w:cs="仿宋_GB2312"/>
          <w:color w:val="auto"/>
          <w:sz w:val="24"/>
          <w:highlight w:val="none"/>
        </w:rPr>
        <w:t>.1 档案管理工作要求：</w:t>
      </w:r>
    </w:p>
    <w:p w14:paraId="7A6149F6">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①档案的套数要求：套数应符合《国家重大建设项目文件归档要求与档案整理规范》、《建设工程档案编制规范》等相关法律法规的要求。</w:t>
      </w:r>
    </w:p>
    <w:p w14:paraId="61E7B426">
      <w:pPr>
        <w:ind w:left="210" w:leftChars="1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②承包人应按《国家重大建设项目文件归档要求与档案整理规范》、《建设工程档案编制规范》等相关法律法规的要求承担相关文件材料的收集、整理、归档和移交的责任。</w:t>
      </w:r>
    </w:p>
    <w:p w14:paraId="337AB81F">
      <w:pPr>
        <w:ind w:left="210" w:leftChars="100"/>
        <w:rPr>
          <w:rFonts w:hint="eastAsia" w:ascii="仿宋_GB2312" w:hAnsi="仿宋_GB2312" w:eastAsia="仿宋_GB2312" w:cs="仿宋_GB2312"/>
          <w:color w:val="auto"/>
          <w:sz w:val="24"/>
          <w:highlight w:val="none"/>
        </w:rPr>
      </w:pPr>
    </w:p>
    <w:p w14:paraId="6B0E9F37">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104</w:t>
      </w:r>
      <w:r>
        <w:rPr>
          <w:rFonts w:ascii="仿宋_GB2312" w:hAnsi="仿宋_GB2312" w:eastAsia="仿宋_GB2312" w:cs="仿宋_GB2312"/>
          <w:color w:val="auto"/>
          <w:sz w:val="24"/>
          <w:highlight w:val="none"/>
        </w:rPr>
        <w:t>.2 违约：</w:t>
      </w:r>
    </w:p>
    <w:p w14:paraId="716E3731">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1、发包人不履行合同义务或不按合同约定履行义务时，承担违约责任，造成承包人工期延误的，经发包人同意后顺延延误的工期。</w:t>
      </w:r>
    </w:p>
    <w:p w14:paraId="0F16689D">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2、承包人承担违约责任形式包括但不限于：</w:t>
      </w:r>
    </w:p>
    <w:p w14:paraId="526037BA">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1）限期改正。承包人未履行或未按时履行或未按质履行义务时，监理工程师应发出书面通知，并要求承包人必须在监理工程师限定的时间内履行义务，即二次限期改正责任相当于一次一般违约责任；三次一般违约责任相当于一次严重违约责任。 </w:t>
      </w:r>
    </w:p>
    <w:p w14:paraId="21FF9C36">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（2）一般违约责任。承包人违反本合同的约定须承担一般违约责任时，发包人扣除合同价款人民币</w:t>
      </w:r>
      <w:r>
        <w:rPr>
          <w:rFonts w:hint="eastAsia" w:ascii="仿宋_GB2312" w:hAnsi="仿宋_GB2312" w:eastAsia="仿宋_GB2312" w:cs="仿宋_GB2312"/>
          <w:color w:val="auto"/>
          <w:sz w:val="24"/>
          <w:highlight w:val="none"/>
        </w:rPr>
        <w:t>5000</w:t>
      </w:r>
      <w:r>
        <w:rPr>
          <w:rFonts w:ascii="仿宋_GB2312" w:hAnsi="仿宋_GB2312" w:eastAsia="仿宋_GB2312" w:cs="仿宋_GB2312"/>
          <w:color w:val="auto"/>
          <w:sz w:val="24"/>
          <w:highlight w:val="none"/>
        </w:rPr>
        <w:t>元/次作为违约金；若承包人再犯性质相同的违约责任，第2次扣除合同价款人民币1</w:t>
      </w:r>
      <w:r>
        <w:rPr>
          <w:rFonts w:hint="eastAsia" w:ascii="仿宋_GB2312" w:hAnsi="仿宋_GB2312" w:eastAsia="仿宋_GB2312" w:cs="仿宋_GB2312"/>
          <w:color w:val="auto"/>
          <w:sz w:val="24"/>
          <w:highlight w:val="none"/>
        </w:rPr>
        <w:t>0000</w:t>
      </w:r>
      <w:r>
        <w:rPr>
          <w:rFonts w:ascii="仿宋_GB2312" w:hAnsi="仿宋_GB2312" w:eastAsia="仿宋_GB2312" w:cs="仿宋_GB2312"/>
          <w:color w:val="auto"/>
          <w:sz w:val="24"/>
          <w:highlight w:val="none"/>
        </w:rPr>
        <w:t>元</w:t>
      </w:r>
      <w:r>
        <w:rPr>
          <w:rFonts w:hint="eastAsia" w:ascii="仿宋_GB2312" w:hAnsi="仿宋_GB2312" w:eastAsia="仿宋_GB2312" w:cs="仿宋_GB2312"/>
          <w:color w:val="auto"/>
          <w:sz w:val="24"/>
          <w:highlight w:val="none"/>
        </w:rPr>
        <w:t>作为违约金</w:t>
      </w:r>
      <w:r>
        <w:rPr>
          <w:rFonts w:ascii="仿宋_GB2312" w:hAnsi="仿宋_GB2312" w:eastAsia="仿宋_GB2312" w:cs="仿宋_GB2312"/>
          <w:strike/>
          <w:color w:val="auto"/>
          <w:sz w:val="24"/>
          <w:highlight w:val="none"/>
        </w:rPr>
        <w:t>，2次以上（不含本数）按2</w:t>
      </w:r>
      <w:r>
        <w:rPr>
          <w:rFonts w:hint="eastAsia" w:ascii="仿宋_GB2312" w:hAnsi="仿宋_GB2312" w:eastAsia="仿宋_GB2312" w:cs="仿宋_GB2312"/>
          <w:strike/>
          <w:color w:val="auto"/>
          <w:sz w:val="24"/>
          <w:highlight w:val="none"/>
        </w:rPr>
        <w:t>0000</w:t>
      </w:r>
      <w:r>
        <w:rPr>
          <w:rFonts w:ascii="仿宋_GB2312" w:hAnsi="仿宋_GB2312" w:eastAsia="仿宋_GB2312" w:cs="仿宋_GB2312"/>
          <w:strike/>
          <w:color w:val="auto"/>
          <w:sz w:val="24"/>
          <w:highlight w:val="none"/>
        </w:rPr>
        <w:t>元/次扣除合同价款</w:t>
      </w:r>
      <w:r>
        <w:rPr>
          <w:rFonts w:ascii="仿宋_GB2312" w:hAnsi="仿宋_GB2312" w:eastAsia="仿宋_GB2312" w:cs="仿宋_GB2312"/>
          <w:color w:val="auto"/>
          <w:sz w:val="24"/>
          <w:highlight w:val="none"/>
        </w:rPr>
        <w:t>。</w:t>
      </w:r>
    </w:p>
    <w:p w14:paraId="45FB7ABA">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（3）严重违约责任。承包人违反本合同的约定须承担严重违约责任时，发包人扣除合同价款人民币5</w:t>
      </w:r>
      <w:r>
        <w:rPr>
          <w:rFonts w:hint="eastAsia" w:ascii="仿宋_GB2312" w:hAnsi="仿宋_GB2312" w:eastAsia="仿宋_GB2312" w:cs="仿宋_GB2312"/>
          <w:color w:val="auto"/>
          <w:sz w:val="24"/>
          <w:highlight w:val="none"/>
        </w:rPr>
        <w:t>0000</w:t>
      </w:r>
      <w:r>
        <w:rPr>
          <w:rFonts w:ascii="仿宋_GB2312" w:hAnsi="仿宋_GB2312" w:eastAsia="仿宋_GB2312" w:cs="仿宋_GB2312"/>
          <w:color w:val="auto"/>
          <w:sz w:val="24"/>
          <w:highlight w:val="none"/>
        </w:rPr>
        <w:t>元/次作为违约金，并通报批评、警告直至暂停其在建设系统内的投标资格</w:t>
      </w:r>
      <w:r>
        <w:rPr>
          <w:rFonts w:hint="eastAsia" w:ascii="仿宋_GB2312" w:hAnsi="仿宋_GB2312" w:eastAsia="仿宋_GB2312" w:cs="仿宋_GB2312"/>
          <w:color w:val="auto"/>
          <w:sz w:val="24"/>
          <w:highlight w:val="none"/>
        </w:rPr>
        <w:t>。发包人有权单方解除本合同。如违约金未能弥补发包人损失的，由承包人承担赔偿责任</w:t>
      </w:r>
      <w:r>
        <w:rPr>
          <w:rFonts w:ascii="仿宋_GB2312" w:hAnsi="仿宋_GB2312" w:eastAsia="仿宋_GB2312" w:cs="仿宋_GB2312"/>
          <w:color w:val="auto"/>
          <w:sz w:val="24"/>
          <w:highlight w:val="none"/>
        </w:rPr>
        <w:t>。</w:t>
      </w:r>
    </w:p>
    <w:p w14:paraId="3D01A994">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解除部分合同。当承包人违反本合同的约定符合解除部分合同的条件时，发包人有权向承包人发出书面解除部分合同的通知，该通知在送达承包人时部分解除合同即生效。在此种情况下，承包人应向发包人支付相当于合同暂定总价的5%作为违约金，且不免除承包人的其他违约责任。</w:t>
      </w:r>
      <w:r>
        <w:rPr>
          <w:rFonts w:hint="eastAsia" w:ascii="仿宋_GB2312" w:hAnsi="仿宋_GB2312" w:eastAsia="仿宋_GB2312" w:cs="仿宋_GB2312"/>
          <w:color w:val="auto"/>
          <w:sz w:val="24"/>
          <w:highlight w:val="none"/>
        </w:rPr>
        <w:t>如违约金未能弥补发包人损失的，由承包人承担补充赔偿责任。同时，承包人必须在通知生效之日起  三  天内停止被解除部分的工作，通知生效之日起  三 天内配合发包人完成现场工作和有关资料的交接，所交接资料必须完整且满足发包人要求。承包人无特殊原因未在规定期限内完成交接和离场，或交接资料不完整或不满足发包人要求的，发包人有权视情况主张全部解除合同。若因承包人拒交或延误交接现场工作和有关资料而引致发包人工期延误及其它方面的损失，承包人必须按发包人的要求赔偿。</w:t>
      </w:r>
    </w:p>
    <w:p w14:paraId="041FE5F1">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解除合同。当承包人违反本合同的约定符合解除全部合同的条件时，发包人有权向承包人发出书面解除全部合同的通知，该通知在送达承包人时解除合同即生效，在此种情况下，承包人应向发包人支付相当于合同暂定总价的10%作为违约金，且不免除承包人的其他违约责任。</w:t>
      </w:r>
      <w:r>
        <w:rPr>
          <w:rFonts w:hint="eastAsia" w:ascii="仿宋_GB2312" w:hAnsi="仿宋_GB2312" w:eastAsia="仿宋_GB2312" w:cs="仿宋_GB2312"/>
          <w:color w:val="auto"/>
          <w:sz w:val="24"/>
          <w:highlight w:val="none"/>
        </w:rPr>
        <w:t>如违约金未能弥补发包人损失的，由承包人承担补充赔偿责任。</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同时，承包人必须在通知生效之日起  三  天内停止全部工作，通知生效之日起  三  天内配合发包人完成现场工作和有关资料的交接，并于完成交接工作当天内离场。承包人应保证所移交的资料齐全完整且满足发包人要求，承包人未在规定期限内完成交接和离场或所移交的资料不完整的，引致发包人工期延误和其它方面的损失，发包人有权要求承包人赔偿。</w:t>
      </w:r>
    </w:p>
    <w:p w14:paraId="3A8C6A4A">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（6）赔偿损失。</w:t>
      </w:r>
      <w:r>
        <w:rPr>
          <w:rFonts w:hint="eastAsia" w:ascii="仿宋_GB2312" w:hAnsi="仿宋_GB2312" w:eastAsia="仿宋_GB2312" w:cs="仿宋_GB2312"/>
          <w:color w:val="auto"/>
          <w:sz w:val="24"/>
          <w:highlight w:val="none"/>
        </w:rPr>
        <w:t>因承包人原因造成发包人经济损失的，承包人应赔偿发包人的全部直接和间接经济损失。</w:t>
      </w:r>
    </w:p>
    <w:p w14:paraId="3C0F1D39">
      <w:pPr>
        <w:ind w:left="420" w:left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（7）完全由专业承包人和专业分包人造成违约，也不免除承包人的违约责任。</w:t>
      </w:r>
    </w:p>
    <w:p w14:paraId="3221BE23">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2.1 二次限期改正责任相当于一次一般违约责任；三次一般违约责任相当于一次严重违约责任；承包人在合同期内累计三次严重违约责任，发包人有权单方解除部分或全部合同</w:t>
      </w:r>
      <w:r>
        <w:rPr>
          <w:rFonts w:hint="eastAsia" w:ascii="仿宋_GB2312" w:hAnsi="仿宋_GB2312" w:eastAsia="仿宋_GB2312" w:cs="仿宋_GB2312"/>
          <w:color w:val="auto"/>
          <w:sz w:val="24"/>
          <w:highlight w:val="none"/>
        </w:rPr>
        <w:t>，承包人应当赔偿发包人损失</w:t>
      </w:r>
      <w:r>
        <w:rPr>
          <w:rFonts w:ascii="仿宋_GB2312" w:hAnsi="仿宋_GB2312" w:eastAsia="仿宋_GB2312" w:cs="仿宋_GB2312"/>
          <w:color w:val="auto"/>
          <w:sz w:val="24"/>
          <w:highlight w:val="none"/>
        </w:rPr>
        <w:t>。</w:t>
      </w:r>
    </w:p>
    <w:p w14:paraId="1EE39E9A">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2.2 承包人违约须向发包人支付违约金时，发包人有权从应支付给承包人的工程款中直接抵扣，承包人不得有异议。</w:t>
      </w:r>
    </w:p>
    <w:p w14:paraId="1195B8AF">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2.3 工期延误方面的违约责任</w:t>
      </w:r>
    </w:p>
    <w:p w14:paraId="7638BA07">
      <w:pPr>
        <w:ind w:left="420" w:left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（1）承包人违反合同协议书约定延期开工的，每迟延开工1天，</w:t>
      </w:r>
      <w:r>
        <w:rPr>
          <w:rFonts w:ascii="仿宋_GB2312" w:hAnsi="仿宋_GB2312" w:eastAsia="仿宋_GB2312" w:cs="仿宋_GB2312"/>
          <w:color w:val="auto"/>
          <w:sz w:val="24"/>
          <w:highlight w:val="none"/>
        </w:rPr>
        <w:t>应向发包人支付每天</w:t>
      </w:r>
      <w:r>
        <w:rPr>
          <w:rFonts w:hint="eastAsia" w:ascii="仿宋_GB2312" w:hAnsi="仿宋_GB2312" w:eastAsia="仿宋_GB2312" w:cs="仿宋_GB2312"/>
          <w:color w:val="auto"/>
          <w:sz w:val="24"/>
          <w:highlight w:val="none"/>
        </w:rPr>
        <w:t>5000</w:t>
      </w:r>
      <w:r>
        <w:rPr>
          <w:rFonts w:ascii="仿宋_GB2312" w:hAnsi="仿宋_GB2312" w:eastAsia="仿宋_GB2312" w:cs="仿宋_GB2312"/>
          <w:color w:val="auto"/>
          <w:sz w:val="24"/>
          <w:highlight w:val="none"/>
        </w:rPr>
        <w:t>元作为违约金</w:t>
      </w:r>
      <w:r>
        <w:rPr>
          <w:rFonts w:hint="eastAsia" w:ascii="仿宋_GB2312" w:hAnsi="仿宋_GB2312" w:eastAsia="仿宋_GB2312" w:cs="仿宋_GB2312"/>
          <w:color w:val="auto"/>
          <w:sz w:val="24"/>
          <w:highlight w:val="none"/>
        </w:rPr>
        <w:t>；迟延开工超过  三十  天的，发包人有权单方面解除合同，将本工程另行发包，并不免除承包人的违约赔偿责任。</w:t>
      </w:r>
    </w:p>
    <w:p w14:paraId="431FB342">
      <w:pPr>
        <w:ind w:left="420" w:left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（2）承包人违反合同约定单方面停工的，每停工1天，应向发包人支付每天3000元作为违约金；连续停工超过   三十  天或累计停工超过 六十   天的，发包人有权单方面解除合同，将本工程另行发包，并不免除承包人的违约赔偿责任。</w:t>
      </w:r>
    </w:p>
    <w:p w14:paraId="4BEFFDE6">
      <w:pPr>
        <w:ind w:left="420" w:left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r>
        <w:rPr>
          <w:rFonts w:ascii="仿宋_GB2312" w:hAnsi="仿宋_GB2312" w:eastAsia="仿宋_GB2312" w:cs="仿宋_GB2312"/>
          <w:color w:val="auto"/>
          <w:sz w:val="24"/>
          <w:highlight w:val="none"/>
        </w:rPr>
        <w:t>承包人不能按照协议书约定的竣工日期或监理工程师同意顺延的工期竣工，延误的工期每延误1天，应向发包人支付每天</w:t>
      </w:r>
      <w:r>
        <w:rPr>
          <w:rFonts w:hint="eastAsia" w:ascii="仿宋_GB2312" w:hAnsi="仿宋_GB2312" w:eastAsia="仿宋_GB2312" w:cs="仿宋_GB2312"/>
          <w:color w:val="auto"/>
          <w:sz w:val="24"/>
          <w:highlight w:val="none"/>
        </w:rPr>
        <w:t>2000</w:t>
      </w:r>
      <w:r>
        <w:rPr>
          <w:rFonts w:ascii="仿宋_GB2312" w:hAnsi="仿宋_GB2312" w:eastAsia="仿宋_GB2312" w:cs="仿宋_GB2312"/>
          <w:color w:val="auto"/>
          <w:sz w:val="24"/>
          <w:highlight w:val="none"/>
        </w:rPr>
        <w:t>元作为违约金。延误工期超过</w:t>
      </w:r>
      <w:r>
        <w:rPr>
          <w:rFonts w:hint="eastAsia" w:ascii="仿宋_GB2312" w:hAnsi="仿宋_GB2312" w:eastAsia="仿宋_GB2312" w:cs="仿宋_GB2312"/>
          <w:color w:val="auto"/>
          <w:sz w:val="24"/>
          <w:highlight w:val="none"/>
        </w:rPr>
        <w:t>60</w:t>
      </w:r>
      <w:r>
        <w:rPr>
          <w:rFonts w:ascii="仿宋_GB2312" w:hAnsi="仿宋_GB2312" w:eastAsia="仿宋_GB2312" w:cs="仿宋_GB2312"/>
          <w:color w:val="auto"/>
          <w:sz w:val="24"/>
          <w:highlight w:val="none"/>
        </w:rPr>
        <w:t>天的，发包人有权解除合同，将本工程另行发包，并不免除承包人的违约赔偿责任。</w:t>
      </w:r>
    </w:p>
    <w:p w14:paraId="25CA34D2">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2.4 工程材料设备采购及工程质量方面的违约责任</w:t>
      </w:r>
    </w:p>
    <w:p w14:paraId="19A47E0F">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监理工程师按照专用条款的约定抽查承包人的工程材料时，发现所检查的材料与该条款约定的标准的任何一项不符合时，承包人除必须全部退货、返工，并赔偿由此造成的损失外，承包人应当按照该批次材料的价值，按照如下方式承担违约责任：</w:t>
      </w:r>
    </w:p>
    <w:p w14:paraId="0F36576B">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A、单宗或批次材料价值在10万元以上100万元以下（含100万元），承包人承担1次一般违约责任。</w:t>
      </w:r>
    </w:p>
    <w:p w14:paraId="646E2A6A">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B、单宗或批次材料价值100-200万元（含200万元），承包人承担1次严重违约责任。</w:t>
      </w:r>
    </w:p>
    <w:p w14:paraId="625A033F">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C、单宗或批次材料价值在200万元以上的，发包人有权部分解除合同或全部解除合同，并要求承包人赔偿发包人由此遭受的实际损失。</w:t>
      </w:r>
    </w:p>
    <w:p w14:paraId="267ED972">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D、对于单宗或批次材料价值不高于10万元的（含10万元），但累计抽检不合格达5次，承包人承担1次一般违约责任。 </w:t>
      </w:r>
    </w:p>
    <w:p w14:paraId="52683A23">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承包人按专用条款的约定，对各工序必须报验核查质量控制点。如承包人申请报验后，经监理工程师或发包人检查发现存在质量问题，则该工序质量为不合格，承包人必须全部返工，返工后经检查合格才准进入下一工序，工期不予顺延。复检的结果，按每一分项工程计算，总计发现3次或连续发现2次质量控制点不合格的，承包人承担严重违约责任；总计发现3次以上（不含本数）或连续发现2次以上（不含本数）质量控制点不合格的，发包人有权部分解除合同，将该分项工程另行发包，并不免除承包人应承担的违约赔偿责任。</w:t>
      </w:r>
    </w:p>
    <w:p w14:paraId="5DB081EE">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（3）工程竣工验收达不到合同约定的质量标准的，承包人向发包人交纳</w:t>
      </w:r>
      <w:r>
        <w:rPr>
          <w:rFonts w:hint="eastAsia" w:ascii="仿宋_GB2312" w:hAnsi="仿宋_GB2312" w:eastAsia="仿宋_GB2312" w:cs="仿宋_GB2312"/>
          <w:color w:val="auto"/>
          <w:sz w:val="24"/>
          <w:highlight w:val="none"/>
        </w:rPr>
        <w:t>合同总</w:t>
      </w:r>
      <w:r>
        <w:rPr>
          <w:rFonts w:ascii="仿宋_GB2312" w:hAnsi="仿宋_GB2312" w:eastAsia="仿宋_GB2312" w:cs="仿宋_GB2312"/>
          <w:color w:val="auto"/>
          <w:sz w:val="24"/>
          <w:highlight w:val="none"/>
        </w:rPr>
        <w:t>价2%的违约金，且承包人应在规定的期限内返工。</w:t>
      </w:r>
    </w:p>
    <w:p w14:paraId="2C8471F6">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（4）工程保修期内发现质量不合格，承包人必须在规定的期限返工并达到合同约定的质量等级，并按该不合格项目所处分项工程造价5%计算向发包人承担支付违约金的责任。</w:t>
      </w:r>
    </w:p>
    <w:p w14:paraId="0B6A1381">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2.5 安全生产方面的违约责任</w:t>
      </w:r>
    </w:p>
    <w:p w14:paraId="5601B6CF">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 承包人在政府行政主管部门组织的质量安全检查中，被发现存在严重的安全隐患，被通报批评，或被新闻媒体曝光造成不良影响的，被通报或被曝光1次，承包人必须承担严重违约责任；造成严重社会影响或累计被通报或被曝光3次以上（含本数）的，发包人有权解除合同，将本工程另行发包，并不免除承包人应承担的违约赔偿责任。</w:t>
      </w:r>
    </w:p>
    <w:p w14:paraId="1EA9F193">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 承包人在监理工程师进行的日常质量安全检查中，被发现存在安全隐患的，承包人应限期改正。若同样问题被发现2次的或累计类似问题被发现3次，承包人必须承担一般违约责任1次；此类问题的认定，以监理工程师书面通知、指令、通报和会议纪要为准。</w:t>
      </w:r>
    </w:p>
    <w:p w14:paraId="29262405">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（3）承包人因自身原因造成的重大安全事故（含工程质量事故）的，按国家规定由相关主管部门处罚，发包人视情况严重性，有权解除部分或全部合同，按专用条款第44条款执行。</w:t>
      </w:r>
    </w:p>
    <w:p w14:paraId="3B453444">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2.6  文明施工、环境保护方面的违约责任</w:t>
      </w:r>
    </w:p>
    <w:p w14:paraId="159BE337">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监理工程师按照本《专用条款》的约定，对承包人文明施工措施进行对照检查。经检查发现承包人因自身原因未能落实的，承包人必须承担一般违约责任，并限期改正；如不限期改正，承包人须承担严重违约责任。</w:t>
      </w:r>
    </w:p>
    <w:p w14:paraId="09E4E9E8">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在政府行政主管部门的检查中，承包人的施工场地被评为不合格工地的，或者被通报批评的，或者被新闻媒体曝光的，承包人必须承担严重违约责任，并立即采取切实有效措施予以整改；拒不采取切实有效的措施整改的，或整改效果不明显的，发包人有权解除部分或全部合同，并要求承包人赔偿由此造成的损失。</w:t>
      </w:r>
    </w:p>
    <w:p w14:paraId="3B91F054">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承包人在施工过程中因其自身原因造成周围环境卫生状况较差，被其他施工单位或周围居民投诉的，承包人必须在当天内整改。若故意拖延或同样问题累计被投诉2次，或累计被投诉3次，经查实，承包人必须承担一般违约责任1次。</w:t>
      </w:r>
    </w:p>
    <w:p w14:paraId="013F6C20">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2.7  工程分包、转包方面的违约责任</w:t>
      </w:r>
    </w:p>
    <w:p w14:paraId="3DA9CB3B">
      <w:pPr>
        <w:ind w:left="420" w:left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（1）承包人不按约定进行分包管理的，视同不服从发包人及监理单位管理，应承担严重违约责任；同时发包人有权暂停支付本合同工程进度款，直到承包人完成相关工作为止。</w:t>
      </w:r>
    </w:p>
    <w:p w14:paraId="3BF24226">
      <w:pPr>
        <w:ind w:left="420" w:left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ascii="仿宋_GB2312" w:hAnsi="仿宋_GB2312" w:eastAsia="仿宋_GB2312" w:cs="仿宋_GB2312"/>
          <w:color w:val="auto"/>
          <w:sz w:val="24"/>
          <w:highlight w:val="none"/>
        </w:rPr>
        <w:t>承包人擅自分包或者转包工程的，发包人有权单方解除部分合同或解除合同，由此而造成的经济损失由承包人负责赔偿。</w:t>
      </w:r>
    </w:p>
    <w:p w14:paraId="28D135A4">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2.8  其他违约责任：</w:t>
      </w:r>
    </w:p>
    <w:p w14:paraId="37A12FD9">
      <w:pPr>
        <w:ind w:left="420" w:left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2.8.1农民工工资支付方面的违约责任</w:t>
      </w:r>
    </w:p>
    <w:p w14:paraId="056A36A0">
      <w:pPr>
        <w:numPr>
          <w:ilvl w:val="0"/>
          <w:numId w:val="4"/>
        </w:numPr>
        <w:ind w:left="420" w:left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承包人违反约定，被农民工投诉或上访属实的，承包人必须在3天内发放拖欠的款项。若继续拖延被投诉2次及以上，经查实，承包人每一次必须承担1次严重违约责任，并立即采取切实有效措施予以整改；拒不采取切实有效措施整改的，或整改效果不明显的，发包人有权部分或全部解除合同。同时，发包人有权从应付承包人工程款中抵减相应款项用于支付所拖欠工资。</w:t>
      </w:r>
    </w:p>
    <w:p w14:paraId="2C183801">
      <w:pPr>
        <w:numPr>
          <w:ilvl w:val="0"/>
          <w:numId w:val="4"/>
        </w:numPr>
        <w:ind w:left="420" w:left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除发包人违约外，由于承包人或其管理的分包单位（包括施工专业分包、供货分包及劳务分包单位等）拖欠农民工工资致使发包人被投诉或起诉并被判令先行垫付农民工工资的，承包人除每一次承担1次严重违约责任外，还应向发包人支付发包人先行垫付的农民工工资金额的两倍作为补偿。</w:t>
      </w:r>
    </w:p>
    <w:p w14:paraId="32B96C9C">
      <w:pPr>
        <w:numPr>
          <w:ilvl w:val="0"/>
          <w:numId w:val="4"/>
        </w:num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因承包人违约导致发包人暂停支付工程款时，承包人不得以此为理由拖欠农民工工资，在发包人和承包人就暂停支付工程款问题解决之前，承包人有义务先行支付其所属工人工资。</w:t>
      </w:r>
    </w:p>
    <w:p w14:paraId="031EA915">
      <w:pPr>
        <w:numPr>
          <w:ilvl w:val="0"/>
          <w:numId w:val="4"/>
        </w:num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承包人不按合同及有关规定按时、足额支付分包单位合同价款及民工工资致使民工集体上访、集聚围阻而造成社会不良影响的，承包人须承担每一次20万元的违约金，并上报省、市主管部门建议取消其参加广州地区省、市重大项目的投标资格，并由发包人予以公告。如属恶意煽动并造成社会不良影响的，发包人将提请司法部门追究其法律责任。</w:t>
      </w:r>
    </w:p>
    <w:p w14:paraId="0305CC07">
      <w:pPr>
        <w:numPr>
          <w:ilvl w:val="0"/>
          <w:numId w:val="4"/>
        </w:num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无论何种原因，如发生承包单位人员（包括但不限于项目管理人员、施工班组、工人等）围堵售楼部、工地大门及发包人办公地点、政府相关部门办公地的情况的，承包人须承担20万元/次的违约金。</w:t>
      </w:r>
    </w:p>
    <w:p w14:paraId="0FE17330">
      <w:pPr>
        <w:ind w:left="420" w:left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2.8.2</w:t>
      </w:r>
      <w:r>
        <w:rPr>
          <w:rFonts w:ascii="仿宋_GB2312" w:hAnsi="仿宋_GB2312" w:eastAsia="仿宋_GB2312" w:cs="仿宋_GB2312"/>
          <w:color w:val="auto"/>
          <w:sz w:val="24"/>
          <w:highlight w:val="none"/>
        </w:rPr>
        <w:t>除上述约定之外，承包人有违反其他合同义务的，均构成违约，应当承担一般违约责任。根据招标文件，本招标工程项目的履约</w:t>
      </w:r>
      <w:r>
        <w:rPr>
          <w:rFonts w:hint="eastAsia" w:ascii="仿宋_GB2312" w:hAnsi="仿宋_GB2312" w:eastAsia="仿宋_GB2312" w:cs="仿宋_GB2312"/>
          <w:color w:val="auto"/>
          <w:sz w:val="24"/>
          <w:highlight w:val="none"/>
        </w:rPr>
        <w:t>保函金额</w:t>
      </w:r>
      <w:r>
        <w:rPr>
          <w:rFonts w:ascii="仿宋_GB2312" w:hAnsi="仿宋_GB2312" w:eastAsia="仿宋_GB2312" w:cs="仿宋_GB2312"/>
          <w:strike/>
          <w:color w:val="auto"/>
          <w:sz w:val="24"/>
          <w:highlight w:val="none"/>
        </w:rPr>
        <w:t>保证金</w:t>
      </w:r>
      <w:r>
        <w:rPr>
          <w:rFonts w:ascii="仿宋_GB2312" w:hAnsi="仿宋_GB2312" w:eastAsia="仿宋_GB2312" w:cs="仿宋_GB2312"/>
          <w:color w:val="auto"/>
          <w:sz w:val="24"/>
          <w:highlight w:val="none"/>
        </w:rPr>
        <w:t>为</w:t>
      </w:r>
      <w:r>
        <w:rPr>
          <w:rFonts w:hint="eastAsia"/>
          <w:color w:val="auto"/>
          <w:highlight w:val="none"/>
        </w:rPr>
        <w:t>建安工程费中标金额</w:t>
      </w:r>
      <w:r>
        <w:rPr>
          <w:rFonts w:ascii="仿宋_GB2312" w:hAnsi="仿宋_GB2312" w:eastAsia="仿宋_GB2312" w:cs="仿宋_GB2312"/>
          <w:color w:val="auto"/>
          <w:sz w:val="24"/>
          <w:highlight w:val="none"/>
        </w:rPr>
        <w:t>的10%，承包人未按合同的规定履约，</w:t>
      </w:r>
      <w:r>
        <w:rPr>
          <w:rFonts w:hint="eastAsia" w:ascii="仿宋_GB2312" w:hAnsi="仿宋_GB2312" w:eastAsia="仿宋_GB2312" w:cs="仿宋_GB2312"/>
          <w:color w:val="auto"/>
          <w:sz w:val="24"/>
          <w:highlight w:val="none"/>
        </w:rPr>
        <w:t>发包人有权依据履约保函向开立银行要求其承担见索给付的付款责任，承包人不得有异议</w:t>
      </w:r>
      <w:r>
        <w:rPr>
          <w:rFonts w:ascii="仿宋_GB2312" w:hAnsi="仿宋_GB2312" w:eastAsia="仿宋_GB2312" w:cs="仿宋_GB2312"/>
          <w:strike/>
          <w:color w:val="auto"/>
          <w:sz w:val="24"/>
          <w:highlight w:val="none"/>
        </w:rPr>
        <w:t>即向发包人支付履约保证金作为补偿</w:t>
      </w:r>
      <w:r>
        <w:rPr>
          <w:rFonts w:ascii="仿宋_GB2312" w:hAnsi="仿宋_GB2312" w:eastAsia="仿宋_GB2312" w:cs="仿宋_GB2312"/>
          <w:color w:val="auto"/>
          <w:sz w:val="24"/>
          <w:highlight w:val="none"/>
        </w:rPr>
        <w:t>。当工期延期，须延长履约保证金的有效期</w:t>
      </w:r>
      <w:r>
        <w:rPr>
          <w:rFonts w:ascii="仿宋_GB2312" w:hAnsi="仿宋_GB2312" w:eastAsia="仿宋_GB2312" w:cs="仿宋_GB2312"/>
          <w:strike/>
          <w:color w:val="auto"/>
          <w:sz w:val="24"/>
          <w:highlight w:val="none"/>
        </w:rPr>
        <w:t>，发包人在工程竣工验收合格、竣工结算、竣工资料移交后30天内将退还承包人的履约保证金（无息）</w:t>
      </w:r>
      <w:r>
        <w:rPr>
          <w:rFonts w:ascii="仿宋_GB2312" w:hAnsi="仿宋_GB2312" w:eastAsia="仿宋_GB2312" w:cs="仿宋_GB2312"/>
          <w:color w:val="auto"/>
          <w:sz w:val="24"/>
          <w:highlight w:val="none"/>
        </w:rPr>
        <w:t>。</w:t>
      </w:r>
    </w:p>
    <w:p w14:paraId="37E020FB">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2.9本合同条款中将部分合同或全部合同解除后，发包人有权按有关规定另行选择承包人。</w:t>
      </w:r>
    </w:p>
    <w:p w14:paraId="745EF10F">
      <w:pPr>
        <w:ind w:left="210" w:leftChars="100"/>
        <w:rPr>
          <w:rFonts w:hint="eastAsia" w:ascii="仿宋_GB2312" w:hAnsi="仿宋_GB2312" w:eastAsia="仿宋_GB2312" w:cs="仿宋_GB2312"/>
          <w:color w:val="auto"/>
          <w:sz w:val="24"/>
          <w:highlight w:val="none"/>
        </w:rPr>
      </w:pPr>
    </w:p>
    <w:p w14:paraId="199F122D">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104</w:t>
      </w:r>
      <w:r>
        <w:rPr>
          <w:rFonts w:ascii="仿宋_GB2312" w:hAnsi="仿宋_GB2312" w:eastAsia="仿宋_GB2312" w:cs="仿宋_GB2312"/>
          <w:color w:val="auto"/>
          <w:sz w:val="24"/>
          <w:highlight w:val="none"/>
        </w:rPr>
        <w:t>.3 索赔：</w:t>
      </w:r>
    </w:p>
    <w:p w14:paraId="1C82D851">
      <w:pPr>
        <w:ind w:left="210" w:leftChars="100" w:firstLine="480" w:firstLine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在任何索赔和争议期间，不论索赔是否有据，均不能免除承包人按合同规定履行合同义务。承包人不得以此为借口，拒不履行或拖延合同的履行。否则发包人有权终止合同，并要求承包人赔偿由此导致的发包人的损失。</w:t>
      </w:r>
    </w:p>
    <w:p w14:paraId="5FCA11A9">
      <w:pPr>
        <w:ind w:left="210" w:leftChars="100"/>
        <w:rPr>
          <w:rFonts w:hint="eastAsia" w:ascii="仿宋_GB2312" w:hAnsi="仿宋_GB2312" w:eastAsia="仿宋_GB2312" w:cs="仿宋_GB2312"/>
          <w:color w:val="auto"/>
          <w:sz w:val="24"/>
          <w:highlight w:val="none"/>
        </w:rPr>
      </w:pPr>
    </w:p>
    <w:p w14:paraId="2C8E98CD">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104</w:t>
      </w:r>
      <w:r>
        <w:rPr>
          <w:rFonts w:ascii="仿宋_GB2312" w:hAnsi="仿宋_GB2312" w:eastAsia="仿宋_GB2312" w:cs="仿宋_GB2312"/>
          <w:color w:val="auto"/>
          <w:sz w:val="24"/>
          <w:highlight w:val="none"/>
        </w:rPr>
        <w:t>.4 争议：</w:t>
      </w:r>
    </w:p>
    <w:p w14:paraId="7A002802">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争议的解决方式。本合同在履行过程中发生争议，由双方协商解决，也可由监理工程师调解，或由有关主管部门调解（监理工程师调解不成时）：协商或调解不成的，再向广州市花都区人民法院提起诉讼解决，但此前必须双方进行协商或调解，未经协商或调解不得申请起诉。</w:t>
      </w:r>
    </w:p>
    <w:p w14:paraId="4492A216">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发生争议后，除出现下列情况外，承包人无条件承诺：争议发生后，承包人必须在做好现场证据保全后继续按照合同要求施工，不得以解决争议为由单方面停工，或者以争议解决需要时日为由拖延竣工。否则，发包人有权先行解除与承包人的合同，承包人必须在7天内撤场。但承包人的撤场不影响其另行解决争议和索赔的权利。</w:t>
      </w:r>
    </w:p>
    <w:p w14:paraId="03C87BC8">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（1）单方违约导致合同确已无法履行，双方协议停止施工； </w:t>
      </w:r>
    </w:p>
    <w:p w14:paraId="49367ED7">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（2）调解要求停止施工，且为双方接受； </w:t>
      </w:r>
    </w:p>
    <w:p w14:paraId="01FB6BDA">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（3）仲裁机构要求停止施工； </w:t>
      </w:r>
    </w:p>
    <w:p w14:paraId="133D9857">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（4）法院要求停止施工。</w:t>
      </w:r>
    </w:p>
    <w:p w14:paraId="150E1602">
      <w:pPr>
        <w:ind w:left="210" w:leftChars="100"/>
        <w:rPr>
          <w:rFonts w:hint="eastAsia" w:ascii="仿宋_GB2312" w:hAnsi="仿宋_GB2312" w:eastAsia="仿宋_GB2312" w:cs="仿宋_GB2312"/>
          <w:color w:val="auto"/>
          <w:sz w:val="24"/>
          <w:highlight w:val="none"/>
        </w:rPr>
      </w:pPr>
    </w:p>
    <w:p w14:paraId="501E2E35">
      <w:pPr>
        <w:ind w:left="210" w:leftChars="1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104</w:t>
      </w:r>
      <w:r>
        <w:rPr>
          <w:rFonts w:ascii="仿宋_GB2312" w:hAnsi="仿宋_GB2312" w:eastAsia="仿宋_GB2312" w:cs="仿宋_GB2312"/>
          <w:color w:val="auto"/>
          <w:sz w:val="24"/>
          <w:highlight w:val="none"/>
        </w:rPr>
        <w:t>.5 补充条款：</w:t>
      </w:r>
    </w:p>
    <w:p w14:paraId="68D81ED1">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本着承包人对所承包的工程质量负责到底的精神，承包人自工程竣工验收合格之日起（或工程未验收之前由发包人通知交付使用之日起）对工程质量实施保修。发包人扣留该工程造价的3%作为缺陷责任期的质量保证金，按本合同第三部分《专用条款》对质量保证金的约定支付给承包人（无息）。缺陷责任期内在正常使用的条件下，确因施工方面的原因而发生的工程质量问题，其返修工作及修复费均由承包人负责，为了保证设施的正常使用功能，避免发生事故，承包人在接到返修通知后一星期内必须进场返修，否则，发包人有权安排其它施工单位进场返修，所发生的费用由承包人负责支付。工程验收合格之前，工程的保管责任由承包人负责，工程质量按国务院279号《建筑工程质量管理条例执行》。</w:t>
      </w:r>
    </w:p>
    <w:p w14:paraId="01ED8602">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承包人的项目经理、副经理以及主要行政与技术领导等，必须常驻工地，不得兼职。合同对承包人的各种人员的到位情况和任职是作为一种条件来要求的（特别是项目经理部的主要管理人员、主要技术人员）。必须保证投标文件中拟定的项目经理及其主要管理人员和技术人员能及时地、始终地参与本工程的施工管理，未经监理工程师同意，不得随意更换。合同签订后，项目经理、项目班子主要成员不到位，则监理工程师不签发开工令，工期不顺延；施工中班子主要成员离开工地应向监理工程师请假，经批准后才能离开，擅自离开工地，监理工程师将发出停工令，待人员回到岗位后才批准复工，由此产生的工期及经济损失由承包人自负，造成发包人和建设管理方损失的，发包人和建设管理方保留索赔的权利。</w:t>
      </w:r>
    </w:p>
    <w:p w14:paraId="306C7210">
      <w:pPr>
        <w:ind w:left="420" w:leftChars="200" w:firstLine="480" w:firstLine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监理工程师定期对主要管理和技术人员的到位情况进行检查；若无正当理由且未经监理工程师同意更换项目经理或项目经理未按要求在施工现场进行施工管理工作的，则无条件接受发包人和建设管理方经济处罚，并按监理工程师要求重新整顿落实。若发现施工现场项目经理和总工每月驻工地时间少于20天，以每月少于20天为一次计算，根据对发包人的影响程度，每次按有关规定作经济处罚。若设备、机械设备及检测设备不按照投标书中的承诺投入，根据对发包人的影响程度，按有关规定作经济处罚。</w:t>
      </w:r>
    </w:p>
    <w:p w14:paraId="1B6D9388">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已明确地下管线，承包人有责任保护其安全，如因施工损坏，由承包人承担相关责任并负责经济赔偿。凡标明有地下管线的地方，应挖探坑查明管线的具体位置并作出保护措施后方可施工。为保护好地下管线，要求承包人在钻桩开钻及排水沟、基坑开挖前，先进行勘探性探测（钻孔桩施工时应挖相当桩截面不少于3.0米深的探坑），确认没有遇到地下任何管线后，才允许开钻及开挖，否则由此引起的一切损失由承包人负责。</w:t>
      </w:r>
    </w:p>
    <w:p w14:paraId="56AC75B6">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4、施工场地</w:t>
      </w:r>
    </w:p>
    <w:p w14:paraId="48B97174">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（1）承包人只能在发包人提供的施工场地范围内进行布置、安排和组织施工。承包人如需占用发包人提供的施工场地范围以外的场地，须自行办理有关手续及支付相关费用。</w:t>
      </w:r>
    </w:p>
    <w:p w14:paraId="6BA15907">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（2）鉴于工程建设项目的特点，发包人可能会分期提供场地，承包人应据此调整施工进度计划。只有承包人提供足够的资料证明发包人拖延其关键工序的开始，这种拖延才被视为补偿事件，并获得发包人批准。</w:t>
      </w:r>
    </w:p>
    <w:p w14:paraId="6D8301ED">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5 、执行《关于印发&lt;广东省建设领域工人工资支付分账管理暂行办法&gt;的通知》（粵人社规〔2018〕14号）、《关于印发广州市建设领域工人工资支付分账管理实施细则的通知》（穗建规字〔2017〕10号）中的相关规定，乙方须在建设项目开工前，在项目所在地国有银行设立工人工资支付专用账户。 </w:t>
      </w:r>
    </w:p>
    <w:p w14:paraId="4A5B17EB">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6、本合同协议书约定的乙方开户银行及账号必需与本合同附件《工程资金监管协议》中约定的乙方开户银行及账号一致，且在项目所在地国有银行设立的非公司基本账户。</w:t>
      </w:r>
    </w:p>
    <w:p w14:paraId="6B5891A2">
      <w:pPr>
        <w:ind w:left="420" w:leftChars="200"/>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7、本合同未尽事宜，双方另行协议签定补充合同。</w:t>
      </w:r>
    </w:p>
    <w:p w14:paraId="36C631D9">
      <w:pPr>
        <w:rPr>
          <w:rFonts w:hint="eastAsia"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br w:type="page"/>
      </w:r>
    </w:p>
    <w:p w14:paraId="428258C6">
      <w:pPr>
        <w:numPr>
          <w:ilvl w:val="0"/>
          <w:numId w:val="5"/>
        </w:numPr>
        <w:spacing w:line="360" w:lineRule="auto"/>
        <w:jc w:val="center"/>
        <w:outlineLvl w:val="1"/>
        <w:rPr>
          <w:rFonts w:hint="eastAsia" w:hAnsi="宋体"/>
          <w:b/>
          <w:bCs/>
          <w:color w:val="auto"/>
          <w:sz w:val="36"/>
          <w:szCs w:val="36"/>
          <w:highlight w:val="none"/>
        </w:rPr>
      </w:pPr>
      <w:r>
        <w:rPr>
          <w:rFonts w:hAnsi="宋体"/>
          <w:b/>
          <w:bCs/>
          <w:color w:val="auto"/>
          <w:sz w:val="36"/>
          <w:szCs w:val="36"/>
          <w:highlight w:val="none"/>
        </w:rPr>
        <w:t xml:space="preserve"> </w:t>
      </w:r>
      <w:r>
        <w:rPr>
          <w:rFonts w:hint="eastAsia" w:hAnsi="宋体"/>
          <w:b/>
          <w:bCs/>
          <w:color w:val="auto"/>
          <w:sz w:val="36"/>
          <w:szCs w:val="36"/>
          <w:highlight w:val="none"/>
        </w:rPr>
        <w:t>附件</w:t>
      </w:r>
      <w:bookmarkStart w:id="7" w:name="_Toc266892925"/>
      <w:bookmarkStart w:id="8" w:name="_Toc469384141"/>
      <w:bookmarkStart w:id="9" w:name="_Toc10624985"/>
    </w:p>
    <w:p w14:paraId="3EB8B7EE">
      <w:pPr>
        <w:spacing w:line="360" w:lineRule="auto"/>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附件</w:t>
      </w:r>
      <w:bookmarkEnd w:id="7"/>
      <w:bookmarkEnd w:id="8"/>
      <w:bookmarkEnd w:id="9"/>
      <w:r>
        <w:rPr>
          <w:rFonts w:hint="eastAsia" w:ascii="仿宋" w:hAnsi="仿宋" w:eastAsia="仿宋" w:cs="仿宋"/>
          <w:b/>
          <w:bCs/>
          <w:color w:val="auto"/>
          <w:sz w:val="24"/>
          <w:highlight w:val="none"/>
        </w:rPr>
        <w:t>一</w:t>
      </w:r>
    </w:p>
    <w:p w14:paraId="03B9D6CE">
      <w:pPr>
        <w:adjustRightInd w:val="0"/>
        <w:snapToGrid w:val="0"/>
        <w:spacing w:line="360" w:lineRule="auto"/>
        <w:jc w:val="center"/>
        <w:rPr>
          <w:rFonts w:hint="eastAsia" w:ascii="仿宋" w:hAnsi="仿宋" w:eastAsia="仿宋" w:cs="Times New Roman"/>
          <w:b/>
          <w:bCs/>
          <w:color w:val="auto"/>
          <w:spacing w:val="32"/>
          <w:sz w:val="36"/>
          <w:szCs w:val="36"/>
          <w:highlight w:val="none"/>
        </w:rPr>
      </w:pPr>
      <w:r>
        <w:rPr>
          <w:rFonts w:hint="eastAsia" w:ascii="仿宋" w:hAnsi="仿宋" w:eastAsia="仿宋" w:cs="仿宋"/>
          <w:b/>
          <w:bCs/>
          <w:color w:val="auto"/>
          <w:spacing w:val="32"/>
          <w:sz w:val="36"/>
          <w:szCs w:val="36"/>
          <w:highlight w:val="none"/>
        </w:rPr>
        <w:t>工程质量保修书</w:t>
      </w:r>
    </w:p>
    <w:p w14:paraId="37C784BB">
      <w:pPr>
        <w:adjustRightInd w:val="0"/>
        <w:snapToGrid w:val="0"/>
        <w:spacing w:line="360" w:lineRule="auto"/>
        <w:rPr>
          <w:rFonts w:hint="eastAsia" w:ascii="仿宋" w:hAnsi="仿宋" w:eastAsia="仿宋" w:cs="Times New Roman"/>
          <w:color w:val="auto"/>
          <w:sz w:val="24"/>
          <w:highlight w:val="none"/>
        </w:rPr>
      </w:pPr>
    </w:p>
    <w:p w14:paraId="4273C3D3">
      <w:pPr>
        <w:adjustRightInd w:val="0"/>
        <w:snapToGrid w:val="0"/>
        <w:spacing w:line="360" w:lineRule="auto"/>
        <w:ind w:firstLine="480" w:firstLineChars="200"/>
        <w:rPr>
          <w:rFonts w:hint="eastAsia" w:ascii="仿宋" w:hAnsi="仿宋" w:eastAsia="仿宋" w:cs="Times New Roman"/>
          <w:color w:val="auto"/>
          <w:sz w:val="24"/>
          <w:highlight w:val="none"/>
        </w:rPr>
      </w:pPr>
      <w:r>
        <w:rPr>
          <w:rFonts w:hint="eastAsia" w:ascii="仿宋" w:hAnsi="仿宋" w:eastAsia="仿宋" w:cs="仿宋"/>
          <w:color w:val="auto"/>
          <w:sz w:val="24"/>
          <w:highlight w:val="none"/>
        </w:rPr>
        <w:t>发包人：（全称）</w:t>
      </w:r>
      <w:r>
        <w:rPr>
          <w:rFonts w:ascii="仿宋" w:hAnsi="仿宋" w:eastAsia="仿宋" w:cs="仿宋"/>
          <w:color w:val="auto"/>
          <w:sz w:val="24"/>
          <w:highlight w:val="none"/>
          <w:u w:val="single"/>
        </w:rPr>
        <w:t xml:space="preserve">                            </w:t>
      </w:r>
    </w:p>
    <w:p w14:paraId="1C2A2C58">
      <w:pPr>
        <w:adjustRightInd w:val="0"/>
        <w:snapToGrid w:val="0"/>
        <w:spacing w:line="360" w:lineRule="auto"/>
        <w:ind w:firstLine="480" w:firstLineChars="200"/>
        <w:rPr>
          <w:rFonts w:hint="eastAsia" w:ascii="仿宋" w:hAnsi="仿宋" w:eastAsia="仿宋" w:cs="Times New Roman"/>
          <w:color w:val="auto"/>
          <w:sz w:val="24"/>
          <w:highlight w:val="none"/>
        </w:rPr>
      </w:pPr>
      <w:r>
        <w:rPr>
          <w:rFonts w:hint="eastAsia" w:ascii="仿宋" w:hAnsi="仿宋" w:eastAsia="仿宋" w:cs="仿宋"/>
          <w:color w:val="auto"/>
          <w:sz w:val="24"/>
          <w:highlight w:val="none"/>
        </w:rPr>
        <w:t>承包人：（全称）</w:t>
      </w:r>
      <w:r>
        <w:rPr>
          <w:rFonts w:ascii="仿宋" w:hAnsi="仿宋" w:eastAsia="仿宋" w:cs="仿宋"/>
          <w:color w:val="auto"/>
          <w:sz w:val="24"/>
          <w:highlight w:val="none"/>
          <w:u w:val="single"/>
        </w:rPr>
        <w:t xml:space="preserve">                            </w:t>
      </w:r>
    </w:p>
    <w:p w14:paraId="3A964E23">
      <w:pPr>
        <w:adjustRightInd w:val="0"/>
        <w:snapToGrid w:val="0"/>
        <w:spacing w:line="360" w:lineRule="auto"/>
        <w:ind w:firstLine="480" w:firstLineChars="200"/>
        <w:rPr>
          <w:rFonts w:hint="eastAsia" w:ascii="仿宋" w:hAnsi="仿宋" w:eastAsia="仿宋" w:cs="Times New Roman"/>
          <w:color w:val="auto"/>
          <w:sz w:val="24"/>
          <w:highlight w:val="none"/>
        </w:rPr>
      </w:pPr>
      <w:r>
        <w:rPr>
          <w:rFonts w:hint="eastAsia" w:ascii="仿宋" w:hAnsi="仿宋" w:eastAsia="仿宋" w:cs="仿宋"/>
          <w:color w:val="auto"/>
          <w:sz w:val="24"/>
          <w:highlight w:val="none"/>
        </w:rPr>
        <w:t>为保证</w:t>
      </w:r>
      <w:r>
        <w:rPr>
          <w:rFonts w:ascii="仿宋" w:hAnsi="仿宋" w:eastAsia="仿宋" w:cs="仿宋"/>
          <w:color w:val="auto"/>
          <w:sz w:val="24"/>
          <w:highlight w:val="non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（工程名称）在合理使用期限内正常使用，合同双方当事人根据《中华人民共和国建筑法》、《建设工程质量管理条例》和《房屋建筑工程质量保修办法》等规定，经协商一致，订立本质量保修书。</w:t>
      </w:r>
    </w:p>
    <w:p w14:paraId="38B9E28F">
      <w:pPr>
        <w:adjustRightInd w:val="0"/>
        <w:snapToGrid w:val="0"/>
        <w:spacing w:line="360" w:lineRule="auto"/>
        <w:ind w:firstLine="480" w:firstLineChars="200"/>
        <w:rPr>
          <w:rFonts w:hint="eastAsia" w:ascii="仿宋" w:hAnsi="仿宋" w:eastAsia="仿宋" w:cs="Times New Roman"/>
          <w:color w:val="auto"/>
          <w:sz w:val="24"/>
          <w:highlight w:val="none"/>
        </w:rPr>
      </w:pPr>
    </w:p>
    <w:p w14:paraId="155BAE98">
      <w:pPr>
        <w:numPr>
          <w:ilvl w:val="0"/>
          <w:numId w:val="6"/>
        </w:numPr>
        <w:adjustRightInd w:val="0"/>
        <w:snapToGrid w:val="0"/>
        <w:spacing w:line="360" w:lineRule="auto"/>
        <w:ind w:left="902" w:leftChars="200" w:hanging="482" w:hangingChars="200"/>
        <w:rPr>
          <w:rFonts w:hint="eastAsia" w:ascii="仿宋" w:hAnsi="仿宋" w:eastAsia="仿宋" w:cs="Times New Roman"/>
          <w:b/>
          <w:bCs/>
          <w:color w:val="auto"/>
          <w:sz w:val="24"/>
          <w:highlight w:val="none"/>
        </w:rPr>
      </w:pPr>
      <w:r>
        <w:rPr>
          <w:rFonts w:hint="eastAsia" w:ascii="仿宋" w:hAnsi="仿宋" w:eastAsia="仿宋" w:cs="仿宋"/>
          <w:b/>
          <w:bCs/>
          <w:color w:val="auto"/>
          <w:sz w:val="24"/>
          <w:highlight w:val="none"/>
        </w:rPr>
        <w:t>质量保修范围</w:t>
      </w:r>
    </w:p>
    <w:p w14:paraId="7A5EA099">
      <w:pPr>
        <w:adjustRightInd w:val="0"/>
        <w:snapToGrid w:val="0"/>
        <w:spacing w:line="360" w:lineRule="auto"/>
        <w:ind w:firstLine="480" w:firstLineChars="200"/>
        <w:rPr>
          <w:rFonts w:hint="eastAsia" w:ascii="仿宋" w:hAnsi="仿宋" w:eastAsia="仿宋" w:cs="Times New Roman"/>
          <w:color w:val="auto"/>
          <w:sz w:val="24"/>
          <w:highlight w:val="none"/>
        </w:rPr>
      </w:pPr>
      <w:r>
        <w:rPr>
          <w:rFonts w:hint="eastAsia" w:ascii="仿宋" w:hAnsi="仿宋" w:eastAsia="仿宋" w:cs="仿宋"/>
          <w:color w:val="auto"/>
          <w:sz w:val="24"/>
          <w:highlight w:val="none"/>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r>
        <w:rPr>
          <w:rFonts w:hint="eastAsia" w:ascii="仿宋" w:hAnsi="仿宋" w:eastAsia="仿宋" w:cs="仿宋"/>
          <w:color w:val="auto"/>
          <w:sz w:val="24"/>
          <w:highlight w:val="none"/>
          <w:u w:val="single"/>
        </w:rPr>
        <w:t>按本合同协议书中约定的承包范围。</w:t>
      </w:r>
    </w:p>
    <w:p w14:paraId="3F84C497">
      <w:pPr>
        <w:adjustRightInd w:val="0"/>
        <w:snapToGrid w:val="0"/>
        <w:spacing w:line="360" w:lineRule="auto"/>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 xml:space="preserve">                                                                                   </w:t>
      </w:r>
    </w:p>
    <w:p w14:paraId="0FFE0E22">
      <w:pPr>
        <w:numPr>
          <w:ilvl w:val="0"/>
          <w:numId w:val="6"/>
        </w:numPr>
        <w:adjustRightInd w:val="0"/>
        <w:snapToGrid w:val="0"/>
        <w:spacing w:line="360" w:lineRule="auto"/>
        <w:ind w:left="902" w:leftChars="200" w:hanging="482" w:hangingChars="200"/>
        <w:rPr>
          <w:rFonts w:hint="eastAsia" w:ascii="仿宋" w:hAnsi="仿宋" w:eastAsia="仿宋" w:cs="Times New Roman"/>
          <w:b/>
          <w:bCs/>
          <w:color w:val="auto"/>
          <w:sz w:val="24"/>
          <w:highlight w:val="none"/>
        </w:rPr>
      </w:pPr>
      <w:r>
        <w:rPr>
          <w:rFonts w:hint="eastAsia" w:ascii="仿宋" w:hAnsi="仿宋" w:eastAsia="仿宋" w:cs="仿宋"/>
          <w:b/>
          <w:bCs/>
          <w:color w:val="auto"/>
          <w:sz w:val="24"/>
          <w:highlight w:val="none"/>
        </w:rPr>
        <w:t>质量保修期</w:t>
      </w:r>
    </w:p>
    <w:p w14:paraId="35E7A564">
      <w:pPr>
        <w:adjustRightInd w:val="0"/>
        <w:snapToGrid w:val="0"/>
        <w:spacing w:line="360" w:lineRule="auto"/>
        <w:ind w:firstLine="480" w:firstLineChars="200"/>
        <w:rPr>
          <w:rFonts w:hint="eastAsia" w:ascii="仿宋" w:hAnsi="仿宋" w:eastAsia="仿宋" w:cs="Times New Roman"/>
          <w:color w:val="auto"/>
          <w:sz w:val="24"/>
          <w:highlight w:val="none"/>
        </w:rPr>
      </w:pPr>
      <w:r>
        <w:rPr>
          <w:rFonts w:ascii="仿宋" w:hAnsi="仿宋" w:eastAsia="仿宋" w:cs="仿宋"/>
          <w:color w:val="auto"/>
          <w:sz w:val="24"/>
          <w:highlight w:val="none"/>
        </w:rPr>
        <w:t xml:space="preserve">2.1 </w:t>
      </w:r>
      <w:r>
        <w:rPr>
          <w:rFonts w:hint="eastAsia" w:ascii="仿宋" w:hAnsi="仿宋" w:eastAsia="仿宋" w:cs="仿宋"/>
          <w:color w:val="auto"/>
          <w:sz w:val="24"/>
          <w:highlight w:val="none"/>
        </w:rPr>
        <w:t>质量保修期从工程实际竣工之日算起。单项竣工验收的工程，按单项工程分别计算质量保修期。</w:t>
      </w:r>
    </w:p>
    <w:p w14:paraId="49A07893">
      <w:pPr>
        <w:adjustRightInd w:val="0"/>
        <w:snapToGrid w:val="0"/>
        <w:spacing w:line="360" w:lineRule="auto"/>
        <w:ind w:firstLine="480" w:firstLineChars="200"/>
        <w:rPr>
          <w:rFonts w:hint="eastAsia" w:ascii="仿宋" w:hAnsi="仿宋" w:eastAsia="仿宋" w:cs="Times New Roman"/>
          <w:color w:val="auto"/>
          <w:sz w:val="24"/>
          <w:highlight w:val="none"/>
        </w:rPr>
      </w:pPr>
      <w:r>
        <w:rPr>
          <w:rFonts w:ascii="仿宋" w:hAnsi="仿宋" w:eastAsia="仿宋" w:cs="仿宋"/>
          <w:color w:val="auto"/>
          <w:sz w:val="24"/>
          <w:highlight w:val="none"/>
        </w:rPr>
        <w:t xml:space="preserve">2.2 </w:t>
      </w:r>
      <w:r>
        <w:rPr>
          <w:rFonts w:hint="eastAsia" w:ascii="仿宋" w:hAnsi="仿宋" w:eastAsia="仿宋" w:cs="仿宋"/>
          <w:color w:val="auto"/>
          <w:kern w:val="0"/>
          <w:sz w:val="24"/>
          <w:highlight w:val="none"/>
          <w:lang w:val="zh-CN"/>
        </w:rPr>
        <w:t>合同工程质量保修期，合同双方当事人约定如下</w:t>
      </w:r>
      <w:r>
        <w:rPr>
          <w:rFonts w:hint="eastAsia" w:ascii="仿宋" w:hAnsi="仿宋" w:eastAsia="仿宋" w:cs="仿宋"/>
          <w:color w:val="auto"/>
          <w:sz w:val="24"/>
          <w:highlight w:val="none"/>
        </w:rPr>
        <w:t>：</w:t>
      </w:r>
    </w:p>
    <w:p w14:paraId="18566AEC">
      <w:pPr>
        <w:adjustRightInd w:val="0"/>
        <w:snapToGrid w:val="0"/>
        <w:spacing w:line="360" w:lineRule="auto"/>
        <w:ind w:firstLine="480" w:firstLineChars="200"/>
        <w:rPr>
          <w:rFonts w:hint="eastAsia" w:ascii="仿宋" w:hAnsi="仿宋" w:eastAsia="仿宋" w:cs="Times New Roman"/>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．地基基础工程、主体结构工程为设计文件规定的合理使用年限；</w:t>
      </w:r>
    </w:p>
    <w:p w14:paraId="00806CE7">
      <w:pPr>
        <w:adjustRightInd w:val="0"/>
        <w:snapToGrid w:val="0"/>
        <w:spacing w:line="360" w:lineRule="auto"/>
        <w:ind w:firstLine="480" w:firstLineChars="200"/>
        <w:rPr>
          <w:rFonts w:hint="eastAsia" w:ascii="仿宋" w:hAnsi="仿宋" w:eastAsia="仿宋" w:cs="Times New Roman"/>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．屋面防水工程、有防水要求的卫生间、房间和外墙面的防渗漏工程为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5</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p>
    <w:p w14:paraId="0376993F">
      <w:pPr>
        <w:adjustRightInd w:val="0"/>
        <w:snapToGrid w:val="0"/>
        <w:spacing w:line="360" w:lineRule="auto"/>
        <w:ind w:firstLine="240" w:firstLineChars="100"/>
        <w:rPr>
          <w:rFonts w:hint="eastAsia" w:ascii="仿宋" w:hAnsi="仿宋" w:eastAsia="仿宋" w:cs="Times New Roman"/>
          <w:color w:val="auto"/>
          <w:sz w:val="24"/>
          <w:highlight w:val="none"/>
        </w:rPr>
      </w:pPr>
      <w:r>
        <w:rPr>
          <w:rFonts w:ascii="仿宋" w:hAnsi="仿宋" w:eastAsia="仿宋" w:cs="仿宋"/>
          <w:color w:val="auto"/>
          <w:sz w:val="24"/>
          <w:highlight w:val="none"/>
        </w:rPr>
        <w:t xml:space="preserve">  3</w:t>
      </w:r>
      <w:r>
        <w:rPr>
          <w:rFonts w:hint="eastAsia" w:ascii="仿宋" w:hAnsi="仿宋" w:eastAsia="仿宋" w:cs="仿宋"/>
          <w:color w:val="auto"/>
          <w:sz w:val="24"/>
          <w:highlight w:val="none"/>
        </w:rPr>
        <w:t>．电气管线工程、给排水管道工程、设备安装工程为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2</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p>
    <w:p w14:paraId="7398DF38">
      <w:pPr>
        <w:adjustRightInd w:val="0"/>
        <w:snapToGrid w:val="0"/>
        <w:spacing w:line="360" w:lineRule="auto"/>
        <w:ind w:firstLine="480" w:firstLineChars="200"/>
        <w:rPr>
          <w:rFonts w:hint="eastAsia" w:ascii="仿宋" w:hAnsi="仿宋" w:eastAsia="仿宋" w:cs="Times New Roman"/>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rPr>
        <w:t>．供热、供冷系统工程为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2</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个采暖期、供冷期；</w:t>
      </w:r>
    </w:p>
    <w:p w14:paraId="0C13B35C">
      <w:pPr>
        <w:adjustRightInd w:val="0"/>
        <w:snapToGrid w:val="0"/>
        <w:spacing w:line="360" w:lineRule="auto"/>
        <w:ind w:firstLine="480" w:firstLineChars="200"/>
        <w:rPr>
          <w:rFonts w:hint="eastAsia" w:ascii="仿宋" w:hAnsi="仿宋" w:eastAsia="仿宋" w:cs="Times New Roman"/>
          <w:color w:val="auto"/>
          <w:sz w:val="24"/>
          <w:highlight w:val="none"/>
        </w:rPr>
      </w:pPr>
      <w:r>
        <w:rPr>
          <w:rFonts w:ascii="仿宋" w:hAnsi="仿宋" w:eastAsia="仿宋" w:cs="仿宋"/>
          <w:color w:val="auto"/>
          <w:sz w:val="24"/>
          <w:highlight w:val="none"/>
        </w:rPr>
        <w:t>5</w:t>
      </w:r>
      <w:r>
        <w:rPr>
          <w:rFonts w:hint="eastAsia" w:ascii="仿宋" w:hAnsi="仿宋" w:eastAsia="仿宋" w:cs="仿宋"/>
          <w:color w:val="auto"/>
          <w:sz w:val="24"/>
          <w:highlight w:val="none"/>
        </w:rPr>
        <w:t>．装饰装修工程为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2</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p>
    <w:p w14:paraId="416A20D1">
      <w:pPr>
        <w:adjustRightInd w:val="0"/>
        <w:snapToGrid w:val="0"/>
        <w:spacing w:line="360" w:lineRule="auto"/>
        <w:ind w:firstLine="480" w:firstLineChars="200"/>
        <w:rPr>
          <w:rFonts w:hint="eastAsia" w:ascii="仿宋" w:hAnsi="仿宋" w:eastAsia="仿宋" w:cs="Times New Roman"/>
          <w:color w:val="auto"/>
          <w:sz w:val="24"/>
          <w:highlight w:val="none"/>
        </w:rPr>
      </w:pPr>
      <w:r>
        <w:rPr>
          <w:rFonts w:ascii="仿宋" w:hAnsi="仿宋" w:eastAsia="仿宋" w:cs="仿宋"/>
          <w:color w:val="auto"/>
          <w:sz w:val="24"/>
          <w:highlight w:val="none"/>
        </w:rPr>
        <w:t>6</w:t>
      </w:r>
      <w:r>
        <w:rPr>
          <w:rFonts w:hint="eastAsia" w:ascii="仿宋" w:hAnsi="仿宋" w:eastAsia="仿宋" w:cs="仿宋"/>
          <w:color w:val="auto"/>
          <w:sz w:val="24"/>
          <w:highlight w:val="none"/>
        </w:rPr>
        <w:t>．本项目整体为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2年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3FA79F4">
      <w:pPr>
        <w:adjustRightInd w:val="0"/>
        <w:snapToGrid w:val="0"/>
        <w:spacing w:line="360" w:lineRule="auto"/>
        <w:ind w:firstLine="480" w:firstLineChars="200"/>
        <w:rPr>
          <w:rFonts w:hint="eastAsia" w:ascii="仿宋" w:hAnsi="仿宋" w:eastAsia="仿宋" w:cs="Times New Roman"/>
          <w:color w:val="auto"/>
          <w:sz w:val="24"/>
          <w:highlight w:val="none"/>
        </w:rPr>
      </w:pPr>
    </w:p>
    <w:p w14:paraId="1A85431B">
      <w:pPr>
        <w:adjustRightInd w:val="0"/>
        <w:snapToGrid w:val="0"/>
        <w:spacing w:line="360" w:lineRule="auto"/>
        <w:ind w:left="480"/>
        <w:rPr>
          <w:rFonts w:hint="eastAsia" w:ascii="仿宋" w:hAnsi="仿宋" w:eastAsia="仿宋" w:cs="Times New Roman"/>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w:t>
      </w:r>
      <w:r>
        <w:rPr>
          <w:rFonts w:ascii="仿宋" w:hAnsi="仿宋" w:eastAsia="仿宋" w:cs="仿宋"/>
          <w:color w:val="auto"/>
          <w:sz w:val="24"/>
          <w:highlight w:val="none"/>
        </w:rPr>
        <w:t xml:space="preserve"> </w:t>
      </w:r>
      <w:r>
        <w:rPr>
          <w:rFonts w:hint="eastAsia" w:ascii="仿宋" w:hAnsi="仿宋" w:eastAsia="仿宋" w:cs="仿宋"/>
          <w:b/>
          <w:bCs/>
          <w:color w:val="auto"/>
          <w:sz w:val="24"/>
          <w:highlight w:val="none"/>
        </w:rPr>
        <w:t>质量保修责任</w:t>
      </w:r>
    </w:p>
    <w:p w14:paraId="290CA113">
      <w:pPr>
        <w:adjustRightInd w:val="0"/>
        <w:snapToGrid w:val="0"/>
        <w:spacing w:line="360" w:lineRule="auto"/>
        <w:ind w:firstLine="480" w:firstLineChars="200"/>
        <w:rPr>
          <w:rFonts w:hint="eastAsia" w:ascii="仿宋" w:hAnsi="仿宋" w:eastAsia="仿宋" w:cs="Times New Roman"/>
          <w:color w:val="auto"/>
          <w:sz w:val="24"/>
          <w:highlight w:val="none"/>
        </w:rPr>
      </w:pPr>
      <w:r>
        <w:rPr>
          <w:rFonts w:ascii="仿宋" w:hAnsi="仿宋" w:eastAsia="仿宋" w:cs="仿宋"/>
          <w:color w:val="auto"/>
          <w:sz w:val="24"/>
          <w:highlight w:val="none"/>
        </w:rPr>
        <w:t xml:space="preserve">3.1  </w:t>
      </w:r>
      <w:r>
        <w:rPr>
          <w:rFonts w:hint="eastAsia" w:ascii="仿宋" w:hAnsi="仿宋" w:eastAsia="仿宋" w:cs="仿宋"/>
          <w:color w:val="auto"/>
          <w:kern w:val="0"/>
          <w:sz w:val="24"/>
          <w:highlight w:val="none"/>
          <w:lang w:val="zh-CN"/>
        </w:rPr>
        <w:t>属于保修范围的项目，承包人应在接到发包人通知后的</w:t>
      </w:r>
      <w:r>
        <w:rPr>
          <w:rFonts w:ascii="仿宋" w:hAnsi="仿宋" w:eastAsia="仿宋" w:cs="仿宋"/>
          <w:color w:val="auto"/>
          <w:kern w:val="0"/>
          <w:sz w:val="24"/>
          <w:highlight w:val="none"/>
        </w:rPr>
        <w:t xml:space="preserve"> 7 </w:t>
      </w:r>
      <w:r>
        <w:rPr>
          <w:rFonts w:hint="eastAsia" w:ascii="仿宋" w:hAnsi="仿宋" w:eastAsia="仿宋" w:cs="仿宋"/>
          <w:color w:val="auto"/>
          <w:kern w:val="0"/>
          <w:sz w:val="24"/>
          <w:highlight w:val="none"/>
          <w:lang w:val="zh-CN"/>
        </w:rPr>
        <w:t>天内派人保修。承包人未能</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在规定时间内派人保修的，发包人可自行或委托第三方保修</w:t>
      </w:r>
      <w:r>
        <w:rPr>
          <w:rFonts w:hint="eastAsia" w:ascii="仿宋" w:hAnsi="仿宋" w:eastAsia="仿宋" w:cs="仿宋"/>
          <w:color w:val="auto"/>
          <w:sz w:val="24"/>
          <w:highlight w:val="none"/>
        </w:rPr>
        <w:t>。</w:t>
      </w:r>
    </w:p>
    <w:p w14:paraId="450DC944">
      <w:pPr>
        <w:adjustRightInd w:val="0"/>
        <w:snapToGrid w:val="0"/>
        <w:spacing w:line="360" w:lineRule="auto"/>
        <w:ind w:firstLine="480" w:firstLineChars="200"/>
        <w:rPr>
          <w:rFonts w:hint="eastAsia" w:ascii="仿宋" w:hAnsi="仿宋" w:eastAsia="仿宋" w:cs="Times New Roman"/>
          <w:color w:val="auto"/>
          <w:sz w:val="24"/>
          <w:highlight w:val="none"/>
        </w:rPr>
      </w:pPr>
      <w:r>
        <w:rPr>
          <w:rFonts w:ascii="仿宋" w:hAnsi="仿宋" w:eastAsia="仿宋" w:cs="仿宋"/>
          <w:color w:val="auto"/>
          <w:sz w:val="24"/>
          <w:highlight w:val="none"/>
        </w:rPr>
        <w:t xml:space="preserve">3.2  </w:t>
      </w:r>
      <w:r>
        <w:rPr>
          <w:rFonts w:hint="eastAsia" w:ascii="仿宋" w:hAnsi="仿宋" w:eastAsia="仿宋" w:cs="仿宋"/>
          <w:color w:val="auto"/>
          <w:sz w:val="24"/>
          <w:highlight w:val="none"/>
        </w:rPr>
        <w:t>发生紧急抢修事故的，承包人在接到通知后，应立即到达事故现场抢修。</w:t>
      </w:r>
    </w:p>
    <w:p w14:paraId="7E8FB85B">
      <w:pPr>
        <w:adjustRightInd w:val="0"/>
        <w:snapToGrid w:val="0"/>
        <w:spacing w:line="360" w:lineRule="auto"/>
        <w:ind w:firstLine="480" w:firstLineChars="200"/>
        <w:rPr>
          <w:rFonts w:hint="eastAsia" w:ascii="仿宋" w:hAnsi="仿宋" w:eastAsia="仿宋" w:cs="Times New Roman"/>
          <w:color w:val="auto"/>
          <w:sz w:val="24"/>
          <w:highlight w:val="none"/>
        </w:rPr>
      </w:pPr>
      <w:r>
        <w:rPr>
          <w:rFonts w:ascii="仿宋" w:hAnsi="仿宋" w:eastAsia="仿宋" w:cs="仿宋"/>
          <w:color w:val="auto"/>
          <w:sz w:val="24"/>
          <w:highlight w:val="none"/>
        </w:rPr>
        <w:t xml:space="preserve">3.3  </w:t>
      </w:r>
      <w:r>
        <w:rPr>
          <w:rFonts w:hint="eastAsia" w:ascii="仿宋" w:hAnsi="仿宋" w:eastAsia="仿宋" w:cs="仿宋"/>
          <w:color w:val="auto"/>
          <w:sz w:val="24"/>
          <w:highlight w:val="none"/>
        </w:rPr>
        <w:t>在国家规定的工程合理使用期限内，承包人应确保地基基础工程和主体结构的质量和安全。凡出现其质量问题，应立即报告当地建设行政主管部门，经设计人提出保修方案后，承包人应立即实施保修。</w:t>
      </w:r>
    </w:p>
    <w:p w14:paraId="583C78B6">
      <w:pPr>
        <w:adjustRightInd w:val="0"/>
        <w:snapToGrid w:val="0"/>
        <w:spacing w:line="360" w:lineRule="auto"/>
        <w:ind w:firstLine="480" w:firstLineChars="200"/>
        <w:rPr>
          <w:rFonts w:hint="eastAsia" w:ascii="仿宋" w:hAnsi="仿宋" w:eastAsia="仿宋" w:cs="Times New Roman"/>
          <w:color w:val="auto"/>
          <w:sz w:val="24"/>
          <w:highlight w:val="none"/>
        </w:rPr>
      </w:pPr>
      <w:r>
        <w:rPr>
          <w:rFonts w:ascii="仿宋" w:hAnsi="仿宋" w:eastAsia="仿宋" w:cs="仿宋"/>
          <w:color w:val="auto"/>
          <w:sz w:val="24"/>
          <w:highlight w:val="none"/>
        </w:rPr>
        <w:t xml:space="preserve">3.4  </w:t>
      </w:r>
      <w:r>
        <w:rPr>
          <w:rFonts w:hint="eastAsia" w:ascii="仿宋" w:hAnsi="仿宋" w:eastAsia="仿宋" w:cs="仿宋"/>
          <w:color w:val="auto"/>
          <w:sz w:val="24"/>
          <w:highlight w:val="none"/>
        </w:rPr>
        <w:t>质量保修完成后，由发包人组织验收。</w:t>
      </w:r>
    </w:p>
    <w:p w14:paraId="45D81440">
      <w:pPr>
        <w:adjustRightInd w:val="0"/>
        <w:snapToGrid w:val="0"/>
        <w:spacing w:line="360" w:lineRule="auto"/>
        <w:rPr>
          <w:rFonts w:hint="eastAsia" w:ascii="仿宋" w:hAnsi="仿宋" w:eastAsia="仿宋" w:cs="Times New Roman"/>
          <w:color w:val="auto"/>
          <w:sz w:val="24"/>
          <w:highlight w:val="none"/>
        </w:rPr>
      </w:pPr>
    </w:p>
    <w:p w14:paraId="68FAC0D4">
      <w:pPr>
        <w:adjustRightInd w:val="0"/>
        <w:snapToGrid w:val="0"/>
        <w:spacing w:line="360" w:lineRule="auto"/>
        <w:ind w:left="480"/>
        <w:rPr>
          <w:rFonts w:hint="eastAsia" w:ascii="仿宋" w:hAnsi="仿宋" w:eastAsia="仿宋" w:cs="Times New Roman"/>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质量保修费用</w:t>
      </w:r>
    </w:p>
    <w:p w14:paraId="5068CCBD">
      <w:pPr>
        <w:adjustRightInd w:val="0"/>
        <w:snapToGrid w:val="0"/>
        <w:spacing w:line="360" w:lineRule="auto"/>
        <w:ind w:firstLine="480" w:firstLineChars="200"/>
        <w:rPr>
          <w:rFonts w:hint="eastAsia" w:ascii="仿宋" w:hAnsi="仿宋" w:eastAsia="仿宋" w:cs="Times New Roman"/>
          <w:color w:val="auto"/>
          <w:sz w:val="24"/>
          <w:highlight w:val="none"/>
        </w:rPr>
      </w:pPr>
      <w:r>
        <w:rPr>
          <w:rFonts w:hint="eastAsia" w:ascii="仿宋" w:hAnsi="仿宋" w:eastAsia="仿宋" w:cs="仿宋"/>
          <w:color w:val="auto"/>
          <w:kern w:val="0"/>
          <w:sz w:val="24"/>
          <w:highlight w:val="none"/>
          <w:lang w:val="zh-CN"/>
        </w:rPr>
        <w:t>质量保修等费用，由责任方承担</w:t>
      </w:r>
      <w:r>
        <w:rPr>
          <w:rFonts w:hint="eastAsia" w:ascii="仿宋" w:hAnsi="仿宋" w:eastAsia="仿宋" w:cs="仿宋"/>
          <w:color w:val="auto"/>
          <w:sz w:val="24"/>
          <w:highlight w:val="none"/>
        </w:rPr>
        <w:t>。</w:t>
      </w:r>
    </w:p>
    <w:p w14:paraId="62D551D0">
      <w:pPr>
        <w:adjustRightInd w:val="0"/>
        <w:snapToGrid w:val="0"/>
        <w:spacing w:line="360" w:lineRule="auto"/>
        <w:ind w:firstLine="480" w:firstLineChars="200"/>
        <w:rPr>
          <w:rFonts w:hint="eastAsia" w:ascii="仿宋" w:hAnsi="仿宋" w:eastAsia="仿宋" w:cs="Times New Roman"/>
          <w:color w:val="auto"/>
          <w:sz w:val="24"/>
          <w:highlight w:val="none"/>
        </w:rPr>
      </w:pPr>
    </w:p>
    <w:p w14:paraId="2D003709">
      <w:pPr>
        <w:adjustRightInd w:val="0"/>
        <w:snapToGrid w:val="0"/>
        <w:spacing w:line="360" w:lineRule="auto"/>
        <w:ind w:firstLine="480" w:firstLineChars="200"/>
        <w:rPr>
          <w:rFonts w:hint="eastAsia" w:ascii="仿宋" w:hAnsi="仿宋" w:eastAsia="仿宋" w:cs="Times New Roman"/>
          <w:color w:val="auto"/>
          <w:sz w:val="24"/>
          <w:highlight w:val="none"/>
        </w:rPr>
      </w:pPr>
      <w:r>
        <w:rPr>
          <w:rFonts w:ascii="仿宋" w:hAnsi="仿宋" w:eastAsia="仿宋" w:cs="仿宋"/>
          <w:color w:val="auto"/>
          <w:sz w:val="24"/>
          <w:highlight w:val="none"/>
        </w:rPr>
        <w:t>5</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质量保证金</w:t>
      </w:r>
    </w:p>
    <w:p w14:paraId="20DD73D3">
      <w:pPr>
        <w:adjustRightInd w:val="0"/>
        <w:snapToGrid w:val="0"/>
        <w:spacing w:line="360" w:lineRule="auto"/>
        <w:ind w:firstLine="480" w:firstLineChars="200"/>
        <w:rPr>
          <w:rFonts w:hint="eastAsia" w:ascii="仿宋" w:hAnsi="仿宋" w:eastAsia="仿宋" w:cs="Times New Roman"/>
          <w:color w:val="auto"/>
          <w:sz w:val="24"/>
          <w:highlight w:val="none"/>
        </w:rPr>
      </w:pPr>
      <w:r>
        <w:rPr>
          <w:rFonts w:hint="eastAsia" w:ascii="仿宋" w:hAnsi="仿宋" w:eastAsia="仿宋" w:cs="仿宋"/>
          <w:color w:val="auto"/>
          <w:kern w:val="0"/>
          <w:sz w:val="24"/>
          <w:highlight w:val="none"/>
          <w:lang w:val="zh-CN"/>
        </w:rPr>
        <w:t>质量保证金的约定、支付和使用与本合同第二部分《通用条款》第</w:t>
      </w:r>
      <w:r>
        <w:rPr>
          <w:rFonts w:ascii="仿宋" w:hAnsi="仿宋" w:eastAsia="仿宋" w:cs="仿宋"/>
          <w:color w:val="auto"/>
          <w:kern w:val="0"/>
          <w:sz w:val="24"/>
          <w:highlight w:val="none"/>
        </w:rPr>
        <w:t xml:space="preserve"> 84 </w:t>
      </w:r>
      <w:r>
        <w:rPr>
          <w:rFonts w:hint="eastAsia" w:ascii="仿宋" w:hAnsi="仿宋" w:eastAsia="仿宋" w:cs="仿宋"/>
          <w:color w:val="auto"/>
          <w:kern w:val="0"/>
          <w:sz w:val="24"/>
          <w:highlight w:val="none"/>
          <w:lang w:val="zh-CN"/>
        </w:rPr>
        <w:t>条赋予的规</w:t>
      </w:r>
      <w:r>
        <w:rPr>
          <w:rFonts w:hint="eastAsia" w:ascii="仿宋" w:hAnsi="仿宋" w:eastAsia="仿宋" w:cs="仿宋"/>
          <w:color w:val="auto"/>
          <w:sz w:val="24"/>
          <w:highlight w:val="none"/>
        </w:rPr>
        <w:t>定一致。</w:t>
      </w:r>
    </w:p>
    <w:p w14:paraId="501C648C">
      <w:pPr>
        <w:adjustRightInd w:val="0"/>
        <w:snapToGrid w:val="0"/>
        <w:spacing w:line="360" w:lineRule="auto"/>
        <w:ind w:left="480"/>
        <w:rPr>
          <w:rFonts w:hint="eastAsia" w:ascii="仿宋" w:hAnsi="仿宋" w:eastAsia="仿宋" w:cs="Times New Roman"/>
          <w:color w:val="auto"/>
          <w:sz w:val="24"/>
          <w:highlight w:val="none"/>
        </w:rPr>
      </w:pPr>
    </w:p>
    <w:p w14:paraId="221CE1EC">
      <w:pPr>
        <w:adjustRightInd w:val="0"/>
        <w:snapToGrid w:val="0"/>
        <w:spacing w:line="360" w:lineRule="auto"/>
        <w:ind w:left="480"/>
        <w:rPr>
          <w:rFonts w:hint="eastAsia" w:ascii="仿宋" w:hAnsi="仿宋" w:eastAsia="仿宋" w:cs="Times New Roman"/>
          <w:color w:val="auto"/>
          <w:sz w:val="24"/>
          <w:highlight w:val="none"/>
        </w:rPr>
      </w:pPr>
      <w:r>
        <w:rPr>
          <w:rFonts w:ascii="仿宋" w:hAnsi="仿宋" w:eastAsia="仿宋" w:cs="仿宋"/>
          <w:color w:val="auto"/>
          <w:sz w:val="24"/>
          <w:highlight w:val="none"/>
        </w:rPr>
        <w:t>6</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其他</w:t>
      </w:r>
    </w:p>
    <w:p w14:paraId="04A7728A">
      <w:pPr>
        <w:adjustRightInd w:val="0"/>
        <w:snapToGrid w:val="0"/>
        <w:spacing w:line="360" w:lineRule="auto"/>
        <w:ind w:firstLine="480" w:firstLineChars="200"/>
        <w:rPr>
          <w:rFonts w:hint="eastAsia" w:ascii="仿宋" w:hAnsi="仿宋" w:eastAsia="仿宋" w:cs="Times New Roman"/>
          <w:color w:val="auto"/>
          <w:sz w:val="24"/>
          <w:highlight w:val="none"/>
        </w:rPr>
      </w:pPr>
      <w:r>
        <w:rPr>
          <w:rFonts w:ascii="仿宋" w:hAnsi="仿宋" w:eastAsia="仿宋" w:cs="仿宋"/>
          <w:color w:val="auto"/>
          <w:sz w:val="24"/>
          <w:highlight w:val="none"/>
        </w:rPr>
        <w:t xml:space="preserve">6.1  </w:t>
      </w:r>
      <w:r>
        <w:rPr>
          <w:rFonts w:hint="eastAsia" w:ascii="仿宋" w:hAnsi="仿宋" w:eastAsia="仿宋" w:cs="仿宋"/>
          <w:color w:val="auto"/>
          <w:kern w:val="0"/>
          <w:sz w:val="24"/>
          <w:highlight w:val="none"/>
          <w:lang w:val="zh-CN"/>
        </w:rPr>
        <w:t>合同双方当事人约定的其他质量保修事</w:t>
      </w:r>
      <w:r>
        <w:rPr>
          <w:rFonts w:hint="eastAsia" w:ascii="仿宋" w:hAnsi="仿宋" w:eastAsia="仿宋" w:cs="仿宋"/>
          <w:color w:val="auto"/>
          <w:sz w:val="24"/>
          <w:highlight w:val="none"/>
        </w:rPr>
        <w:t>项：</w:t>
      </w:r>
    </w:p>
    <w:p w14:paraId="5ED25866">
      <w:pPr>
        <w:adjustRightInd w:val="0"/>
        <w:snapToGrid w:val="0"/>
        <w:spacing w:line="360" w:lineRule="auto"/>
        <w:ind w:firstLine="480" w:firstLineChars="200"/>
        <w:rPr>
          <w:rFonts w:hint="eastAsia" w:ascii="仿宋" w:hAnsi="仿宋" w:eastAsia="仿宋" w:cs="Times New Roman"/>
          <w:color w:val="auto"/>
          <w:sz w:val="24"/>
          <w:highlight w:val="none"/>
        </w:rPr>
      </w:pPr>
      <w:r>
        <w:rPr>
          <w:rFonts w:ascii="仿宋" w:hAnsi="仿宋" w:eastAsia="仿宋" w:cs="仿宋"/>
          <w:color w:val="auto"/>
          <w:sz w:val="24"/>
          <w:highlight w:val="none"/>
        </w:rPr>
        <w:t xml:space="preserve">6.2  </w:t>
      </w:r>
      <w:r>
        <w:rPr>
          <w:rFonts w:hint="eastAsia" w:ascii="仿宋" w:hAnsi="仿宋" w:eastAsia="仿宋" w:cs="仿宋"/>
          <w:color w:val="auto"/>
          <w:kern w:val="0"/>
          <w:sz w:val="24"/>
          <w:highlight w:val="none"/>
          <w:lang w:val="zh-CN"/>
        </w:rPr>
        <w:t>本质量保修书，由合同双方当事人在承包人向发包人提交竣工验收申请报告时签署，</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作为本合同的附件</w:t>
      </w:r>
      <w:r>
        <w:rPr>
          <w:rFonts w:hint="eastAsia" w:ascii="仿宋" w:hAnsi="仿宋" w:eastAsia="仿宋" w:cs="仿宋"/>
          <w:color w:val="auto"/>
          <w:sz w:val="24"/>
          <w:highlight w:val="none"/>
        </w:rPr>
        <w:t>。</w:t>
      </w:r>
    </w:p>
    <w:p w14:paraId="6EE88EBF">
      <w:pPr>
        <w:adjustRightInd w:val="0"/>
        <w:snapToGrid w:val="0"/>
        <w:spacing w:line="360" w:lineRule="auto"/>
        <w:ind w:firstLine="480" w:firstLineChars="200"/>
        <w:rPr>
          <w:rFonts w:hint="eastAsia" w:ascii="仿宋" w:hAnsi="仿宋" w:eastAsia="仿宋" w:cs="Times New Roman"/>
          <w:color w:val="auto"/>
          <w:sz w:val="24"/>
          <w:highlight w:val="none"/>
        </w:rPr>
      </w:pPr>
      <w:r>
        <w:rPr>
          <w:rFonts w:ascii="仿宋" w:hAnsi="仿宋" w:eastAsia="仿宋" w:cs="仿宋"/>
          <w:color w:val="auto"/>
          <w:sz w:val="24"/>
          <w:highlight w:val="none"/>
        </w:rPr>
        <w:t xml:space="preserve">6.3  </w:t>
      </w:r>
      <w:r>
        <w:rPr>
          <w:rFonts w:hint="eastAsia" w:ascii="仿宋" w:hAnsi="仿宋" w:eastAsia="仿宋" w:cs="仿宋"/>
          <w:color w:val="auto"/>
          <w:kern w:val="0"/>
          <w:sz w:val="24"/>
          <w:highlight w:val="none"/>
          <w:lang w:val="zh-CN"/>
        </w:rPr>
        <w:t>本质量保修书，自合同双方当事人签署之日起生效，至质量保修期满后失效。</w:t>
      </w:r>
    </w:p>
    <w:p w14:paraId="5F1F5408">
      <w:pPr>
        <w:adjustRightInd w:val="0"/>
        <w:snapToGrid w:val="0"/>
        <w:spacing w:line="360" w:lineRule="auto"/>
        <w:ind w:firstLine="480" w:firstLineChars="200"/>
        <w:rPr>
          <w:rFonts w:hint="eastAsia" w:ascii="仿宋" w:hAnsi="仿宋" w:eastAsia="仿宋" w:cs="Times New Roman"/>
          <w:color w:val="auto"/>
          <w:sz w:val="24"/>
          <w:highlight w:val="none"/>
        </w:rPr>
      </w:pPr>
    </w:p>
    <w:p w14:paraId="44BC0238">
      <w:pPr>
        <w:adjustRightInd w:val="0"/>
        <w:snapToGrid w:val="0"/>
        <w:spacing w:line="360" w:lineRule="auto"/>
        <w:ind w:firstLine="480" w:firstLineChars="200"/>
        <w:rPr>
          <w:rFonts w:hint="eastAsia" w:ascii="仿宋" w:hAnsi="仿宋" w:eastAsia="仿宋" w:cs="Times New Roman"/>
          <w:color w:val="auto"/>
          <w:sz w:val="24"/>
          <w:highlight w:val="none"/>
        </w:rPr>
      </w:pPr>
    </w:p>
    <w:p w14:paraId="66C715A9">
      <w:pPr>
        <w:adjustRightInd w:val="0"/>
        <w:snapToGrid w:val="0"/>
        <w:spacing w:line="360" w:lineRule="auto"/>
        <w:ind w:firstLine="480" w:firstLineChars="200"/>
        <w:rPr>
          <w:rFonts w:hint="eastAsia" w:ascii="仿宋" w:hAnsi="仿宋" w:eastAsia="仿宋" w:cs="Times New Roman"/>
          <w:color w:val="auto"/>
          <w:sz w:val="24"/>
          <w:highlight w:val="none"/>
        </w:rPr>
      </w:pPr>
      <w:r>
        <w:rPr>
          <w:rFonts w:hint="eastAsia" w:ascii="仿宋" w:hAnsi="仿宋" w:eastAsia="仿宋" w:cs="仿宋"/>
          <w:color w:val="auto"/>
          <w:sz w:val="24"/>
          <w:highlight w:val="none"/>
        </w:rPr>
        <w:t>发</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包</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人：（盖章）</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承</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包</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人：（盖章）</w:t>
      </w:r>
    </w:p>
    <w:p w14:paraId="171D1681">
      <w:pPr>
        <w:adjustRightInd w:val="0"/>
        <w:snapToGrid w:val="0"/>
        <w:spacing w:line="360" w:lineRule="auto"/>
        <w:ind w:firstLine="480" w:firstLineChars="200"/>
        <w:rPr>
          <w:rFonts w:hint="eastAsia" w:ascii="仿宋" w:hAnsi="仿宋" w:eastAsia="仿宋" w:cs="仿宋"/>
          <w:color w:val="auto"/>
          <w:sz w:val="24"/>
          <w:highlight w:val="none"/>
        </w:rPr>
      </w:pPr>
    </w:p>
    <w:p w14:paraId="38D9CFCF">
      <w:pPr>
        <w:adjustRightInd w:val="0"/>
        <w:snapToGrid w:val="0"/>
        <w:spacing w:line="360" w:lineRule="auto"/>
        <w:ind w:firstLine="480" w:firstLineChars="200"/>
        <w:rPr>
          <w:rFonts w:hint="eastAsia" w:ascii="仿宋" w:hAnsi="仿宋" w:eastAsia="仿宋" w:cs="Times New Roman"/>
          <w:color w:val="auto"/>
          <w:sz w:val="24"/>
          <w:highlight w:val="none"/>
        </w:rPr>
      </w:pPr>
      <w:r>
        <w:rPr>
          <w:rFonts w:hint="eastAsia" w:ascii="仿宋" w:hAnsi="仿宋" w:eastAsia="仿宋" w:cs="仿宋"/>
          <w:color w:val="auto"/>
          <w:sz w:val="24"/>
          <w:highlight w:val="none"/>
        </w:rPr>
        <w:t>法定代表人：（签字）</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法定代表人：（签字）</w:t>
      </w:r>
    </w:p>
    <w:p w14:paraId="1AA9A2DE">
      <w:pPr>
        <w:spacing w:line="360" w:lineRule="auto"/>
        <w:ind w:firstLine="480" w:firstLineChars="200"/>
        <w:jc w:val="left"/>
        <w:rPr>
          <w:rFonts w:hint="eastAsia" w:ascii="仿宋" w:hAnsi="仿宋" w:eastAsia="仿宋" w:cs="仿宋"/>
          <w:color w:val="auto"/>
          <w:sz w:val="24"/>
          <w:highlight w:val="none"/>
        </w:rPr>
      </w:pPr>
    </w:p>
    <w:p w14:paraId="6A1FD6CF">
      <w:pPr>
        <w:spacing w:line="360" w:lineRule="auto"/>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经办人：</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 xml:space="preserve">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经办人：</w:t>
      </w:r>
      <w:r>
        <w:rPr>
          <w:rFonts w:ascii="仿宋" w:hAnsi="仿宋" w:eastAsia="仿宋" w:cs="仿宋"/>
          <w:color w:val="auto"/>
          <w:sz w:val="24"/>
          <w:highlight w:val="none"/>
          <w:u w:val="single"/>
        </w:rPr>
        <w:t xml:space="preserve">              </w:t>
      </w:r>
    </w:p>
    <w:p w14:paraId="13926063">
      <w:pPr>
        <w:spacing w:line="360" w:lineRule="auto"/>
        <w:ind w:firstLine="480" w:firstLineChars="200"/>
        <w:jc w:val="left"/>
        <w:rPr>
          <w:rFonts w:hint="eastAsia" w:ascii="仿宋" w:hAnsi="仿宋" w:eastAsia="仿宋" w:cs="仿宋"/>
          <w:color w:val="auto"/>
          <w:sz w:val="24"/>
          <w:highlight w:val="none"/>
          <w:u w:val="single"/>
        </w:rPr>
      </w:pPr>
    </w:p>
    <w:p w14:paraId="233D7E6B">
      <w:pPr>
        <w:spacing w:line="360" w:lineRule="auto"/>
        <w:ind w:firstLine="480" w:firstLineChars="200"/>
        <w:jc w:val="left"/>
        <w:rPr>
          <w:rFonts w:hint="eastAsia" w:ascii="仿宋" w:hAnsi="仿宋" w:eastAsia="仿宋" w:cs="仿宋"/>
          <w:color w:val="auto"/>
          <w:sz w:val="24"/>
          <w:highlight w:val="none"/>
          <w:u w:val="single"/>
        </w:rPr>
      </w:pPr>
    </w:p>
    <w:p w14:paraId="00639C82">
      <w:pPr>
        <w:adjustRightInd w:val="0"/>
        <w:snapToGrid w:val="0"/>
        <w:spacing w:line="360" w:lineRule="auto"/>
        <w:ind w:firstLine="480" w:firstLineChars="200"/>
        <w:jc w:val="center"/>
        <w:rPr>
          <w:rFonts w:hint="eastAsia" w:ascii="仿宋" w:hAnsi="仿宋" w:eastAsia="仿宋" w:cs="Times New Roman"/>
          <w:color w:val="auto"/>
          <w:sz w:val="24"/>
          <w:highlight w:val="none"/>
        </w:rPr>
      </w:pP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4CF2FE43">
      <w:pPr>
        <w:spacing w:line="360" w:lineRule="auto"/>
        <w:rPr>
          <w:rFonts w:hint="eastAsia" w:ascii="仿宋" w:hAnsi="仿宋" w:eastAsia="仿宋" w:cs="Times New Roman"/>
          <w:color w:val="auto"/>
          <w:sz w:val="24"/>
          <w:highlight w:val="none"/>
        </w:rPr>
      </w:pPr>
    </w:p>
    <w:p w14:paraId="58884563">
      <w:pPr>
        <w:rPr>
          <w:rFonts w:hint="eastAsia" w:ascii="仿宋" w:hAnsi="仿宋" w:eastAsia="仿宋" w:cs="仿宋"/>
          <w:b/>
          <w:bCs/>
          <w:color w:val="auto"/>
          <w:sz w:val="24"/>
          <w:highlight w:val="none"/>
        </w:rPr>
      </w:pPr>
      <w:bookmarkStart w:id="10" w:name="_Toc266892926"/>
      <w:bookmarkStart w:id="11" w:name="_Toc469384142"/>
      <w:bookmarkStart w:id="12" w:name="_Toc10624986"/>
      <w:r>
        <w:rPr>
          <w:rFonts w:hint="eastAsia" w:ascii="仿宋" w:hAnsi="仿宋" w:eastAsia="仿宋" w:cs="仿宋"/>
          <w:b/>
          <w:bCs/>
          <w:color w:val="auto"/>
          <w:sz w:val="24"/>
          <w:highlight w:val="none"/>
        </w:rPr>
        <w:br w:type="page"/>
      </w:r>
    </w:p>
    <w:p w14:paraId="4F33DFCD">
      <w:pPr>
        <w:spacing w:line="360" w:lineRule="auto"/>
        <w:outlineLvl w:val="1"/>
        <w:rPr>
          <w:rFonts w:hint="eastAsia" w:ascii="仿宋" w:hAnsi="仿宋" w:eastAsia="仿宋" w:cs="Times New Roman"/>
          <w:b/>
          <w:bCs/>
          <w:color w:val="auto"/>
          <w:sz w:val="24"/>
          <w:highlight w:val="none"/>
        </w:rPr>
      </w:pPr>
      <w:r>
        <w:rPr>
          <w:rFonts w:hint="eastAsia" w:ascii="仿宋" w:hAnsi="仿宋" w:eastAsia="仿宋" w:cs="仿宋"/>
          <w:b/>
          <w:bCs/>
          <w:color w:val="auto"/>
          <w:sz w:val="24"/>
          <w:highlight w:val="none"/>
        </w:rPr>
        <w:t>附件</w:t>
      </w:r>
      <w:bookmarkEnd w:id="10"/>
      <w:bookmarkEnd w:id="11"/>
      <w:bookmarkEnd w:id="12"/>
      <w:r>
        <w:rPr>
          <w:rFonts w:hint="eastAsia" w:ascii="仿宋" w:hAnsi="仿宋" w:eastAsia="仿宋" w:cs="仿宋"/>
          <w:b/>
          <w:bCs/>
          <w:color w:val="auto"/>
          <w:sz w:val="24"/>
          <w:highlight w:val="none"/>
        </w:rPr>
        <w:t>二</w:t>
      </w:r>
    </w:p>
    <w:p w14:paraId="67522E12">
      <w:pPr>
        <w:spacing w:line="360" w:lineRule="auto"/>
        <w:jc w:val="center"/>
        <w:rPr>
          <w:rFonts w:hint="eastAsia" w:ascii="仿宋" w:hAnsi="仿宋" w:eastAsia="仿宋" w:cs="Times New Roman"/>
          <w:b/>
          <w:bCs/>
          <w:color w:val="auto"/>
          <w:sz w:val="36"/>
          <w:szCs w:val="36"/>
          <w:highlight w:val="none"/>
        </w:rPr>
      </w:pPr>
      <w:r>
        <w:rPr>
          <w:rFonts w:hint="eastAsia" w:ascii="仿宋" w:hAnsi="仿宋" w:eastAsia="仿宋" w:cs="仿宋"/>
          <w:b/>
          <w:bCs/>
          <w:color w:val="auto"/>
          <w:sz w:val="36"/>
          <w:szCs w:val="36"/>
          <w:highlight w:val="none"/>
        </w:rPr>
        <w:t>廉</w:t>
      </w:r>
      <w:r>
        <w:rPr>
          <w:rFonts w:ascii="仿宋" w:hAnsi="仿宋" w:eastAsia="仿宋" w:cs="仿宋"/>
          <w:b/>
          <w:bCs/>
          <w:color w:val="auto"/>
          <w:sz w:val="36"/>
          <w:szCs w:val="36"/>
          <w:highlight w:val="none"/>
        </w:rPr>
        <w:t xml:space="preserve"> </w:t>
      </w:r>
      <w:r>
        <w:rPr>
          <w:rFonts w:hint="eastAsia" w:ascii="仿宋" w:hAnsi="仿宋" w:eastAsia="仿宋" w:cs="仿宋"/>
          <w:b/>
          <w:bCs/>
          <w:color w:val="auto"/>
          <w:sz w:val="36"/>
          <w:szCs w:val="36"/>
          <w:highlight w:val="none"/>
        </w:rPr>
        <w:t>政</w:t>
      </w:r>
      <w:r>
        <w:rPr>
          <w:rFonts w:ascii="仿宋" w:hAnsi="仿宋" w:eastAsia="仿宋" w:cs="仿宋"/>
          <w:b/>
          <w:bCs/>
          <w:color w:val="auto"/>
          <w:sz w:val="36"/>
          <w:szCs w:val="36"/>
          <w:highlight w:val="none"/>
        </w:rPr>
        <w:t xml:space="preserve"> </w:t>
      </w:r>
      <w:r>
        <w:rPr>
          <w:rFonts w:hint="eastAsia" w:ascii="仿宋" w:hAnsi="仿宋" w:eastAsia="仿宋" w:cs="仿宋"/>
          <w:b/>
          <w:bCs/>
          <w:color w:val="auto"/>
          <w:sz w:val="36"/>
          <w:szCs w:val="36"/>
          <w:highlight w:val="none"/>
        </w:rPr>
        <w:t>合</w:t>
      </w:r>
      <w:r>
        <w:rPr>
          <w:rFonts w:ascii="仿宋" w:hAnsi="仿宋" w:eastAsia="仿宋" w:cs="仿宋"/>
          <w:b/>
          <w:bCs/>
          <w:color w:val="auto"/>
          <w:sz w:val="36"/>
          <w:szCs w:val="36"/>
          <w:highlight w:val="none"/>
        </w:rPr>
        <w:t xml:space="preserve"> </w:t>
      </w:r>
      <w:r>
        <w:rPr>
          <w:rFonts w:hint="eastAsia" w:ascii="仿宋" w:hAnsi="仿宋" w:eastAsia="仿宋" w:cs="仿宋"/>
          <w:b/>
          <w:bCs/>
          <w:color w:val="auto"/>
          <w:sz w:val="36"/>
          <w:szCs w:val="36"/>
          <w:highlight w:val="none"/>
        </w:rPr>
        <w:t>同</w:t>
      </w:r>
    </w:p>
    <w:p w14:paraId="3B2390E0">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发包人：（全称）</w:t>
      </w:r>
      <w:r>
        <w:rPr>
          <w:rFonts w:ascii="仿宋" w:hAnsi="仿宋" w:eastAsia="仿宋" w:cs="仿宋"/>
          <w:color w:val="auto"/>
          <w:sz w:val="24"/>
          <w:highlight w:val="none"/>
          <w:u w:val="single"/>
        </w:rPr>
        <w:t xml:space="preserve">                                    </w:t>
      </w:r>
    </w:p>
    <w:p w14:paraId="5272D0BD">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承包人：（全称）</w:t>
      </w:r>
      <w:r>
        <w:rPr>
          <w:rFonts w:ascii="仿宋" w:hAnsi="仿宋" w:eastAsia="仿宋" w:cs="仿宋"/>
          <w:color w:val="auto"/>
          <w:sz w:val="24"/>
          <w:highlight w:val="none"/>
          <w:u w:val="single"/>
        </w:rPr>
        <w:t xml:space="preserve">                                    </w:t>
      </w:r>
    </w:p>
    <w:p w14:paraId="723A13CE">
      <w:pPr>
        <w:spacing w:line="288" w:lineRule="auto"/>
        <w:ind w:firstLine="480" w:firstLineChars="200"/>
        <w:rPr>
          <w:rFonts w:hint="eastAsia" w:ascii="仿宋" w:hAnsi="仿宋" w:eastAsia="仿宋" w:cs="Times New Roman"/>
          <w:color w:val="auto"/>
          <w:sz w:val="24"/>
          <w:highlight w:val="none"/>
        </w:rPr>
      </w:pPr>
      <w:r>
        <w:rPr>
          <w:rFonts w:hint="eastAsia" w:ascii="仿宋" w:hAnsi="仿宋" w:eastAsia="仿宋" w:cs="仿宋"/>
          <w:color w:val="auto"/>
          <w:kern w:val="0"/>
          <w:sz w:val="24"/>
          <w:highlight w:val="none"/>
          <w:lang w:val="zh-CN"/>
        </w:rPr>
        <w:t>根据国家、省有关廉政建设的规定，为做好合同工程的廉政建设，保证工程质量与施工安</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全，提高建设资金的有效使用和投资效益，合同双方当事人就加强合同工程的廉政建设，订立本合同</w:t>
      </w:r>
      <w:r>
        <w:rPr>
          <w:rFonts w:hint="eastAsia" w:ascii="仿宋" w:hAnsi="仿宋" w:eastAsia="仿宋" w:cs="仿宋"/>
          <w:color w:val="auto"/>
          <w:sz w:val="24"/>
          <w:highlight w:val="none"/>
        </w:rPr>
        <w:t>。</w:t>
      </w:r>
    </w:p>
    <w:p w14:paraId="6ABBB1AB">
      <w:pPr>
        <w:spacing w:line="288" w:lineRule="auto"/>
        <w:ind w:firstLine="562" w:firstLineChars="200"/>
        <w:jc w:val="left"/>
        <w:rPr>
          <w:rFonts w:hint="eastAsia" w:ascii="仿宋" w:hAnsi="仿宋" w:eastAsia="仿宋" w:cs="Times New Roman"/>
          <w:b/>
          <w:bCs/>
          <w:color w:val="auto"/>
          <w:sz w:val="28"/>
          <w:szCs w:val="28"/>
          <w:highlight w:val="none"/>
        </w:rPr>
      </w:pPr>
      <w:r>
        <w:rPr>
          <w:rFonts w:ascii="仿宋" w:hAnsi="仿宋" w:eastAsia="仿宋" w:cs="仿宋"/>
          <w:b/>
          <w:bCs/>
          <w:color w:val="auto"/>
          <w:sz w:val="28"/>
          <w:szCs w:val="28"/>
          <w:highlight w:val="none"/>
        </w:rPr>
        <w:t xml:space="preserve">1  </w:t>
      </w:r>
      <w:r>
        <w:rPr>
          <w:rFonts w:hint="eastAsia" w:ascii="仿宋" w:hAnsi="仿宋" w:eastAsia="仿宋" w:cs="仿宋"/>
          <w:b/>
          <w:bCs/>
          <w:color w:val="auto"/>
          <w:sz w:val="28"/>
          <w:szCs w:val="28"/>
          <w:highlight w:val="none"/>
        </w:rPr>
        <w:t>双方权利和义务</w:t>
      </w:r>
    </w:p>
    <w:p w14:paraId="09DE6857">
      <w:pPr>
        <w:spacing w:line="288" w:lineRule="auto"/>
        <w:ind w:firstLine="480" w:firstLineChars="200"/>
        <w:jc w:val="left"/>
        <w:rPr>
          <w:rFonts w:hint="eastAsia" w:ascii="仿宋" w:hAnsi="仿宋" w:eastAsia="仿宋" w:cs="Times New Roman"/>
          <w:color w:val="auto"/>
          <w:sz w:val="24"/>
          <w:highlight w:val="none"/>
        </w:rPr>
      </w:pPr>
      <w:r>
        <w:rPr>
          <w:rFonts w:ascii="仿宋" w:hAnsi="仿宋" w:eastAsia="仿宋" w:cs="仿宋"/>
          <w:color w:val="auto"/>
          <w:sz w:val="24"/>
          <w:highlight w:val="none"/>
        </w:rPr>
        <w:t xml:space="preserve">1.1  </w:t>
      </w:r>
      <w:r>
        <w:rPr>
          <w:rFonts w:hint="eastAsia" w:ascii="仿宋" w:hAnsi="仿宋" w:eastAsia="仿宋" w:cs="仿宋"/>
          <w:color w:val="auto"/>
          <w:sz w:val="24"/>
          <w:highlight w:val="none"/>
        </w:rPr>
        <w:t>严格遵守国家、省有关法律法规的规定。</w:t>
      </w:r>
    </w:p>
    <w:p w14:paraId="2BF85E4A">
      <w:pPr>
        <w:spacing w:line="288" w:lineRule="auto"/>
        <w:ind w:firstLine="480" w:firstLineChars="200"/>
        <w:rPr>
          <w:rFonts w:hint="eastAsia" w:ascii="仿宋" w:hAnsi="仿宋" w:eastAsia="仿宋" w:cs="Times New Roman"/>
          <w:color w:val="auto"/>
          <w:sz w:val="24"/>
          <w:highlight w:val="none"/>
        </w:rPr>
      </w:pPr>
      <w:r>
        <w:rPr>
          <w:rFonts w:ascii="仿宋" w:hAnsi="仿宋" w:eastAsia="仿宋" w:cs="仿宋"/>
          <w:color w:val="auto"/>
          <w:sz w:val="24"/>
          <w:highlight w:val="none"/>
        </w:rPr>
        <w:t xml:space="preserve">1.2  </w:t>
      </w:r>
      <w:r>
        <w:rPr>
          <w:rFonts w:hint="eastAsia" w:ascii="仿宋" w:hAnsi="仿宋" w:eastAsia="仿宋" w:cs="仿宋"/>
          <w:color w:val="auto"/>
          <w:sz w:val="24"/>
          <w:highlight w:val="none"/>
        </w:rPr>
        <w:t>严格执行合同工程一切合同文件，自觉按合同办事。</w:t>
      </w:r>
    </w:p>
    <w:p w14:paraId="6C75A108">
      <w:pPr>
        <w:spacing w:line="288" w:lineRule="auto"/>
        <w:ind w:firstLine="480" w:firstLineChars="200"/>
        <w:rPr>
          <w:rFonts w:hint="eastAsia" w:ascii="仿宋" w:hAnsi="仿宋" w:eastAsia="仿宋" w:cs="Times New Roman"/>
          <w:color w:val="auto"/>
          <w:sz w:val="24"/>
          <w:highlight w:val="none"/>
        </w:rPr>
      </w:pPr>
      <w:r>
        <w:rPr>
          <w:rFonts w:ascii="仿宋" w:hAnsi="仿宋" w:eastAsia="仿宋" w:cs="仿宋"/>
          <w:color w:val="auto"/>
          <w:sz w:val="24"/>
          <w:highlight w:val="none"/>
        </w:rPr>
        <w:t xml:space="preserve">1.3  </w:t>
      </w:r>
      <w:r>
        <w:rPr>
          <w:rFonts w:hint="eastAsia" w:ascii="仿宋" w:hAnsi="仿宋" w:eastAsia="仿宋" w:cs="仿宋"/>
          <w:color w:val="auto"/>
          <w:kern w:val="0"/>
          <w:sz w:val="24"/>
          <w:highlight w:val="none"/>
          <w:lang w:val="zh-CN"/>
        </w:rPr>
        <w:t>合同双方当事人的业务活动应坚持公平、公开、公正和诚信的原则（法律认定的商业</w:t>
      </w:r>
      <w:r>
        <w:rPr>
          <w:rFonts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秘密和合同文件另有规定除外），不得损害国家和集体利益，不得违反工程建设管理规章制度</w:t>
      </w:r>
      <w:r>
        <w:rPr>
          <w:rFonts w:hint="eastAsia" w:ascii="仿宋" w:hAnsi="仿宋" w:eastAsia="仿宋" w:cs="仿宋"/>
          <w:color w:val="auto"/>
          <w:sz w:val="24"/>
          <w:highlight w:val="none"/>
        </w:rPr>
        <w:t>。</w:t>
      </w:r>
    </w:p>
    <w:p w14:paraId="5BDB457B">
      <w:pPr>
        <w:spacing w:line="288" w:lineRule="auto"/>
        <w:ind w:firstLine="480" w:firstLineChars="200"/>
        <w:rPr>
          <w:rFonts w:hint="eastAsia" w:ascii="仿宋" w:hAnsi="仿宋" w:eastAsia="仿宋" w:cs="Times New Roman"/>
          <w:color w:val="auto"/>
          <w:sz w:val="24"/>
          <w:highlight w:val="none"/>
        </w:rPr>
      </w:pPr>
      <w:r>
        <w:rPr>
          <w:rFonts w:ascii="仿宋" w:hAnsi="仿宋" w:eastAsia="仿宋" w:cs="仿宋"/>
          <w:color w:val="auto"/>
          <w:sz w:val="24"/>
          <w:highlight w:val="none"/>
        </w:rPr>
        <w:t xml:space="preserve">1.4  </w:t>
      </w:r>
      <w:r>
        <w:rPr>
          <w:rFonts w:hint="eastAsia" w:ascii="仿宋" w:hAnsi="仿宋" w:eastAsia="仿宋" w:cs="仿宋"/>
          <w:color w:val="auto"/>
          <w:sz w:val="24"/>
          <w:highlight w:val="none"/>
        </w:rPr>
        <w:t>建立健全廉政制度，开展廉政教育，设立廉政告示牌，公布举报电话，监督并认真查处违法违纪行为。</w:t>
      </w:r>
    </w:p>
    <w:p w14:paraId="41EB966D">
      <w:pPr>
        <w:spacing w:line="288" w:lineRule="auto"/>
        <w:ind w:firstLine="480" w:firstLineChars="200"/>
        <w:rPr>
          <w:rFonts w:hint="eastAsia" w:ascii="仿宋" w:hAnsi="仿宋" w:eastAsia="仿宋" w:cs="Times New Roman"/>
          <w:color w:val="auto"/>
          <w:sz w:val="24"/>
          <w:highlight w:val="none"/>
        </w:rPr>
      </w:pPr>
      <w:r>
        <w:rPr>
          <w:rFonts w:ascii="仿宋" w:hAnsi="仿宋" w:eastAsia="仿宋" w:cs="仿宋"/>
          <w:color w:val="auto"/>
          <w:sz w:val="24"/>
          <w:highlight w:val="none"/>
        </w:rPr>
        <w:t xml:space="preserve">1.5  </w:t>
      </w:r>
      <w:r>
        <w:rPr>
          <w:rFonts w:hint="eastAsia" w:ascii="仿宋" w:hAnsi="仿宋" w:eastAsia="仿宋" w:cs="仿宋"/>
          <w:color w:val="auto"/>
          <w:sz w:val="24"/>
          <w:highlight w:val="none"/>
        </w:rPr>
        <w:t>发现对方在业务活动中有违反廉政建设规定的行为，应及时给予提醒和纠正。</w:t>
      </w:r>
    </w:p>
    <w:p w14:paraId="78E54276">
      <w:pPr>
        <w:spacing w:line="288" w:lineRule="auto"/>
        <w:ind w:firstLine="480" w:firstLineChars="200"/>
        <w:jc w:val="left"/>
        <w:rPr>
          <w:rFonts w:hint="eastAsia" w:ascii="仿宋" w:hAnsi="仿宋" w:eastAsia="仿宋" w:cs="Times New Roman"/>
          <w:color w:val="auto"/>
          <w:sz w:val="24"/>
          <w:highlight w:val="none"/>
        </w:rPr>
      </w:pPr>
      <w:r>
        <w:rPr>
          <w:rFonts w:ascii="仿宋" w:hAnsi="仿宋" w:eastAsia="仿宋" w:cs="仿宋"/>
          <w:color w:val="auto"/>
          <w:sz w:val="24"/>
          <w:highlight w:val="none"/>
        </w:rPr>
        <w:t xml:space="preserve">1.6  </w:t>
      </w:r>
      <w:r>
        <w:rPr>
          <w:rFonts w:hint="eastAsia" w:ascii="仿宋" w:hAnsi="仿宋" w:eastAsia="仿宋" w:cs="仿宋"/>
          <w:color w:val="auto"/>
          <w:sz w:val="24"/>
          <w:highlight w:val="none"/>
        </w:rPr>
        <w:t>发现对方严重违反合同的行为，有向其上级部门举报、建议给予处理并要求告知处理结果的权利。没有上级部门的，</w:t>
      </w:r>
      <w:r>
        <w:rPr>
          <w:rFonts w:hint="eastAsia" w:ascii="仿宋" w:hAnsi="仿宋" w:eastAsia="仿宋" w:cs="仿宋"/>
          <w:color w:val="auto"/>
          <w:kern w:val="0"/>
          <w:sz w:val="24"/>
          <w:highlight w:val="none"/>
          <w:lang w:val="zh-CN"/>
        </w:rPr>
        <w:t>可按本合同第二部分《通用条款》第</w:t>
      </w:r>
      <w:r>
        <w:rPr>
          <w:rFonts w:ascii="仿宋" w:hAnsi="仿宋" w:eastAsia="仿宋" w:cs="仿宋"/>
          <w:color w:val="auto"/>
          <w:kern w:val="0"/>
          <w:sz w:val="24"/>
          <w:highlight w:val="none"/>
        </w:rPr>
        <w:t xml:space="preserve"> 87 </w:t>
      </w:r>
      <w:r>
        <w:rPr>
          <w:rFonts w:hint="eastAsia" w:ascii="仿宋" w:hAnsi="仿宋" w:eastAsia="仿宋" w:cs="仿宋"/>
          <w:color w:val="auto"/>
          <w:kern w:val="0"/>
          <w:sz w:val="24"/>
          <w:highlight w:val="none"/>
          <w:lang w:val="zh-CN"/>
        </w:rPr>
        <w:t>条规定处</w:t>
      </w:r>
      <w:r>
        <w:rPr>
          <w:rFonts w:hint="eastAsia" w:ascii="仿宋" w:hAnsi="仿宋" w:eastAsia="仿宋" w:cs="仿宋"/>
          <w:color w:val="auto"/>
          <w:sz w:val="24"/>
          <w:highlight w:val="none"/>
        </w:rPr>
        <w:t>。</w:t>
      </w:r>
    </w:p>
    <w:p w14:paraId="2411CAB3">
      <w:pPr>
        <w:spacing w:line="288" w:lineRule="auto"/>
        <w:ind w:firstLine="562" w:firstLineChars="200"/>
        <w:jc w:val="left"/>
        <w:rPr>
          <w:rFonts w:hint="eastAsia" w:ascii="仿宋" w:hAnsi="仿宋" w:eastAsia="仿宋" w:cs="Times New Roman"/>
          <w:b/>
          <w:bCs/>
          <w:color w:val="auto"/>
          <w:sz w:val="28"/>
          <w:szCs w:val="28"/>
          <w:highlight w:val="none"/>
        </w:rPr>
      </w:pPr>
      <w:r>
        <w:rPr>
          <w:rFonts w:ascii="仿宋" w:hAnsi="仿宋" w:eastAsia="仿宋" w:cs="仿宋"/>
          <w:b/>
          <w:bCs/>
          <w:color w:val="auto"/>
          <w:sz w:val="28"/>
          <w:szCs w:val="28"/>
          <w:highlight w:val="none"/>
        </w:rPr>
        <w:t xml:space="preserve">2  </w:t>
      </w:r>
      <w:r>
        <w:rPr>
          <w:rFonts w:hint="eastAsia" w:ascii="仿宋" w:hAnsi="仿宋" w:eastAsia="仿宋" w:cs="仿宋"/>
          <w:b/>
          <w:bCs/>
          <w:color w:val="auto"/>
          <w:sz w:val="28"/>
          <w:szCs w:val="28"/>
          <w:highlight w:val="none"/>
        </w:rPr>
        <w:t>发包人义务</w:t>
      </w:r>
    </w:p>
    <w:p w14:paraId="0F1568A3">
      <w:pPr>
        <w:spacing w:line="288" w:lineRule="auto"/>
        <w:ind w:firstLine="480" w:firstLineChars="200"/>
        <w:jc w:val="left"/>
        <w:rPr>
          <w:rFonts w:hint="eastAsia" w:ascii="仿宋" w:hAnsi="仿宋" w:eastAsia="仿宋" w:cs="Times New Roman"/>
          <w:color w:val="auto"/>
          <w:sz w:val="24"/>
          <w:highlight w:val="none"/>
        </w:rPr>
      </w:pPr>
      <w:r>
        <w:rPr>
          <w:rFonts w:ascii="仿宋" w:hAnsi="仿宋" w:eastAsia="仿宋" w:cs="仿宋"/>
          <w:color w:val="auto"/>
          <w:sz w:val="24"/>
          <w:highlight w:val="none"/>
        </w:rPr>
        <w:t xml:space="preserve">2.1  </w:t>
      </w:r>
      <w:r>
        <w:rPr>
          <w:rFonts w:hint="eastAsia" w:ascii="仿宋" w:hAnsi="仿宋" w:eastAsia="仿宋" w:cs="仿宋"/>
          <w:color w:val="auto"/>
          <w:sz w:val="24"/>
          <w:highlight w:val="none"/>
        </w:rPr>
        <w:t>发包人及其工作人员不得索要或接受承包人的礼金、有价证券和贵重物品，不得在承包人报销任何应由发包人或工作人员个人支付的费用等。</w:t>
      </w:r>
    </w:p>
    <w:p w14:paraId="7DE21D1B">
      <w:pPr>
        <w:spacing w:line="288" w:lineRule="auto"/>
        <w:ind w:firstLine="480" w:firstLineChars="200"/>
        <w:rPr>
          <w:rFonts w:hint="eastAsia" w:ascii="仿宋" w:hAnsi="仿宋" w:eastAsia="仿宋" w:cs="Times New Roman"/>
          <w:color w:val="auto"/>
          <w:sz w:val="24"/>
          <w:highlight w:val="none"/>
        </w:rPr>
      </w:pPr>
      <w:r>
        <w:rPr>
          <w:rFonts w:ascii="仿宋" w:hAnsi="仿宋" w:eastAsia="仿宋" w:cs="仿宋"/>
          <w:color w:val="auto"/>
          <w:sz w:val="24"/>
          <w:highlight w:val="none"/>
        </w:rPr>
        <w:t xml:space="preserve">2.2  </w:t>
      </w:r>
      <w:r>
        <w:rPr>
          <w:rFonts w:hint="eastAsia" w:ascii="仿宋" w:hAnsi="仿宋" w:eastAsia="仿宋" w:cs="仿宋"/>
          <w:color w:val="auto"/>
          <w:sz w:val="24"/>
          <w:highlight w:val="none"/>
        </w:rPr>
        <w:t>发包人及其工作人员不得参加承包人安排的宴请（工作餐除外）和娱乐活动；不得接受承包人提供的通讯工具、交通工具和高档办公用品等。</w:t>
      </w:r>
    </w:p>
    <w:p w14:paraId="50370C54">
      <w:pPr>
        <w:spacing w:line="288" w:lineRule="auto"/>
        <w:ind w:firstLine="480" w:firstLineChars="200"/>
        <w:rPr>
          <w:rFonts w:hint="eastAsia" w:ascii="仿宋" w:hAnsi="仿宋" w:eastAsia="仿宋" w:cs="Times New Roman"/>
          <w:color w:val="auto"/>
          <w:sz w:val="24"/>
          <w:highlight w:val="none"/>
        </w:rPr>
      </w:pPr>
      <w:r>
        <w:rPr>
          <w:rFonts w:ascii="仿宋" w:hAnsi="仿宋" w:eastAsia="仿宋" w:cs="仿宋"/>
          <w:color w:val="auto"/>
          <w:sz w:val="24"/>
          <w:highlight w:val="none"/>
        </w:rPr>
        <w:t xml:space="preserve">2.3  </w:t>
      </w:r>
      <w:r>
        <w:rPr>
          <w:rFonts w:hint="eastAsia" w:ascii="仿宋" w:hAnsi="仿宋" w:eastAsia="仿宋" w:cs="仿宋"/>
          <w:color w:val="auto"/>
          <w:sz w:val="24"/>
          <w:highlight w:val="none"/>
        </w:rPr>
        <w:t>发包人及其工作人员不得要求或者接受承包人为其住房装修、婚丧嫁娶活动、配偶子女的工作安排以及出国出境、旅游等提供方便等。</w:t>
      </w:r>
    </w:p>
    <w:p w14:paraId="46316CCC">
      <w:pPr>
        <w:spacing w:line="288" w:lineRule="auto"/>
        <w:ind w:firstLine="480" w:firstLineChars="200"/>
        <w:rPr>
          <w:rFonts w:hint="eastAsia" w:ascii="仿宋" w:hAnsi="仿宋" w:eastAsia="仿宋" w:cs="Times New Roman"/>
          <w:color w:val="auto"/>
          <w:sz w:val="24"/>
          <w:highlight w:val="none"/>
        </w:rPr>
      </w:pPr>
      <w:r>
        <w:rPr>
          <w:rFonts w:ascii="仿宋" w:hAnsi="仿宋" w:eastAsia="仿宋" w:cs="仿宋"/>
          <w:color w:val="auto"/>
          <w:sz w:val="24"/>
          <w:highlight w:val="none"/>
        </w:rPr>
        <w:t xml:space="preserve">2.4  </w:t>
      </w:r>
      <w:r>
        <w:rPr>
          <w:rFonts w:hint="eastAsia" w:ascii="仿宋" w:hAnsi="仿宋" w:eastAsia="仿宋" w:cs="仿宋"/>
          <w:color w:val="auto"/>
          <w:kern w:val="0"/>
          <w:sz w:val="24"/>
          <w:highlight w:val="none"/>
          <w:lang w:val="zh-CN"/>
        </w:rPr>
        <w:t>发包人及其工作人员不得以任何理由向承包人推荐分包人、推销材料和工程设备，不得要求承包人购买合同以外的材料和工程设备</w:t>
      </w:r>
      <w:r>
        <w:rPr>
          <w:rFonts w:hint="eastAsia" w:ascii="仿宋" w:hAnsi="仿宋" w:eastAsia="仿宋" w:cs="仿宋"/>
          <w:color w:val="auto"/>
          <w:sz w:val="24"/>
          <w:highlight w:val="none"/>
        </w:rPr>
        <w:t>。</w:t>
      </w:r>
    </w:p>
    <w:p w14:paraId="6058192B">
      <w:pPr>
        <w:spacing w:line="288" w:lineRule="auto"/>
        <w:ind w:firstLine="480" w:firstLineChars="200"/>
        <w:rPr>
          <w:rFonts w:hint="eastAsia" w:ascii="仿宋" w:hAnsi="仿宋" w:eastAsia="仿宋" w:cs="Times New Roman"/>
          <w:color w:val="auto"/>
          <w:sz w:val="24"/>
          <w:highlight w:val="none"/>
        </w:rPr>
      </w:pPr>
      <w:r>
        <w:rPr>
          <w:rFonts w:ascii="仿宋" w:hAnsi="仿宋" w:eastAsia="仿宋" w:cs="仿宋"/>
          <w:color w:val="auto"/>
          <w:sz w:val="24"/>
          <w:highlight w:val="none"/>
        </w:rPr>
        <w:t xml:space="preserve">2.5  </w:t>
      </w:r>
      <w:r>
        <w:rPr>
          <w:rFonts w:hint="eastAsia" w:ascii="仿宋" w:hAnsi="仿宋" w:eastAsia="仿宋" w:cs="仿宋"/>
          <w:color w:val="auto"/>
          <w:kern w:val="0"/>
          <w:sz w:val="24"/>
          <w:highlight w:val="none"/>
          <w:lang w:val="zh-CN"/>
        </w:rPr>
        <w:t>发包人及其工作人员要秉公办事，不准营私舞弊，不准利用职权私自为合同工程安排施工队伍，也不得从事与合同工程有关的各种有偿中介活动</w:t>
      </w:r>
      <w:r>
        <w:rPr>
          <w:rFonts w:hint="eastAsia" w:ascii="仿宋" w:hAnsi="仿宋" w:eastAsia="仿宋" w:cs="仿宋"/>
          <w:color w:val="auto"/>
          <w:sz w:val="24"/>
          <w:highlight w:val="none"/>
        </w:rPr>
        <w:t>。</w:t>
      </w:r>
    </w:p>
    <w:p w14:paraId="3DA61E8C">
      <w:pPr>
        <w:spacing w:line="288" w:lineRule="auto"/>
        <w:ind w:firstLine="480" w:firstLineChars="200"/>
        <w:rPr>
          <w:rFonts w:hint="eastAsia" w:ascii="仿宋" w:hAnsi="仿宋" w:eastAsia="仿宋" w:cs="Times New Roman"/>
          <w:color w:val="auto"/>
          <w:sz w:val="24"/>
          <w:highlight w:val="none"/>
        </w:rPr>
      </w:pPr>
      <w:r>
        <w:rPr>
          <w:rFonts w:ascii="仿宋" w:hAnsi="仿宋" w:eastAsia="仿宋" w:cs="仿宋"/>
          <w:color w:val="auto"/>
          <w:sz w:val="24"/>
          <w:highlight w:val="none"/>
        </w:rPr>
        <w:t xml:space="preserve">2.6  </w:t>
      </w:r>
      <w:r>
        <w:rPr>
          <w:rFonts w:hint="eastAsia" w:ascii="仿宋" w:hAnsi="仿宋" w:eastAsia="仿宋" w:cs="仿宋"/>
          <w:color w:val="auto"/>
          <w:kern w:val="0"/>
          <w:sz w:val="24"/>
          <w:highlight w:val="none"/>
          <w:lang w:val="zh-CN"/>
        </w:rPr>
        <w:t>发包人及其工作人员（含其配偶、子女）不得从事与合同工程有关的材料和工程设备供应、工程分包、劳务等经济活动</w:t>
      </w:r>
      <w:r>
        <w:rPr>
          <w:rFonts w:hint="eastAsia" w:ascii="仿宋" w:hAnsi="仿宋" w:eastAsia="仿宋" w:cs="仿宋"/>
          <w:color w:val="auto"/>
          <w:sz w:val="24"/>
          <w:highlight w:val="none"/>
        </w:rPr>
        <w:t>。</w:t>
      </w:r>
    </w:p>
    <w:p w14:paraId="0AACE98F">
      <w:pPr>
        <w:spacing w:line="288" w:lineRule="auto"/>
        <w:ind w:firstLine="562" w:firstLineChars="200"/>
        <w:rPr>
          <w:rFonts w:hint="eastAsia" w:ascii="仿宋" w:hAnsi="仿宋" w:eastAsia="仿宋" w:cs="Times New Roman"/>
          <w:b/>
          <w:bCs/>
          <w:color w:val="auto"/>
          <w:sz w:val="28"/>
          <w:szCs w:val="28"/>
          <w:highlight w:val="none"/>
        </w:rPr>
      </w:pPr>
      <w:r>
        <w:rPr>
          <w:rFonts w:ascii="仿宋" w:hAnsi="仿宋" w:eastAsia="仿宋" w:cs="仿宋"/>
          <w:b/>
          <w:bCs/>
          <w:color w:val="auto"/>
          <w:sz w:val="28"/>
          <w:szCs w:val="28"/>
          <w:highlight w:val="none"/>
        </w:rPr>
        <w:t xml:space="preserve">3  </w:t>
      </w:r>
      <w:r>
        <w:rPr>
          <w:rFonts w:hint="eastAsia" w:ascii="仿宋" w:hAnsi="仿宋" w:eastAsia="仿宋" w:cs="仿宋"/>
          <w:b/>
          <w:bCs/>
          <w:color w:val="auto"/>
          <w:sz w:val="28"/>
          <w:szCs w:val="28"/>
          <w:highlight w:val="none"/>
        </w:rPr>
        <w:t>承包人义务</w:t>
      </w:r>
    </w:p>
    <w:p w14:paraId="18411709">
      <w:pPr>
        <w:spacing w:line="288" w:lineRule="auto"/>
        <w:ind w:firstLine="480" w:firstLineChars="200"/>
        <w:rPr>
          <w:rFonts w:hint="eastAsia" w:ascii="仿宋" w:hAnsi="仿宋" w:eastAsia="仿宋" w:cs="Times New Roman"/>
          <w:color w:val="auto"/>
          <w:sz w:val="24"/>
          <w:highlight w:val="none"/>
        </w:rPr>
      </w:pPr>
      <w:r>
        <w:rPr>
          <w:rFonts w:ascii="仿宋" w:hAnsi="仿宋" w:eastAsia="仿宋" w:cs="仿宋"/>
          <w:color w:val="auto"/>
          <w:sz w:val="24"/>
          <w:highlight w:val="none"/>
        </w:rPr>
        <w:t xml:space="preserve">3.1  </w:t>
      </w:r>
      <w:r>
        <w:rPr>
          <w:rFonts w:hint="eastAsia" w:ascii="仿宋" w:hAnsi="仿宋" w:eastAsia="仿宋" w:cs="仿宋"/>
          <w:color w:val="auto"/>
          <w:sz w:val="24"/>
          <w:highlight w:val="none"/>
        </w:rPr>
        <w:t>承包人不得以任何理由向发包人及其工作人员行贿或馈赠礼金、有价证券、贵重礼品。</w:t>
      </w:r>
    </w:p>
    <w:p w14:paraId="55AB1C51">
      <w:pPr>
        <w:spacing w:line="288" w:lineRule="auto"/>
        <w:ind w:firstLine="480" w:firstLineChars="200"/>
        <w:rPr>
          <w:rFonts w:hint="eastAsia" w:ascii="仿宋" w:hAnsi="仿宋" w:eastAsia="仿宋" w:cs="Times New Roman"/>
          <w:color w:val="auto"/>
          <w:sz w:val="24"/>
          <w:highlight w:val="none"/>
        </w:rPr>
      </w:pPr>
      <w:r>
        <w:rPr>
          <w:rFonts w:ascii="仿宋" w:hAnsi="仿宋" w:eastAsia="仿宋" w:cs="仿宋"/>
          <w:color w:val="auto"/>
          <w:sz w:val="24"/>
          <w:highlight w:val="none"/>
        </w:rPr>
        <w:t xml:space="preserve">3.2  </w:t>
      </w:r>
      <w:r>
        <w:rPr>
          <w:rFonts w:hint="eastAsia" w:ascii="仿宋" w:hAnsi="仿宋" w:eastAsia="仿宋" w:cs="仿宋"/>
          <w:color w:val="auto"/>
          <w:sz w:val="24"/>
          <w:highlight w:val="none"/>
        </w:rPr>
        <w:t>承包人不得以任何名义为发包人及其工作人员报销应由发包人或工作人员个人支付的任何费用。</w:t>
      </w:r>
    </w:p>
    <w:p w14:paraId="05F19AB9">
      <w:pPr>
        <w:spacing w:line="288" w:lineRule="auto"/>
        <w:ind w:firstLine="480" w:firstLineChars="200"/>
        <w:rPr>
          <w:rFonts w:hint="eastAsia" w:ascii="仿宋" w:hAnsi="仿宋" w:eastAsia="仿宋" w:cs="Times New Roman"/>
          <w:color w:val="auto"/>
          <w:sz w:val="24"/>
          <w:highlight w:val="none"/>
        </w:rPr>
      </w:pPr>
      <w:r>
        <w:rPr>
          <w:rFonts w:ascii="仿宋" w:hAnsi="仿宋" w:eastAsia="仿宋" w:cs="仿宋"/>
          <w:color w:val="auto"/>
          <w:sz w:val="24"/>
          <w:highlight w:val="none"/>
        </w:rPr>
        <w:t xml:space="preserve">3.3  </w:t>
      </w:r>
      <w:r>
        <w:rPr>
          <w:rFonts w:hint="eastAsia" w:ascii="仿宋" w:hAnsi="仿宋" w:eastAsia="仿宋" w:cs="仿宋"/>
          <w:color w:val="auto"/>
          <w:sz w:val="24"/>
          <w:highlight w:val="none"/>
        </w:rPr>
        <w:t>承包人不得以任何理由安排发包人及其工作人员参加宴请（工作餐除外）及娱乐活动。</w:t>
      </w:r>
    </w:p>
    <w:p w14:paraId="653971D4">
      <w:pPr>
        <w:spacing w:line="288" w:lineRule="auto"/>
        <w:ind w:firstLine="480" w:firstLineChars="200"/>
        <w:rPr>
          <w:rFonts w:hint="eastAsia" w:ascii="仿宋" w:hAnsi="仿宋" w:eastAsia="仿宋" w:cs="Times New Roman"/>
          <w:color w:val="auto"/>
          <w:sz w:val="24"/>
          <w:highlight w:val="none"/>
        </w:rPr>
      </w:pPr>
      <w:r>
        <w:rPr>
          <w:rFonts w:ascii="仿宋" w:hAnsi="仿宋" w:eastAsia="仿宋" w:cs="仿宋"/>
          <w:color w:val="auto"/>
          <w:sz w:val="24"/>
          <w:highlight w:val="none"/>
        </w:rPr>
        <w:t xml:space="preserve">3.4  </w:t>
      </w:r>
      <w:r>
        <w:rPr>
          <w:rFonts w:hint="eastAsia" w:ascii="仿宋" w:hAnsi="仿宋" w:eastAsia="仿宋" w:cs="仿宋"/>
          <w:color w:val="auto"/>
          <w:sz w:val="24"/>
          <w:highlight w:val="none"/>
        </w:rPr>
        <w:t>承包人不得为发包人和个人购置或提供通讯工具、交通工具和高档办公用品等。</w:t>
      </w:r>
    </w:p>
    <w:p w14:paraId="481FA42F">
      <w:pPr>
        <w:spacing w:line="288" w:lineRule="auto"/>
        <w:ind w:firstLine="480" w:firstLineChars="200"/>
        <w:rPr>
          <w:rFonts w:hint="eastAsia" w:ascii="仿宋" w:hAnsi="仿宋" w:eastAsia="仿宋" w:cs="Times New Roman"/>
          <w:color w:val="auto"/>
          <w:sz w:val="24"/>
          <w:highlight w:val="none"/>
        </w:rPr>
      </w:pPr>
      <w:r>
        <w:rPr>
          <w:rFonts w:ascii="仿宋" w:hAnsi="仿宋" w:eastAsia="仿宋" w:cs="仿宋"/>
          <w:color w:val="auto"/>
          <w:sz w:val="24"/>
          <w:highlight w:val="none"/>
        </w:rPr>
        <w:t xml:space="preserve">3.5  </w:t>
      </w:r>
      <w:r>
        <w:rPr>
          <w:rFonts w:hint="eastAsia" w:ascii="仿宋" w:hAnsi="仿宋" w:eastAsia="仿宋" w:cs="仿宋"/>
          <w:color w:val="auto"/>
          <w:kern w:val="0"/>
          <w:sz w:val="24"/>
          <w:highlight w:val="none"/>
          <w:lang w:val="zh-CN"/>
        </w:rPr>
        <w:t>承包人不得为发包人及其工作人员的住房装修、婚丧嫁娶活动、配偶子女工作安排以及出国出境、旅游等提供方便。</w:t>
      </w:r>
    </w:p>
    <w:p w14:paraId="7E66DB4D">
      <w:pPr>
        <w:tabs>
          <w:tab w:val="left" w:pos="900"/>
        </w:tabs>
        <w:spacing w:line="288" w:lineRule="auto"/>
        <w:ind w:firstLine="562" w:firstLineChars="200"/>
        <w:rPr>
          <w:rFonts w:hint="eastAsia" w:ascii="仿宋" w:hAnsi="仿宋" w:eastAsia="仿宋" w:cs="Times New Roman"/>
          <w:b/>
          <w:bCs/>
          <w:color w:val="auto"/>
          <w:sz w:val="28"/>
          <w:szCs w:val="28"/>
          <w:highlight w:val="none"/>
        </w:rPr>
      </w:pPr>
      <w:r>
        <w:rPr>
          <w:rFonts w:ascii="仿宋" w:hAnsi="仿宋" w:eastAsia="仿宋" w:cs="仿宋"/>
          <w:b/>
          <w:bCs/>
          <w:color w:val="auto"/>
          <w:sz w:val="28"/>
          <w:szCs w:val="28"/>
          <w:highlight w:val="none"/>
        </w:rPr>
        <w:t xml:space="preserve">4  </w:t>
      </w:r>
      <w:r>
        <w:rPr>
          <w:rFonts w:hint="eastAsia" w:ascii="仿宋" w:hAnsi="仿宋" w:eastAsia="仿宋" w:cs="仿宋"/>
          <w:b/>
          <w:bCs/>
          <w:color w:val="auto"/>
          <w:sz w:val="28"/>
          <w:szCs w:val="28"/>
          <w:highlight w:val="none"/>
        </w:rPr>
        <w:t>违约责任</w:t>
      </w:r>
    </w:p>
    <w:p w14:paraId="75AD8E45">
      <w:pPr>
        <w:spacing w:line="288" w:lineRule="auto"/>
        <w:ind w:firstLine="480" w:firstLineChars="200"/>
        <w:rPr>
          <w:rFonts w:hint="eastAsia" w:ascii="仿宋" w:hAnsi="仿宋" w:eastAsia="仿宋" w:cs="Times New Roman"/>
          <w:color w:val="auto"/>
          <w:sz w:val="24"/>
          <w:highlight w:val="none"/>
        </w:rPr>
      </w:pPr>
      <w:r>
        <w:rPr>
          <w:rFonts w:ascii="仿宋" w:hAnsi="仿宋" w:eastAsia="仿宋" w:cs="仿宋"/>
          <w:color w:val="auto"/>
          <w:sz w:val="24"/>
          <w:highlight w:val="none"/>
        </w:rPr>
        <w:t xml:space="preserve">4.1  </w:t>
      </w:r>
      <w:r>
        <w:rPr>
          <w:rFonts w:hint="eastAsia" w:ascii="仿宋" w:hAnsi="仿宋" w:eastAsia="仿宋" w:cs="仿宋"/>
          <w:color w:val="auto"/>
          <w:sz w:val="24"/>
          <w:highlight w:val="none"/>
        </w:rPr>
        <w:t>发包人及其工作人员违反本合同第</w:t>
      </w:r>
      <w:r>
        <w:rPr>
          <w:rFonts w:ascii="仿宋" w:hAnsi="仿宋" w:eastAsia="仿宋" w:cs="仿宋"/>
          <w:color w:val="auto"/>
          <w:sz w:val="24"/>
          <w:highlight w:val="none"/>
        </w:rPr>
        <w:t>1</w:t>
      </w:r>
      <w:r>
        <w:rPr>
          <w:rFonts w:hint="eastAsia" w:ascii="仿宋" w:hAnsi="仿宋" w:eastAsia="仿宋" w:cs="仿宋"/>
          <w:color w:val="auto"/>
          <w:sz w:val="24"/>
          <w:highlight w:val="none"/>
        </w:rPr>
        <w:t>条和第</w:t>
      </w:r>
      <w:r>
        <w:rPr>
          <w:rFonts w:ascii="仿宋" w:hAnsi="仿宋" w:eastAsia="仿宋" w:cs="仿宋"/>
          <w:color w:val="auto"/>
          <w:sz w:val="24"/>
          <w:highlight w:val="none"/>
        </w:rPr>
        <w:t>2</w:t>
      </w:r>
      <w:r>
        <w:rPr>
          <w:rFonts w:hint="eastAsia" w:ascii="仿宋" w:hAnsi="仿宋" w:eastAsia="仿宋" w:cs="仿宋"/>
          <w:color w:val="auto"/>
          <w:sz w:val="24"/>
          <w:highlight w:val="none"/>
        </w:rPr>
        <w:t>条规定，应依据有关规定给予廉政建设规定的处分；涉嫌犯罪的，移交司法机关追究刑事责任；给承包人造成经济损失的，应予赔偿。</w:t>
      </w:r>
    </w:p>
    <w:p w14:paraId="3E55BB2B">
      <w:pPr>
        <w:spacing w:line="288" w:lineRule="auto"/>
        <w:ind w:firstLine="480" w:firstLineChars="200"/>
        <w:rPr>
          <w:rFonts w:hint="eastAsia" w:ascii="仿宋" w:hAnsi="仿宋" w:eastAsia="仿宋" w:cs="Times New Roman"/>
          <w:color w:val="auto"/>
          <w:sz w:val="24"/>
          <w:highlight w:val="none"/>
        </w:rPr>
      </w:pPr>
      <w:r>
        <w:rPr>
          <w:rFonts w:ascii="仿宋" w:hAnsi="仿宋" w:eastAsia="仿宋" w:cs="仿宋"/>
          <w:color w:val="auto"/>
          <w:sz w:val="24"/>
          <w:highlight w:val="none"/>
        </w:rPr>
        <w:t xml:space="preserve">4.2  </w:t>
      </w:r>
      <w:r>
        <w:rPr>
          <w:rFonts w:hint="eastAsia" w:ascii="仿宋" w:hAnsi="仿宋" w:eastAsia="仿宋" w:cs="仿宋"/>
          <w:color w:val="auto"/>
          <w:kern w:val="0"/>
          <w:sz w:val="24"/>
          <w:highlight w:val="none"/>
          <w:lang w:val="zh-CN"/>
        </w:rPr>
        <w:t>承包人及其工作人员违反本合同第</w:t>
      </w:r>
      <w:r>
        <w:rPr>
          <w:rFonts w:ascii="仿宋" w:hAnsi="仿宋" w:eastAsia="仿宋" w:cs="仿宋"/>
          <w:color w:val="auto"/>
          <w:kern w:val="0"/>
          <w:sz w:val="24"/>
          <w:highlight w:val="none"/>
        </w:rPr>
        <w:t xml:space="preserve"> 1 </w:t>
      </w:r>
      <w:r>
        <w:rPr>
          <w:rFonts w:hint="eastAsia" w:ascii="仿宋" w:hAnsi="仿宋" w:eastAsia="仿宋" w:cs="仿宋"/>
          <w:color w:val="auto"/>
          <w:kern w:val="0"/>
          <w:sz w:val="24"/>
          <w:highlight w:val="none"/>
          <w:lang w:val="zh-CN"/>
        </w:rPr>
        <w:t>条和第</w:t>
      </w:r>
      <w:r>
        <w:rPr>
          <w:rFonts w:ascii="仿宋" w:hAnsi="仿宋" w:eastAsia="仿宋" w:cs="仿宋"/>
          <w:color w:val="auto"/>
          <w:kern w:val="0"/>
          <w:sz w:val="24"/>
          <w:highlight w:val="none"/>
        </w:rPr>
        <w:t xml:space="preserve"> 3 </w:t>
      </w:r>
      <w:r>
        <w:rPr>
          <w:rFonts w:hint="eastAsia" w:ascii="仿宋" w:hAnsi="仿宋" w:eastAsia="仿宋" w:cs="仿宋"/>
          <w:color w:val="auto"/>
          <w:kern w:val="0"/>
          <w:sz w:val="24"/>
          <w:highlight w:val="none"/>
          <w:lang w:val="zh-CN"/>
        </w:rPr>
        <w:t>条规定，应按照廉政建设的有关规定给予处分；情节严重的，给予承包人</w:t>
      </w:r>
      <w:r>
        <w:rPr>
          <w:rFonts w:ascii="仿宋" w:hAnsi="仿宋" w:eastAsia="仿宋" w:cs="仿宋"/>
          <w:color w:val="auto"/>
          <w:kern w:val="0"/>
          <w:sz w:val="24"/>
          <w:highlight w:val="none"/>
        </w:rPr>
        <w:t xml:space="preserve"> 1</w:t>
      </w:r>
      <w:r>
        <w:rPr>
          <w:rFonts w:hint="eastAsia" w:ascii="仿宋" w:hAnsi="仿宋" w:eastAsia="仿宋" w:cs="仿宋"/>
          <w:color w:val="auto"/>
          <w:kern w:val="0"/>
          <w:sz w:val="24"/>
          <w:highlight w:val="none"/>
          <w:lang w:val="zh-CN"/>
        </w:rPr>
        <w:t>～</w:t>
      </w:r>
      <w:r>
        <w:rPr>
          <w:rFonts w:ascii="仿宋" w:hAnsi="仿宋" w:eastAsia="仿宋" w:cs="仿宋"/>
          <w:color w:val="auto"/>
          <w:kern w:val="0"/>
          <w:sz w:val="24"/>
          <w:highlight w:val="none"/>
        </w:rPr>
        <w:t xml:space="preserve">3 </w:t>
      </w:r>
      <w:r>
        <w:rPr>
          <w:rFonts w:hint="eastAsia" w:ascii="仿宋" w:hAnsi="仿宋" w:eastAsia="仿宋" w:cs="仿宋"/>
          <w:color w:val="auto"/>
          <w:kern w:val="0"/>
          <w:sz w:val="24"/>
          <w:highlight w:val="none"/>
          <w:lang w:val="zh-CN"/>
        </w:rPr>
        <w:t>年内不得进入工程建设市场的处罚；涉嫌犯罪的，移交司法机关追究刑事责任；给发包人造成损失的，应予赔偿；</w:t>
      </w:r>
    </w:p>
    <w:p w14:paraId="0C4C4572">
      <w:pPr>
        <w:numPr>
          <w:ilvl w:val="0"/>
          <w:numId w:val="7"/>
        </w:numPr>
        <w:spacing w:line="288" w:lineRule="auto"/>
        <w:rPr>
          <w:rFonts w:hint="eastAsia" w:ascii="仿宋" w:hAnsi="仿宋" w:eastAsia="仿宋" w:cs="Times New Roman"/>
          <w:b/>
          <w:bCs/>
          <w:color w:val="auto"/>
          <w:sz w:val="28"/>
          <w:szCs w:val="28"/>
          <w:highlight w:val="none"/>
        </w:rPr>
      </w:pPr>
      <w:r>
        <w:rPr>
          <w:rFonts w:hint="eastAsia" w:ascii="仿宋" w:hAnsi="仿宋" w:eastAsia="仿宋" w:cs="仿宋"/>
          <w:b/>
          <w:bCs/>
          <w:color w:val="auto"/>
          <w:sz w:val="28"/>
          <w:szCs w:val="28"/>
          <w:highlight w:val="none"/>
        </w:rPr>
        <w:t>双方约定</w:t>
      </w:r>
    </w:p>
    <w:p w14:paraId="23BBA278">
      <w:pPr>
        <w:pStyle w:val="4"/>
        <w:spacing w:line="288"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lang w:val="zh-CN"/>
        </w:rPr>
        <w:t>本合同由合同双方当事人或其上级部门负责监督执行，并由合同双方当事人或其上级部门</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相互约请对本合同执行情况进行检查</w:t>
      </w:r>
      <w:r>
        <w:rPr>
          <w:rFonts w:hint="eastAsia" w:ascii="仿宋" w:hAnsi="仿宋" w:eastAsia="仿宋" w:cs="仿宋"/>
          <w:color w:val="auto"/>
          <w:sz w:val="24"/>
          <w:szCs w:val="24"/>
          <w:highlight w:val="none"/>
        </w:rPr>
        <w:t>。</w:t>
      </w:r>
    </w:p>
    <w:p w14:paraId="2E32E4DE">
      <w:pPr>
        <w:spacing w:line="288" w:lineRule="auto"/>
        <w:ind w:firstLine="562" w:firstLineChars="200"/>
        <w:rPr>
          <w:rFonts w:hint="eastAsia" w:ascii="仿宋" w:hAnsi="仿宋" w:eastAsia="仿宋" w:cs="Times New Roman"/>
          <w:b/>
          <w:bCs/>
          <w:color w:val="auto"/>
          <w:sz w:val="28"/>
          <w:szCs w:val="28"/>
          <w:highlight w:val="none"/>
        </w:rPr>
      </w:pPr>
      <w:r>
        <w:rPr>
          <w:rFonts w:ascii="仿宋" w:hAnsi="仿宋" w:eastAsia="仿宋" w:cs="仿宋"/>
          <w:b/>
          <w:bCs/>
          <w:color w:val="auto"/>
          <w:sz w:val="28"/>
          <w:szCs w:val="28"/>
          <w:highlight w:val="none"/>
        </w:rPr>
        <w:t xml:space="preserve">6  </w:t>
      </w:r>
      <w:r>
        <w:rPr>
          <w:rFonts w:hint="eastAsia" w:ascii="仿宋" w:hAnsi="仿宋" w:eastAsia="仿宋" w:cs="仿宋"/>
          <w:b/>
          <w:bCs/>
          <w:color w:val="auto"/>
          <w:sz w:val="28"/>
          <w:szCs w:val="28"/>
          <w:highlight w:val="none"/>
        </w:rPr>
        <w:t>合同法律效力</w:t>
      </w:r>
    </w:p>
    <w:p w14:paraId="60CCD5A5">
      <w:pPr>
        <w:spacing w:line="288" w:lineRule="auto"/>
        <w:ind w:firstLine="480" w:firstLineChars="200"/>
        <w:rPr>
          <w:rFonts w:hint="eastAsia" w:ascii="仿宋" w:hAnsi="仿宋" w:eastAsia="仿宋" w:cs="Times New Roman"/>
          <w:color w:val="auto"/>
          <w:sz w:val="24"/>
          <w:highlight w:val="none"/>
        </w:rPr>
      </w:pPr>
      <w:r>
        <w:rPr>
          <w:rFonts w:hint="eastAsia" w:ascii="仿宋" w:hAnsi="仿宋" w:eastAsia="仿宋" w:cs="仿宋"/>
          <w:color w:val="auto"/>
          <w:sz w:val="24"/>
          <w:highlight w:val="none"/>
        </w:rPr>
        <w:t>本合同作为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（工程名称）</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工程施工合同的附件，与施工合同具有同等的法律效力。</w:t>
      </w:r>
    </w:p>
    <w:p w14:paraId="0FC6A497">
      <w:pPr>
        <w:spacing w:line="288" w:lineRule="auto"/>
        <w:ind w:firstLine="551" w:firstLineChars="196"/>
        <w:rPr>
          <w:rFonts w:hint="eastAsia" w:ascii="仿宋" w:hAnsi="仿宋" w:eastAsia="仿宋" w:cs="Times New Roman"/>
          <w:b/>
          <w:bCs/>
          <w:color w:val="auto"/>
          <w:sz w:val="28"/>
          <w:szCs w:val="28"/>
          <w:highlight w:val="none"/>
        </w:rPr>
      </w:pPr>
      <w:r>
        <w:rPr>
          <w:rFonts w:ascii="仿宋" w:hAnsi="仿宋" w:eastAsia="仿宋" w:cs="仿宋"/>
          <w:b/>
          <w:bCs/>
          <w:color w:val="auto"/>
          <w:sz w:val="28"/>
          <w:szCs w:val="28"/>
          <w:highlight w:val="none"/>
        </w:rPr>
        <w:t xml:space="preserve">7  </w:t>
      </w:r>
      <w:r>
        <w:rPr>
          <w:rFonts w:hint="eastAsia" w:ascii="仿宋" w:hAnsi="仿宋" w:eastAsia="仿宋" w:cs="仿宋"/>
          <w:b/>
          <w:bCs/>
          <w:color w:val="auto"/>
          <w:sz w:val="28"/>
          <w:szCs w:val="28"/>
          <w:highlight w:val="none"/>
        </w:rPr>
        <w:t>合同份数</w:t>
      </w:r>
    </w:p>
    <w:p w14:paraId="3B1D6E7E">
      <w:pPr>
        <w:spacing w:line="288" w:lineRule="auto"/>
        <w:ind w:firstLine="480" w:firstLineChars="200"/>
        <w:rPr>
          <w:rFonts w:hint="eastAsia" w:ascii="仿宋" w:hAnsi="仿宋" w:eastAsia="仿宋" w:cs="Times New Roman"/>
          <w:color w:val="auto"/>
          <w:sz w:val="24"/>
          <w:highlight w:val="none"/>
        </w:rPr>
      </w:pPr>
      <w:r>
        <w:rPr>
          <w:rFonts w:hint="eastAsia" w:ascii="仿宋" w:hAnsi="仿宋" w:eastAsia="仿宋" w:cs="仿宋"/>
          <w:color w:val="auto"/>
          <w:sz w:val="24"/>
          <w:highlight w:val="none"/>
        </w:rPr>
        <w:t>本合同一式</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份，合同双方当事人各执</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w:t>
      </w:r>
    </w:p>
    <w:p w14:paraId="3234DBD4">
      <w:pPr>
        <w:spacing w:line="288" w:lineRule="auto"/>
        <w:ind w:firstLine="480" w:firstLineChars="200"/>
        <w:rPr>
          <w:rFonts w:hint="eastAsia" w:ascii="仿宋" w:hAnsi="仿宋" w:eastAsia="仿宋" w:cs="Times New Roman"/>
          <w:color w:val="auto"/>
          <w:sz w:val="24"/>
          <w:highlight w:val="none"/>
        </w:rPr>
      </w:pPr>
    </w:p>
    <w:p w14:paraId="5846F048">
      <w:pPr>
        <w:adjustRightInd w:val="0"/>
        <w:snapToGrid w:val="0"/>
        <w:spacing w:line="288" w:lineRule="auto"/>
        <w:ind w:firstLine="480" w:firstLineChars="200"/>
        <w:rPr>
          <w:rFonts w:hint="eastAsia" w:ascii="仿宋" w:hAnsi="仿宋" w:eastAsia="仿宋" w:cs="Times New Roman"/>
          <w:color w:val="auto"/>
          <w:sz w:val="24"/>
          <w:highlight w:val="none"/>
        </w:rPr>
      </w:pPr>
      <w:r>
        <w:rPr>
          <w:rFonts w:hint="eastAsia" w:ascii="仿宋" w:hAnsi="仿宋" w:eastAsia="仿宋" w:cs="仿宋"/>
          <w:color w:val="auto"/>
          <w:sz w:val="24"/>
          <w:highlight w:val="none"/>
        </w:rPr>
        <w:t>发</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包</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人：（盖章）</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承</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包</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人：（盖章）</w:t>
      </w:r>
    </w:p>
    <w:p w14:paraId="378FC3DD">
      <w:pPr>
        <w:adjustRightInd w:val="0"/>
        <w:snapToGrid w:val="0"/>
        <w:spacing w:line="288" w:lineRule="auto"/>
        <w:ind w:firstLine="480" w:firstLineChars="200"/>
        <w:rPr>
          <w:rFonts w:hint="eastAsia" w:ascii="仿宋" w:hAnsi="仿宋" w:eastAsia="仿宋" w:cs="仿宋"/>
          <w:color w:val="auto"/>
          <w:sz w:val="24"/>
          <w:highlight w:val="none"/>
        </w:rPr>
      </w:pPr>
    </w:p>
    <w:p w14:paraId="087FB5C4">
      <w:pPr>
        <w:adjustRightInd w:val="0"/>
        <w:snapToGrid w:val="0"/>
        <w:spacing w:line="288" w:lineRule="auto"/>
        <w:ind w:firstLine="480" w:firstLineChars="200"/>
        <w:rPr>
          <w:rFonts w:hint="eastAsia" w:ascii="仿宋" w:hAnsi="仿宋" w:eastAsia="仿宋" w:cs="Times New Roman"/>
          <w:color w:val="auto"/>
          <w:sz w:val="24"/>
          <w:highlight w:val="none"/>
        </w:rPr>
      </w:pPr>
      <w:r>
        <w:rPr>
          <w:rFonts w:hint="eastAsia" w:ascii="仿宋" w:hAnsi="仿宋" w:eastAsia="仿宋" w:cs="仿宋"/>
          <w:color w:val="auto"/>
          <w:sz w:val="24"/>
          <w:highlight w:val="none"/>
        </w:rPr>
        <w:t>法定代表人：（签字）</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法定代表人：（签字）</w:t>
      </w:r>
    </w:p>
    <w:p w14:paraId="04DDFB31">
      <w:pPr>
        <w:spacing w:line="288" w:lineRule="auto"/>
        <w:ind w:firstLine="480" w:firstLineChars="200"/>
        <w:jc w:val="left"/>
        <w:rPr>
          <w:rFonts w:hint="eastAsia" w:ascii="仿宋" w:hAnsi="仿宋" w:eastAsia="仿宋" w:cs="仿宋"/>
          <w:color w:val="auto"/>
          <w:sz w:val="24"/>
          <w:highlight w:val="none"/>
        </w:rPr>
      </w:pPr>
    </w:p>
    <w:p w14:paraId="37FB4E5C">
      <w:pPr>
        <w:spacing w:line="288" w:lineRule="auto"/>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经办人：</w:t>
      </w:r>
      <w:r>
        <w:rPr>
          <w:rFonts w:ascii="仿宋" w:hAnsi="仿宋" w:eastAsia="仿宋" w:cs="仿宋"/>
          <w:color w:val="auto"/>
          <w:sz w:val="24"/>
          <w:highlight w:val="none"/>
          <w:u w:val="single"/>
        </w:rPr>
        <w:t xml:space="preserve">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 xml:space="preserve">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经办人：</w:t>
      </w:r>
      <w:r>
        <w:rPr>
          <w:rFonts w:ascii="仿宋" w:hAnsi="仿宋" w:eastAsia="仿宋" w:cs="仿宋"/>
          <w:color w:val="auto"/>
          <w:sz w:val="24"/>
          <w:highlight w:val="none"/>
          <w:u w:val="single"/>
        </w:rPr>
        <w:t xml:space="preserve">              </w:t>
      </w:r>
    </w:p>
    <w:p w14:paraId="1DCFD9FF">
      <w:pPr>
        <w:spacing w:line="288" w:lineRule="auto"/>
        <w:ind w:firstLine="480" w:firstLineChars="200"/>
        <w:jc w:val="left"/>
        <w:rPr>
          <w:rFonts w:hint="eastAsia" w:ascii="仿宋" w:hAnsi="仿宋" w:eastAsia="仿宋" w:cs="Times New Roman"/>
          <w:color w:val="auto"/>
          <w:sz w:val="24"/>
          <w:highlight w:val="none"/>
          <w:u w:val="single"/>
        </w:rPr>
      </w:pPr>
    </w:p>
    <w:p w14:paraId="736BB273">
      <w:pPr>
        <w:adjustRightInd w:val="0"/>
        <w:snapToGrid w:val="0"/>
        <w:spacing w:line="288" w:lineRule="auto"/>
        <w:ind w:firstLine="480" w:firstLineChars="200"/>
        <w:jc w:val="center"/>
        <w:rPr>
          <w:rFonts w:hint="eastAsia" w:ascii="仿宋" w:hAnsi="仿宋" w:eastAsia="仿宋" w:cs="Times New Roman"/>
          <w:color w:val="auto"/>
          <w:sz w:val="24"/>
          <w:highlight w:val="none"/>
        </w:rPr>
      </w:pP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A310E04">
      <w:pPr>
        <w:spacing w:line="288" w:lineRule="auto"/>
        <w:rPr>
          <w:rFonts w:hint="eastAsia" w:ascii="仿宋" w:hAnsi="仿宋" w:eastAsia="仿宋" w:cs="仿宋"/>
          <w:b/>
          <w:bCs/>
          <w:color w:val="auto"/>
          <w:sz w:val="24"/>
          <w:highlight w:val="none"/>
        </w:rPr>
      </w:pPr>
      <w:r>
        <w:rPr>
          <w:rFonts w:cs="Times New Roman"/>
          <w:color w:val="auto"/>
          <w:highlight w:val="none"/>
        </w:rPr>
        <w:br w:type="page"/>
      </w:r>
      <w:r>
        <w:rPr>
          <w:rFonts w:hint="eastAsia" w:ascii="仿宋" w:hAnsi="仿宋" w:eastAsia="仿宋" w:cs="仿宋"/>
          <w:b/>
          <w:bCs/>
          <w:color w:val="auto"/>
          <w:sz w:val="24"/>
          <w:highlight w:val="none"/>
        </w:rPr>
        <w:t>附件三</w:t>
      </w:r>
    </w:p>
    <w:p w14:paraId="3E6BC031">
      <w:pPr>
        <w:spacing w:line="288" w:lineRule="auto"/>
        <w:jc w:val="center"/>
        <w:rPr>
          <w:rFonts w:hint="eastAsia" w:ascii="仿宋" w:hAnsi="仿宋" w:eastAsia="仿宋" w:cs="仿宋"/>
          <w:b/>
          <w:bCs/>
          <w:color w:val="auto"/>
          <w:spacing w:val="32"/>
          <w:sz w:val="36"/>
          <w:szCs w:val="36"/>
          <w:highlight w:val="none"/>
        </w:rPr>
      </w:pPr>
      <w:r>
        <w:rPr>
          <w:rFonts w:hint="eastAsia" w:ascii="仿宋" w:hAnsi="仿宋" w:eastAsia="仿宋" w:cs="仿宋"/>
          <w:b/>
          <w:bCs/>
          <w:color w:val="auto"/>
          <w:spacing w:val="32"/>
          <w:sz w:val="36"/>
          <w:szCs w:val="36"/>
          <w:highlight w:val="none"/>
        </w:rPr>
        <w:t>中标通知书</w:t>
      </w:r>
    </w:p>
    <w:p w14:paraId="656ACAE5">
      <w:pPr>
        <w:ind w:left="210" w:leftChars="100"/>
        <w:rPr>
          <w:rFonts w:hint="eastAsia" w:ascii="仿宋_GB2312" w:hAnsi="仿宋_GB2312" w:eastAsia="仿宋_GB2312" w:cs="仿宋_GB2312"/>
          <w:color w:val="auto"/>
          <w:sz w:val="24"/>
          <w:highlight w:val="none"/>
        </w:rPr>
        <w:sectPr>
          <w:footerReference r:id="rId3" w:type="default"/>
          <w:pgSz w:w="11906" w:h="16838"/>
          <w:pgMar w:top="1440" w:right="1416" w:bottom="1440" w:left="1418" w:header="851" w:footer="992" w:gutter="0"/>
          <w:cols w:space="425" w:num="1"/>
          <w:docGrid w:type="lines" w:linePitch="312" w:charSpace="0"/>
        </w:sectPr>
      </w:pPr>
    </w:p>
    <w:p w14:paraId="0EB09D35">
      <w:pPr>
        <w:spacing w:line="5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附件四：</w:t>
      </w:r>
      <w:r>
        <w:rPr>
          <w:rFonts w:hint="eastAsia" w:ascii="宋体" w:hAnsi="宋体" w:eastAsia="宋体" w:cs="宋体"/>
          <w:b/>
          <w:bCs/>
          <w:color w:val="auto"/>
          <w:kern w:val="0"/>
          <w:sz w:val="28"/>
          <w:szCs w:val="28"/>
          <w:highlight w:val="none"/>
        </w:rPr>
        <w:t>《违约处罚明细表》</w:t>
      </w:r>
    </w:p>
    <w:p w14:paraId="47377BC3">
      <w:pPr>
        <w:spacing w:line="500" w:lineRule="exact"/>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附件四：</w:t>
      </w:r>
      <w:r>
        <w:rPr>
          <w:rFonts w:hint="eastAsia" w:ascii="宋体" w:hAnsi="宋体" w:eastAsia="宋体" w:cs="宋体"/>
          <w:b/>
          <w:bCs/>
          <w:color w:val="auto"/>
          <w:kern w:val="0"/>
          <w:sz w:val="28"/>
          <w:szCs w:val="28"/>
          <w:highlight w:val="none"/>
        </w:rPr>
        <w:t>《违约处罚明细表》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161"/>
        <w:gridCol w:w="5743"/>
        <w:gridCol w:w="1429"/>
        <w:gridCol w:w="1941"/>
        <w:gridCol w:w="1781"/>
        <w:gridCol w:w="1480"/>
      </w:tblGrid>
      <w:tr w14:paraId="14216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442" w:type="dxa"/>
            <w:gridSpan w:val="7"/>
            <w:tcBorders>
              <w:top w:val="single" w:color="auto" w:sz="4" w:space="0"/>
              <w:left w:val="single" w:color="auto" w:sz="4" w:space="0"/>
              <w:bottom w:val="single" w:color="auto" w:sz="4" w:space="0"/>
              <w:right w:val="single" w:color="auto" w:sz="4" w:space="0"/>
            </w:tcBorders>
            <w:vAlign w:val="center"/>
          </w:tcPr>
          <w:p w14:paraId="4EE0B5A8">
            <w:pPr>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《违约处罚明细表》</w:t>
            </w:r>
          </w:p>
        </w:tc>
      </w:tr>
      <w:tr w14:paraId="412C6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442" w:type="dxa"/>
            <w:gridSpan w:val="7"/>
            <w:tcBorders>
              <w:top w:val="single" w:color="auto" w:sz="4" w:space="0"/>
              <w:left w:val="single" w:color="auto" w:sz="4" w:space="0"/>
              <w:bottom w:val="single" w:color="auto" w:sz="4" w:space="0"/>
              <w:right w:val="single" w:color="auto" w:sz="4" w:space="0"/>
            </w:tcBorders>
            <w:vAlign w:val="center"/>
          </w:tcPr>
          <w:p w14:paraId="7D0A2D32">
            <w:pPr>
              <w:jc w:val="right"/>
              <w:rPr>
                <w:rFonts w:ascii="宋体" w:hAnsi="宋体" w:cs="宋体"/>
                <w:bCs/>
                <w:color w:val="auto"/>
                <w:kern w:val="0"/>
                <w:sz w:val="20"/>
                <w:highlight w:val="none"/>
              </w:rPr>
            </w:pPr>
            <w:r>
              <w:rPr>
                <w:rFonts w:hint="eastAsia" w:ascii="宋体" w:hAnsi="宋体" w:cs="宋体"/>
                <w:bCs/>
                <w:color w:val="auto"/>
                <w:kern w:val="0"/>
                <w:sz w:val="20"/>
                <w:highlight w:val="none"/>
              </w:rPr>
              <w:t>币种：人民币</w:t>
            </w:r>
          </w:p>
        </w:tc>
      </w:tr>
      <w:tr w14:paraId="36517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vMerge w:val="restart"/>
            <w:tcBorders>
              <w:top w:val="single" w:color="auto" w:sz="4" w:space="0"/>
              <w:left w:val="single" w:color="auto" w:sz="4" w:space="0"/>
              <w:bottom w:val="single" w:color="auto" w:sz="4" w:space="0"/>
              <w:right w:val="single" w:color="auto" w:sz="4" w:space="0"/>
            </w:tcBorders>
            <w:vAlign w:val="center"/>
          </w:tcPr>
          <w:p w14:paraId="5C1B368A">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序号</w:t>
            </w:r>
          </w:p>
        </w:tc>
        <w:tc>
          <w:tcPr>
            <w:tcW w:w="2161" w:type="dxa"/>
            <w:vMerge w:val="restart"/>
            <w:tcBorders>
              <w:top w:val="single" w:color="auto" w:sz="4" w:space="0"/>
              <w:left w:val="single" w:color="auto" w:sz="4" w:space="0"/>
              <w:bottom w:val="single" w:color="auto" w:sz="4" w:space="0"/>
              <w:right w:val="single" w:color="auto" w:sz="4" w:space="0"/>
            </w:tcBorders>
            <w:vAlign w:val="center"/>
          </w:tcPr>
          <w:p w14:paraId="73DAA0A8">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项目名称</w:t>
            </w:r>
          </w:p>
        </w:tc>
        <w:tc>
          <w:tcPr>
            <w:tcW w:w="5743" w:type="dxa"/>
            <w:vMerge w:val="restart"/>
            <w:tcBorders>
              <w:top w:val="single" w:color="auto" w:sz="4" w:space="0"/>
              <w:left w:val="single" w:color="auto" w:sz="4" w:space="0"/>
              <w:bottom w:val="single" w:color="auto" w:sz="4" w:space="0"/>
              <w:right w:val="single" w:color="auto" w:sz="4" w:space="0"/>
            </w:tcBorders>
            <w:vAlign w:val="center"/>
          </w:tcPr>
          <w:p w14:paraId="2A28ED78">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工程违约惩罚条款内容</w:t>
            </w:r>
          </w:p>
        </w:tc>
        <w:tc>
          <w:tcPr>
            <w:tcW w:w="6631" w:type="dxa"/>
            <w:gridSpan w:val="4"/>
            <w:tcBorders>
              <w:top w:val="single" w:color="auto" w:sz="4" w:space="0"/>
              <w:left w:val="single" w:color="auto" w:sz="4" w:space="0"/>
              <w:bottom w:val="single" w:color="auto" w:sz="4" w:space="0"/>
              <w:right w:val="single" w:color="auto" w:sz="4" w:space="0"/>
            </w:tcBorders>
          </w:tcPr>
          <w:p w14:paraId="51A0409D">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工程项目规模等级及奖罚金额</w:t>
            </w:r>
          </w:p>
        </w:tc>
      </w:tr>
      <w:tr w14:paraId="6E789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07" w:type="dxa"/>
            <w:vMerge w:val="continue"/>
            <w:tcBorders>
              <w:top w:val="single" w:color="auto" w:sz="4" w:space="0"/>
              <w:left w:val="single" w:color="auto" w:sz="4" w:space="0"/>
              <w:bottom w:val="single" w:color="auto" w:sz="4" w:space="0"/>
              <w:right w:val="single" w:color="auto" w:sz="4" w:space="0"/>
            </w:tcBorders>
            <w:vAlign w:val="center"/>
          </w:tcPr>
          <w:p w14:paraId="59258301">
            <w:pPr>
              <w:widowControl/>
              <w:jc w:val="left"/>
              <w:rPr>
                <w:rFonts w:ascii="宋体" w:hAnsi="宋体" w:cs="宋体"/>
                <w:b/>
                <w:bCs/>
                <w:color w:val="auto"/>
                <w:kern w:val="0"/>
                <w:sz w:val="20"/>
                <w:highlight w:val="none"/>
              </w:rPr>
            </w:pPr>
          </w:p>
        </w:tc>
        <w:tc>
          <w:tcPr>
            <w:tcW w:w="2161" w:type="dxa"/>
            <w:vMerge w:val="continue"/>
            <w:tcBorders>
              <w:top w:val="single" w:color="auto" w:sz="4" w:space="0"/>
              <w:left w:val="single" w:color="auto" w:sz="4" w:space="0"/>
              <w:bottom w:val="single" w:color="auto" w:sz="4" w:space="0"/>
              <w:right w:val="single" w:color="auto" w:sz="4" w:space="0"/>
            </w:tcBorders>
            <w:vAlign w:val="center"/>
          </w:tcPr>
          <w:p w14:paraId="11A90A51">
            <w:pPr>
              <w:widowControl/>
              <w:jc w:val="left"/>
              <w:rPr>
                <w:rFonts w:ascii="宋体" w:hAnsi="宋体" w:cs="宋体"/>
                <w:b/>
                <w:bCs/>
                <w:color w:val="auto"/>
                <w:kern w:val="0"/>
                <w:sz w:val="20"/>
                <w:highlight w:val="none"/>
              </w:rPr>
            </w:pPr>
          </w:p>
        </w:tc>
        <w:tc>
          <w:tcPr>
            <w:tcW w:w="5743" w:type="dxa"/>
            <w:vMerge w:val="continue"/>
            <w:tcBorders>
              <w:top w:val="single" w:color="auto" w:sz="4" w:space="0"/>
              <w:left w:val="single" w:color="auto" w:sz="4" w:space="0"/>
              <w:bottom w:val="single" w:color="auto" w:sz="4" w:space="0"/>
              <w:right w:val="single" w:color="auto" w:sz="4" w:space="0"/>
            </w:tcBorders>
            <w:vAlign w:val="center"/>
          </w:tcPr>
          <w:p w14:paraId="5CC85FFF">
            <w:pPr>
              <w:widowControl/>
              <w:jc w:val="left"/>
              <w:rPr>
                <w:rFonts w:ascii="宋体" w:hAnsi="宋体" w:cs="宋体"/>
                <w:b/>
                <w:bCs/>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14:paraId="39B2B0D3">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5000万元以内</w:t>
            </w:r>
          </w:p>
        </w:tc>
        <w:tc>
          <w:tcPr>
            <w:tcW w:w="1941" w:type="dxa"/>
            <w:tcBorders>
              <w:top w:val="single" w:color="auto" w:sz="4" w:space="0"/>
              <w:left w:val="single" w:color="auto" w:sz="4" w:space="0"/>
              <w:bottom w:val="single" w:color="auto" w:sz="4" w:space="0"/>
              <w:right w:val="single" w:color="auto" w:sz="4" w:space="0"/>
            </w:tcBorders>
          </w:tcPr>
          <w:p w14:paraId="658D34DD">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5000万元（含）-10000万元</w:t>
            </w:r>
          </w:p>
        </w:tc>
        <w:tc>
          <w:tcPr>
            <w:tcW w:w="1781" w:type="dxa"/>
            <w:tcBorders>
              <w:top w:val="single" w:color="auto" w:sz="4" w:space="0"/>
              <w:left w:val="single" w:color="auto" w:sz="4" w:space="0"/>
              <w:bottom w:val="single" w:color="auto" w:sz="4" w:space="0"/>
              <w:right w:val="single" w:color="auto" w:sz="4" w:space="0"/>
            </w:tcBorders>
          </w:tcPr>
          <w:p w14:paraId="3A842341">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10000万元（含）-30000万元</w:t>
            </w:r>
          </w:p>
        </w:tc>
        <w:tc>
          <w:tcPr>
            <w:tcW w:w="1480" w:type="dxa"/>
            <w:tcBorders>
              <w:top w:val="single" w:color="auto" w:sz="4" w:space="0"/>
              <w:left w:val="single" w:color="auto" w:sz="4" w:space="0"/>
              <w:bottom w:val="single" w:color="auto" w:sz="4" w:space="0"/>
              <w:right w:val="single" w:color="auto" w:sz="4" w:space="0"/>
            </w:tcBorders>
          </w:tcPr>
          <w:p w14:paraId="15554447">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30000万元或以上</w:t>
            </w:r>
          </w:p>
        </w:tc>
      </w:tr>
      <w:tr w14:paraId="670C2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1ADD19B">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1</w:t>
            </w:r>
          </w:p>
        </w:tc>
        <w:tc>
          <w:tcPr>
            <w:tcW w:w="2161" w:type="dxa"/>
            <w:tcBorders>
              <w:top w:val="single" w:color="auto" w:sz="4" w:space="0"/>
              <w:left w:val="single" w:color="auto" w:sz="4" w:space="0"/>
              <w:bottom w:val="single" w:color="auto" w:sz="4" w:space="0"/>
              <w:right w:val="single" w:color="auto" w:sz="4" w:space="0"/>
            </w:tcBorders>
            <w:vAlign w:val="center"/>
          </w:tcPr>
          <w:p w14:paraId="4932F3DE">
            <w:pPr>
              <w:widowControl/>
              <w:jc w:val="left"/>
              <w:rPr>
                <w:rFonts w:ascii="宋体" w:hAnsi="宋体" w:cs="宋体"/>
                <w:b/>
                <w:bCs/>
                <w:color w:val="auto"/>
                <w:kern w:val="0"/>
                <w:sz w:val="20"/>
                <w:highlight w:val="none"/>
              </w:rPr>
            </w:pPr>
            <w:r>
              <w:rPr>
                <w:rFonts w:hint="eastAsia" w:ascii="宋体" w:hAnsi="宋体"/>
                <w:b/>
                <w:color w:val="auto"/>
                <w:sz w:val="20"/>
                <w:highlight w:val="none"/>
              </w:rPr>
              <w:t>合同履约</w:t>
            </w:r>
          </w:p>
        </w:tc>
        <w:tc>
          <w:tcPr>
            <w:tcW w:w="5743" w:type="dxa"/>
            <w:tcBorders>
              <w:top w:val="single" w:color="auto" w:sz="4" w:space="0"/>
              <w:left w:val="single" w:color="auto" w:sz="4" w:space="0"/>
              <w:bottom w:val="single" w:color="auto" w:sz="4" w:space="0"/>
              <w:right w:val="single" w:color="auto" w:sz="4" w:space="0"/>
            </w:tcBorders>
            <w:vAlign w:val="center"/>
          </w:tcPr>
          <w:p w14:paraId="4861D6E6">
            <w:pPr>
              <w:widowControl/>
              <w:jc w:val="left"/>
              <w:rPr>
                <w:rFonts w:ascii="宋体" w:hAnsi="宋体" w:cs="宋体"/>
                <w:b/>
                <w:bCs/>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14:paraId="0E9F48BB">
            <w:pPr>
              <w:widowControl/>
              <w:jc w:val="center"/>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0CF0FC65">
            <w:pPr>
              <w:widowControl/>
              <w:jc w:val="center"/>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63B11797">
            <w:pPr>
              <w:widowControl/>
              <w:jc w:val="center"/>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2285C49B">
            <w:pPr>
              <w:widowControl/>
              <w:jc w:val="center"/>
              <w:rPr>
                <w:rFonts w:ascii="宋体" w:hAnsi="宋体" w:cs="宋体"/>
                <w:b/>
                <w:bCs/>
                <w:color w:val="auto"/>
                <w:kern w:val="0"/>
                <w:sz w:val="20"/>
                <w:highlight w:val="none"/>
              </w:rPr>
            </w:pPr>
          </w:p>
        </w:tc>
      </w:tr>
      <w:tr w14:paraId="35DB1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FF5E735">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1.1</w:t>
            </w:r>
          </w:p>
        </w:tc>
        <w:tc>
          <w:tcPr>
            <w:tcW w:w="2161" w:type="dxa"/>
            <w:tcBorders>
              <w:top w:val="single" w:color="auto" w:sz="4" w:space="0"/>
              <w:left w:val="single" w:color="auto" w:sz="4" w:space="0"/>
              <w:bottom w:val="single" w:color="auto" w:sz="4" w:space="0"/>
              <w:right w:val="single" w:color="auto" w:sz="4" w:space="0"/>
            </w:tcBorders>
            <w:vAlign w:val="center"/>
          </w:tcPr>
          <w:p w14:paraId="1451CC5B">
            <w:pPr>
              <w:widowControl/>
              <w:jc w:val="left"/>
              <w:rPr>
                <w:rFonts w:ascii="宋体" w:hAnsi="宋体"/>
                <w:b/>
                <w:color w:val="auto"/>
                <w:sz w:val="20"/>
                <w:highlight w:val="none"/>
              </w:rPr>
            </w:pPr>
            <w:r>
              <w:rPr>
                <w:rFonts w:hint="eastAsia" w:ascii="宋体" w:hAnsi="宋体"/>
                <w:b/>
                <w:color w:val="auto"/>
                <w:sz w:val="20"/>
                <w:highlight w:val="none"/>
              </w:rPr>
              <w:t>人员管理</w:t>
            </w:r>
          </w:p>
        </w:tc>
        <w:tc>
          <w:tcPr>
            <w:tcW w:w="5743" w:type="dxa"/>
            <w:tcBorders>
              <w:top w:val="single" w:color="auto" w:sz="4" w:space="0"/>
              <w:left w:val="single" w:color="auto" w:sz="4" w:space="0"/>
              <w:bottom w:val="single" w:color="auto" w:sz="4" w:space="0"/>
              <w:right w:val="single" w:color="auto" w:sz="4" w:space="0"/>
            </w:tcBorders>
            <w:vAlign w:val="center"/>
          </w:tcPr>
          <w:p w14:paraId="3CD4C747">
            <w:pPr>
              <w:widowControl/>
              <w:jc w:val="left"/>
              <w:rPr>
                <w:rFonts w:ascii="宋体" w:hAnsi="宋体" w:cs="宋体"/>
                <w:b/>
                <w:bCs/>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14:paraId="65563E31">
            <w:pPr>
              <w:widowControl/>
              <w:jc w:val="center"/>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0368F8CD">
            <w:pPr>
              <w:widowControl/>
              <w:jc w:val="center"/>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6CEFFC56">
            <w:pPr>
              <w:widowControl/>
              <w:jc w:val="center"/>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3839BB75">
            <w:pPr>
              <w:widowControl/>
              <w:jc w:val="center"/>
              <w:rPr>
                <w:rFonts w:ascii="宋体" w:hAnsi="宋体" w:cs="宋体"/>
                <w:b/>
                <w:bCs/>
                <w:color w:val="auto"/>
                <w:kern w:val="0"/>
                <w:sz w:val="20"/>
                <w:highlight w:val="none"/>
              </w:rPr>
            </w:pPr>
          </w:p>
        </w:tc>
      </w:tr>
      <w:tr w14:paraId="17C73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1C50496">
            <w:pPr>
              <w:widowControl/>
              <w:jc w:val="center"/>
              <w:rPr>
                <w:rFonts w:ascii="宋体" w:hAnsi="宋体" w:cs="宋体"/>
                <w:b/>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14:paraId="756F8DC0">
            <w:pPr>
              <w:widowControl/>
              <w:jc w:val="left"/>
              <w:rPr>
                <w:rFonts w:ascii="宋体" w:hAnsi="宋体"/>
                <w:b/>
                <w:color w:val="auto"/>
                <w:sz w:val="20"/>
                <w:highlight w:val="none"/>
              </w:rPr>
            </w:pPr>
            <w:r>
              <w:rPr>
                <w:rFonts w:hint="eastAsia" w:ascii="宋体" w:hAnsi="宋体"/>
                <w:b/>
                <w:color w:val="auto"/>
                <w:sz w:val="20"/>
                <w:highlight w:val="none"/>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14:paraId="60634321">
            <w:pPr>
              <w:widowControl/>
              <w:jc w:val="left"/>
              <w:rPr>
                <w:rFonts w:ascii="宋体" w:hAnsi="宋体" w:cs="宋体"/>
                <w:b/>
                <w:bCs/>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14:paraId="02664468">
            <w:pPr>
              <w:widowControl/>
              <w:jc w:val="center"/>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3E70CFC6">
            <w:pPr>
              <w:widowControl/>
              <w:jc w:val="center"/>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09CB6449">
            <w:pPr>
              <w:widowControl/>
              <w:jc w:val="center"/>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3F3C9E3F">
            <w:pPr>
              <w:widowControl/>
              <w:jc w:val="center"/>
              <w:rPr>
                <w:rFonts w:ascii="宋体" w:hAnsi="宋体" w:cs="宋体"/>
                <w:b/>
                <w:bCs/>
                <w:color w:val="auto"/>
                <w:kern w:val="0"/>
                <w:sz w:val="20"/>
                <w:highlight w:val="none"/>
              </w:rPr>
            </w:pPr>
          </w:p>
        </w:tc>
      </w:tr>
      <w:tr w14:paraId="0C6ED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5239727">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1.1.1</w:t>
            </w:r>
          </w:p>
        </w:tc>
        <w:tc>
          <w:tcPr>
            <w:tcW w:w="2161" w:type="dxa"/>
            <w:tcBorders>
              <w:top w:val="single" w:color="auto" w:sz="4" w:space="0"/>
              <w:left w:val="single" w:color="auto" w:sz="4" w:space="0"/>
              <w:bottom w:val="single" w:color="auto" w:sz="4" w:space="0"/>
              <w:right w:val="single" w:color="auto" w:sz="4" w:space="0"/>
            </w:tcBorders>
            <w:vAlign w:val="center"/>
          </w:tcPr>
          <w:p w14:paraId="6934F84E">
            <w:pPr>
              <w:widowControl/>
              <w:jc w:val="left"/>
              <w:rPr>
                <w:rFonts w:ascii="宋体" w:hAnsi="宋体"/>
                <w:color w:val="auto"/>
                <w:sz w:val="20"/>
                <w:highlight w:val="none"/>
              </w:rPr>
            </w:pPr>
            <w:r>
              <w:rPr>
                <w:rFonts w:hint="eastAsia" w:ascii="宋体" w:hAnsi="宋体"/>
                <w:color w:val="auto"/>
                <w:sz w:val="20"/>
                <w:highlight w:val="none"/>
              </w:rPr>
              <w:t>更换项目经理、总工程师</w:t>
            </w:r>
          </w:p>
        </w:tc>
        <w:tc>
          <w:tcPr>
            <w:tcW w:w="5743" w:type="dxa"/>
            <w:tcBorders>
              <w:top w:val="single" w:color="auto" w:sz="4" w:space="0"/>
              <w:left w:val="single" w:color="auto" w:sz="4" w:space="0"/>
              <w:bottom w:val="single" w:color="auto" w:sz="4" w:space="0"/>
              <w:right w:val="single" w:color="auto" w:sz="4" w:space="0"/>
            </w:tcBorders>
            <w:vAlign w:val="center"/>
          </w:tcPr>
          <w:p w14:paraId="5F5AC888">
            <w:pPr>
              <w:widowControl/>
              <w:jc w:val="left"/>
              <w:rPr>
                <w:rFonts w:ascii="宋体" w:hAnsi="宋体" w:cs="宋体"/>
                <w:b/>
                <w:bCs/>
                <w:color w:val="auto"/>
                <w:kern w:val="0"/>
                <w:sz w:val="20"/>
                <w:highlight w:val="none"/>
              </w:rPr>
            </w:pPr>
            <w:r>
              <w:rPr>
                <w:rFonts w:hint="eastAsia" w:ascii="宋体" w:hAnsi="宋体"/>
                <w:color w:val="auto"/>
                <w:sz w:val="20"/>
                <w:highlight w:val="none"/>
              </w:rPr>
              <w:t>未得到建设单位批准更换项目经理、总工程师，每人次罚款10000元；经批准更换的，每人次处违约金2000元。连续两次更换的，暂停在</w:t>
            </w:r>
            <w:r>
              <w:rPr>
                <w:rFonts w:hint="eastAsia" w:ascii="宋体" w:hAnsi="宋体"/>
                <w:bCs/>
                <w:color w:val="auto"/>
                <w:sz w:val="20"/>
                <w:highlight w:val="none"/>
              </w:rPr>
              <w:t>发包人所负责的工程</w:t>
            </w:r>
            <w:r>
              <w:rPr>
                <w:rFonts w:hint="eastAsia" w:ascii="宋体" w:hAnsi="宋体"/>
                <w:color w:val="auto"/>
                <w:sz w:val="20"/>
                <w:highlight w:val="none"/>
              </w:rPr>
              <w:t>系统内投标资格1个月。</w:t>
            </w:r>
          </w:p>
        </w:tc>
        <w:tc>
          <w:tcPr>
            <w:tcW w:w="1429" w:type="dxa"/>
            <w:tcBorders>
              <w:top w:val="single" w:color="auto" w:sz="4" w:space="0"/>
              <w:left w:val="single" w:color="auto" w:sz="4" w:space="0"/>
              <w:bottom w:val="single" w:color="auto" w:sz="4" w:space="0"/>
              <w:right w:val="single" w:color="auto" w:sz="4" w:space="0"/>
            </w:tcBorders>
          </w:tcPr>
          <w:p w14:paraId="74200111">
            <w:pPr>
              <w:widowControl/>
              <w:jc w:val="center"/>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2448874D">
            <w:pPr>
              <w:widowControl/>
              <w:jc w:val="center"/>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5559D9D5">
            <w:pPr>
              <w:widowControl/>
              <w:jc w:val="center"/>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6986EF0F">
            <w:pPr>
              <w:widowControl/>
              <w:jc w:val="center"/>
              <w:rPr>
                <w:rFonts w:ascii="宋体" w:hAnsi="宋体" w:cs="宋体"/>
                <w:b/>
                <w:bCs/>
                <w:color w:val="auto"/>
                <w:kern w:val="0"/>
                <w:sz w:val="20"/>
                <w:highlight w:val="none"/>
              </w:rPr>
            </w:pPr>
          </w:p>
        </w:tc>
      </w:tr>
      <w:tr w14:paraId="3D3F1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E45F0A1">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1.1.2</w:t>
            </w:r>
          </w:p>
        </w:tc>
        <w:tc>
          <w:tcPr>
            <w:tcW w:w="2161" w:type="dxa"/>
            <w:tcBorders>
              <w:top w:val="single" w:color="auto" w:sz="4" w:space="0"/>
              <w:left w:val="single" w:color="auto" w:sz="4" w:space="0"/>
              <w:bottom w:val="single" w:color="auto" w:sz="4" w:space="0"/>
              <w:right w:val="single" w:color="auto" w:sz="4" w:space="0"/>
            </w:tcBorders>
            <w:vAlign w:val="center"/>
          </w:tcPr>
          <w:p w14:paraId="7C599E18">
            <w:pPr>
              <w:widowControl/>
              <w:jc w:val="left"/>
              <w:rPr>
                <w:rFonts w:ascii="宋体" w:hAnsi="宋体"/>
                <w:color w:val="auto"/>
                <w:sz w:val="20"/>
                <w:highlight w:val="none"/>
              </w:rPr>
            </w:pPr>
            <w:r>
              <w:rPr>
                <w:rFonts w:hint="eastAsia" w:ascii="宋体" w:hAnsi="宋体"/>
                <w:color w:val="auto"/>
                <w:sz w:val="20"/>
                <w:highlight w:val="none"/>
              </w:rPr>
              <w:t>主要管理人员驻场管理</w:t>
            </w:r>
          </w:p>
        </w:tc>
        <w:tc>
          <w:tcPr>
            <w:tcW w:w="5743" w:type="dxa"/>
            <w:tcBorders>
              <w:top w:val="single" w:color="auto" w:sz="4" w:space="0"/>
              <w:left w:val="single" w:color="auto" w:sz="4" w:space="0"/>
              <w:bottom w:val="single" w:color="auto" w:sz="4" w:space="0"/>
              <w:right w:val="single" w:color="auto" w:sz="4" w:space="0"/>
            </w:tcBorders>
            <w:vAlign w:val="center"/>
          </w:tcPr>
          <w:p w14:paraId="497685DC">
            <w:pPr>
              <w:widowControl/>
              <w:jc w:val="left"/>
              <w:rPr>
                <w:rFonts w:ascii="宋体" w:hAnsi="宋体" w:cs="宋体"/>
                <w:b/>
                <w:bCs/>
                <w:color w:val="auto"/>
                <w:kern w:val="0"/>
                <w:sz w:val="20"/>
                <w:highlight w:val="none"/>
              </w:rPr>
            </w:pPr>
            <w:r>
              <w:rPr>
                <w:rFonts w:hint="eastAsia" w:ascii="宋体" w:hAnsi="宋体"/>
                <w:color w:val="auto"/>
                <w:sz w:val="20"/>
                <w:highlight w:val="none"/>
              </w:rPr>
              <w:t>项目主要管理人员（项目经理、总工程师）长期不驻场管理（每月累计7天或连续5天以内），或每月3次以下未参加会议，超过天（次）数的，每人每次（天）处违约金1000元，分项负责工程师每人每次（天）处违约金500元。</w:t>
            </w:r>
          </w:p>
        </w:tc>
        <w:tc>
          <w:tcPr>
            <w:tcW w:w="1429" w:type="dxa"/>
            <w:tcBorders>
              <w:top w:val="single" w:color="auto" w:sz="4" w:space="0"/>
              <w:left w:val="single" w:color="auto" w:sz="4" w:space="0"/>
              <w:bottom w:val="single" w:color="auto" w:sz="4" w:space="0"/>
              <w:right w:val="single" w:color="auto" w:sz="4" w:space="0"/>
            </w:tcBorders>
          </w:tcPr>
          <w:p w14:paraId="34A1085A">
            <w:pPr>
              <w:widowControl/>
              <w:jc w:val="center"/>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0251F1A8">
            <w:pPr>
              <w:widowControl/>
              <w:jc w:val="center"/>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14DA3B0B">
            <w:pPr>
              <w:widowControl/>
              <w:jc w:val="center"/>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1AE07FEF">
            <w:pPr>
              <w:widowControl/>
              <w:jc w:val="center"/>
              <w:rPr>
                <w:rFonts w:ascii="宋体" w:hAnsi="宋体" w:cs="宋体"/>
                <w:b/>
                <w:bCs/>
                <w:color w:val="auto"/>
                <w:kern w:val="0"/>
                <w:sz w:val="20"/>
                <w:highlight w:val="none"/>
              </w:rPr>
            </w:pPr>
          </w:p>
        </w:tc>
      </w:tr>
      <w:tr w14:paraId="7305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8C3D576">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1.1.3</w:t>
            </w:r>
          </w:p>
        </w:tc>
        <w:tc>
          <w:tcPr>
            <w:tcW w:w="2161" w:type="dxa"/>
            <w:tcBorders>
              <w:top w:val="single" w:color="auto" w:sz="4" w:space="0"/>
              <w:left w:val="single" w:color="auto" w:sz="4" w:space="0"/>
              <w:bottom w:val="single" w:color="auto" w:sz="4" w:space="0"/>
              <w:right w:val="single" w:color="auto" w:sz="4" w:space="0"/>
            </w:tcBorders>
            <w:vAlign w:val="center"/>
          </w:tcPr>
          <w:p w14:paraId="2965FE57">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相关管理人员到位情况</w:t>
            </w:r>
          </w:p>
        </w:tc>
        <w:tc>
          <w:tcPr>
            <w:tcW w:w="5743" w:type="dxa"/>
            <w:tcBorders>
              <w:top w:val="single" w:color="auto" w:sz="4" w:space="0"/>
              <w:left w:val="single" w:color="auto" w:sz="4" w:space="0"/>
              <w:bottom w:val="single" w:color="auto" w:sz="4" w:space="0"/>
              <w:right w:val="single" w:color="auto" w:sz="4" w:space="0"/>
            </w:tcBorders>
            <w:vAlign w:val="center"/>
          </w:tcPr>
          <w:p w14:paraId="37EFB05D">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在建设管理单位下发进场通知书的三天内项目经理、项目总工程师及其主要管理和技术人员须驻场管理，否则，延迟一天罚款1000元；建设管理单位保留向建设主管部门通报的权利。</w:t>
            </w:r>
          </w:p>
        </w:tc>
        <w:tc>
          <w:tcPr>
            <w:tcW w:w="1429" w:type="dxa"/>
            <w:tcBorders>
              <w:top w:val="single" w:color="auto" w:sz="4" w:space="0"/>
              <w:left w:val="single" w:color="auto" w:sz="4" w:space="0"/>
              <w:bottom w:val="single" w:color="auto" w:sz="4" w:space="0"/>
              <w:right w:val="single" w:color="auto" w:sz="4" w:space="0"/>
            </w:tcBorders>
          </w:tcPr>
          <w:p w14:paraId="46228623">
            <w:pPr>
              <w:widowControl/>
              <w:jc w:val="center"/>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5F258717">
            <w:pPr>
              <w:widowControl/>
              <w:jc w:val="center"/>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7F2BE680">
            <w:pPr>
              <w:widowControl/>
              <w:jc w:val="center"/>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33E511C3">
            <w:pPr>
              <w:widowControl/>
              <w:jc w:val="center"/>
              <w:rPr>
                <w:rFonts w:ascii="宋体" w:hAnsi="宋体" w:cs="宋体"/>
                <w:b/>
                <w:bCs/>
                <w:color w:val="auto"/>
                <w:kern w:val="0"/>
                <w:sz w:val="20"/>
                <w:highlight w:val="none"/>
              </w:rPr>
            </w:pPr>
          </w:p>
        </w:tc>
      </w:tr>
      <w:tr w14:paraId="3F9C8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002FF89">
            <w:pPr>
              <w:widowControl/>
              <w:jc w:val="center"/>
              <w:rPr>
                <w:rFonts w:ascii="宋体" w:hAnsi="宋体" w:cs="宋体"/>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14:paraId="757F7352">
            <w:pPr>
              <w:widowControl/>
              <w:jc w:val="left"/>
              <w:rPr>
                <w:rFonts w:ascii="宋体" w:hAnsi="宋体" w:cs="宋体"/>
                <w:color w:val="auto"/>
                <w:kern w:val="0"/>
                <w:sz w:val="20"/>
                <w:highlight w:val="none"/>
              </w:rPr>
            </w:pPr>
            <w:r>
              <w:rPr>
                <w:rFonts w:hint="eastAsia" w:ascii="宋体" w:hAnsi="宋体" w:cs="宋体"/>
                <w:b/>
                <w:color w:val="auto"/>
                <w:kern w:val="0"/>
                <w:sz w:val="20"/>
                <w:highlight w:val="none"/>
              </w:rPr>
              <w:t>一般违约及严重违约</w:t>
            </w:r>
          </w:p>
        </w:tc>
        <w:tc>
          <w:tcPr>
            <w:tcW w:w="5743" w:type="dxa"/>
            <w:tcBorders>
              <w:top w:val="single" w:color="auto" w:sz="4" w:space="0"/>
              <w:left w:val="single" w:color="auto" w:sz="4" w:space="0"/>
              <w:bottom w:val="single" w:color="auto" w:sz="4" w:space="0"/>
              <w:right w:val="single" w:color="auto" w:sz="4" w:space="0"/>
            </w:tcBorders>
            <w:vAlign w:val="center"/>
          </w:tcPr>
          <w:p w14:paraId="16D59714">
            <w:pPr>
              <w:widowControl/>
              <w:jc w:val="left"/>
              <w:rPr>
                <w:rFonts w:ascii="宋体" w:hAnsi="宋体" w:cs="宋体"/>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14:paraId="25DCEDA6">
            <w:pPr>
              <w:widowControl/>
              <w:jc w:val="center"/>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30E2B2E3">
            <w:pPr>
              <w:widowControl/>
              <w:jc w:val="center"/>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6CD727B6">
            <w:pPr>
              <w:widowControl/>
              <w:jc w:val="center"/>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5C61495A">
            <w:pPr>
              <w:widowControl/>
              <w:jc w:val="center"/>
              <w:rPr>
                <w:rFonts w:ascii="宋体" w:hAnsi="宋体" w:cs="宋体"/>
                <w:b/>
                <w:bCs/>
                <w:color w:val="auto"/>
                <w:kern w:val="0"/>
                <w:sz w:val="20"/>
                <w:highlight w:val="none"/>
              </w:rPr>
            </w:pPr>
          </w:p>
        </w:tc>
      </w:tr>
      <w:tr w14:paraId="0E337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7C35110">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1.1.4</w:t>
            </w:r>
          </w:p>
        </w:tc>
        <w:tc>
          <w:tcPr>
            <w:tcW w:w="2161" w:type="dxa"/>
            <w:tcBorders>
              <w:top w:val="single" w:color="auto" w:sz="4" w:space="0"/>
              <w:left w:val="single" w:color="auto" w:sz="4" w:space="0"/>
              <w:bottom w:val="single" w:color="auto" w:sz="4" w:space="0"/>
              <w:right w:val="single" w:color="auto" w:sz="4" w:space="0"/>
            </w:tcBorders>
            <w:vAlign w:val="center"/>
          </w:tcPr>
          <w:p w14:paraId="5C78A32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相关管理人员驻场情况</w:t>
            </w:r>
          </w:p>
        </w:tc>
        <w:tc>
          <w:tcPr>
            <w:tcW w:w="5743" w:type="dxa"/>
            <w:tcBorders>
              <w:top w:val="single" w:color="auto" w:sz="4" w:space="0"/>
              <w:left w:val="single" w:color="auto" w:sz="4" w:space="0"/>
              <w:bottom w:val="single" w:color="auto" w:sz="4" w:space="0"/>
              <w:right w:val="single" w:color="auto" w:sz="4" w:space="0"/>
            </w:tcBorders>
            <w:vAlign w:val="center"/>
          </w:tcPr>
          <w:p w14:paraId="091F47A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的项目经理、安全员、质量员等，必须长驻工地，不得兼职。如离开工地，需向总监理工程师和建设管理单位驻地代表请假，经其批准确认后才能离开。否则建设单位有权按相对应等级标准处罚承建单位（在每月进度款内扣除或在投标单位递交的履约保函内扣除）。</w:t>
            </w:r>
          </w:p>
          <w:p w14:paraId="474D9EB1">
            <w:pPr>
              <w:widowControl/>
              <w:jc w:val="left"/>
              <w:rPr>
                <w:rFonts w:ascii="宋体" w:hAnsi="宋体" w:cs="宋体"/>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14:paraId="087207E5">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1000元每天每人</w:t>
            </w:r>
          </w:p>
        </w:tc>
        <w:tc>
          <w:tcPr>
            <w:tcW w:w="1941" w:type="dxa"/>
            <w:tcBorders>
              <w:top w:val="single" w:color="auto" w:sz="4" w:space="0"/>
              <w:left w:val="single" w:color="auto" w:sz="4" w:space="0"/>
              <w:bottom w:val="single" w:color="auto" w:sz="4" w:space="0"/>
              <w:right w:val="single" w:color="auto" w:sz="4" w:space="0"/>
            </w:tcBorders>
          </w:tcPr>
          <w:p w14:paraId="24918BE7">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3000元每天每人</w:t>
            </w:r>
          </w:p>
        </w:tc>
        <w:tc>
          <w:tcPr>
            <w:tcW w:w="1781" w:type="dxa"/>
            <w:tcBorders>
              <w:top w:val="single" w:color="auto" w:sz="4" w:space="0"/>
              <w:left w:val="single" w:color="auto" w:sz="4" w:space="0"/>
              <w:bottom w:val="single" w:color="auto" w:sz="4" w:space="0"/>
              <w:right w:val="single" w:color="auto" w:sz="4" w:space="0"/>
            </w:tcBorders>
          </w:tcPr>
          <w:p w14:paraId="3C1F7AC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5000元每天每人</w:t>
            </w:r>
          </w:p>
        </w:tc>
        <w:tc>
          <w:tcPr>
            <w:tcW w:w="1480" w:type="dxa"/>
            <w:tcBorders>
              <w:top w:val="single" w:color="auto" w:sz="4" w:space="0"/>
              <w:left w:val="single" w:color="auto" w:sz="4" w:space="0"/>
              <w:bottom w:val="single" w:color="auto" w:sz="4" w:space="0"/>
              <w:right w:val="single" w:color="auto" w:sz="4" w:space="0"/>
            </w:tcBorders>
          </w:tcPr>
          <w:p w14:paraId="50B39CDD">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1万元每天每人</w:t>
            </w:r>
          </w:p>
        </w:tc>
      </w:tr>
      <w:tr w14:paraId="2F9A8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2001578">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1.1.5</w:t>
            </w:r>
          </w:p>
        </w:tc>
        <w:tc>
          <w:tcPr>
            <w:tcW w:w="2161" w:type="dxa"/>
            <w:tcBorders>
              <w:top w:val="single" w:color="auto" w:sz="4" w:space="0"/>
              <w:left w:val="single" w:color="auto" w:sz="4" w:space="0"/>
              <w:bottom w:val="single" w:color="auto" w:sz="4" w:space="0"/>
              <w:right w:val="single" w:color="auto" w:sz="4" w:space="0"/>
            </w:tcBorders>
            <w:vAlign w:val="center"/>
          </w:tcPr>
          <w:p w14:paraId="30306D3F">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相关管理人员与投标承诺一致情况</w:t>
            </w:r>
          </w:p>
        </w:tc>
        <w:tc>
          <w:tcPr>
            <w:tcW w:w="5743" w:type="dxa"/>
            <w:tcBorders>
              <w:top w:val="single" w:color="auto" w:sz="4" w:space="0"/>
              <w:left w:val="single" w:color="auto" w:sz="4" w:space="0"/>
              <w:bottom w:val="single" w:color="auto" w:sz="4" w:space="0"/>
              <w:right w:val="single" w:color="auto" w:sz="4" w:space="0"/>
            </w:tcBorders>
            <w:vAlign w:val="center"/>
          </w:tcPr>
          <w:p w14:paraId="7BD595AF">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项目经理、安全员、质量员，施工计划、物资机械、合同计量及财务负责人，必须与投标文件一致。以上管理人员姓名、近期照片、身份证、手机号码须上墙公布，随时接受检查。若项目经理与投标文件不一致或长期不驻场管理（每月累计7天或连续5天，或每月要求参加会议累计未到5次，建设管理单位有权按相对应等级①对承包人进行处罚；且建设管理单位保留向建设行政主管部门取消项目经理年度备案权利。若项目总工与投标文件不一致或长期不驻场技术负责（每月累计7天或连续5天，或每月要求参加会议累计未到5次），建设管理单位有权按相对应等级②对承包人进行处罚；且建设管理单位保留向有关行业注册单位或职称评定机构进行投诉与建议取消注册、职称评定权利。若项目安全主任与投标文件不一致或长期不驻场技术负责（每月累计7天或连续5天，或每月要求参加会议累计未到5次，建设管理单位有权按相对应等级③对承包人进行处罚；且建设管理单位保留向建设行政主管部门与安监行政主管部门通报权利。承包人项目经理、副经理、项目总工程师，安全主任等主要管理人员经查实如与投标文件不一致或提供虚假材料，发包人和建设管理单位除按相对应等级④给予经济处罚</w:t>
            </w:r>
          </w:p>
        </w:tc>
        <w:tc>
          <w:tcPr>
            <w:tcW w:w="1429" w:type="dxa"/>
            <w:tcBorders>
              <w:top w:val="single" w:color="auto" w:sz="4" w:space="0"/>
              <w:left w:val="single" w:color="auto" w:sz="4" w:space="0"/>
              <w:bottom w:val="single" w:color="auto" w:sz="4" w:space="0"/>
              <w:right w:val="single" w:color="auto" w:sz="4" w:space="0"/>
            </w:tcBorders>
          </w:tcPr>
          <w:p w14:paraId="14566DD9">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①1000元每人次；               ②1000元每人次；               ③1000元每人次；               ④1000元每人次。</w:t>
            </w:r>
          </w:p>
        </w:tc>
        <w:tc>
          <w:tcPr>
            <w:tcW w:w="1941" w:type="dxa"/>
            <w:tcBorders>
              <w:top w:val="single" w:color="auto" w:sz="4" w:space="0"/>
              <w:left w:val="single" w:color="auto" w:sz="4" w:space="0"/>
              <w:bottom w:val="single" w:color="auto" w:sz="4" w:space="0"/>
              <w:right w:val="single" w:color="auto" w:sz="4" w:space="0"/>
            </w:tcBorders>
          </w:tcPr>
          <w:p w14:paraId="52153661">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①3000元每人次；               ②3000元每人次；               ③3000元每人次；               ④3000元每人次。</w:t>
            </w:r>
          </w:p>
        </w:tc>
        <w:tc>
          <w:tcPr>
            <w:tcW w:w="1781" w:type="dxa"/>
            <w:tcBorders>
              <w:top w:val="single" w:color="auto" w:sz="4" w:space="0"/>
              <w:left w:val="single" w:color="auto" w:sz="4" w:space="0"/>
              <w:bottom w:val="single" w:color="auto" w:sz="4" w:space="0"/>
              <w:right w:val="single" w:color="auto" w:sz="4" w:space="0"/>
            </w:tcBorders>
          </w:tcPr>
          <w:p w14:paraId="673AAD83">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①5000元每人次；               ②5000元每人次；               ③5000元每人次；               ④5000元每人次。</w:t>
            </w:r>
          </w:p>
        </w:tc>
        <w:tc>
          <w:tcPr>
            <w:tcW w:w="1480" w:type="dxa"/>
            <w:tcBorders>
              <w:top w:val="single" w:color="auto" w:sz="4" w:space="0"/>
              <w:left w:val="single" w:color="auto" w:sz="4" w:space="0"/>
              <w:bottom w:val="single" w:color="auto" w:sz="4" w:space="0"/>
              <w:right w:val="single" w:color="auto" w:sz="4" w:space="0"/>
            </w:tcBorders>
          </w:tcPr>
          <w:p w14:paraId="16A51F6B">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①1万元每人次；               ②1万元每人次；               ③1万元每人次；               ④1万元每人次。</w:t>
            </w:r>
          </w:p>
        </w:tc>
      </w:tr>
      <w:tr w14:paraId="7F316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D32BE43">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1.2</w:t>
            </w:r>
          </w:p>
        </w:tc>
        <w:tc>
          <w:tcPr>
            <w:tcW w:w="2161" w:type="dxa"/>
            <w:tcBorders>
              <w:top w:val="single" w:color="auto" w:sz="4" w:space="0"/>
              <w:left w:val="single" w:color="auto" w:sz="4" w:space="0"/>
              <w:bottom w:val="single" w:color="auto" w:sz="4" w:space="0"/>
              <w:right w:val="single" w:color="auto" w:sz="4" w:space="0"/>
            </w:tcBorders>
            <w:vAlign w:val="center"/>
          </w:tcPr>
          <w:p w14:paraId="4862AA71">
            <w:pPr>
              <w:widowControl/>
              <w:jc w:val="left"/>
              <w:rPr>
                <w:rFonts w:ascii="宋体" w:hAnsi="宋体"/>
                <w:b/>
                <w:color w:val="auto"/>
                <w:sz w:val="20"/>
                <w:highlight w:val="none"/>
              </w:rPr>
            </w:pPr>
            <w:r>
              <w:rPr>
                <w:rFonts w:hint="eastAsia" w:ascii="宋体" w:hAnsi="宋体"/>
                <w:b/>
                <w:color w:val="auto"/>
                <w:sz w:val="20"/>
                <w:highlight w:val="none"/>
              </w:rPr>
              <w:t>设备管理</w:t>
            </w:r>
          </w:p>
        </w:tc>
        <w:tc>
          <w:tcPr>
            <w:tcW w:w="5743" w:type="dxa"/>
            <w:tcBorders>
              <w:top w:val="single" w:color="auto" w:sz="4" w:space="0"/>
              <w:left w:val="single" w:color="auto" w:sz="4" w:space="0"/>
              <w:bottom w:val="single" w:color="auto" w:sz="4" w:space="0"/>
              <w:right w:val="single" w:color="auto" w:sz="4" w:space="0"/>
            </w:tcBorders>
            <w:vAlign w:val="center"/>
          </w:tcPr>
          <w:p w14:paraId="7E97851B">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14:paraId="6ACD3088">
            <w:pPr>
              <w:widowControl/>
              <w:jc w:val="center"/>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59B5482D">
            <w:pPr>
              <w:widowControl/>
              <w:jc w:val="center"/>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2A48AF6F">
            <w:pPr>
              <w:widowControl/>
              <w:jc w:val="center"/>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53B93F0E">
            <w:pPr>
              <w:widowControl/>
              <w:jc w:val="center"/>
              <w:rPr>
                <w:rFonts w:ascii="宋体" w:hAnsi="宋体" w:cs="宋体"/>
                <w:b/>
                <w:bCs/>
                <w:color w:val="auto"/>
                <w:kern w:val="0"/>
                <w:sz w:val="20"/>
                <w:highlight w:val="none"/>
              </w:rPr>
            </w:pPr>
          </w:p>
        </w:tc>
      </w:tr>
      <w:tr w14:paraId="49DC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32D177A">
            <w:pPr>
              <w:widowControl/>
              <w:jc w:val="center"/>
              <w:rPr>
                <w:rFonts w:ascii="宋体" w:hAnsi="宋体" w:cs="宋体"/>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14:paraId="3788E4C2">
            <w:pPr>
              <w:widowControl/>
              <w:jc w:val="left"/>
              <w:rPr>
                <w:rFonts w:ascii="宋体" w:hAnsi="宋体"/>
                <w:color w:val="auto"/>
                <w:sz w:val="20"/>
                <w:highlight w:val="none"/>
              </w:rPr>
            </w:pPr>
            <w:r>
              <w:rPr>
                <w:rFonts w:hint="eastAsia" w:ascii="宋体" w:hAnsi="宋体"/>
                <w:b/>
                <w:color w:val="auto"/>
                <w:sz w:val="20"/>
                <w:highlight w:val="none"/>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14:paraId="0072B0A6">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14:paraId="1D1639DD">
            <w:pPr>
              <w:widowControl/>
              <w:jc w:val="center"/>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74AB1B36">
            <w:pPr>
              <w:widowControl/>
              <w:jc w:val="center"/>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3D61B74A">
            <w:pPr>
              <w:widowControl/>
              <w:jc w:val="center"/>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058F1E65">
            <w:pPr>
              <w:widowControl/>
              <w:jc w:val="center"/>
              <w:rPr>
                <w:rFonts w:ascii="宋体" w:hAnsi="宋体" w:cs="宋体"/>
                <w:b/>
                <w:bCs/>
                <w:color w:val="auto"/>
                <w:kern w:val="0"/>
                <w:sz w:val="20"/>
                <w:highlight w:val="none"/>
              </w:rPr>
            </w:pPr>
          </w:p>
        </w:tc>
      </w:tr>
      <w:tr w14:paraId="267C0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95FE1C9">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1.2.1</w:t>
            </w:r>
          </w:p>
        </w:tc>
        <w:tc>
          <w:tcPr>
            <w:tcW w:w="2161" w:type="dxa"/>
            <w:tcBorders>
              <w:top w:val="single" w:color="auto" w:sz="4" w:space="0"/>
              <w:left w:val="single" w:color="auto" w:sz="4" w:space="0"/>
              <w:bottom w:val="single" w:color="auto" w:sz="4" w:space="0"/>
              <w:right w:val="single" w:color="auto" w:sz="4" w:space="0"/>
            </w:tcBorders>
            <w:vAlign w:val="center"/>
          </w:tcPr>
          <w:p w14:paraId="19E153DF">
            <w:pPr>
              <w:widowControl/>
              <w:jc w:val="left"/>
              <w:rPr>
                <w:rFonts w:ascii="宋体" w:hAnsi="宋体"/>
                <w:color w:val="auto"/>
                <w:sz w:val="20"/>
                <w:highlight w:val="none"/>
              </w:rPr>
            </w:pPr>
            <w:r>
              <w:rPr>
                <w:rFonts w:hint="eastAsia" w:ascii="宋体" w:hAnsi="宋体"/>
                <w:color w:val="auto"/>
                <w:sz w:val="20"/>
                <w:highlight w:val="none"/>
              </w:rPr>
              <w:t>主要机械设备到场管理</w:t>
            </w:r>
          </w:p>
        </w:tc>
        <w:tc>
          <w:tcPr>
            <w:tcW w:w="5743" w:type="dxa"/>
            <w:tcBorders>
              <w:top w:val="single" w:color="auto" w:sz="4" w:space="0"/>
              <w:left w:val="single" w:color="auto" w:sz="4" w:space="0"/>
              <w:bottom w:val="single" w:color="auto" w:sz="4" w:space="0"/>
              <w:right w:val="single" w:color="auto" w:sz="4" w:space="0"/>
            </w:tcBorders>
            <w:vAlign w:val="center"/>
          </w:tcPr>
          <w:p w14:paraId="2F0A8A9B">
            <w:pPr>
              <w:widowControl/>
              <w:jc w:val="left"/>
              <w:rPr>
                <w:rFonts w:ascii="宋体" w:hAnsi="宋体" w:cs="宋体"/>
                <w:b/>
                <w:bCs/>
                <w:color w:val="auto"/>
                <w:kern w:val="0"/>
                <w:sz w:val="20"/>
                <w:highlight w:val="none"/>
              </w:rPr>
            </w:pPr>
            <w:r>
              <w:rPr>
                <w:rFonts w:hint="eastAsia" w:ascii="宋体" w:hAnsi="宋体"/>
                <w:color w:val="auto"/>
                <w:sz w:val="20"/>
                <w:highlight w:val="none"/>
              </w:rPr>
              <w:t>在具备施工条件情况下，主要机械设备未按合同文件及业主要求及时到场，每台每天处违约金1000元，并限期整改。</w:t>
            </w:r>
          </w:p>
        </w:tc>
        <w:tc>
          <w:tcPr>
            <w:tcW w:w="1429" w:type="dxa"/>
            <w:tcBorders>
              <w:top w:val="single" w:color="auto" w:sz="4" w:space="0"/>
              <w:left w:val="single" w:color="auto" w:sz="4" w:space="0"/>
              <w:bottom w:val="single" w:color="auto" w:sz="4" w:space="0"/>
              <w:right w:val="single" w:color="auto" w:sz="4" w:space="0"/>
            </w:tcBorders>
          </w:tcPr>
          <w:p w14:paraId="62624975">
            <w:pPr>
              <w:widowControl/>
              <w:jc w:val="center"/>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6AC9F42B">
            <w:pPr>
              <w:widowControl/>
              <w:jc w:val="center"/>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1C647F30">
            <w:pPr>
              <w:widowControl/>
              <w:jc w:val="center"/>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40B437D4">
            <w:pPr>
              <w:widowControl/>
              <w:jc w:val="center"/>
              <w:rPr>
                <w:rFonts w:ascii="宋体" w:hAnsi="宋体" w:cs="宋体"/>
                <w:b/>
                <w:bCs/>
                <w:color w:val="auto"/>
                <w:kern w:val="0"/>
                <w:sz w:val="20"/>
                <w:highlight w:val="none"/>
              </w:rPr>
            </w:pPr>
          </w:p>
        </w:tc>
      </w:tr>
      <w:tr w14:paraId="2B1A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D7FE0F4">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1.2.2</w:t>
            </w:r>
          </w:p>
        </w:tc>
        <w:tc>
          <w:tcPr>
            <w:tcW w:w="2161" w:type="dxa"/>
            <w:tcBorders>
              <w:top w:val="single" w:color="auto" w:sz="4" w:space="0"/>
              <w:left w:val="single" w:color="auto" w:sz="4" w:space="0"/>
              <w:bottom w:val="single" w:color="auto" w:sz="4" w:space="0"/>
              <w:right w:val="single" w:color="auto" w:sz="4" w:space="0"/>
            </w:tcBorders>
            <w:vAlign w:val="center"/>
          </w:tcPr>
          <w:p w14:paraId="7A5838FB">
            <w:pPr>
              <w:widowControl/>
              <w:jc w:val="left"/>
              <w:rPr>
                <w:rFonts w:ascii="宋体" w:hAnsi="宋体"/>
                <w:color w:val="auto"/>
                <w:sz w:val="20"/>
                <w:highlight w:val="none"/>
              </w:rPr>
            </w:pPr>
            <w:r>
              <w:rPr>
                <w:rFonts w:hint="eastAsia" w:ascii="宋体" w:hAnsi="宋体"/>
                <w:color w:val="auto"/>
                <w:sz w:val="20"/>
                <w:highlight w:val="none"/>
              </w:rPr>
              <w:t>试验设备</w:t>
            </w:r>
          </w:p>
        </w:tc>
        <w:tc>
          <w:tcPr>
            <w:tcW w:w="5743" w:type="dxa"/>
            <w:tcBorders>
              <w:top w:val="single" w:color="auto" w:sz="4" w:space="0"/>
              <w:left w:val="single" w:color="auto" w:sz="4" w:space="0"/>
              <w:bottom w:val="single" w:color="auto" w:sz="4" w:space="0"/>
              <w:right w:val="single" w:color="auto" w:sz="4" w:space="0"/>
            </w:tcBorders>
            <w:vAlign w:val="center"/>
          </w:tcPr>
          <w:p w14:paraId="6E41665B">
            <w:pPr>
              <w:widowControl/>
              <w:jc w:val="left"/>
              <w:rPr>
                <w:rFonts w:ascii="宋体" w:hAnsi="宋体"/>
                <w:color w:val="auto"/>
                <w:sz w:val="20"/>
                <w:highlight w:val="none"/>
              </w:rPr>
            </w:pPr>
            <w:r>
              <w:rPr>
                <w:rFonts w:hint="eastAsia" w:ascii="宋体" w:hAnsi="宋体"/>
                <w:color w:val="auto"/>
                <w:sz w:val="20"/>
                <w:highlight w:val="none"/>
              </w:rPr>
              <w:t>试验设备不全，未建立试验台帐的，每次处违约金5000元，并限期纠正。</w:t>
            </w:r>
          </w:p>
        </w:tc>
        <w:tc>
          <w:tcPr>
            <w:tcW w:w="1429" w:type="dxa"/>
            <w:tcBorders>
              <w:top w:val="single" w:color="auto" w:sz="4" w:space="0"/>
              <w:left w:val="single" w:color="auto" w:sz="4" w:space="0"/>
              <w:bottom w:val="single" w:color="auto" w:sz="4" w:space="0"/>
              <w:right w:val="single" w:color="auto" w:sz="4" w:space="0"/>
            </w:tcBorders>
          </w:tcPr>
          <w:p w14:paraId="66BE9CA3">
            <w:pPr>
              <w:widowControl/>
              <w:jc w:val="center"/>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556D48ED">
            <w:pPr>
              <w:widowControl/>
              <w:jc w:val="center"/>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7E5FC970">
            <w:pPr>
              <w:widowControl/>
              <w:jc w:val="center"/>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4F932631">
            <w:pPr>
              <w:widowControl/>
              <w:jc w:val="center"/>
              <w:rPr>
                <w:rFonts w:ascii="宋体" w:hAnsi="宋体" w:cs="宋体"/>
                <w:b/>
                <w:bCs/>
                <w:color w:val="auto"/>
                <w:kern w:val="0"/>
                <w:sz w:val="20"/>
                <w:highlight w:val="none"/>
              </w:rPr>
            </w:pPr>
          </w:p>
        </w:tc>
      </w:tr>
      <w:tr w14:paraId="12118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CDBB345">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2</w:t>
            </w:r>
          </w:p>
        </w:tc>
        <w:tc>
          <w:tcPr>
            <w:tcW w:w="2161" w:type="dxa"/>
            <w:tcBorders>
              <w:top w:val="single" w:color="auto" w:sz="4" w:space="0"/>
              <w:left w:val="single" w:color="auto" w:sz="4" w:space="0"/>
              <w:bottom w:val="single" w:color="auto" w:sz="4" w:space="0"/>
              <w:right w:val="single" w:color="auto" w:sz="4" w:space="0"/>
            </w:tcBorders>
            <w:vAlign w:val="center"/>
          </w:tcPr>
          <w:p w14:paraId="5229C769">
            <w:pPr>
              <w:widowControl/>
              <w:jc w:val="left"/>
              <w:rPr>
                <w:rFonts w:ascii="宋体" w:hAnsi="宋体" w:cs="宋体"/>
                <w:b/>
                <w:bCs/>
                <w:color w:val="auto"/>
                <w:kern w:val="0"/>
                <w:sz w:val="20"/>
                <w:highlight w:val="none"/>
              </w:rPr>
            </w:pPr>
            <w:r>
              <w:rPr>
                <w:rFonts w:hint="eastAsia" w:ascii="宋体" w:hAnsi="宋体" w:cs="宋体"/>
                <w:b/>
                <w:bCs/>
                <w:color w:val="auto"/>
                <w:kern w:val="0"/>
                <w:sz w:val="20"/>
                <w:highlight w:val="none"/>
              </w:rPr>
              <w:t>工期</w:t>
            </w:r>
          </w:p>
        </w:tc>
        <w:tc>
          <w:tcPr>
            <w:tcW w:w="5743" w:type="dxa"/>
            <w:tcBorders>
              <w:top w:val="single" w:color="auto" w:sz="4" w:space="0"/>
              <w:left w:val="single" w:color="auto" w:sz="4" w:space="0"/>
              <w:bottom w:val="single" w:color="auto" w:sz="4" w:space="0"/>
              <w:right w:val="single" w:color="auto" w:sz="4" w:space="0"/>
            </w:tcBorders>
            <w:vAlign w:val="center"/>
          </w:tcPr>
          <w:p w14:paraId="3E8C6A2A">
            <w:pPr>
              <w:widowControl/>
              <w:jc w:val="left"/>
              <w:rPr>
                <w:rFonts w:ascii="宋体" w:hAnsi="宋体" w:cs="宋体"/>
                <w:b/>
                <w:bCs/>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14:paraId="20C75BE5">
            <w:pPr>
              <w:widowControl/>
              <w:jc w:val="center"/>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5516776A">
            <w:pPr>
              <w:widowControl/>
              <w:jc w:val="center"/>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4BF18665">
            <w:pPr>
              <w:widowControl/>
              <w:jc w:val="center"/>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51BAB400">
            <w:pPr>
              <w:widowControl/>
              <w:jc w:val="center"/>
              <w:rPr>
                <w:rFonts w:ascii="宋体" w:hAnsi="宋体" w:cs="宋体"/>
                <w:b/>
                <w:bCs/>
                <w:color w:val="auto"/>
                <w:kern w:val="0"/>
                <w:sz w:val="20"/>
                <w:highlight w:val="none"/>
              </w:rPr>
            </w:pPr>
          </w:p>
        </w:tc>
      </w:tr>
      <w:tr w14:paraId="1531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032D2E6">
            <w:pPr>
              <w:widowControl/>
              <w:jc w:val="center"/>
              <w:rPr>
                <w:rFonts w:ascii="宋体" w:hAnsi="宋体" w:cs="宋体"/>
                <w:b/>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14:paraId="0087167D">
            <w:pPr>
              <w:widowControl/>
              <w:jc w:val="left"/>
              <w:rPr>
                <w:rFonts w:ascii="宋体" w:hAnsi="宋体" w:cs="宋体"/>
                <w:b/>
                <w:bCs/>
                <w:color w:val="auto"/>
                <w:kern w:val="0"/>
                <w:sz w:val="20"/>
                <w:highlight w:val="none"/>
              </w:rPr>
            </w:pPr>
            <w:r>
              <w:rPr>
                <w:rFonts w:hint="eastAsia" w:ascii="宋体" w:hAnsi="宋体" w:cs="宋体"/>
                <w:b/>
                <w:bCs/>
                <w:color w:val="auto"/>
                <w:kern w:val="0"/>
                <w:sz w:val="20"/>
                <w:highlight w:val="none"/>
              </w:rPr>
              <w:t>一般违约及严重违约</w:t>
            </w:r>
          </w:p>
        </w:tc>
        <w:tc>
          <w:tcPr>
            <w:tcW w:w="5743" w:type="dxa"/>
            <w:tcBorders>
              <w:top w:val="single" w:color="auto" w:sz="4" w:space="0"/>
              <w:left w:val="single" w:color="auto" w:sz="4" w:space="0"/>
              <w:bottom w:val="single" w:color="auto" w:sz="4" w:space="0"/>
              <w:right w:val="single" w:color="auto" w:sz="4" w:space="0"/>
            </w:tcBorders>
            <w:vAlign w:val="center"/>
          </w:tcPr>
          <w:p w14:paraId="4E630D0C">
            <w:pPr>
              <w:widowControl/>
              <w:jc w:val="left"/>
              <w:rPr>
                <w:rFonts w:ascii="宋体" w:hAnsi="宋体" w:cs="宋体"/>
                <w:b/>
                <w:bCs/>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14:paraId="3ED61C20">
            <w:pPr>
              <w:widowControl/>
              <w:jc w:val="center"/>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3CCA0275">
            <w:pPr>
              <w:widowControl/>
              <w:jc w:val="center"/>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54F3D80E">
            <w:pPr>
              <w:widowControl/>
              <w:jc w:val="center"/>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7C7989F0">
            <w:pPr>
              <w:widowControl/>
              <w:jc w:val="center"/>
              <w:rPr>
                <w:rFonts w:ascii="宋体" w:hAnsi="宋体" w:cs="宋体"/>
                <w:b/>
                <w:bCs/>
                <w:color w:val="auto"/>
                <w:kern w:val="0"/>
                <w:sz w:val="20"/>
                <w:highlight w:val="none"/>
              </w:rPr>
            </w:pPr>
          </w:p>
        </w:tc>
      </w:tr>
      <w:tr w14:paraId="250EE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BF6D1D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2.1</w:t>
            </w:r>
          </w:p>
        </w:tc>
        <w:tc>
          <w:tcPr>
            <w:tcW w:w="2161" w:type="dxa"/>
            <w:tcBorders>
              <w:top w:val="single" w:color="auto" w:sz="4" w:space="0"/>
              <w:left w:val="single" w:color="auto" w:sz="4" w:space="0"/>
              <w:bottom w:val="single" w:color="auto" w:sz="4" w:space="0"/>
              <w:right w:val="single" w:color="auto" w:sz="4" w:space="0"/>
            </w:tcBorders>
            <w:vAlign w:val="center"/>
          </w:tcPr>
          <w:p w14:paraId="0B15E015">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延期开工</w:t>
            </w:r>
          </w:p>
        </w:tc>
        <w:tc>
          <w:tcPr>
            <w:tcW w:w="5743" w:type="dxa"/>
            <w:tcBorders>
              <w:top w:val="single" w:color="auto" w:sz="4" w:space="0"/>
              <w:left w:val="single" w:color="auto" w:sz="4" w:space="0"/>
              <w:bottom w:val="single" w:color="auto" w:sz="4" w:space="0"/>
              <w:right w:val="single" w:color="auto" w:sz="4" w:space="0"/>
            </w:tcBorders>
            <w:vAlign w:val="center"/>
          </w:tcPr>
          <w:p w14:paraId="7BEB267D">
            <w:pPr>
              <w:widowControl/>
              <w:jc w:val="left"/>
              <w:rPr>
                <w:rFonts w:ascii="宋体" w:hAnsi="宋体" w:cs="宋体"/>
                <w:color w:val="auto"/>
                <w:kern w:val="0"/>
                <w:sz w:val="20"/>
                <w:highlight w:val="none"/>
              </w:rPr>
            </w:pPr>
            <w:r>
              <w:rPr>
                <w:rFonts w:hint="eastAsia" w:ascii="宋体" w:hAnsi="宋体"/>
                <w:color w:val="auto"/>
                <w:sz w:val="20"/>
                <w:highlight w:val="none"/>
              </w:rPr>
              <w:t>承包人在接到发包人的书面开工令后，必须按开工令要求无条件开工。如有异议，可在收到开工令后48小时内书面向发包人提出，但这并不能成为承包人拖延开工的理由。</w:t>
            </w:r>
            <w:r>
              <w:rPr>
                <w:rFonts w:hint="eastAsia" w:ascii="宋体" w:hAnsi="宋体" w:cs="宋体"/>
                <w:color w:val="auto"/>
                <w:kern w:val="0"/>
                <w:sz w:val="20"/>
                <w:highlight w:val="none"/>
              </w:rPr>
              <w:t>每迟延开工1天，应给发包人支付相对应等级的违约金；迟延开工超过10天的，发包人通知承包人拒不开工的，发包人有权解除合同，将本工程另行发包，并不免除承包人的违约赔偿责任。</w:t>
            </w:r>
          </w:p>
        </w:tc>
        <w:tc>
          <w:tcPr>
            <w:tcW w:w="1429" w:type="dxa"/>
            <w:tcBorders>
              <w:top w:val="single" w:color="auto" w:sz="4" w:space="0"/>
              <w:left w:val="single" w:color="auto" w:sz="4" w:space="0"/>
              <w:bottom w:val="single" w:color="auto" w:sz="4" w:space="0"/>
              <w:right w:val="single" w:color="auto" w:sz="4" w:space="0"/>
            </w:tcBorders>
          </w:tcPr>
          <w:p w14:paraId="57908FE1">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1000元/天</w:t>
            </w:r>
          </w:p>
        </w:tc>
        <w:tc>
          <w:tcPr>
            <w:tcW w:w="1941" w:type="dxa"/>
            <w:tcBorders>
              <w:top w:val="single" w:color="auto" w:sz="4" w:space="0"/>
              <w:left w:val="single" w:color="auto" w:sz="4" w:space="0"/>
              <w:bottom w:val="single" w:color="auto" w:sz="4" w:space="0"/>
              <w:right w:val="single" w:color="auto" w:sz="4" w:space="0"/>
            </w:tcBorders>
          </w:tcPr>
          <w:p w14:paraId="608DAB89">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3000元/天</w:t>
            </w:r>
          </w:p>
        </w:tc>
        <w:tc>
          <w:tcPr>
            <w:tcW w:w="1781" w:type="dxa"/>
            <w:tcBorders>
              <w:top w:val="single" w:color="auto" w:sz="4" w:space="0"/>
              <w:left w:val="single" w:color="auto" w:sz="4" w:space="0"/>
              <w:bottom w:val="single" w:color="auto" w:sz="4" w:space="0"/>
              <w:right w:val="single" w:color="auto" w:sz="4" w:space="0"/>
            </w:tcBorders>
          </w:tcPr>
          <w:p w14:paraId="32DC8C99">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5000元/天</w:t>
            </w:r>
          </w:p>
        </w:tc>
        <w:tc>
          <w:tcPr>
            <w:tcW w:w="1480" w:type="dxa"/>
            <w:tcBorders>
              <w:top w:val="single" w:color="auto" w:sz="4" w:space="0"/>
              <w:left w:val="single" w:color="auto" w:sz="4" w:space="0"/>
              <w:bottom w:val="single" w:color="auto" w:sz="4" w:space="0"/>
              <w:right w:val="single" w:color="auto" w:sz="4" w:space="0"/>
            </w:tcBorders>
          </w:tcPr>
          <w:p w14:paraId="01F3AE39">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1万元/天</w:t>
            </w:r>
          </w:p>
        </w:tc>
      </w:tr>
      <w:tr w14:paraId="57558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CF7280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2.2</w:t>
            </w:r>
          </w:p>
        </w:tc>
        <w:tc>
          <w:tcPr>
            <w:tcW w:w="2161" w:type="dxa"/>
            <w:tcBorders>
              <w:top w:val="single" w:color="auto" w:sz="4" w:space="0"/>
              <w:left w:val="single" w:color="auto" w:sz="4" w:space="0"/>
              <w:bottom w:val="single" w:color="auto" w:sz="4" w:space="0"/>
              <w:right w:val="single" w:color="auto" w:sz="4" w:space="0"/>
            </w:tcBorders>
            <w:vAlign w:val="center"/>
          </w:tcPr>
          <w:p w14:paraId="52675444">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单方停工</w:t>
            </w:r>
          </w:p>
        </w:tc>
        <w:tc>
          <w:tcPr>
            <w:tcW w:w="5743" w:type="dxa"/>
            <w:tcBorders>
              <w:top w:val="single" w:color="auto" w:sz="4" w:space="0"/>
              <w:left w:val="single" w:color="auto" w:sz="4" w:space="0"/>
              <w:bottom w:val="single" w:color="auto" w:sz="4" w:space="0"/>
              <w:right w:val="single" w:color="auto" w:sz="4" w:space="0"/>
            </w:tcBorders>
            <w:vAlign w:val="center"/>
          </w:tcPr>
          <w:p w14:paraId="14B9B90C">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每单方停工1天，应给发包人支付相对应等级的违约金；单方停工超过10天的，发包人通知承包人拒不开工的，发包人有权解除合同，将本工程另行发包，并不免除承包人的违约赔偿责任。</w:t>
            </w:r>
          </w:p>
        </w:tc>
        <w:tc>
          <w:tcPr>
            <w:tcW w:w="1429" w:type="dxa"/>
            <w:tcBorders>
              <w:top w:val="single" w:color="auto" w:sz="4" w:space="0"/>
              <w:left w:val="single" w:color="auto" w:sz="4" w:space="0"/>
              <w:bottom w:val="single" w:color="auto" w:sz="4" w:space="0"/>
              <w:right w:val="single" w:color="auto" w:sz="4" w:space="0"/>
            </w:tcBorders>
          </w:tcPr>
          <w:p w14:paraId="46BED3A3">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1000元/天</w:t>
            </w:r>
          </w:p>
        </w:tc>
        <w:tc>
          <w:tcPr>
            <w:tcW w:w="1941" w:type="dxa"/>
            <w:tcBorders>
              <w:top w:val="single" w:color="auto" w:sz="4" w:space="0"/>
              <w:left w:val="single" w:color="auto" w:sz="4" w:space="0"/>
              <w:bottom w:val="single" w:color="auto" w:sz="4" w:space="0"/>
              <w:right w:val="single" w:color="auto" w:sz="4" w:space="0"/>
            </w:tcBorders>
          </w:tcPr>
          <w:p w14:paraId="4B85FC29">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3000元/天</w:t>
            </w:r>
          </w:p>
        </w:tc>
        <w:tc>
          <w:tcPr>
            <w:tcW w:w="1781" w:type="dxa"/>
            <w:tcBorders>
              <w:top w:val="single" w:color="auto" w:sz="4" w:space="0"/>
              <w:left w:val="single" w:color="auto" w:sz="4" w:space="0"/>
              <w:bottom w:val="single" w:color="auto" w:sz="4" w:space="0"/>
              <w:right w:val="single" w:color="auto" w:sz="4" w:space="0"/>
            </w:tcBorders>
          </w:tcPr>
          <w:p w14:paraId="726652A7">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5000元/天</w:t>
            </w:r>
          </w:p>
        </w:tc>
        <w:tc>
          <w:tcPr>
            <w:tcW w:w="1480" w:type="dxa"/>
            <w:tcBorders>
              <w:top w:val="single" w:color="auto" w:sz="4" w:space="0"/>
              <w:left w:val="single" w:color="auto" w:sz="4" w:space="0"/>
              <w:bottom w:val="single" w:color="auto" w:sz="4" w:space="0"/>
              <w:right w:val="single" w:color="auto" w:sz="4" w:space="0"/>
            </w:tcBorders>
          </w:tcPr>
          <w:p w14:paraId="669423C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1万元/天</w:t>
            </w:r>
          </w:p>
        </w:tc>
      </w:tr>
      <w:tr w14:paraId="2AD0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0B5A80D">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2.3</w:t>
            </w:r>
          </w:p>
        </w:tc>
        <w:tc>
          <w:tcPr>
            <w:tcW w:w="2161" w:type="dxa"/>
            <w:tcBorders>
              <w:top w:val="single" w:color="auto" w:sz="4" w:space="0"/>
              <w:left w:val="single" w:color="auto" w:sz="4" w:space="0"/>
              <w:bottom w:val="single" w:color="auto" w:sz="4" w:space="0"/>
              <w:right w:val="single" w:color="auto" w:sz="4" w:space="0"/>
            </w:tcBorders>
            <w:vAlign w:val="center"/>
          </w:tcPr>
          <w:p w14:paraId="65A0762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造成工程关键节点工期延误</w:t>
            </w:r>
          </w:p>
        </w:tc>
        <w:tc>
          <w:tcPr>
            <w:tcW w:w="5743" w:type="dxa"/>
            <w:tcBorders>
              <w:top w:val="single" w:color="auto" w:sz="4" w:space="0"/>
              <w:left w:val="single" w:color="auto" w:sz="4" w:space="0"/>
              <w:bottom w:val="single" w:color="auto" w:sz="4" w:space="0"/>
              <w:right w:val="single" w:color="auto" w:sz="4" w:space="0"/>
            </w:tcBorders>
            <w:vAlign w:val="center"/>
          </w:tcPr>
          <w:p w14:paraId="06A0DE0A">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每延误1天的，发包人有权从承包人当月进度款中暂扣相对应等级的违约金；延误15天以上的，承包人还应在7天内制定出具体可行的自行赶工措施，报发包人和总监理工程师批准。如发包人认为承包人的赶工计划不可行，承包人应进行修改；若承包人没有完全执行发包人批准的赶工计划，则承包人承担违约责任。如最终承包人下一关键节点工期或总体工期满足本合同要求，发包人所暂扣的节点工期延误违约金应退还给承包人。</w:t>
            </w:r>
          </w:p>
        </w:tc>
        <w:tc>
          <w:tcPr>
            <w:tcW w:w="1429" w:type="dxa"/>
            <w:tcBorders>
              <w:top w:val="single" w:color="auto" w:sz="4" w:space="0"/>
              <w:left w:val="single" w:color="auto" w:sz="4" w:space="0"/>
              <w:bottom w:val="single" w:color="auto" w:sz="4" w:space="0"/>
              <w:right w:val="single" w:color="auto" w:sz="4" w:space="0"/>
            </w:tcBorders>
          </w:tcPr>
          <w:p w14:paraId="1C23EF8B">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1000元/天</w:t>
            </w:r>
          </w:p>
        </w:tc>
        <w:tc>
          <w:tcPr>
            <w:tcW w:w="1941" w:type="dxa"/>
            <w:tcBorders>
              <w:top w:val="single" w:color="auto" w:sz="4" w:space="0"/>
              <w:left w:val="single" w:color="auto" w:sz="4" w:space="0"/>
              <w:bottom w:val="single" w:color="auto" w:sz="4" w:space="0"/>
              <w:right w:val="single" w:color="auto" w:sz="4" w:space="0"/>
            </w:tcBorders>
          </w:tcPr>
          <w:p w14:paraId="100AE8F7">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3000元/天</w:t>
            </w:r>
          </w:p>
        </w:tc>
        <w:tc>
          <w:tcPr>
            <w:tcW w:w="1781" w:type="dxa"/>
            <w:tcBorders>
              <w:top w:val="single" w:color="auto" w:sz="4" w:space="0"/>
              <w:left w:val="single" w:color="auto" w:sz="4" w:space="0"/>
              <w:bottom w:val="single" w:color="auto" w:sz="4" w:space="0"/>
              <w:right w:val="single" w:color="auto" w:sz="4" w:space="0"/>
            </w:tcBorders>
          </w:tcPr>
          <w:p w14:paraId="702A333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5000元/天</w:t>
            </w:r>
          </w:p>
        </w:tc>
        <w:tc>
          <w:tcPr>
            <w:tcW w:w="1480" w:type="dxa"/>
            <w:tcBorders>
              <w:top w:val="single" w:color="auto" w:sz="4" w:space="0"/>
              <w:left w:val="single" w:color="auto" w:sz="4" w:space="0"/>
              <w:bottom w:val="single" w:color="auto" w:sz="4" w:space="0"/>
              <w:right w:val="single" w:color="auto" w:sz="4" w:space="0"/>
            </w:tcBorders>
          </w:tcPr>
          <w:p w14:paraId="798324F1">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1万元/天</w:t>
            </w:r>
          </w:p>
        </w:tc>
      </w:tr>
      <w:tr w14:paraId="5FAA5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E76B35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2.44</w:t>
            </w:r>
          </w:p>
        </w:tc>
        <w:tc>
          <w:tcPr>
            <w:tcW w:w="2161" w:type="dxa"/>
            <w:tcBorders>
              <w:top w:val="single" w:color="auto" w:sz="4" w:space="0"/>
              <w:left w:val="single" w:color="auto" w:sz="4" w:space="0"/>
              <w:bottom w:val="single" w:color="auto" w:sz="4" w:space="0"/>
              <w:right w:val="single" w:color="auto" w:sz="4" w:space="0"/>
            </w:tcBorders>
            <w:vAlign w:val="center"/>
          </w:tcPr>
          <w:p w14:paraId="7B05204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造成工程不能按照合同协议书及本补充合同约定的竣工日期竣工</w:t>
            </w:r>
          </w:p>
        </w:tc>
        <w:tc>
          <w:tcPr>
            <w:tcW w:w="5743" w:type="dxa"/>
            <w:tcBorders>
              <w:top w:val="single" w:color="auto" w:sz="4" w:space="0"/>
              <w:left w:val="single" w:color="auto" w:sz="4" w:space="0"/>
              <w:bottom w:val="single" w:color="auto" w:sz="4" w:space="0"/>
              <w:right w:val="single" w:color="auto" w:sz="4" w:space="0"/>
            </w:tcBorders>
            <w:vAlign w:val="center"/>
          </w:tcPr>
          <w:p w14:paraId="55EBFCA9">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每逾期1日，承包人必须按合同价款的5000元/天给发包人支付违约金（违约金的总额不超过合同价款的1％），并赔偿发包人因此遭受的实际损失；逾期超过45天的，承包人除必须支付违约金和赔偿损失外，发包人还有权单方解除未完成部分工程合同。</w:t>
            </w:r>
          </w:p>
        </w:tc>
        <w:tc>
          <w:tcPr>
            <w:tcW w:w="1429" w:type="dxa"/>
            <w:tcBorders>
              <w:top w:val="single" w:color="auto" w:sz="4" w:space="0"/>
              <w:left w:val="single" w:color="auto" w:sz="4" w:space="0"/>
              <w:bottom w:val="single" w:color="auto" w:sz="4" w:space="0"/>
              <w:right w:val="single" w:color="auto" w:sz="4" w:space="0"/>
            </w:tcBorders>
          </w:tcPr>
          <w:p w14:paraId="4F6BC1C7">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126D2104">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1AFDAF5B">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3BD01BF8">
            <w:pPr>
              <w:widowControl/>
              <w:jc w:val="left"/>
              <w:rPr>
                <w:rFonts w:ascii="宋体" w:hAnsi="宋体" w:cs="宋体"/>
                <w:color w:val="auto"/>
                <w:kern w:val="0"/>
                <w:sz w:val="20"/>
                <w:highlight w:val="none"/>
              </w:rPr>
            </w:pPr>
          </w:p>
        </w:tc>
      </w:tr>
      <w:tr w14:paraId="7639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1720D27">
            <w:pPr>
              <w:widowControl/>
              <w:jc w:val="center"/>
              <w:rPr>
                <w:rFonts w:ascii="宋体" w:hAnsi="宋体" w:cs="宋体"/>
                <w:color w:val="auto"/>
                <w:kern w:val="0"/>
                <w:sz w:val="20"/>
                <w:highlight w:val="none"/>
              </w:rPr>
            </w:pPr>
            <w:r>
              <w:rPr>
                <w:rFonts w:hint="eastAsia" w:ascii="宋体" w:hAnsi="宋体" w:cs="宋体"/>
                <w:b/>
                <w:bCs/>
                <w:color w:val="auto"/>
                <w:kern w:val="0"/>
                <w:sz w:val="20"/>
                <w:highlight w:val="none"/>
              </w:rPr>
              <w:t>3</w:t>
            </w:r>
          </w:p>
        </w:tc>
        <w:tc>
          <w:tcPr>
            <w:tcW w:w="2161" w:type="dxa"/>
            <w:tcBorders>
              <w:top w:val="single" w:color="auto" w:sz="4" w:space="0"/>
              <w:left w:val="single" w:color="auto" w:sz="4" w:space="0"/>
              <w:bottom w:val="single" w:color="auto" w:sz="4" w:space="0"/>
              <w:right w:val="single" w:color="auto" w:sz="4" w:space="0"/>
            </w:tcBorders>
            <w:vAlign w:val="center"/>
          </w:tcPr>
          <w:p w14:paraId="575A9C3F">
            <w:pPr>
              <w:widowControl/>
              <w:jc w:val="left"/>
              <w:rPr>
                <w:rFonts w:ascii="宋体" w:hAnsi="宋体" w:cs="宋体"/>
                <w:b/>
                <w:color w:val="auto"/>
                <w:kern w:val="0"/>
                <w:sz w:val="20"/>
                <w:highlight w:val="none"/>
              </w:rPr>
            </w:pPr>
            <w:r>
              <w:rPr>
                <w:rFonts w:hint="eastAsia" w:ascii="宋体" w:hAnsi="宋体" w:cs="宋体"/>
                <w:b/>
                <w:color w:val="auto"/>
                <w:kern w:val="0"/>
                <w:sz w:val="20"/>
                <w:highlight w:val="none"/>
              </w:rPr>
              <w:t>质量管理</w:t>
            </w:r>
          </w:p>
        </w:tc>
        <w:tc>
          <w:tcPr>
            <w:tcW w:w="5743" w:type="dxa"/>
            <w:tcBorders>
              <w:top w:val="single" w:color="auto" w:sz="4" w:space="0"/>
              <w:left w:val="single" w:color="auto" w:sz="4" w:space="0"/>
              <w:bottom w:val="single" w:color="auto" w:sz="4" w:space="0"/>
              <w:right w:val="single" w:color="auto" w:sz="4" w:space="0"/>
            </w:tcBorders>
            <w:vAlign w:val="center"/>
          </w:tcPr>
          <w:p w14:paraId="55CE0CEC">
            <w:pPr>
              <w:widowControl/>
              <w:jc w:val="left"/>
              <w:rPr>
                <w:rFonts w:ascii="宋体" w:hAnsi="宋体" w:cs="宋体"/>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14:paraId="08C65D36">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5272D282">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2BF4A8C5">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0ABD6149">
            <w:pPr>
              <w:widowControl/>
              <w:jc w:val="left"/>
              <w:rPr>
                <w:rFonts w:ascii="宋体" w:hAnsi="宋体" w:cs="宋体"/>
                <w:color w:val="auto"/>
                <w:kern w:val="0"/>
                <w:sz w:val="20"/>
                <w:highlight w:val="none"/>
              </w:rPr>
            </w:pPr>
          </w:p>
        </w:tc>
      </w:tr>
      <w:tr w14:paraId="2628D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E655B38">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3.1</w:t>
            </w:r>
          </w:p>
        </w:tc>
        <w:tc>
          <w:tcPr>
            <w:tcW w:w="2161" w:type="dxa"/>
            <w:tcBorders>
              <w:top w:val="single" w:color="auto" w:sz="4" w:space="0"/>
              <w:left w:val="single" w:color="auto" w:sz="4" w:space="0"/>
              <w:bottom w:val="single" w:color="auto" w:sz="4" w:space="0"/>
              <w:right w:val="single" w:color="auto" w:sz="4" w:space="0"/>
            </w:tcBorders>
            <w:vAlign w:val="center"/>
          </w:tcPr>
          <w:p w14:paraId="7D0EF9D3">
            <w:pPr>
              <w:widowControl/>
              <w:jc w:val="left"/>
              <w:rPr>
                <w:rFonts w:ascii="宋体" w:hAnsi="宋体" w:cs="宋体"/>
                <w:b/>
                <w:bCs/>
                <w:color w:val="auto"/>
                <w:kern w:val="0"/>
                <w:sz w:val="20"/>
                <w:highlight w:val="none"/>
              </w:rPr>
            </w:pPr>
            <w:r>
              <w:rPr>
                <w:rFonts w:hint="eastAsia" w:ascii="宋体" w:hAnsi="宋体"/>
                <w:b/>
                <w:color w:val="auto"/>
                <w:sz w:val="20"/>
                <w:highlight w:val="none"/>
              </w:rPr>
              <w:t>路基（含稳定层）及砌体工程</w:t>
            </w:r>
          </w:p>
        </w:tc>
        <w:tc>
          <w:tcPr>
            <w:tcW w:w="5743" w:type="dxa"/>
            <w:tcBorders>
              <w:top w:val="single" w:color="auto" w:sz="4" w:space="0"/>
              <w:left w:val="single" w:color="auto" w:sz="4" w:space="0"/>
              <w:bottom w:val="single" w:color="auto" w:sz="4" w:space="0"/>
              <w:right w:val="single" w:color="auto" w:sz="4" w:space="0"/>
            </w:tcBorders>
            <w:vAlign w:val="center"/>
          </w:tcPr>
          <w:p w14:paraId="283682FD">
            <w:pPr>
              <w:widowControl/>
              <w:jc w:val="left"/>
              <w:rPr>
                <w:rFonts w:ascii="宋体" w:hAnsi="宋体" w:cs="宋体"/>
                <w:b/>
                <w:bCs/>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14:paraId="0C7409C8">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6811DB56">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6B963729">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179CB9B9">
            <w:pPr>
              <w:widowControl/>
              <w:jc w:val="left"/>
              <w:rPr>
                <w:rFonts w:ascii="宋体" w:hAnsi="宋体" w:cs="宋体"/>
                <w:color w:val="auto"/>
                <w:kern w:val="0"/>
                <w:sz w:val="20"/>
                <w:highlight w:val="none"/>
              </w:rPr>
            </w:pPr>
          </w:p>
        </w:tc>
      </w:tr>
      <w:tr w14:paraId="7A7CD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C377B84">
            <w:pPr>
              <w:widowControl/>
              <w:jc w:val="center"/>
              <w:rPr>
                <w:rFonts w:ascii="宋体" w:hAnsi="宋体" w:cs="宋体"/>
                <w:b/>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14:paraId="3CBC8FD7">
            <w:pPr>
              <w:widowControl/>
              <w:jc w:val="left"/>
              <w:rPr>
                <w:rFonts w:ascii="宋体" w:hAnsi="宋体"/>
                <w:b/>
                <w:color w:val="auto"/>
                <w:sz w:val="20"/>
                <w:highlight w:val="none"/>
              </w:rPr>
            </w:pPr>
            <w:r>
              <w:rPr>
                <w:rFonts w:hint="eastAsia" w:ascii="宋体" w:hAnsi="宋体"/>
                <w:b/>
                <w:color w:val="auto"/>
                <w:sz w:val="20"/>
                <w:highlight w:val="none"/>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14:paraId="725E38D7">
            <w:pPr>
              <w:widowControl/>
              <w:jc w:val="left"/>
              <w:rPr>
                <w:rFonts w:ascii="宋体" w:hAnsi="宋体" w:cs="宋体"/>
                <w:b/>
                <w:bCs/>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14:paraId="2E97167E">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72C6068C">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430BFE96">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38877CCA">
            <w:pPr>
              <w:widowControl/>
              <w:jc w:val="left"/>
              <w:rPr>
                <w:rFonts w:ascii="宋体" w:hAnsi="宋体" w:cs="宋体"/>
                <w:color w:val="auto"/>
                <w:kern w:val="0"/>
                <w:sz w:val="20"/>
                <w:highlight w:val="none"/>
              </w:rPr>
            </w:pPr>
          </w:p>
        </w:tc>
      </w:tr>
      <w:tr w14:paraId="70472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EAAE041">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3.1.1</w:t>
            </w:r>
          </w:p>
        </w:tc>
        <w:tc>
          <w:tcPr>
            <w:tcW w:w="2161" w:type="dxa"/>
            <w:tcBorders>
              <w:top w:val="single" w:color="auto" w:sz="4" w:space="0"/>
              <w:left w:val="single" w:color="auto" w:sz="4" w:space="0"/>
              <w:bottom w:val="single" w:color="auto" w:sz="4" w:space="0"/>
              <w:right w:val="single" w:color="auto" w:sz="4" w:space="0"/>
            </w:tcBorders>
            <w:vAlign w:val="center"/>
          </w:tcPr>
          <w:p w14:paraId="3D87CE71">
            <w:pPr>
              <w:widowControl/>
              <w:jc w:val="left"/>
              <w:rPr>
                <w:rFonts w:ascii="宋体" w:hAnsi="宋体"/>
                <w:color w:val="auto"/>
                <w:sz w:val="20"/>
                <w:highlight w:val="none"/>
              </w:rPr>
            </w:pPr>
            <w:r>
              <w:rPr>
                <w:rFonts w:hint="eastAsia" w:ascii="宋体" w:hAnsi="宋体"/>
                <w:color w:val="auto"/>
                <w:sz w:val="20"/>
                <w:highlight w:val="none"/>
              </w:rPr>
              <w:t>土工试验</w:t>
            </w:r>
          </w:p>
        </w:tc>
        <w:tc>
          <w:tcPr>
            <w:tcW w:w="5743" w:type="dxa"/>
            <w:tcBorders>
              <w:top w:val="single" w:color="auto" w:sz="4" w:space="0"/>
              <w:left w:val="single" w:color="auto" w:sz="4" w:space="0"/>
              <w:bottom w:val="single" w:color="auto" w:sz="4" w:space="0"/>
              <w:right w:val="single" w:color="auto" w:sz="4" w:space="0"/>
            </w:tcBorders>
            <w:vAlign w:val="center"/>
          </w:tcPr>
          <w:p w14:paraId="58EF9E31">
            <w:pPr>
              <w:widowControl/>
              <w:jc w:val="left"/>
              <w:rPr>
                <w:rFonts w:ascii="宋体" w:hAnsi="宋体" w:cs="宋体"/>
                <w:b/>
                <w:bCs/>
                <w:color w:val="auto"/>
                <w:kern w:val="0"/>
                <w:sz w:val="20"/>
                <w:highlight w:val="none"/>
              </w:rPr>
            </w:pPr>
            <w:r>
              <w:rPr>
                <w:rFonts w:hint="eastAsia" w:ascii="宋体" w:hAnsi="宋体"/>
                <w:color w:val="auto"/>
                <w:sz w:val="20"/>
                <w:highlight w:val="none"/>
              </w:rPr>
              <w:t>路基填土应按规定作土工试验，液限和塑性试验，违者每处处违约金500元，并限期整改。</w:t>
            </w:r>
          </w:p>
        </w:tc>
        <w:tc>
          <w:tcPr>
            <w:tcW w:w="1429" w:type="dxa"/>
            <w:tcBorders>
              <w:top w:val="single" w:color="auto" w:sz="4" w:space="0"/>
              <w:left w:val="single" w:color="auto" w:sz="4" w:space="0"/>
              <w:bottom w:val="single" w:color="auto" w:sz="4" w:space="0"/>
              <w:right w:val="single" w:color="auto" w:sz="4" w:space="0"/>
            </w:tcBorders>
          </w:tcPr>
          <w:p w14:paraId="4B5779E7">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65BA9C94">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615FEA15">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1CCE3B71">
            <w:pPr>
              <w:widowControl/>
              <w:jc w:val="left"/>
              <w:rPr>
                <w:rFonts w:ascii="宋体" w:hAnsi="宋体" w:cs="宋体"/>
                <w:color w:val="auto"/>
                <w:kern w:val="0"/>
                <w:sz w:val="20"/>
                <w:highlight w:val="none"/>
              </w:rPr>
            </w:pPr>
          </w:p>
        </w:tc>
      </w:tr>
      <w:tr w14:paraId="6E33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8490376">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3.1.2</w:t>
            </w:r>
          </w:p>
        </w:tc>
        <w:tc>
          <w:tcPr>
            <w:tcW w:w="2161" w:type="dxa"/>
            <w:tcBorders>
              <w:top w:val="single" w:color="auto" w:sz="4" w:space="0"/>
              <w:left w:val="single" w:color="auto" w:sz="4" w:space="0"/>
              <w:bottom w:val="single" w:color="auto" w:sz="4" w:space="0"/>
              <w:right w:val="single" w:color="auto" w:sz="4" w:space="0"/>
            </w:tcBorders>
            <w:vAlign w:val="center"/>
          </w:tcPr>
          <w:p w14:paraId="1AF5B512">
            <w:pPr>
              <w:widowControl/>
              <w:jc w:val="left"/>
              <w:rPr>
                <w:rFonts w:ascii="宋体" w:hAnsi="宋体"/>
                <w:color w:val="auto"/>
                <w:sz w:val="20"/>
                <w:highlight w:val="none"/>
              </w:rPr>
            </w:pPr>
            <w:r>
              <w:rPr>
                <w:rFonts w:hint="eastAsia" w:ascii="宋体" w:hAnsi="宋体"/>
                <w:color w:val="auto"/>
                <w:sz w:val="20"/>
                <w:highlight w:val="none"/>
              </w:rPr>
              <w:t>填土压实度和湾沉</w:t>
            </w:r>
          </w:p>
        </w:tc>
        <w:tc>
          <w:tcPr>
            <w:tcW w:w="5743" w:type="dxa"/>
            <w:tcBorders>
              <w:top w:val="single" w:color="auto" w:sz="4" w:space="0"/>
              <w:left w:val="single" w:color="auto" w:sz="4" w:space="0"/>
              <w:bottom w:val="single" w:color="auto" w:sz="4" w:space="0"/>
              <w:right w:val="single" w:color="auto" w:sz="4" w:space="0"/>
            </w:tcBorders>
            <w:vAlign w:val="center"/>
          </w:tcPr>
          <w:p w14:paraId="4AE7D2E3">
            <w:pPr>
              <w:widowControl/>
              <w:jc w:val="left"/>
              <w:rPr>
                <w:rFonts w:ascii="宋体" w:hAnsi="宋体" w:cs="宋体"/>
                <w:b/>
                <w:bCs/>
                <w:color w:val="auto"/>
                <w:kern w:val="0"/>
                <w:sz w:val="20"/>
                <w:highlight w:val="none"/>
              </w:rPr>
            </w:pPr>
            <w:r>
              <w:rPr>
                <w:rFonts w:hint="eastAsia" w:ascii="宋体" w:hAnsi="宋体"/>
                <w:color w:val="auto"/>
                <w:sz w:val="20"/>
                <w:highlight w:val="none"/>
              </w:rPr>
              <w:t>填土压实度和弯沉达不到设计要求的，每处处违约金500元，并作返工处理。</w:t>
            </w:r>
          </w:p>
        </w:tc>
        <w:tc>
          <w:tcPr>
            <w:tcW w:w="1429" w:type="dxa"/>
            <w:tcBorders>
              <w:top w:val="single" w:color="auto" w:sz="4" w:space="0"/>
              <w:left w:val="single" w:color="auto" w:sz="4" w:space="0"/>
              <w:bottom w:val="single" w:color="auto" w:sz="4" w:space="0"/>
              <w:right w:val="single" w:color="auto" w:sz="4" w:space="0"/>
            </w:tcBorders>
          </w:tcPr>
          <w:p w14:paraId="7864F395">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681622C4">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37332414">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57669AFD">
            <w:pPr>
              <w:widowControl/>
              <w:jc w:val="left"/>
              <w:rPr>
                <w:rFonts w:ascii="宋体" w:hAnsi="宋体" w:cs="宋体"/>
                <w:color w:val="auto"/>
                <w:kern w:val="0"/>
                <w:sz w:val="20"/>
                <w:highlight w:val="none"/>
              </w:rPr>
            </w:pPr>
          </w:p>
        </w:tc>
      </w:tr>
      <w:tr w14:paraId="10E2C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F980170">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3.1.3</w:t>
            </w:r>
          </w:p>
        </w:tc>
        <w:tc>
          <w:tcPr>
            <w:tcW w:w="2161" w:type="dxa"/>
            <w:tcBorders>
              <w:top w:val="single" w:color="auto" w:sz="4" w:space="0"/>
              <w:left w:val="single" w:color="auto" w:sz="4" w:space="0"/>
              <w:bottom w:val="single" w:color="auto" w:sz="4" w:space="0"/>
              <w:right w:val="single" w:color="auto" w:sz="4" w:space="0"/>
            </w:tcBorders>
            <w:vAlign w:val="center"/>
          </w:tcPr>
          <w:p w14:paraId="7904FB44">
            <w:pPr>
              <w:widowControl/>
              <w:jc w:val="left"/>
              <w:rPr>
                <w:rFonts w:ascii="宋体" w:hAnsi="宋体"/>
                <w:color w:val="auto"/>
                <w:sz w:val="20"/>
                <w:highlight w:val="none"/>
              </w:rPr>
            </w:pPr>
            <w:r>
              <w:rPr>
                <w:rFonts w:hint="eastAsia" w:ascii="宋体" w:hAnsi="宋体"/>
                <w:color w:val="auto"/>
                <w:sz w:val="20"/>
                <w:highlight w:val="none"/>
              </w:rPr>
              <w:t>路基平整度</w:t>
            </w:r>
          </w:p>
        </w:tc>
        <w:tc>
          <w:tcPr>
            <w:tcW w:w="5743" w:type="dxa"/>
            <w:tcBorders>
              <w:top w:val="single" w:color="auto" w:sz="4" w:space="0"/>
              <w:left w:val="single" w:color="auto" w:sz="4" w:space="0"/>
              <w:bottom w:val="single" w:color="auto" w:sz="4" w:space="0"/>
              <w:right w:val="single" w:color="auto" w:sz="4" w:space="0"/>
            </w:tcBorders>
            <w:vAlign w:val="center"/>
          </w:tcPr>
          <w:p w14:paraId="67C98435">
            <w:pPr>
              <w:widowControl/>
              <w:jc w:val="left"/>
              <w:rPr>
                <w:rFonts w:ascii="宋体" w:hAnsi="宋体" w:cs="宋体"/>
                <w:b/>
                <w:bCs/>
                <w:color w:val="auto"/>
                <w:kern w:val="0"/>
                <w:sz w:val="20"/>
                <w:highlight w:val="none"/>
              </w:rPr>
            </w:pPr>
            <w:r>
              <w:rPr>
                <w:rFonts w:hint="eastAsia" w:ascii="宋体" w:hAnsi="宋体"/>
                <w:color w:val="auto"/>
                <w:sz w:val="20"/>
                <w:highlight w:val="none"/>
              </w:rPr>
              <w:t>路基平整度不符合规范要求的，每处处违约金500元，并限期整改</w:t>
            </w:r>
          </w:p>
        </w:tc>
        <w:tc>
          <w:tcPr>
            <w:tcW w:w="1429" w:type="dxa"/>
            <w:tcBorders>
              <w:top w:val="single" w:color="auto" w:sz="4" w:space="0"/>
              <w:left w:val="single" w:color="auto" w:sz="4" w:space="0"/>
              <w:bottom w:val="single" w:color="auto" w:sz="4" w:space="0"/>
              <w:right w:val="single" w:color="auto" w:sz="4" w:space="0"/>
            </w:tcBorders>
          </w:tcPr>
          <w:p w14:paraId="47781EDA">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24F033AF">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5C528B8E">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5BE52EED">
            <w:pPr>
              <w:widowControl/>
              <w:jc w:val="left"/>
              <w:rPr>
                <w:rFonts w:ascii="宋体" w:hAnsi="宋体" w:cs="宋体"/>
                <w:color w:val="auto"/>
                <w:kern w:val="0"/>
                <w:sz w:val="20"/>
                <w:highlight w:val="none"/>
              </w:rPr>
            </w:pPr>
          </w:p>
        </w:tc>
      </w:tr>
      <w:tr w14:paraId="486DE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CE52099">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3.1.4</w:t>
            </w:r>
          </w:p>
        </w:tc>
        <w:tc>
          <w:tcPr>
            <w:tcW w:w="2161" w:type="dxa"/>
            <w:tcBorders>
              <w:top w:val="single" w:color="auto" w:sz="4" w:space="0"/>
              <w:left w:val="single" w:color="auto" w:sz="4" w:space="0"/>
              <w:bottom w:val="single" w:color="auto" w:sz="4" w:space="0"/>
              <w:right w:val="single" w:color="auto" w:sz="4" w:space="0"/>
            </w:tcBorders>
            <w:vAlign w:val="center"/>
          </w:tcPr>
          <w:p w14:paraId="0F73F3CD">
            <w:pPr>
              <w:widowControl/>
              <w:jc w:val="left"/>
              <w:rPr>
                <w:rFonts w:ascii="宋体" w:hAnsi="宋体"/>
                <w:color w:val="auto"/>
                <w:sz w:val="20"/>
                <w:highlight w:val="none"/>
              </w:rPr>
            </w:pPr>
            <w:r>
              <w:rPr>
                <w:rFonts w:hint="eastAsia" w:ascii="宋体" w:hAnsi="宋体"/>
                <w:color w:val="auto"/>
                <w:sz w:val="20"/>
                <w:highlight w:val="none"/>
              </w:rPr>
              <w:t>砌体工程</w:t>
            </w:r>
          </w:p>
        </w:tc>
        <w:tc>
          <w:tcPr>
            <w:tcW w:w="5743" w:type="dxa"/>
            <w:tcBorders>
              <w:top w:val="single" w:color="auto" w:sz="4" w:space="0"/>
              <w:left w:val="single" w:color="auto" w:sz="4" w:space="0"/>
              <w:bottom w:val="single" w:color="auto" w:sz="4" w:space="0"/>
              <w:right w:val="single" w:color="auto" w:sz="4" w:space="0"/>
            </w:tcBorders>
            <w:vAlign w:val="center"/>
          </w:tcPr>
          <w:p w14:paraId="6298F00C">
            <w:pPr>
              <w:widowControl/>
              <w:jc w:val="left"/>
              <w:rPr>
                <w:rFonts w:ascii="宋体" w:hAnsi="宋体" w:cs="宋体"/>
                <w:b/>
                <w:bCs/>
                <w:color w:val="auto"/>
                <w:kern w:val="0"/>
                <w:sz w:val="20"/>
                <w:highlight w:val="none"/>
              </w:rPr>
            </w:pPr>
            <w:r>
              <w:rPr>
                <w:rFonts w:hint="eastAsia" w:ascii="宋体" w:hAnsi="宋体"/>
                <w:color w:val="auto"/>
                <w:sz w:val="20"/>
                <w:highlight w:val="none"/>
              </w:rPr>
              <w:t>砌体工程不满足下列规定者，每项处违约金500元，并作返工处理：1)不得采用风化石，表面石料粒径需≥30cm；2)构造物表面平顺，无凹凸扭曲现象，砂浆抹边的棱角线、平直度：2m拉线（直尺）检查≤10mm；3)上边坡护面墙砌体一律勾凹缝，4)勾缝不得有瞎缝、丢缝、裂纹和脱落现象，缝宽统一；5)石缝不大于40mm，砌缝内砂浆均匀饱满，不得有空洞；6)层间错缝不大于80mm，三块石相接空隙不大于70mm；7)砂浆抹面，平整度用2m直尺检查≤8mm，不得有裂缝、空鼓现象；8)泄水孔排列整齐、按设计设置坡度，无堵塞现象；9)截水沟与实际地形砌顺，要求线形顺畅，地形无变化时，不得出现弯曲。</w:t>
            </w:r>
          </w:p>
        </w:tc>
        <w:tc>
          <w:tcPr>
            <w:tcW w:w="1429" w:type="dxa"/>
            <w:tcBorders>
              <w:top w:val="single" w:color="auto" w:sz="4" w:space="0"/>
              <w:left w:val="single" w:color="auto" w:sz="4" w:space="0"/>
              <w:bottom w:val="single" w:color="auto" w:sz="4" w:space="0"/>
              <w:right w:val="single" w:color="auto" w:sz="4" w:space="0"/>
            </w:tcBorders>
          </w:tcPr>
          <w:p w14:paraId="30EA4448">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6BDF7136">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41E7F9EC">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0930DAE1">
            <w:pPr>
              <w:widowControl/>
              <w:jc w:val="left"/>
              <w:rPr>
                <w:rFonts w:ascii="宋体" w:hAnsi="宋体" w:cs="宋体"/>
                <w:color w:val="auto"/>
                <w:kern w:val="0"/>
                <w:sz w:val="20"/>
                <w:highlight w:val="none"/>
              </w:rPr>
            </w:pPr>
          </w:p>
        </w:tc>
      </w:tr>
      <w:tr w14:paraId="41FF8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37E2022">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3.1.5</w:t>
            </w:r>
          </w:p>
        </w:tc>
        <w:tc>
          <w:tcPr>
            <w:tcW w:w="2161" w:type="dxa"/>
            <w:tcBorders>
              <w:top w:val="single" w:color="auto" w:sz="4" w:space="0"/>
              <w:left w:val="single" w:color="auto" w:sz="4" w:space="0"/>
              <w:bottom w:val="single" w:color="auto" w:sz="4" w:space="0"/>
              <w:right w:val="single" w:color="auto" w:sz="4" w:space="0"/>
            </w:tcBorders>
            <w:vAlign w:val="center"/>
          </w:tcPr>
          <w:p w14:paraId="344161AC">
            <w:pPr>
              <w:widowControl/>
              <w:jc w:val="left"/>
              <w:rPr>
                <w:rFonts w:ascii="宋体" w:hAnsi="宋体"/>
                <w:color w:val="auto"/>
                <w:sz w:val="20"/>
                <w:highlight w:val="none"/>
              </w:rPr>
            </w:pPr>
            <w:r>
              <w:rPr>
                <w:rFonts w:hint="eastAsia" w:ascii="宋体" w:hAnsi="宋体"/>
                <w:color w:val="auto"/>
                <w:sz w:val="20"/>
                <w:highlight w:val="none"/>
              </w:rPr>
              <w:t>浆砌工程</w:t>
            </w:r>
          </w:p>
        </w:tc>
        <w:tc>
          <w:tcPr>
            <w:tcW w:w="5743" w:type="dxa"/>
            <w:tcBorders>
              <w:top w:val="single" w:color="auto" w:sz="4" w:space="0"/>
              <w:left w:val="single" w:color="auto" w:sz="4" w:space="0"/>
              <w:bottom w:val="single" w:color="auto" w:sz="4" w:space="0"/>
              <w:right w:val="single" w:color="auto" w:sz="4" w:space="0"/>
            </w:tcBorders>
            <w:vAlign w:val="center"/>
          </w:tcPr>
          <w:p w14:paraId="57E8D2CF">
            <w:pPr>
              <w:widowControl/>
              <w:jc w:val="left"/>
              <w:rPr>
                <w:rFonts w:ascii="宋体" w:hAnsi="宋体" w:cs="宋体"/>
                <w:b/>
                <w:bCs/>
                <w:color w:val="auto"/>
                <w:kern w:val="0"/>
                <w:sz w:val="20"/>
                <w:highlight w:val="none"/>
              </w:rPr>
            </w:pPr>
            <w:r>
              <w:rPr>
                <w:rFonts w:hint="eastAsia" w:ascii="宋体" w:hAnsi="宋体"/>
                <w:color w:val="auto"/>
                <w:sz w:val="20"/>
                <w:highlight w:val="none"/>
              </w:rPr>
              <w:t>浆砌工程存在下列情况之一的，处违约金500元：1)铺砌厚度不满足要求；2)垫层厚度不满足要求的；3)砌缝内砂浆不饱满的；4)砂浆不采用机械拌和的；5)砌缝没有错开的。罚款并作返工处理</w:t>
            </w:r>
          </w:p>
        </w:tc>
        <w:tc>
          <w:tcPr>
            <w:tcW w:w="1429" w:type="dxa"/>
            <w:tcBorders>
              <w:top w:val="single" w:color="auto" w:sz="4" w:space="0"/>
              <w:left w:val="single" w:color="auto" w:sz="4" w:space="0"/>
              <w:bottom w:val="single" w:color="auto" w:sz="4" w:space="0"/>
              <w:right w:val="single" w:color="auto" w:sz="4" w:space="0"/>
            </w:tcBorders>
          </w:tcPr>
          <w:p w14:paraId="302AC8C2">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72FC929C">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31A37E5B">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7247261A">
            <w:pPr>
              <w:widowControl/>
              <w:jc w:val="left"/>
              <w:rPr>
                <w:rFonts w:ascii="宋体" w:hAnsi="宋体" w:cs="宋体"/>
                <w:color w:val="auto"/>
                <w:kern w:val="0"/>
                <w:sz w:val="20"/>
                <w:highlight w:val="none"/>
              </w:rPr>
            </w:pPr>
          </w:p>
        </w:tc>
      </w:tr>
      <w:tr w14:paraId="55CF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252B25F">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3.16</w:t>
            </w:r>
          </w:p>
        </w:tc>
        <w:tc>
          <w:tcPr>
            <w:tcW w:w="2161" w:type="dxa"/>
            <w:tcBorders>
              <w:top w:val="single" w:color="auto" w:sz="4" w:space="0"/>
              <w:left w:val="single" w:color="auto" w:sz="4" w:space="0"/>
              <w:bottom w:val="single" w:color="auto" w:sz="4" w:space="0"/>
              <w:right w:val="single" w:color="auto" w:sz="4" w:space="0"/>
            </w:tcBorders>
            <w:vAlign w:val="center"/>
          </w:tcPr>
          <w:p w14:paraId="77CFAEF1">
            <w:pPr>
              <w:widowControl/>
              <w:jc w:val="left"/>
              <w:rPr>
                <w:rFonts w:ascii="宋体" w:hAnsi="宋体"/>
                <w:color w:val="auto"/>
                <w:sz w:val="20"/>
                <w:highlight w:val="none"/>
              </w:rPr>
            </w:pPr>
            <w:r>
              <w:rPr>
                <w:rFonts w:hint="eastAsia" w:ascii="宋体" w:hAnsi="宋体"/>
                <w:color w:val="auto"/>
                <w:sz w:val="20"/>
                <w:highlight w:val="none"/>
              </w:rPr>
              <w:t>未经审批施工</w:t>
            </w:r>
          </w:p>
        </w:tc>
        <w:tc>
          <w:tcPr>
            <w:tcW w:w="5743" w:type="dxa"/>
            <w:tcBorders>
              <w:top w:val="single" w:color="auto" w:sz="4" w:space="0"/>
              <w:left w:val="single" w:color="auto" w:sz="4" w:space="0"/>
              <w:bottom w:val="single" w:color="auto" w:sz="4" w:space="0"/>
              <w:right w:val="single" w:color="auto" w:sz="4" w:space="0"/>
            </w:tcBorders>
            <w:vAlign w:val="center"/>
          </w:tcPr>
          <w:p w14:paraId="7A980117">
            <w:pPr>
              <w:widowControl/>
              <w:jc w:val="left"/>
              <w:rPr>
                <w:rFonts w:ascii="宋体" w:hAnsi="宋体"/>
                <w:color w:val="auto"/>
                <w:sz w:val="20"/>
                <w:highlight w:val="none"/>
              </w:rPr>
            </w:pPr>
            <w:r>
              <w:rPr>
                <w:rFonts w:hint="eastAsia" w:ascii="宋体" w:hAnsi="宋体"/>
                <w:color w:val="auto"/>
                <w:sz w:val="20"/>
                <w:highlight w:val="none"/>
              </w:rPr>
              <w:t>未按经审批的专项施工组织方案进行施工的，每次处违约金10000～20000元，并限期纠正。</w:t>
            </w:r>
          </w:p>
        </w:tc>
        <w:tc>
          <w:tcPr>
            <w:tcW w:w="1429" w:type="dxa"/>
            <w:tcBorders>
              <w:top w:val="single" w:color="auto" w:sz="4" w:space="0"/>
              <w:left w:val="single" w:color="auto" w:sz="4" w:space="0"/>
              <w:bottom w:val="single" w:color="auto" w:sz="4" w:space="0"/>
              <w:right w:val="single" w:color="auto" w:sz="4" w:space="0"/>
            </w:tcBorders>
          </w:tcPr>
          <w:p w14:paraId="3DF548AE">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1DF102F9">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22F54561">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4D5F3311">
            <w:pPr>
              <w:widowControl/>
              <w:jc w:val="left"/>
              <w:rPr>
                <w:rFonts w:ascii="宋体" w:hAnsi="宋体" w:cs="宋体"/>
                <w:color w:val="auto"/>
                <w:kern w:val="0"/>
                <w:sz w:val="20"/>
                <w:highlight w:val="none"/>
              </w:rPr>
            </w:pPr>
          </w:p>
        </w:tc>
      </w:tr>
      <w:tr w14:paraId="357A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4043C42">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3.2</w:t>
            </w:r>
          </w:p>
        </w:tc>
        <w:tc>
          <w:tcPr>
            <w:tcW w:w="2161" w:type="dxa"/>
            <w:tcBorders>
              <w:top w:val="single" w:color="auto" w:sz="4" w:space="0"/>
              <w:left w:val="single" w:color="auto" w:sz="4" w:space="0"/>
              <w:bottom w:val="single" w:color="auto" w:sz="4" w:space="0"/>
              <w:right w:val="single" w:color="auto" w:sz="4" w:space="0"/>
            </w:tcBorders>
            <w:vAlign w:val="center"/>
          </w:tcPr>
          <w:p w14:paraId="31848913">
            <w:pPr>
              <w:widowControl/>
              <w:jc w:val="left"/>
              <w:rPr>
                <w:rFonts w:ascii="宋体" w:hAnsi="宋体"/>
                <w:b/>
                <w:color w:val="auto"/>
                <w:sz w:val="20"/>
                <w:highlight w:val="none"/>
              </w:rPr>
            </w:pPr>
            <w:r>
              <w:rPr>
                <w:rFonts w:hint="eastAsia" w:ascii="宋体" w:hAnsi="宋体"/>
                <w:b/>
                <w:color w:val="auto"/>
                <w:sz w:val="20"/>
                <w:highlight w:val="none"/>
              </w:rPr>
              <w:t>沥青路面工程</w:t>
            </w:r>
          </w:p>
        </w:tc>
        <w:tc>
          <w:tcPr>
            <w:tcW w:w="5743" w:type="dxa"/>
            <w:tcBorders>
              <w:top w:val="single" w:color="auto" w:sz="4" w:space="0"/>
              <w:left w:val="single" w:color="auto" w:sz="4" w:space="0"/>
              <w:bottom w:val="single" w:color="auto" w:sz="4" w:space="0"/>
              <w:right w:val="single" w:color="auto" w:sz="4" w:space="0"/>
            </w:tcBorders>
            <w:vAlign w:val="center"/>
          </w:tcPr>
          <w:p w14:paraId="0A8DA252">
            <w:pPr>
              <w:widowControl/>
              <w:jc w:val="left"/>
              <w:rPr>
                <w:rFonts w:ascii="宋体" w:hAnsi="宋体" w:cs="宋体"/>
                <w:b/>
                <w:bCs/>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14:paraId="3BECC304">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1E340109">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21FCA969">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6697CB4D">
            <w:pPr>
              <w:widowControl/>
              <w:jc w:val="left"/>
              <w:rPr>
                <w:rFonts w:ascii="宋体" w:hAnsi="宋体" w:cs="宋体"/>
                <w:color w:val="auto"/>
                <w:kern w:val="0"/>
                <w:sz w:val="20"/>
                <w:highlight w:val="none"/>
              </w:rPr>
            </w:pPr>
          </w:p>
        </w:tc>
      </w:tr>
      <w:tr w14:paraId="074F3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854860C">
            <w:pPr>
              <w:widowControl/>
              <w:jc w:val="center"/>
              <w:rPr>
                <w:rFonts w:ascii="宋体" w:hAnsi="宋体" w:cs="宋体"/>
                <w:b/>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14:paraId="7B046490">
            <w:pPr>
              <w:widowControl/>
              <w:jc w:val="left"/>
              <w:rPr>
                <w:rFonts w:ascii="宋体" w:hAnsi="宋体"/>
                <w:b/>
                <w:color w:val="auto"/>
                <w:sz w:val="20"/>
                <w:highlight w:val="none"/>
              </w:rPr>
            </w:pPr>
            <w:r>
              <w:rPr>
                <w:rFonts w:hint="eastAsia" w:ascii="宋体" w:hAnsi="宋体"/>
                <w:b/>
                <w:color w:val="auto"/>
                <w:sz w:val="20"/>
                <w:highlight w:val="none"/>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14:paraId="729873E4">
            <w:pPr>
              <w:widowControl/>
              <w:jc w:val="left"/>
              <w:rPr>
                <w:rFonts w:ascii="宋体" w:hAnsi="宋体" w:cs="宋体"/>
                <w:b/>
                <w:bCs/>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14:paraId="79B76027">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7494B6C1">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5F9CD97C">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22A2C9A9">
            <w:pPr>
              <w:widowControl/>
              <w:jc w:val="left"/>
              <w:rPr>
                <w:rFonts w:ascii="宋体" w:hAnsi="宋体" w:cs="宋体"/>
                <w:color w:val="auto"/>
                <w:kern w:val="0"/>
                <w:sz w:val="20"/>
                <w:highlight w:val="none"/>
              </w:rPr>
            </w:pPr>
          </w:p>
        </w:tc>
      </w:tr>
      <w:tr w14:paraId="246AD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431B5B6">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3.2.1</w:t>
            </w:r>
          </w:p>
        </w:tc>
        <w:tc>
          <w:tcPr>
            <w:tcW w:w="2161" w:type="dxa"/>
            <w:tcBorders>
              <w:top w:val="single" w:color="auto" w:sz="4" w:space="0"/>
              <w:left w:val="single" w:color="auto" w:sz="4" w:space="0"/>
              <w:bottom w:val="single" w:color="auto" w:sz="4" w:space="0"/>
              <w:right w:val="single" w:color="auto" w:sz="4" w:space="0"/>
            </w:tcBorders>
            <w:vAlign w:val="center"/>
          </w:tcPr>
          <w:p w14:paraId="20CBB519">
            <w:pPr>
              <w:widowControl/>
              <w:jc w:val="left"/>
              <w:rPr>
                <w:rFonts w:ascii="宋体" w:hAnsi="宋体"/>
                <w:color w:val="auto"/>
                <w:sz w:val="20"/>
                <w:highlight w:val="none"/>
              </w:rPr>
            </w:pPr>
            <w:r>
              <w:rPr>
                <w:rFonts w:hint="eastAsia" w:ascii="宋体" w:hAnsi="宋体"/>
                <w:color w:val="auto"/>
                <w:sz w:val="20"/>
                <w:highlight w:val="none"/>
              </w:rPr>
              <w:t>路面基层、底基层</w:t>
            </w:r>
          </w:p>
        </w:tc>
        <w:tc>
          <w:tcPr>
            <w:tcW w:w="5743" w:type="dxa"/>
            <w:tcBorders>
              <w:top w:val="single" w:color="auto" w:sz="4" w:space="0"/>
              <w:left w:val="single" w:color="auto" w:sz="4" w:space="0"/>
              <w:bottom w:val="single" w:color="auto" w:sz="4" w:space="0"/>
              <w:right w:val="single" w:color="auto" w:sz="4" w:space="0"/>
            </w:tcBorders>
            <w:vAlign w:val="center"/>
          </w:tcPr>
          <w:p w14:paraId="593E0535">
            <w:pPr>
              <w:widowControl/>
              <w:jc w:val="left"/>
              <w:rPr>
                <w:rFonts w:ascii="宋体" w:hAnsi="宋体" w:cs="宋体"/>
                <w:b/>
                <w:bCs/>
                <w:color w:val="auto"/>
                <w:kern w:val="0"/>
                <w:sz w:val="20"/>
                <w:highlight w:val="none"/>
              </w:rPr>
            </w:pPr>
            <w:r>
              <w:rPr>
                <w:rFonts w:hint="eastAsia" w:ascii="宋体" w:hAnsi="宋体"/>
                <w:color w:val="auto"/>
                <w:sz w:val="20"/>
                <w:highlight w:val="none"/>
              </w:rPr>
              <w:t>路面基层、底基层必须碾压密实，表面干燥、清洁、无浮土，平整度、路拱符合规范和设计要求，违者每处处违约金2000元，并限期改正。</w:t>
            </w:r>
          </w:p>
        </w:tc>
        <w:tc>
          <w:tcPr>
            <w:tcW w:w="1429" w:type="dxa"/>
            <w:tcBorders>
              <w:top w:val="single" w:color="auto" w:sz="4" w:space="0"/>
              <w:left w:val="single" w:color="auto" w:sz="4" w:space="0"/>
              <w:bottom w:val="single" w:color="auto" w:sz="4" w:space="0"/>
              <w:right w:val="single" w:color="auto" w:sz="4" w:space="0"/>
            </w:tcBorders>
          </w:tcPr>
          <w:p w14:paraId="23E472B7">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7D95959B">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01F28BEC">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6A207AF7">
            <w:pPr>
              <w:widowControl/>
              <w:jc w:val="left"/>
              <w:rPr>
                <w:rFonts w:ascii="宋体" w:hAnsi="宋体" w:cs="宋体"/>
                <w:color w:val="auto"/>
                <w:kern w:val="0"/>
                <w:sz w:val="20"/>
                <w:highlight w:val="none"/>
              </w:rPr>
            </w:pPr>
          </w:p>
        </w:tc>
      </w:tr>
      <w:tr w14:paraId="31069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D75D2B6">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3.2.2</w:t>
            </w:r>
          </w:p>
        </w:tc>
        <w:tc>
          <w:tcPr>
            <w:tcW w:w="2161" w:type="dxa"/>
            <w:tcBorders>
              <w:top w:val="single" w:color="auto" w:sz="4" w:space="0"/>
              <w:left w:val="single" w:color="auto" w:sz="4" w:space="0"/>
              <w:bottom w:val="single" w:color="auto" w:sz="4" w:space="0"/>
              <w:right w:val="single" w:color="auto" w:sz="4" w:space="0"/>
            </w:tcBorders>
            <w:vAlign w:val="center"/>
          </w:tcPr>
          <w:p w14:paraId="4BFCE46F">
            <w:pPr>
              <w:widowControl/>
              <w:jc w:val="left"/>
              <w:rPr>
                <w:rFonts w:ascii="宋体" w:hAnsi="宋体"/>
                <w:b/>
                <w:color w:val="auto"/>
                <w:sz w:val="20"/>
                <w:highlight w:val="none"/>
              </w:rPr>
            </w:pPr>
            <w:r>
              <w:rPr>
                <w:rFonts w:hint="eastAsia" w:ascii="宋体" w:hAnsi="宋体"/>
                <w:color w:val="auto"/>
                <w:sz w:val="20"/>
                <w:highlight w:val="none"/>
              </w:rPr>
              <w:t>路面污染</w:t>
            </w:r>
          </w:p>
        </w:tc>
        <w:tc>
          <w:tcPr>
            <w:tcW w:w="5743" w:type="dxa"/>
            <w:tcBorders>
              <w:top w:val="single" w:color="auto" w:sz="4" w:space="0"/>
              <w:left w:val="single" w:color="auto" w:sz="4" w:space="0"/>
              <w:bottom w:val="single" w:color="auto" w:sz="4" w:space="0"/>
              <w:right w:val="single" w:color="auto" w:sz="4" w:space="0"/>
            </w:tcBorders>
            <w:vAlign w:val="center"/>
          </w:tcPr>
          <w:p w14:paraId="0B9F54E5">
            <w:pPr>
              <w:widowControl/>
              <w:jc w:val="left"/>
              <w:rPr>
                <w:rFonts w:ascii="宋体" w:hAnsi="宋体" w:cs="宋体"/>
                <w:b/>
                <w:bCs/>
                <w:color w:val="auto"/>
                <w:kern w:val="0"/>
                <w:sz w:val="20"/>
                <w:highlight w:val="none"/>
              </w:rPr>
            </w:pPr>
            <w:r>
              <w:rPr>
                <w:rFonts w:hint="eastAsia" w:ascii="宋体" w:hAnsi="宋体"/>
                <w:color w:val="auto"/>
                <w:sz w:val="20"/>
                <w:highlight w:val="none"/>
              </w:rPr>
              <w:t>其他单位造成路面污染，视情节严重每平方米处违约金50元，并限期整改。</w:t>
            </w:r>
          </w:p>
        </w:tc>
        <w:tc>
          <w:tcPr>
            <w:tcW w:w="1429" w:type="dxa"/>
            <w:tcBorders>
              <w:top w:val="single" w:color="auto" w:sz="4" w:space="0"/>
              <w:left w:val="single" w:color="auto" w:sz="4" w:space="0"/>
              <w:bottom w:val="single" w:color="auto" w:sz="4" w:space="0"/>
              <w:right w:val="single" w:color="auto" w:sz="4" w:space="0"/>
            </w:tcBorders>
          </w:tcPr>
          <w:p w14:paraId="2421B750">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5DABC751">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2F1482DE">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7A8C9F52">
            <w:pPr>
              <w:widowControl/>
              <w:jc w:val="left"/>
              <w:rPr>
                <w:rFonts w:ascii="宋体" w:hAnsi="宋体" w:cs="宋体"/>
                <w:color w:val="auto"/>
                <w:kern w:val="0"/>
                <w:sz w:val="20"/>
                <w:highlight w:val="none"/>
              </w:rPr>
            </w:pPr>
          </w:p>
        </w:tc>
      </w:tr>
      <w:tr w14:paraId="1083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D823AA4">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3.2.3</w:t>
            </w:r>
          </w:p>
        </w:tc>
        <w:tc>
          <w:tcPr>
            <w:tcW w:w="2161" w:type="dxa"/>
            <w:tcBorders>
              <w:top w:val="single" w:color="auto" w:sz="4" w:space="0"/>
              <w:left w:val="single" w:color="auto" w:sz="4" w:space="0"/>
              <w:bottom w:val="single" w:color="auto" w:sz="4" w:space="0"/>
              <w:right w:val="single" w:color="auto" w:sz="4" w:space="0"/>
            </w:tcBorders>
            <w:vAlign w:val="center"/>
          </w:tcPr>
          <w:p w14:paraId="6E2F7E00">
            <w:pPr>
              <w:widowControl/>
              <w:jc w:val="left"/>
              <w:rPr>
                <w:rFonts w:ascii="宋体" w:hAnsi="宋体"/>
                <w:color w:val="auto"/>
                <w:sz w:val="20"/>
                <w:highlight w:val="none"/>
              </w:rPr>
            </w:pPr>
            <w:r>
              <w:rPr>
                <w:rFonts w:hint="eastAsia" w:ascii="宋体" w:hAnsi="宋体"/>
                <w:color w:val="auto"/>
                <w:sz w:val="20"/>
                <w:highlight w:val="none"/>
              </w:rPr>
              <w:t>沥青路面</w:t>
            </w:r>
          </w:p>
        </w:tc>
        <w:tc>
          <w:tcPr>
            <w:tcW w:w="5743" w:type="dxa"/>
            <w:tcBorders>
              <w:top w:val="single" w:color="auto" w:sz="4" w:space="0"/>
              <w:left w:val="single" w:color="auto" w:sz="4" w:space="0"/>
              <w:bottom w:val="single" w:color="auto" w:sz="4" w:space="0"/>
              <w:right w:val="single" w:color="auto" w:sz="4" w:space="0"/>
            </w:tcBorders>
            <w:vAlign w:val="center"/>
          </w:tcPr>
          <w:p w14:paraId="593F05A9">
            <w:pPr>
              <w:rPr>
                <w:rFonts w:ascii="宋体" w:hAnsi="宋体"/>
                <w:color w:val="auto"/>
                <w:sz w:val="20"/>
                <w:highlight w:val="none"/>
              </w:rPr>
            </w:pPr>
            <w:r>
              <w:rPr>
                <w:rFonts w:hint="eastAsia" w:ascii="宋体" w:hAnsi="宋体"/>
                <w:color w:val="auto"/>
                <w:sz w:val="20"/>
                <w:highlight w:val="none"/>
              </w:rPr>
              <w:t>沥青路面存在下列问题的，每处处违约金2000元，并限期改正。（1）级配碎石基层边线不整齐、松散，密实度没有≥98%；（2）基层表面不干燥，有杂物、浮土，路拱不符合设计要求；（3）料源发生变化，没有重新做试验，并向建设单位和监理工程师汇报；（4）各种称量装置，没有定期标定；（5）检测项目、方法、频率没有按设计或规范执行；（6）沥青混合料摊铺温度达不到规范要求；（7）平整度没有达标；（8）下雨时摊铺，或雨后没有采取措施直接摊铺；（9）纵横缝设置没有按要求放样、接缝。</w:t>
            </w:r>
          </w:p>
        </w:tc>
        <w:tc>
          <w:tcPr>
            <w:tcW w:w="1429" w:type="dxa"/>
            <w:tcBorders>
              <w:top w:val="single" w:color="auto" w:sz="4" w:space="0"/>
              <w:left w:val="single" w:color="auto" w:sz="4" w:space="0"/>
              <w:bottom w:val="single" w:color="auto" w:sz="4" w:space="0"/>
              <w:right w:val="single" w:color="auto" w:sz="4" w:space="0"/>
            </w:tcBorders>
          </w:tcPr>
          <w:p w14:paraId="71B4BA11">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4782269C">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6BBE076A">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54865A89">
            <w:pPr>
              <w:widowControl/>
              <w:jc w:val="left"/>
              <w:rPr>
                <w:rFonts w:ascii="宋体" w:hAnsi="宋体" w:cs="宋体"/>
                <w:color w:val="auto"/>
                <w:kern w:val="0"/>
                <w:sz w:val="20"/>
                <w:highlight w:val="none"/>
              </w:rPr>
            </w:pPr>
          </w:p>
        </w:tc>
      </w:tr>
      <w:tr w14:paraId="2ED91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CB06414">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3.2.4</w:t>
            </w:r>
          </w:p>
        </w:tc>
        <w:tc>
          <w:tcPr>
            <w:tcW w:w="2161" w:type="dxa"/>
            <w:tcBorders>
              <w:top w:val="single" w:color="auto" w:sz="4" w:space="0"/>
              <w:left w:val="single" w:color="auto" w:sz="4" w:space="0"/>
              <w:bottom w:val="single" w:color="auto" w:sz="4" w:space="0"/>
              <w:right w:val="single" w:color="auto" w:sz="4" w:space="0"/>
            </w:tcBorders>
            <w:vAlign w:val="center"/>
          </w:tcPr>
          <w:p w14:paraId="57C2EA12">
            <w:pPr>
              <w:widowControl/>
              <w:jc w:val="left"/>
              <w:rPr>
                <w:rFonts w:ascii="宋体" w:hAnsi="宋体"/>
                <w:color w:val="auto"/>
                <w:sz w:val="20"/>
                <w:highlight w:val="none"/>
              </w:rPr>
            </w:pPr>
            <w:r>
              <w:rPr>
                <w:rFonts w:hint="eastAsia" w:ascii="宋体" w:hAnsi="宋体"/>
                <w:color w:val="auto"/>
                <w:sz w:val="20"/>
                <w:highlight w:val="none"/>
              </w:rPr>
              <w:t>保修期间质量问题</w:t>
            </w:r>
          </w:p>
        </w:tc>
        <w:tc>
          <w:tcPr>
            <w:tcW w:w="5743" w:type="dxa"/>
            <w:tcBorders>
              <w:top w:val="single" w:color="auto" w:sz="4" w:space="0"/>
              <w:left w:val="single" w:color="auto" w:sz="4" w:space="0"/>
              <w:bottom w:val="single" w:color="auto" w:sz="4" w:space="0"/>
              <w:right w:val="single" w:color="auto" w:sz="4" w:space="0"/>
            </w:tcBorders>
            <w:vAlign w:val="center"/>
          </w:tcPr>
          <w:p w14:paraId="356DB179">
            <w:pPr>
              <w:rPr>
                <w:rFonts w:ascii="宋体" w:hAnsi="宋体"/>
                <w:color w:val="auto"/>
                <w:sz w:val="20"/>
                <w:highlight w:val="none"/>
              </w:rPr>
            </w:pPr>
            <w:r>
              <w:rPr>
                <w:rFonts w:hint="eastAsia" w:ascii="宋体" w:hAnsi="宋体"/>
                <w:color w:val="auto"/>
                <w:sz w:val="20"/>
                <w:highlight w:val="none"/>
              </w:rPr>
              <w:t>（1）沥青工程保修期为1年。保修期内，若由于沥青工程施工质量问题，导致沥青路面出现开裂、变形、沉陷、隆起、剥落、泛油等质量缺陷范围超过1平方米或对交通造成影响的，沥青施工单位必须无条件及时维修。类似情况累计出现3处（次）或以上或在限定期限内没有及时维修合格的，暂停其在</w:t>
            </w:r>
            <w:r>
              <w:rPr>
                <w:rFonts w:hint="eastAsia" w:ascii="宋体" w:hAnsi="宋体"/>
                <w:bCs/>
                <w:color w:val="auto"/>
                <w:sz w:val="20"/>
                <w:highlight w:val="none"/>
              </w:rPr>
              <w:t>发包人所负责的工程</w:t>
            </w:r>
            <w:r>
              <w:rPr>
                <w:rFonts w:hint="eastAsia" w:ascii="宋体" w:hAnsi="宋体"/>
                <w:color w:val="auto"/>
                <w:sz w:val="20"/>
                <w:highlight w:val="none"/>
              </w:rPr>
              <w:t>系统1个月投标资格。</w:t>
            </w:r>
          </w:p>
          <w:p w14:paraId="5B7D0149">
            <w:pPr>
              <w:rPr>
                <w:rFonts w:ascii="宋体" w:hAnsi="宋体"/>
                <w:color w:val="auto"/>
                <w:sz w:val="20"/>
                <w:highlight w:val="none"/>
              </w:rPr>
            </w:pPr>
            <w:r>
              <w:rPr>
                <w:rFonts w:hint="eastAsia" w:ascii="宋体" w:hAnsi="宋体"/>
                <w:color w:val="auto"/>
                <w:sz w:val="20"/>
                <w:highlight w:val="none"/>
              </w:rPr>
              <w:t>（2）保修期满后的第1年内，出现上述质量缺陷的，每处（次）处违约金5000元，如在限定期限内没有及时交纳违约金或累计出现5处（次）或以上的，暂停在</w:t>
            </w:r>
            <w:r>
              <w:rPr>
                <w:rFonts w:hint="eastAsia" w:ascii="宋体" w:hAnsi="宋体"/>
                <w:bCs/>
                <w:color w:val="auto"/>
                <w:sz w:val="20"/>
                <w:highlight w:val="none"/>
              </w:rPr>
              <w:t>发包人所负责的工程</w:t>
            </w:r>
            <w:r>
              <w:rPr>
                <w:rFonts w:hint="eastAsia" w:ascii="宋体" w:hAnsi="宋体"/>
                <w:color w:val="auto"/>
                <w:sz w:val="20"/>
                <w:highlight w:val="none"/>
              </w:rPr>
              <w:t>2个月投标资格。</w:t>
            </w:r>
          </w:p>
          <w:p w14:paraId="47739AF8">
            <w:pPr>
              <w:rPr>
                <w:rFonts w:ascii="宋体" w:hAnsi="宋体"/>
                <w:color w:val="auto"/>
                <w:sz w:val="20"/>
                <w:highlight w:val="none"/>
              </w:rPr>
            </w:pPr>
            <w:r>
              <w:rPr>
                <w:rFonts w:hint="eastAsia" w:ascii="宋体" w:hAnsi="宋体"/>
                <w:color w:val="auto"/>
                <w:sz w:val="20"/>
                <w:highlight w:val="none"/>
              </w:rPr>
              <w:t>（3）保修期满后的第2年内，出现上述质量缺陷的，每处（次）处违约金3000元，如在限定期限内没有及时交纳违约金或累计出现8处（次）或以上的，暂停在</w:t>
            </w:r>
            <w:r>
              <w:rPr>
                <w:rFonts w:hint="eastAsia" w:ascii="宋体" w:hAnsi="宋体"/>
                <w:bCs/>
                <w:color w:val="auto"/>
                <w:sz w:val="20"/>
                <w:highlight w:val="none"/>
              </w:rPr>
              <w:t>发包人所负责的工程</w:t>
            </w:r>
            <w:r>
              <w:rPr>
                <w:rFonts w:hint="eastAsia" w:ascii="宋体" w:hAnsi="宋体"/>
                <w:color w:val="auto"/>
                <w:sz w:val="20"/>
                <w:highlight w:val="none"/>
              </w:rPr>
              <w:t>3个月的投标资格。</w:t>
            </w:r>
          </w:p>
        </w:tc>
        <w:tc>
          <w:tcPr>
            <w:tcW w:w="1429" w:type="dxa"/>
            <w:tcBorders>
              <w:top w:val="single" w:color="auto" w:sz="4" w:space="0"/>
              <w:left w:val="single" w:color="auto" w:sz="4" w:space="0"/>
              <w:bottom w:val="single" w:color="auto" w:sz="4" w:space="0"/>
              <w:right w:val="single" w:color="auto" w:sz="4" w:space="0"/>
            </w:tcBorders>
          </w:tcPr>
          <w:p w14:paraId="050F5A41">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6CF735E4">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3D68F327">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2820BFCD">
            <w:pPr>
              <w:widowControl/>
              <w:jc w:val="left"/>
              <w:rPr>
                <w:rFonts w:ascii="宋体" w:hAnsi="宋体" w:cs="宋体"/>
                <w:color w:val="auto"/>
                <w:kern w:val="0"/>
                <w:sz w:val="20"/>
                <w:highlight w:val="none"/>
              </w:rPr>
            </w:pPr>
          </w:p>
        </w:tc>
      </w:tr>
      <w:tr w14:paraId="3DCCA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1EB36C6">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3.2.5</w:t>
            </w:r>
          </w:p>
        </w:tc>
        <w:tc>
          <w:tcPr>
            <w:tcW w:w="2161" w:type="dxa"/>
            <w:tcBorders>
              <w:top w:val="single" w:color="auto" w:sz="4" w:space="0"/>
              <w:left w:val="single" w:color="auto" w:sz="4" w:space="0"/>
              <w:bottom w:val="single" w:color="auto" w:sz="4" w:space="0"/>
              <w:right w:val="single" w:color="auto" w:sz="4" w:space="0"/>
            </w:tcBorders>
            <w:vAlign w:val="center"/>
          </w:tcPr>
          <w:p w14:paraId="518B5EDE">
            <w:pPr>
              <w:widowControl/>
              <w:jc w:val="left"/>
              <w:rPr>
                <w:rFonts w:ascii="宋体" w:hAnsi="宋体"/>
                <w:color w:val="auto"/>
                <w:sz w:val="20"/>
                <w:highlight w:val="none"/>
              </w:rPr>
            </w:pPr>
            <w:r>
              <w:rPr>
                <w:rFonts w:hint="eastAsia" w:ascii="宋体" w:hAnsi="宋体"/>
                <w:color w:val="auto"/>
                <w:sz w:val="20"/>
                <w:highlight w:val="none"/>
              </w:rPr>
              <w:t>未经审批施工</w:t>
            </w:r>
          </w:p>
        </w:tc>
        <w:tc>
          <w:tcPr>
            <w:tcW w:w="5743" w:type="dxa"/>
            <w:tcBorders>
              <w:top w:val="single" w:color="auto" w:sz="4" w:space="0"/>
              <w:left w:val="single" w:color="auto" w:sz="4" w:space="0"/>
              <w:bottom w:val="single" w:color="auto" w:sz="4" w:space="0"/>
              <w:right w:val="single" w:color="auto" w:sz="4" w:space="0"/>
            </w:tcBorders>
            <w:vAlign w:val="center"/>
          </w:tcPr>
          <w:p w14:paraId="177CEF90">
            <w:pPr>
              <w:widowControl/>
              <w:jc w:val="left"/>
              <w:rPr>
                <w:rFonts w:ascii="宋体" w:hAnsi="宋体"/>
                <w:color w:val="auto"/>
                <w:sz w:val="20"/>
                <w:highlight w:val="none"/>
              </w:rPr>
            </w:pPr>
            <w:r>
              <w:rPr>
                <w:rFonts w:hint="eastAsia" w:ascii="宋体" w:hAnsi="宋体"/>
                <w:color w:val="auto"/>
                <w:sz w:val="20"/>
                <w:highlight w:val="none"/>
              </w:rPr>
              <w:t>未按经审批的专项施工组织方案进行施工的，每次处违约金10000～20000元，并限期纠正。</w:t>
            </w:r>
          </w:p>
        </w:tc>
        <w:tc>
          <w:tcPr>
            <w:tcW w:w="1429" w:type="dxa"/>
            <w:tcBorders>
              <w:top w:val="single" w:color="auto" w:sz="4" w:space="0"/>
              <w:left w:val="single" w:color="auto" w:sz="4" w:space="0"/>
              <w:bottom w:val="single" w:color="auto" w:sz="4" w:space="0"/>
              <w:right w:val="single" w:color="auto" w:sz="4" w:space="0"/>
            </w:tcBorders>
          </w:tcPr>
          <w:p w14:paraId="0864367C">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73B6F9F4">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143F6498">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3980955B">
            <w:pPr>
              <w:widowControl/>
              <w:jc w:val="left"/>
              <w:rPr>
                <w:rFonts w:ascii="宋体" w:hAnsi="宋体" w:cs="宋体"/>
                <w:color w:val="auto"/>
                <w:kern w:val="0"/>
                <w:sz w:val="20"/>
                <w:highlight w:val="none"/>
              </w:rPr>
            </w:pPr>
          </w:p>
        </w:tc>
      </w:tr>
      <w:tr w14:paraId="6984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19A1009">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3.3</w:t>
            </w:r>
          </w:p>
        </w:tc>
        <w:tc>
          <w:tcPr>
            <w:tcW w:w="2161" w:type="dxa"/>
            <w:tcBorders>
              <w:top w:val="single" w:color="auto" w:sz="4" w:space="0"/>
              <w:left w:val="single" w:color="auto" w:sz="4" w:space="0"/>
              <w:bottom w:val="single" w:color="auto" w:sz="4" w:space="0"/>
              <w:right w:val="single" w:color="auto" w:sz="4" w:space="0"/>
            </w:tcBorders>
            <w:vAlign w:val="center"/>
          </w:tcPr>
          <w:p w14:paraId="6D94E4C0">
            <w:pPr>
              <w:widowControl/>
              <w:jc w:val="left"/>
              <w:rPr>
                <w:rFonts w:ascii="宋体" w:hAnsi="宋体"/>
                <w:b/>
                <w:color w:val="auto"/>
                <w:sz w:val="20"/>
                <w:highlight w:val="none"/>
              </w:rPr>
            </w:pPr>
            <w:r>
              <w:rPr>
                <w:rFonts w:hint="eastAsia" w:ascii="宋体" w:hAnsi="宋体"/>
                <w:b/>
                <w:color w:val="auto"/>
                <w:sz w:val="20"/>
                <w:highlight w:val="none"/>
              </w:rPr>
              <w:t>桥梁工程</w:t>
            </w:r>
          </w:p>
        </w:tc>
        <w:tc>
          <w:tcPr>
            <w:tcW w:w="5743" w:type="dxa"/>
            <w:tcBorders>
              <w:top w:val="single" w:color="auto" w:sz="4" w:space="0"/>
              <w:left w:val="single" w:color="auto" w:sz="4" w:space="0"/>
              <w:bottom w:val="single" w:color="auto" w:sz="4" w:space="0"/>
              <w:right w:val="single" w:color="auto" w:sz="4" w:space="0"/>
            </w:tcBorders>
            <w:vAlign w:val="center"/>
          </w:tcPr>
          <w:p w14:paraId="268D2873">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14:paraId="5FB88DA4">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062A7D61">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3696FA65">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4E0AE5B2">
            <w:pPr>
              <w:widowControl/>
              <w:jc w:val="left"/>
              <w:rPr>
                <w:rFonts w:ascii="宋体" w:hAnsi="宋体" w:cs="宋体"/>
                <w:color w:val="auto"/>
                <w:kern w:val="0"/>
                <w:sz w:val="20"/>
                <w:highlight w:val="none"/>
              </w:rPr>
            </w:pPr>
          </w:p>
        </w:tc>
      </w:tr>
      <w:tr w14:paraId="6149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C22435F">
            <w:pPr>
              <w:widowControl/>
              <w:jc w:val="center"/>
              <w:rPr>
                <w:rFonts w:ascii="宋体" w:hAnsi="宋体" w:cs="宋体"/>
                <w:b/>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14:paraId="79C21B56">
            <w:pPr>
              <w:widowControl/>
              <w:jc w:val="left"/>
              <w:rPr>
                <w:rFonts w:ascii="宋体" w:hAnsi="宋体"/>
                <w:b/>
                <w:color w:val="auto"/>
                <w:sz w:val="20"/>
                <w:highlight w:val="none"/>
              </w:rPr>
            </w:pPr>
            <w:r>
              <w:rPr>
                <w:rFonts w:hint="eastAsia" w:ascii="宋体" w:hAnsi="宋体"/>
                <w:b/>
                <w:color w:val="auto"/>
                <w:sz w:val="20"/>
                <w:highlight w:val="none"/>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14:paraId="67AB8D19">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14:paraId="6B01C9C0">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67CC1C12">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72EC9705">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2A763799">
            <w:pPr>
              <w:widowControl/>
              <w:jc w:val="left"/>
              <w:rPr>
                <w:rFonts w:ascii="宋体" w:hAnsi="宋体" w:cs="宋体"/>
                <w:color w:val="auto"/>
                <w:kern w:val="0"/>
                <w:sz w:val="20"/>
                <w:highlight w:val="none"/>
              </w:rPr>
            </w:pPr>
          </w:p>
        </w:tc>
      </w:tr>
      <w:tr w14:paraId="6A05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F0CB252">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3.3.1</w:t>
            </w:r>
          </w:p>
        </w:tc>
        <w:tc>
          <w:tcPr>
            <w:tcW w:w="2161" w:type="dxa"/>
            <w:tcBorders>
              <w:top w:val="single" w:color="auto" w:sz="4" w:space="0"/>
              <w:left w:val="single" w:color="auto" w:sz="4" w:space="0"/>
              <w:bottom w:val="single" w:color="auto" w:sz="4" w:space="0"/>
              <w:right w:val="single" w:color="auto" w:sz="4" w:space="0"/>
            </w:tcBorders>
            <w:vAlign w:val="center"/>
          </w:tcPr>
          <w:p w14:paraId="45C2BA32">
            <w:pPr>
              <w:widowControl/>
              <w:jc w:val="left"/>
              <w:rPr>
                <w:rFonts w:ascii="宋体" w:hAnsi="宋体"/>
                <w:color w:val="auto"/>
                <w:sz w:val="20"/>
                <w:highlight w:val="none"/>
              </w:rPr>
            </w:pPr>
            <w:r>
              <w:rPr>
                <w:rFonts w:hint="eastAsia" w:ascii="宋体" w:hAnsi="宋体"/>
                <w:color w:val="auto"/>
                <w:sz w:val="20"/>
                <w:highlight w:val="none"/>
              </w:rPr>
              <w:t>构造物养护</w:t>
            </w:r>
          </w:p>
        </w:tc>
        <w:tc>
          <w:tcPr>
            <w:tcW w:w="5743" w:type="dxa"/>
            <w:tcBorders>
              <w:top w:val="single" w:color="auto" w:sz="4" w:space="0"/>
              <w:left w:val="single" w:color="auto" w:sz="4" w:space="0"/>
              <w:bottom w:val="single" w:color="auto" w:sz="4" w:space="0"/>
              <w:right w:val="single" w:color="auto" w:sz="4" w:space="0"/>
            </w:tcBorders>
            <w:vAlign w:val="center"/>
          </w:tcPr>
          <w:p w14:paraId="6AFF3194">
            <w:pPr>
              <w:widowControl/>
              <w:jc w:val="left"/>
              <w:rPr>
                <w:rFonts w:ascii="宋体" w:hAnsi="宋体"/>
                <w:color w:val="auto"/>
                <w:sz w:val="20"/>
                <w:highlight w:val="none"/>
              </w:rPr>
            </w:pPr>
            <w:r>
              <w:rPr>
                <w:rFonts w:hint="eastAsia" w:ascii="宋体" w:hAnsi="宋体"/>
                <w:color w:val="auto"/>
                <w:sz w:val="20"/>
                <w:highlight w:val="none"/>
              </w:rPr>
              <w:t>构造物不按要求养护，每处处违约金1500元，并限期整改</w:t>
            </w:r>
          </w:p>
        </w:tc>
        <w:tc>
          <w:tcPr>
            <w:tcW w:w="1429" w:type="dxa"/>
            <w:tcBorders>
              <w:top w:val="single" w:color="auto" w:sz="4" w:space="0"/>
              <w:left w:val="single" w:color="auto" w:sz="4" w:space="0"/>
              <w:bottom w:val="single" w:color="auto" w:sz="4" w:space="0"/>
              <w:right w:val="single" w:color="auto" w:sz="4" w:space="0"/>
            </w:tcBorders>
          </w:tcPr>
          <w:p w14:paraId="7E45EDCC">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6CB87600">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298CD835">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59C5E781">
            <w:pPr>
              <w:widowControl/>
              <w:jc w:val="left"/>
              <w:rPr>
                <w:rFonts w:ascii="宋体" w:hAnsi="宋体" w:cs="宋体"/>
                <w:color w:val="auto"/>
                <w:kern w:val="0"/>
                <w:sz w:val="20"/>
                <w:highlight w:val="none"/>
              </w:rPr>
            </w:pPr>
          </w:p>
        </w:tc>
      </w:tr>
      <w:tr w14:paraId="238F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B4B46AC">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3.3.2</w:t>
            </w:r>
          </w:p>
        </w:tc>
        <w:tc>
          <w:tcPr>
            <w:tcW w:w="2161" w:type="dxa"/>
            <w:tcBorders>
              <w:top w:val="single" w:color="auto" w:sz="4" w:space="0"/>
              <w:left w:val="single" w:color="auto" w:sz="4" w:space="0"/>
              <w:bottom w:val="single" w:color="auto" w:sz="4" w:space="0"/>
              <w:right w:val="single" w:color="auto" w:sz="4" w:space="0"/>
            </w:tcBorders>
            <w:vAlign w:val="center"/>
          </w:tcPr>
          <w:p w14:paraId="172C0829">
            <w:pPr>
              <w:widowControl/>
              <w:jc w:val="left"/>
              <w:rPr>
                <w:rFonts w:ascii="宋体" w:hAnsi="宋体"/>
                <w:color w:val="auto"/>
                <w:sz w:val="20"/>
                <w:highlight w:val="none"/>
              </w:rPr>
            </w:pPr>
            <w:r>
              <w:rPr>
                <w:rFonts w:hint="eastAsia" w:ascii="宋体" w:hAnsi="宋体"/>
                <w:color w:val="auto"/>
                <w:sz w:val="20"/>
                <w:highlight w:val="none"/>
              </w:rPr>
              <w:t>构造物施工</w:t>
            </w:r>
          </w:p>
        </w:tc>
        <w:tc>
          <w:tcPr>
            <w:tcW w:w="5743" w:type="dxa"/>
            <w:tcBorders>
              <w:top w:val="single" w:color="auto" w:sz="4" w:space="0"/>
              <w:left w:val="single" w:color="auto" w:sz="4" w:space="0"/>
              <w:bottom w:val="single" w:color="auto" w:sz="4" w:space="0"/>
              <w:right w:val="single" w:color="auto" w:sz="4" w:space="0"/>
            </w:tcBorders>
            <w:vAlign w:val="center"/>
          </w:tcPr>
          <w:p w14:paraId="52905F56">
            <w:pPr>
              <w:widowControl/>
              <w:jc w:val="left"/>
              <w:rPr>
                <w:rFonts w:ascii="宋体" w:hAnsi="宋体"/>
                <w:color w:val="auto"/>
                <w:sz w:val="20"/>
                <w:highlight w:val="none"/>
              </w:rPr>
            </w:pPr>
            <w:r>
              <w:rPr>
                <w:rFonts w:hint="eastAsia" w:ascii="宋体" w:hAnsi="宋体"/>
                <w:color w:val="auto"/>
                <w:sz w:val="20"/>
                <w:highlight w:val="none"/>
              </w:rPr>
              <w:t>构造物施工未采取措施保证钢筋保护层厚度就浇注砼，每次处违约金2000元，并限期整改。</w:t>
            </w:r>
          </w:p>
        </w:tc>
        <w:tc>
          <w:tcPr>
            <w:tcW w:w="1429" w:type="dxa"/>
            <w:tcBorders>
              <w:top w:val="single" w:color="auto" w:sz="4" w:space="0"/>
              <w:left w:val="single" w:color="auto" w:sz="4" w:space="0"/>
              <w:bottom w:val="single" w:color="auto" w:sz="4" w:space="0"/>
              <w:right w:val="single" w:color="auto" w:sz="4" w:space="0"/>
            </w:tcBorders>
          </w:tcPr>
          <w:p w14:paraId="370B16CA">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44F265D6">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54BF0B8F">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7BE7E207">
            <w:pPr>
              <w:widowControl/>
              <w:jc w:val="left"/>
              <w:rPr>
                <w:rFonts w:ascii="宋体" w:hAnsi="宋体" w:cs="宋体"/>
                <w:color w:val="auto"/>
                <w:kern w:val="0"/>
                <w:sz w:val="20"/>
                <w:highlight w:val="none"/>
              </w:rPr>
            </w:pPr>
          </w:p>
        </w:tc>
      </w:tr>
      <w:tr w14:paraId="38B02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AF3075D">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3.3.3</w:t>
            </w:r>
          </w:p>
        </w:tc>
        <w:tc>
          <w:tcPr>
            <w:tcW w:w="2161" w:type="dxa"/>
            <w:tcBorders>
              <w:top w:val="single" w:color="auto" w:sz="4" w:space="0"/>
              <w:left w:val="single" w:color="auto" w:sz="4" w:space="0"/>
              <w:bottom w:val="single" w:color="auto" w:sz="4" w:space="0"/>
              <w:right w:val="single" w:color="auto" w:sz="4" w:space="0"/>
            </w:tcBorders>
            <w:vAlign w:val="center"/>
          </w:tcPr>
          <w:p w14:paraId="45681A7A">
            <w:pPr>
              <w:widowControl/>
              <w:jc w:val="left"/>
              <w:rPr>
                <w:rFonts w:ascii="宋体" w:hAnsi="宋体"/>
                <w:color w:val="auto"/>
                <w:sz w:val="20"/>
                <w:highlight w:val="none"/>
              </w:rPr>
            </w:pPr>
            <w:r>
              <w:rPr>
                <w:rFonts w:hint="eastAsia" w:ascii="宋体" w:hAnsi="宋体"/>
                <w:color w:val="auto"/>
                <w:sz w:val="20"/>
                <w:highlight w:val="none"/>
              </w:rPr>
              <w:t>千斤顶张拉</w:t>
            </w:r>
          </w:p>
        </w:tc>
        <w:tc>
          <w:tcPr>
            <w:tcW w:w="5743" w:type="dxa"/>
            <w:tcBorders>
              <w:top w:val="single" w:color="auto" w:sz="4" w:space="0"/>
              <w:left w:val="single" w:color="auto" w:sz="4" w:space="0"/>
              <w:bottom w:val="single" w:color="auto" w:sz="4" w:space="0"/>
              <w:right w:val="single" w:color="auto" w:sz="4" w:space="0"/>
            </w:tcBorders>
            <w:vAlign w:val="center"/>
          </w:tcPr>
          <w:p w14:paraId="4979CC3C">
            <w:pPr>
              <w:widowControl/>
              <w:jc w:val="left"/>
              <w:rPr>
                <w:rFonts w:ascii="宋体" w:hAnsi="宋体"/>
                <w:color w:val="auto"/>
                <w:sz w:val="20"/>
                <w:highlight w:val="none"/>
              </w:rPr>
            </w:pPr>
            <w:r>
              <w:rPr>
                <w:rFonts w:hint="eastAsia" w:ascii="宋体" w:hAnsi="宋体"/>
                <w:color w:val="auto"/>
                <w:sz w:val="20"/>
                <w:highlight w:val="none"/>
              </w:rPr>
              <w:t>使用没有按规范要求标定的千斤顶张拉，每次处违约金8000元；造成拉力不符设计要求的，每次罚款2000元，并限期整改。</w:t>
            </w:r>
          </w:p>
        </w:tc>
        <w:tc>
          <w:tcPr>
            <w:tcW w:w="1429" w:type="dxa"/>
            <w:tcBorders>
              <w:top w:val="single" w:color="auto" w:sz="4" w:space="0"/>
              <w:left w:val="single" w:color="auto" w:sz="4" w:space="0"/>
              <w:bottom w:val="single" w:color="auto" w:sz="4" w:space="0"/>
              <w:right w:val="single" w:color="auto" w:sz="4" w:space="0"/>
            </w:tcBorders>
          </w:tcPr>
          <w:p w14:paraId="249BCAC8">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03732111">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756AF580">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0B1A1916">
            <w:pPr>
              <w:widowControl/>
              <w:jc w:val="left"/>
              <w:rPr>
                <w:rFonts w:ascii="宋体" w:hAnsi="宋体" w:cs="宋体"/>
                <w:color w:val="auto"/>
                <w:kern w:val="0"/>
                <w:sz w:val="20"/>
                <w:highlight w:val="none"/>
              </w:rPr>
            </w:pPr>
          </w:p>
        </w:tc>
      </w:tr>
      <w:tr w14:paraId="6F6B7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E8CBFC3">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3.3.4</w:t>
            </w:r>
          </w:p>
        </w:tc>
        <w:tc>
          <w:tcPr>
            <w:tcW w:w="2161" w:type="dxa"/>
            <w:tcBorders>
              <w:top w:val="single" w:color="auto" w:sz="4" w:space="0"/>
              <w:left w:val="single" w:color="auto" w:sz="4" w:space="0"/>
              <w:bottom w:val="single" w:color="auto" w:sz="4" w:space="0"/>
              <w:right w:val="single" w:color="auto" w:sz="4" w:space="0"/>
            </w:tcBorders>
            <w:vAlign w:val="center"/>
          </w:tcPr>
          <w:p w14:paraId="6CC2AF11">
            <w:pPr>
              <w:widowControl/>
              <w:jc w:val="left"/>
              <w:rPr>
                <w:rFonts w:ascii="宋体" w:hAnsi="宋体"/>
                <w:color w:val="auto"/>
                <w:sz w:val="20"/>
                <w:highlight w:val="none"/>
              </w:rPr>
            </w:pPr>
            <w:r>
              <w:rPr>
                <w:rFonts w:hint="eastAsia" w:ascii="宋体" w:hAnsi="宋体"/>
                <w:color w:val="auto"/>
                <w:sz w:val="20"/>
                <w:highlight w:val="none"/>
              </w:rPr>
              <w:t>预应力筋施工</w:t>
            </w:r>
          </w:p>
        </w:tc>
        <w:tc>
          <w:tcPr>
            <w:tcW w:w="5743" w:type="dxa"/>
            <w:tcBorders>
              <w:top w:val="single" w:color="auto" w:sz="4" w:space="0"/>
              <w:left w:val="single" w:color="auto" w:sz="4" w:space="0"/>
              <w:bottom w:val="single" w:color="auto" w:sz="4" w:space="0"/>
              <w:right w:val="single" w:color="auto" w:sz="4" w:space="0"/>
            </w:tcBorders>
            <w:vAlign w:val="center"/>
          </w:tcPr>
          <w:p w14:paraId="52CE58AD">
            <w:pPr>
              <w:widowControl/>
              <w:jc w:val="left"/>
              <w:rPr>
                <w:rFonts w:ascii="宋体" w:hAnsi="宋体"/>
                <w:color w:val="auto"/>
                <w:sz w:val="20"/>
                <w:highlight w:val="none"/>
              </w:rPr>
            </w:pPr>
            <w:r>
              <w:rPr>
                <w:rFonts w:hint="eastAsia" w:ascii="宋体" w:hAnsi="宋体"/>
                <w:color w:val="auto"/>
                <w:sz w:val="20"/>
                <w:highlight w:val="none"/>
              </w:rPr>
              <w:t>预应力筋施工不当造成断丝，断丝数量超过规范允许范围的，每次处违约金8000元，并作返工处理。</w:t>
            </w:r>
          </w:p>
        </w:tc>
        <w:tc>
          <w:tcPr>
            <w:tcW w:w="1429" w:type="dxa"/>
            <w:tcBorders>
              <w:top w:val="single" w:color="auto" w:sz="4" w:space="0"/>
              <w:left w:val="single" w:color="auto" w:sz="4" w:space="0"/>
              <w:bottom w:val="single" w:color="auto" w:sz="4" w:space="0"/>
              <w:right w:val="single" w:color="auto" w:sz="4" w:space="0"/>
            </w:tcBorders>
          </w:tcPr>
          <w:p w14:paraId="25AA0C71">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7A7EF1C2">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27E38F3D">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0EE25A79">
            <w:pPr>
              <w:widowControl/>
              <w:jc w:val="left"/>
              <w:rPr>
                <w:rFonts w:ascii="宋体" w:hAnsi="宋体" w:cs="宋体"/>
                <w:color w:val="auto"/>
                <w:kern w:val="0"/>
                <w:sz w:val="20"/>
                <w:highlight w:val="none"/>
              </w:rPr>
            </w:pPr>
          </w:p>
        </w:tc>
      </w:tr>
      <w:tr w14:paraId="500F9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3112AA6">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3.3.5</w:t>
            </w:r>
          </w:p>
        </w:tc>
        <w:tc>
          <w:tcPr>
            <w:tcW w:w="2161" w:type="dxa"/>
            <w:tcBorders>
              <w:top w:val="single" w:color="auto" w:sz="4" w:space="0"/>
              <w:left w:val="single" w:color="auto" w:sz="4" w:space="0"/>
              <w:bottom w:val="single" w:color="auto" w:sz="4" w:space="0"/>
              <w:right w:val="single" w:color="auto" w:sz="4" w:space="0"/>
            </w:tcBorders>
            <w:vAlign w:val="center"/>
          </w:tcPr>
          <w:p w14:paraId="2730DB21">
            <w:pPr>
              <w:widowControl/>
              <w:jc w:val="left"/>
              <w:rPr>
                <w:rFonts w:ascii="宋体" w:hAnsi="宋体"/>
                <w:color w:val="auto"/>
                <w:sz w:val="20"/>
                <w:highlight w:val="none"/>
              </w:rPr>
            </w:pPr>
            <w:r>
              <w:rPr>
                <w:rFonts w:hint="eastAsia" w:ascii="宋体" w:hAnsi="宋体"/>
                <w:color w:val="auto"/>
                <w:sz w:val="20"/>
                <w:highlight w:val="none"/>
              </w:rPr>
              <w:t>钢筋骨架去锈</w:t>
            </w:r>
          </w:p>
        </w:tc>
        <w:tc>
          <w:tcPr>
            <w:tcW w:w="5743" w:type="dxa"/>
            <w:tcBorders>
              <w:top w:val="single" w:color="auto" w:sz="4" w:space="0"/>
              <w:left w:val="single" w:color="auto" w:sz="4" w:space="0"/>
              <w:bottom w:val="single" w:color="auto" w:sz="4" w:space="0"/>
              <w:right w:val="single" w:color="auto" w:sz="4" w:space="0"/>
            </w:tcBorders>
            <w:vAlign w:val="center"/>
          </w:tcPr>
          <w:p w14:paraId="1CED7C65">
            <w:pPr>
              <w:widowControl/>
              <w:jc w:val="left"/>
              <w:rPr>
                <w:rFonts w:ascii="宋体" w:hAnsi="宋体"/>
                <w:color w:val="auto"/>
                <w:sz w:val="20"/>
                <w:highlight w:val="none"/>
              </w:rPr>
            </w:pPr>
            <w:r>
              <w:rPr>
                <w:rFonts w:hint="eastAsia" w:ascii="宋体" w:hAnsi="宋体"/>
                <w:color w:val="auto"/>
                <w:sz w:val="20"/>
                <w:highlight w:val="none"/>
              </w:rPr>
              <w:t>钢筋骨架已生锈，在浇注砼前未作去锈处理的，每次处违约金2000元，并作返工处理。</w:t>
            </w:r>
          </w:p>
        </w:tc>
        <w:tc>
          <w:tcPr>
            <w:tcW w:w="1429" w:type="dxa"/>
            <w:tcBorders>
              <w:top w:val="single" w:color="auto" w:sz="4" w:space="0"/>
              <w:left w:val="single" w:color="auto" w:sz="4" w:space="0"/>
              <w:bottom w:val="single" w:color="auto" w:sz="4" w:space="0"/>
              <w:right w:val="single" w:color="auto" w:sz="4" w:space="0"/>
            </w:tcBorders>
          </w:tcPr>
          <w:p w14:paraId="6603C868">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71A53628">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25ED5E2D">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6DC28459">
            <w:pPr>
              <w:widowControl/>
              <w:jc w:val="left"/>
              <w:rPr>
                <w:rFonts w:ascii="宋体" w:hAnsi="宋体" w:cs="宋体"/>
                <w:color w:val="auto"/>
                <w:kern w:val="0"/>
                <w:sz w:val="20"/>
                <w:highlight w:val="none"/>
              </w:rPr>
            </w:pPr>
          </w:p>
        </w:tc>
      </w:tr>
      <w:tr w14:paraId="5010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4E09881">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3.3.6</w:t>
            </w:r>
          </w:p>
        </w:tc>
        <w:tc>
          <w:tcPr>
            <w:tcW w:w="2161" w:type="dxa"/>
            <w:tcBorders>
              <w:top w:val="single" w:color="auto" w:sz="4" w:space="0"/>
              <w:left w:val="single" w:color="auto" w:sz="4" w:space="0"/>
              <w:bottom w:val="single" w:color="auto" w:sz="4" w:space="0"/>
              <w:right w:val="single" w:color="auto" w:sz="4" w:space="0"/>
            </w:tcBorders>
            <w:vAlign w:val="center"/>
          </w:tcPr>
          <w:p w14:paraId="5698B23B">
            <w:pPr>
              <w:widowControl/>
              <w:jc w:val="left"/>
              <w:rPr>
                <w:rFonts w:ascii="宋体" w:hAnsi="宋体"/>
                <w:color w:val="auto"/>
                <w:sz w:val="20"/>
                <w:highlight w:val="none"/>
              </w:rPr>
            </w:pPr>
            <w:r>
              <w:rPr>
                <w:rFonts w:hint="eastAsia" w:ascii="宋体" w:hAnsi="宋体"/>
                <w:color w:val="auto"/>
                <w:sz w:val="20"/>
                <w:highlight w:val="none"/>
              </w:rPr>
              <w:t>桩基检测</w:t>
            </w:r>
          </w:p>
        </w:tc>
        <w:tc>
          <w:tcPr>
            <w:tcW w:w="5743" w:type="dxa"/>
            <w:tcBorders>
              <w:top w:val="single" w:color="auto" w:sz="4" w:space="0"/>
              <w:left w:val="single" w:color="auto" w:sz="4" w:space="0"/>
              <w:bottom w:val="single" w:color="auto" w:sz="4" w:space="0"/>
              <w:right w:val="single" w:color="auto" w:sz="4" w:space="0"/>
            </w:tcBorders>
            <w:vAlign w:val="center"/>
          </w:tcPr>
          <w:p w14:paraId="08603D38">
            <w:pPr>
              <w:widowControl/>
              <w:jc w:val="left"/>
              <w:rPr>
                <w:rFonts w:ascii="宋体" w:hAnsi="宋体"/>
                <w:color w:val="auto"/>
                <w:sz w:val="20"/>
                <w:highlight w:val="none"/>
              </w:rPr>
            </w:pPr>
            <w:r>
              <w:rPr>
                <w:rFonts w:hint="eastAsia" w:ascii="宋体" w:hAnsi="宋体"/>
                <w:color w:val="auto"/>
                <w:sz w:val="20"/>
                <w:highlight w:val="none"/>
              </w:rPr>
              <w:t>桩基检测评为c类桩，每根处违约金10000元，出现不合格桩，每根处违约金20000元，并作返工处理。</w:t>
            </w:r>
          </w:p>
        </w:tc>
        <w:tc>
          <w:tcPr>
            <w:tcW w:w="1429" w:type="dxa"/>
            <w:tcBorders>
              <w:top w:val="single" w:color="auto" w:sz="4" w:space="0"/>
              <w:left w:val="single" w:color="auto" w:sz="4" w:space="0"/>
              <w:bottom w:val="single" w:color="auto" w:sz="4" w:space="0"/>
              <w:right w:val="single" w:color="auto" w:sz="4" w:space="0"/>
            </w:tcBorders>
          </w:tcPr>
          <w:p w14:paraId="788E6904">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637AC792">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42D33D8C">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3E5D65FA">
            <w:pPr>
              <w:widowControl/>
              <w:jc w:val="left"/>
              <w:rPr>
                <w:rFonts w:ascii="宋体" w:hAnsi="宋体" w:cs="宋体"/>
                <w:color w:val="auto"/>
                <w:kern w:val="0"/>
                <w:sz w:val="20"/>
                <w:highlight w:val="none"/>
              </w:rPr>
            </w:pPr>
          </w:p>
        </w:tc>
      </w:tr>
      <w:tr w14:paraId="4E20B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95BE842">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3.3.7</w:t>
            </w:r>
          </w:p>
        </w:tc>
        <w:tc>
          <w:tcPr>
            <w:tcW w:w="2161" w:type="dxa"/>
            <w:tcBorders>
              <w:top w:val="single" w:color="auto" w:sz="4" w:space="0"/>
              <w:left w:val="single" w:color="auto" w:sz="4" w:space="0"/>
              <w:bottom w:val="single" w:color="auto" w:sz="4" w:space="0"/>
              <w:right w:val="single" w:color="auto" w:sz="4" w:space="0"/>
            </w:tcBorders>
            <w:vAlign w:val="center"/>
          </w:tcPr>
          <w:p w14:paraId="5AF58204">
            <w:pPr>
              <w:widowControl/>
              <w:jc w:val="left"/>
              <w:rPr>
                <w:rFonts w:ascii="宋体" w:hAnsi="宋体"/>
                <w:color w:val="auto"/>
                <w:sz w:val="20"/>
                <w:highlight w:val="none"/>
              </w:rPr>
            </w:pPr>
            <w:r>
              <w:rPr>
                <w:rFonts w:hint="eastAsia" w:ascii="宋体" w:hAnsi="宋体"/>
                <w:color w:val="auto"/>
                <w:sz w:val="20"/>
                <w:highlight w:val="none"/>
              </w:rPr>
              <w:t>预制现浇砼构件</w:t>
            </w:r>
          </w:p>
        </w:tc>
        <w:tc>
          <w:tcPr>
            <w:tcW w:w="5743" w:type="dxa"/>
            <w:tcBorders>
              <w:top w:val="single" w:color="auto" w:sz="4" w:space="0"/>
              <w:left w:val="single" w:color="auto" w:sz="4" w:space="0"/>
              <w:bottom w:val="single" w:color="auto" w:sz="4" w:space="0"/>
              <w:right w:val="single" w:color="auto" w:sz="4" w:space="0"/>
            </w:tcBorders>
            <w:vAlign w:val="center"/>
          </w:tcPr>
          <w:p w14:paraId="63EDFE4C">
            <w:pPr>
              <w:widowControl/>
              <w:jc w:val="left"/>
              <w:rPr>
                <w:rFonts w:ascii="宋体" w:hAnsi="宋体"/>
                <w:color w:val="auto"/>
                <w:sz w:val="20"/>
                <w:highlight w:val="none"/>
              </w:rPr>
            </w:pPr>
            <w:r>
              <w:rPr>
                <w:rFonts w:hint="eastAsia" w:ascii="宋体" w:hAnsi="宋体"/>
                <w:color w:val="auto"/>
                <w:sz w:val="20"/>
                <w:highlight w:val="none"/>
              </w:rPr>
              <w:t>预制现浇砼构件必须采用足够强度，平整光滑的整体模板，保证砼整体外观和平整度，违者每次处违约金3000元，并限期整改。</w:t>
            </w:r>
          </w:p>
        </w:tc>
        <w:tc>
          <w:tcPr>
            <w:tcW w:w="1429" w:type="dxa"/>
            <w:tcBorders>
              <w:top w:val="single" w:color="auto" w:sz="4" w:space="0"/>
              <w:left w:val="single" w:color="auto" w:sz="4" w:space="0"/>
              <w:bottom w:val="single" w:color="auto" w:sz="4" w:space="0"/>
              <w:right w:val="single" w:color="auto" w:sz="4" w:space="0"/>
            </w:tcBorders>
          </w:tcPr>
          <w:p w14:paraId="350B98F8">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1BD0C091">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592985A0">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5182E46F">
            <w:pPr>
              <w:widowControl/>
              <w:jc w:val="left"/>
              <w:rPr>
                <w:rFonts w:ascii="宋体" w:hAnsi="宋体" w:cs="宋体"/>
                <w:color w:val="auto"/>
                <w:kern w:val="0"/>
                <w:sz w:val="20"/>
                <w:highlight w:val="none"/>
              </w:rPr>
            </w:pPr>
          </w:p>
        </w:tc>
      </w:tr>
      <w:tr w14:paraId="0587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2240662">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3.3.8</w:t>
            </w:r>
          </w:p>
        </w:tc>
        <w:tc>
          <w:tcPr>
            <w:tcW w:w="2161" w:type="dxa"/>
            <w:tcBorders>
              <w:top w:val="single" w:color="auto" w:sz="4" w:space="0"/>
              <w:left w:val="single" w:color="auto" w:sz="4" w:space="0"/>
              <w:bottom w:val="single" w:color="auto" w:sz="4" w:space="0"/>
              <w:right w:val="single" w:color="auto" w:sz="4" w:space="0"/>
            </w:tcBorders>
            <w:vAlign w:val="center"/>
          </w:tcPr>
          <w:p w14:paraId="1C5BADF3">
            <w:pPr>
              <w:widowControl/>
              <w:jc w:val="left"/>
              <w:rPr>
                <w:rFonts w:ascii="宋体" w:hAnsi="宋体"/>
                <w:color w:val="auto"/>
                <w:sz w:val="20"/>
                <w:highlight w:val="none"/>
              </w:rPr>
            </w:pPr>
            <w:r>
              <w:rPr>
                <w:rFonts w:hint="eastAsia" w:ascii="宋体" w:hAnsi="宋体"/>
                <w:color w:val="auto"/>
                <w:sz w:val="20"/>
                <w:highlight w:val="none"/>
              </w:rPr>
              <w:t>立柱、盖梁、防撞墙</w:t>
            </w:r>
          </w:p>
        </w:tc>
        <w:tc>
          <w:tcPr>
            <w:tcW w:w="5743" w:type="dxa"/>
            <w:tcBorders>
              <w:top w:val="single" w:color="auto" w:sz="4" w:space="0"/>
              <w:left w:val="single" w:color="auto" w:sz="4" w:space="0"/>
              <w:bottom w:val="single" w:color="auto" w:sz="4" w:space="0"/>
              <w:right w:val="single" w:color="auto" w:sz="4" w:space="0"/>
            </w:tcBorders>
            <w:vAlign w:val="center"/>
          </w:tcPr>
          <w:p w14:paraId="0168930D">
            <w:pPr>
              <w:widowControl/>
              <w:jc w:val="left"/>
              <w:rPr>
                <w:rFonts w:ascii="宋体" w:hAnsi="宋体"/>
                <w:color w:val="auto"/>
                <w:sz w:val="20"/>
                <w:highlight w:val="none"/>
              </w:rPr>
            </w:pPr>
            <w:r>
              <w:rPr>
                <w:rFonts w:hint="eastAsia" w:ascii="宋体" w:hAnsi="宋体"/>
                <w:color w:val="auto"/>
                <w:sz w:val="20"/>
                <w:highlight w:val="none"/>
              </w:rPr>
              <w:t>第一根立柱、盖梁和第一段防撞墙必须经建设单位和监理工程师检查外观质量合格后，方可进行第二根立柱、盖梁和第二段防撞墙的施工，违者每次处违约金5000元。</w:t>
            </w:r>
          </w:p>
        </w:tc>
        <w:tc>
          <w:tcPr>
            <w:tcW w:w="1429" w:type="dxa"/>
            <w:tcBorders>
              <w:top w:val="single" w:color="auto" w:sz="4" w:space="0"/>
              <w:left w:val="single" w:color="auto" w:sz="4" w:space="0"/>
              <w:bottom w:val="single" w:color="auto" w:sz="4" w:space="0"/>
              <w:right w:val="single" w:color="auto" w:sz="4" w:space="0"/>
            </w:tcBorders>
          </w:tcPr>
          <w:p w14:paraId="015816DD">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6B7A28EC">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31F2530B">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45FB53B7">
            <w:pPr>
              <w:widowControl/>
              <w:jc w:val="left"/>
              <w:rPr>
                <w:rFonts w:ascii="宋体" w:hAnsi="宋体" w:cs="宋体"/>
                <w:color w:val="auto"/>
                <w:kern w:val="0"/>
                <w:sz w:val="20"/>
                <w:highlight w:val="none"/>
              </w:rPr>
            </w:pPr>
          </w:p>
        </w:tc>
      </w:tr>
      <w:tr w14:paraId="3315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4E602F3">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3.3.9</w:t>
            </w:r>
          </w:p>
        </w:tc>
        <w:tc>
          <w:tcPr>
            <w:tcW w:w="2161" w:type="dxa"/>
            <w:tcBorders>
              <w:top w:val="single" w:color="auto" w:sz="4" w:space="0"/>
              <w:left w:val="single" w:color="auto" w:sz="4" w:space="0"/>
              <w:bottom w:val="single" w:color="auto" w:sz="4" w:space="0"/>
              <w:right w:val="single" w:color="auto" w:sz="4" w:space="0"/>
            </w:tcBorders>
            <w:vAlign w:val="center"/>
          </w:tcPr>
          <w:p w14:paraId="3F1C07FD">
            <w:pPr>
              <w:widowControl/>
              <w:jc w:val="left"/>
              <w:rPr>
                <w:rFonts w:ascii="宋体" w:hAnsi="宋体"/>
                <w:color w:val="auto"/>
                <w:sz w:val="20"/>
                <w:highlight w:val="none"/>
              </w:rPr>
            </w:pPr>
            <w:r>
              <w:rPr>
                <w:rFonts w:hint="eastAsia" w:ascii="宋体" w:hAnsi="宋体"/>
                <w:color w:val="auto"/>
                <w:sz w:val="20"/>
                <w:highlight w:val="none"/>
              </w:rPr>
              <w:t>结构标高尺寸误差</w:t>
            </w:r>
          </w:p>
        </w:tc>
        <w:tc>
          <w:tcPr>
            <w:tcW w:w="5743" w:type="dxa"/>
            <w:tcBorders>
              <w:top w:val="single" w:color="auto" w:sz="4" w:space="0"/>
              <w:left w:val="single" w:color="auto" w:sz="4" w:space="0"/>
              <w:bottom w:val="single" w:color="auto" w:sz="4" w:space="0"/>
              <w:right w:val="single" w:color="auto" w:sz="4" w:space="0"/>
            </w:tcBorders>
            <w:vAlign w:val="center"/>
          </w:tcPr>
          <w:p w14:paraId="4287EFBE">
            <w:pPr>
              <w:widowControl/>
              <w:jc w:val="left"/>
              <w:rPr>
                <w:rFonts w:ascii="宋体" w:hAnsi="宋体"/>
                <w:color w:val="auto"/>
                <w:sz w:val="20"/>
                <w:highlight w:val="none"/>
              </w:rPr>
            </w:pPr>
            <w:r>
              <w:rPr>
                <w:rFonts w:hint="eastAsia" w:ascii="宋体" w:hAnsi="宋体"/>
                <w:color w:val="auto"/>
                <w:sz w:val="20"/>
                <w:highlight w:val="none"/>
              </w:rPr>
              <w:t>结构标高尺寸误差超过规范允许值，每处处违约金3000元，并限期改正。</w:t>
            </w:r>
          </w:p>
        </w:tc>
        <w:tc>
          <w:tcPr>
            <w:tcW w:w="1429" w:type="dxa"/>
            <w:tcBorders>
              <w:top w:val="single" w:color="auto" w:sz="4" w:space="0"/>
              <w:left w:val="single" w:color="auto" w:sz="4" w:space="0"/>
              <w:bottom w:val="single" w:color="auto" w:sz="4" w:space="0"/>
              <w:right w:val="single" w:color="auto" w:sz="4" w:space="0"/>
            </w:tcBorders>
          </w:tcPr>
          <w:p w14:paraId="60E45B66">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0930C5E1">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01FEFAC9">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69A487FE">
            <w:pPr>
              <w:widowControl/>
              <w:jc w:val="left"/>
              <w:rPr>
                <w:rFonts w:ascii="宋体" w:hAnsi="宋体" w:cs="宋体"/>
                <w:color w:val="auto"/>
                <w:kern w:val="0"/>
                <w:sz w:val="20"/>
                <w:highlight w:val="none"/>
              </w:rPr>
            </w:pPr>
          </w:p>
        </w:tc>
      </w:tr>
      <w:tr w14:paraId="0E2EC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FBE510D">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3.3.10</w:t>
            </w:r>
          </w:p>
        </w:tc>
        <w:tc>
          <w:tcPr>
            <w:tcW w:w="2161" w:type="dxa"/>
            <w:tcBorders>
              <w:top w:val="single" w:color="auto" w:sz="4" w:space="0"/>
              <w:left w:val="single" w:color="auto" w:sz="4" w:space="0"/>
              <w:bottom w:val="single" w:color="auto" w:sz="4" w:space="0"/>
              <w:right w:val="single" w:color="auto" w:sz="4" w:space="0"/>
            </w:tcBorders>
            <w:vAlign w:val="center"/>
          </w:tcPr>
          <w:p w14:paraId="31F4CBC4">
            <w:pPr>
              <w:widowControl/>
              <w:jc w:val="left"/>
              <w:rPr>
                <w:rFonts w:ascii="宋体" w:hAnsi="宋体"/>
                <w:color w:val="auto"/>
                <w:sz w:val="20"/>
                <w:highlight w:val="none"/>
              </w:rPr>
            </w:pPr>
            <w:r>
              <w:rPr>
                <w:rFonts w:hint="eastAsia" w:ascii="宋体" w:hAnsi="宋体"/>
                <w:color w:val="auto"/>
                <w:sz w:val="20"/>
                <w:highlight w:val="none"/>
              </w:rPr>
              <w:t>防撞栏</w:t>
            </w:r>
          </w:p>
        </w:tc>
        <w:tc>
          <w:tcPr>
            <w:tcW w:w="5743" w:type="dxa"/>
            <w:tcBorders>
              <w:top w:val="single" w:color="auto" w:sz="4" w:space="0"/>
              <w:left w:val="single" w:color="auto" w:sz="4" w:space="0"/>
              <w:bottom w:val="single" w:color="auto" w:sz="4" w:space="0"/>
              <w:right w:val="single" w:color="auto" w:sz="4" w:space="0"/>
            </w:tcBorders>
            <w:vAlign w:val="center"/>
          </w:tcPr>
          <w:p w14:paraId="57DBBC60">
            <w:pPr>
              <w:widowControl/>
              <w:jc w:val="left"/>
              <w:rPr>
                <w:rFonts w:ascii="宋体" w:hAnsi="宋体"/>
                <w:color w:val="auto"/>
                <w:sz w:val="20"/>
                <w:highlight w:val="none"/>
              </w:rPr>
            </w:pPr>
            <w:r>
              <w:rPr>
                <w:rFonts w:hint="eastAsia" w:ascii="宋体" w:hAnsi="宋体"/>
                <w:color w:val="auto"/>
                <w:sz w:val="20"/>
                <w:highlight w:val="none"/>
              </w:rPr>
              <w:t>防撞栏出现大量麻面；线形有明显波折、错台；墙角或接缝漏浆；表面多处露筋，合计每10米处违约金10000元，并作返工处理。</w:t>
            </w:r>
          </w:p>
        </w:tc>
        <w:tc>
          <w:tcPr>
            <w:tcW w:w="1429" w:type="dxa"/>
            <w:tcBorders>
              <w:top w:val="single" w:color="auto" w:sz="4" w:space="0"/>
              <w:left w:val="single" w:color="auto" w:sz="4" w:space="0"/>
              <w:bottom w:val="single" w:color="auto" w:sz="4" w:space="0"/>
              <w:right w:val="single" w:color="auto" w:sz="4" w:space="0"/>
            </w:tcBorders>
          </w:tcPr>
          <w:p w14:paraId="116B61F9">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39F65748">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000550D2">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13E7DD77">
            <w:pPr>
              <w:widowControl/>
              <w:jc w:val="left"/>
              <w:rPr>
                <w:rFonts w:ascii="宋体" w:hAnsi="宋体" w:cs="宋体"/>
                <w:color w:val="auto"/>
                <w:kern w:val="0"/>
                <w:sz w:val="20"/>
                <w:highlight w:val="none"/>
              </w:rPr>
            </w:pPr>
          </w:p>
        </w:tc>
      </w:tr>
      <w:tr w14:paraId="7869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89AD356">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3.3.11</w:t>
            </w:r>
          </w:p>
        </w:tc>
        <w:tc>
          <w:tcPr>
            <w:tcW w:w="2161" w:type="dxa"/>
            <w:tcBorders>
              <w:top w:val="single" w:color="auto" w:sz="4" w:space="0"/>
              <w:left w:val="single" w:color="auto" w:sz="4" w:space="0"/>
              <w:bottom w:val="single" w:color="auto" w:sz="4" w:space="0"/>
              <w:right w:val="single" w:color="auto" w:sz="4" w:space="0"/>
            </w:tcBorders>
            <w:vAlign w:val="center"/>
          </w:tcPr>
          <w:p w14:paraId="2C23B55C">
            <w:pPr>
              <w:widowControl/>
              <w:jc w:val="left"/>
              <w:rPr>
                <w:rFonts w:ascii="宋体" w:hAnsi="宋体"/>
                <w:color w:val="auto"/>
                <w:sz w:val="20"/>
                <w:highlight w:val="none"/>
              </w:rPr>
            </w:pPr>
            <w:r>
              <w:rPr>
                <w:rFonts w:hint="eastAsia" w:ascii="宋体" w:hAnsi="宋体"/>
                <w:color w:val="auto"/>
                <w:sz w:val="20"/>
                <w:highlight w:val="none"/>
              </w:rPr>
              <w:t>伸缩缝</w:t>
            </w:r>
          </w:p>
        </w:tc>
        <w:tc>
          <w:tcPr>
            <w:tcW w:w="5743" w:type="dxa"/>
            <w:tcBorders>
              <w:top w:val="single" w:color="auto" w:sz="4" w:space="0"/>
              <w:left w:val="single" w:color="auto" w:sz="4" w:space="0"/>
              <w:bottom w:val="single" w:color="auto" w:sz="4" w:space="0"/>
              <w:right w:val="single" w:color="auto" w:sz="4" w:space="0"/>
            </w:tcBorders>
            <w:vAlign w:val="center"/>
          </w:tcPr>
          <w:p w14:paraId="4D63655B">
            <w:pPr>
              <w:widowControl/>
              <w:jc w:val="left"/>
              <w:rPr>
                <w:rFonts w:ascii="宋体" w:hAnsi="宋体"/>
                <w:color w:val="auto"/>
                <w:sz w:val="20"/>
                <w:highlight w:val="none"/>
              </w:rPr>
            </w:pPr>
            <w:r>
              <w:rPr>
                <w:rFonts w:hint="eastAsia" w:ascii="宋体" w:hAnsi="宋体"/>
                <w:color w:val="auto"/>
                <w:sz w:val="20"/>
                <w:highlight w:val="none"/>
              </w:rPr>
              <w:t>下列情况，违者每次处违约金2000元：1)伸缩缝位置必须保证满足设计要求，安装时必须按气温来确定安装宽度；2)预留槽口底面的砼必须密实、平整；3)在填充前必须保证干净，不得有杂物。</w:t>
            </w:r>
          </w:p>
        </w:tc>
        <w:tc>
          <w:tcPr>
            <w:tcW w:w="1429" w:type="dxa"/>
            <w:tcBorders>
              <w:top w:val="single" w:color="auto" w:sz="4" w:space="0"/>
              <w:left w:val="single" w:color="auto" w:sz="4" w:space="0"/>
              <w:bottom w:val="single" w:color="auto" w:sz="4" w:space="0"/>
              <w:right w:val="single" w:color="auto" w:sz="4" w:space="0"/>
            </w:tcBorders>
          </w:tcPr>
          <w:p w14:paraId="0C92AE83">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477FBBE6">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11B52BFC">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32ECAD74">
            <w:pPr>
              <w:widowControl/>
              <w:jc w:val="left"/>
              <w:rPr>
                <w:rFonts w:ascii="宋体" w:hAnsi="宋体" w:cs="宋体"/>
                <w:color w:val="auto"/>
                <w:kern w:val="0"/>
                <w:sz w:val="20"/>
                <w:highlight w:val="none"/>
              </w:rPr>
            </w:pPr>
          </w:p>
        </w:tc>
      </w:tr>
      <w:tr w14:paraId="65F92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C19B46C">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3.3.12</w:t>
            </w:r>
          </w:p>
        </w:tc>
        <w:tc>
          <w:tcPr>
            <w:tcW w:w="2161" w:type="dxa"/>
            <w:tcBorders>
              <w:top w:val="single" w:color="auto" w:sz="4" w:space="0"/>
              <w:left w:val="single" w:color="auto" w:sz="4" w:space="0"/>
              <w:bottom w:val="single" w:color="auto" w:sz="4" w:space="0"/>
              <w:right w:val="single" w:color="auto" w:sz="4" w:space="0"/>
            </w:tcBorders>
            <w:vAlign w:val="center"/>
          </w:tcPr>
          <w:p w14:paraId="1F4DEA91">
            <w:pPr>
              <w:widowControl/>
              <w:jc w:val="left"/>
              <w:rPr>
                <w:rFonts w:ascii="宋体" w:hAnsi="宋体"/>
                <w:color w:val="auto"/>
                <w:sz w:val="20"/>
                <w:highlight w:val="none"/>
              </w:rPr>
            </w:pPr>
            <w:r>
              <w:rPr>
                <w:rFonts w:hint="eastAsia" w:ascii="宋体" w:hAnsi="宋体"/>
                <w:color w:val="auto"/>
                <w:sz w:val="20"/>
                <w:highlight w:val="none"/>
              </w:rPr>
              <w:t>结构物</w:t>
            </w:r>
          </w:p>
        </w:tc>
        <w:tc>
          <w:tcPr>
            <w:tcW w:w="5743" w:type="dxa"/>
            <w:tcBorders>
              <w:top w:val="single" w:color="auto" w:sz="4" w:space="0"/>
              <w:left w:val="single" w:color="auto" w:sz="4" w:space="0"/>
              <w:bottom w:val="single" w:color="auto" w:sz="4" w:space="0"/>
              <w:right w:val="single" w:color="auto" w:sz="4" w:space="0"/>
            </w:tcBorders>
            <w:vAlign w:val="center"/>
          </w:tcPr>
          <w:p w14:paraId="5EF51785">
            <w:pPr>
              <w:widowControl/>
              <w:jc w:val="left"/>
              <w:rPr>
                <w:rFonts w:ascii="宋体" w:hAnsi="宋体"/>
                <w:color w:val="auto"/>
                <w:sz w:val="20"/>
                <w:highlight w:val="none"/>
              </w:rPr>
            </w:pPr>
            <w:r>
              <w:rPr>
                <w:rFonts w:hint="eastAsia" w:ascii="宋体" w:hAnsi="宋体"/>
                <w:color w:val="auto"/>
                <w:sz w:val="20"/>
                <w:highlight w:val="none"/>
              </w:rPr>
              <w:t>结构物外观质量不符合要求而需修补的，每次处违约金3000元。同时，必须作好修补方案，经试验确实可行，并经业主和监理工程师检查同意后，才能采取修整补救措施，无法进行补救的则以“推倒重来”为原则。</w:t>
            </w:r>
          </w:p>
        </w:tc>
        <w:tc>
          <w:tcPr>
            <w:tcW w:w="1429" w:type="dxa"/>
            <w:tcBorders>
              <w:top w:val="single" w:color="auto" w:sz="4" w:space="0"/>
              <w:left w:val="single" w:color="auto" w:sz="4" w:space="0"/>
              <w:bottom w:val="single" w:color="auto" w:sz="4" w:space="0"/>
              <w:right w:val="single" w:color="auto" w:sz="4" w:space="0"/>
            </w:tcBorders>
          </w:tcPr>
          <w:p w14:paraId="45FFCB42">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3CAF2487">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10C47F8F">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190173BD">
            <w:pPr>
              <w:widowControl/>
              <w:jc w:val="left"/>
              <w:rPr>
                <w:rFonts w:ascii="宋体" w:hAnsi="宋体" w:cs="宋体"/>
                <w:color w:val="auto"/>
                <w:kern w:val="0"/>
                <w:sz w:val="20"/>
                <w:highlight w:val="none"/>
              </w:rPr>
            </w:pPr>
          </w:p>
        </w:tc>
      </w:tr>
      <w:tr w14:paraId="7AF42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72A4D59">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3.3.13</w:t>
            </w:r>
          </w:p>
        </w:tc>
        <w:tc>
          <w:tcPr>
            <w:tcW w:w="2161" w:type="dxa"/>
            <w:tcBorders>
              <w:top w:val="single" w:color="auto" w:sz="4" w:space="0"/>
              <w:left w:val="single" w:color="auto" w:sz="4" w:space="0"/>
              <w:bottom w:val="single" w:color="auto" w:sz="4" w:space="0"/>
              <w:right w:val="single" w:color="auto" w:sz="4" w:space="0"/>
            </w:tcBorders>
            <w:vAlign w:val="center"/>
          </w:tcPr>
          <w:p w14:paraId="53E873AB">
            <w:pPr>
              <w:widowControl/>
              <w:jc w:val="left"/>
              <w:rPr>
                <w:rFonts w:ascii="宋体" w:hAnsi="宋体"/>
                <w:color w:val="auto"/>
                <w:sz w:val="20"/>
                <w:highlight w:val="none"/>
              </w:rPr>
            </w:pPr>
            <w:r>
              <w:rPr>
                <w:rFonts w:hint="eastAsia" w:ascii="宋体" w:hAnsi="宋体"/>
                <w:color w:val="auto"/>
                <w:sz w:val="20"/>
                <w:highlight w:val="none"/>
              </w:rPr>
              <w:t>桥面铺装</w:t>
            </w:r>
          </w:p>
        </w:tc>
        <w:tc>
          <w:tcPr>
            <w:tcW w:w="5743" w:type="dxa"/>
            <w:tcBorders>
              <w:top w:val="single" w:color="auto" w:sz="4" w:space="0"/>
              <w:left w:val="single" w:color="auto" w:sz="4" w:space="0"/>
              <w:bottom w:val="single" w:color="auto" w:sz="4" w:space="0"/>
              <w:right w:val="single" w:color="auto" w:sz="4" w:space="0"/>
            </w:tcBorders>
            <w:vAlign w:val="center"/>
          </w:tcPr>
          <w:p w14:paraId="11BC7655">
            <w:pPr>
              <w:widowControl/>
              <w:jc w:val="left"/>
              <w:rPr>
                <w:rFonts w:ascii="宋体" w:hAnsi="宋体"/>
                <w:color w:val="auto"/>
                <w:sz w:val="20"/>
                <w:highlight w:val="none"/>
              </w:rPr>
            </w:pPr>
            <w:r>
              <w:rPr>
                <w:rFonts w:hint="eastAsia" w:ascii="宋体" w:hAnsi="宋体"/>
                <w:color w:val="auto"/>
                <w:sz w:val="20"/>
                <w:highlight w:val="none"/>
              </w:rPr>
              <w:t>桥面铺装应符合设计与规范要求，其强度、厚度、平整度、横坡、抗滑构造深度均应符合要求；桥面与伸缩缝的缝面必须结合良好，保证平整，违者每处处违约金2000元。</w:t>
            </w:r>
          </w:p>
        </w:tc>
        <w:tc>
          <w:tcPr>
            <w:tcW w:w="1429" w:type="dxa"/>
            <w:tcBorders>
              <w:top w:val="single" w:color="auto" w:sz="4" w:space="0"/>
              <w:left w:val="single" w:color="auto" w:sz="4" w:space="0"/>
              <w:bottom w:val="single" w:color="auto" w:sz="4" w:space="0"/>
              <w:right w:val="single" w:color="auto" w:sz="4" w:space="0"/>
            </w:tcBorders>
          </w:tcPr>
          <w:p w14:paraId="00A473C3">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6E1E1856">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1A923EB5">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5340DAF7">
            <w:pPr>
              <w:widowControl/>
              <w:jc w:val="left"/>
              <w:rPr>
                <w:rFonts w:ascii="宋体" w:hAnsi="宋体" w:cs="宋体"/>
                <w:color w:val="auto"/>
                <w:kern w:val="0"/>
                <w:sz w:val="20"/>
                <w:highlight w:val="none"/>
              </w:rPr>
            </w:pPr>
          </w:p>
        </w:tc>
      </w:tr>
      <w:tr w14:paraId="28B0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3BE61D2">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3.3.14</w:t>
            </w:r>
          </w:p>
        </w:tc>
        <w:tc>
          <w:tcPr>
            <w:tcW w:w="2161" w:type="dxa"/>
            <w:tcBorders>
              <w:top w:val="single" w:color="auto" w:sz="4" w:space="0"/>
              <w:left w:val="single" w:color="auto" w:sz="4" w:space="0"/>
              <w:bottom w:val="single" w:color="auto" w:sz="4" w:space="0"/>
              <w:right w:val="single" w:color="auto" w:sz="4" w:space="0"/>
            </w:tcBorders>
            <w:vAlign w:val="center"/>
          </w:tcPr>
          <w:p w14:paraId="4357087D">
            <w:pPr>
              <w:widowControl/>
              <w:jc w:val="left"/>
              <w:rPr>
                <w:rFonts w:ascii="宋体" w:hAnsi="宋体"/>
                <w:color w:val="auto"/>
                <w:sz w:val="20"/>
                <w:highlight w:val="none"/>
              </w:rPr>
            </w:pPr>
            <w:r>
              <w:rPr>
                <w:rFonts w:hint="eastAsia" w:ascii="宋体" w:hAnsi="宋体"/>
                <w:color w:val="auto"/>
                <w:sz w:val="20"/>
                <w:highlight w:val="none"/>
              </w:rPr>
              <w:t>未经审批施工</w:t>
            </w:r>
          </w:p>
        </w:tc>
        <w:tc>
          <w:tcPr>
            <w:tcW w:w="5743" w:type="dxa"/>
            <w:tcBorders>
              <w:top w:val="single" w:color="auto" w:sz="4" w:space="0"/>
              <w:left w:val="single" w:color="auto" w:sz="4" w:space="0"/>
              <w:bottom w:val="single" w:color="auto" w:sz="4" w:space="0"/>
              <w:right w:val="single" w:color="auto" w:sz="4" w:space="0"/>
            </w:tcBorders>
            <w:vAlign w:val="center"/>
          </w:tcPr>
          <w:p w14:paraId="09EB8A59">
            <w:pPr>
              <w:widowControl/>
              <w:jc w:val="left"/>
              <w:rPr>
                <w:rFonts w:ascii="宋体" w:hAnsi="宋体"/>
                <w:color w:val="auto"/>
                <w:sz w:val="20"/>
                <w:highlight w:val="none"/>
              </w:rPr>
            </w:pPr>
            <w:r>
              <w:rPr>
                <w:rFonts w:hint="eastAsia" w:ascii="宋体" w:hAnsi="宋体"/>
                <w:color w:val="auto"/>
                <w:sz w:val="20"/>
                <w:highlight w:val="none"/>
              </w:rPr>
              <w:t>未按经审批的专项施工组织方案进行施工的，每次处违约金10000～20000元，并限期纠正。</w:t>
            </w:r>
          </w:p>
        </w:tc>
        <w:tc>
          <w:tcPr>
            <w:tcW w:w="1429" w:type="dxa"/>
            <w:tcBorders>
              <w:top w:val="single" w:color="auto" w:sz="4" w:space="0"/>
              <w:left w:val="single" w:color="auto" w:sz="4" w:space="0"/>
              <w:bottom w:val="single" w:color="auto" w:sz="4" w:space="0"/>
              <w:right w:val="single" w:color="auto" w:sz="4" w:space="0"/>
            </w:tcBorders>
          </w:tcPr>
          <w:p w14:paraId="2711BCBB">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0FDE81FD">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1B515F32">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18A986E8">
            <w:pPr>
              <w:widowControl/>
              <w:jc w:val="left"/>
              <w:rPr>
                <w:rFonts w:ascii="宋体" w:hAnsi="宋体" w:cs="宋体"/>
                <w:color w:val="auto"/>
                <w:kern w:val="0"/>
                <w:sz w:val="20"/>
                <w:highlight w:val="none"/>
              </w:rPr>
            </w:pPr>
          </w:p>
        </w:tc>
      </w:tr>
      <w:tr w14:paraId="6510B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1B45EBA">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3.4</w:t>
            </w:r>
          </w:p>
        </w:tc>
        <w:tc>
          <w:tcPr>
            <w:tcW w:w="2161" w:type="dxa"/>
            <w:tcBorders>
              <w:top w:val="single" w:color="auto" w:sz="4" w:space="0"/>
              <w:left w:val="single" w:color="auto" w:sz="4" w:space="0"/>
              <w:bottom w:val="single" w:color="auto" w:sz="4" w:space="0"/>
              <w:right w:val="single" w:color="auto" w:sz="4" w:space="0"/>
            </w:tcBorders>
            <w:vAlign w:val="center"/>
          </w:tcPr>
          <w:p w14:paraId="07A4885C">
            <w:pPr>
              <w:widowControl/>
              <w:jc w:val="left"/>
              <w:rPr>
                <w:rFonts w:ascii="宋体" w:hAnsi="宋体"/>
                <w:color w:val="auto"/>
                <w:sz w:val="20"/>
                <w:highlight w:val="none"/>
              </w:rPr>
            </w:pPr>
            <w:r>
              <w:rPr>
                <w:rFonts w:hint="eastAsia" w:ascii="宋体" w:hAnsi="宋体"/>
                <w:b/>
                <w:color w:val="auto"/>
                <w:sz w:val="20"/>
                <w:highlight w:val="none"/>
              </w:rPr>
              <w:t>隧道工程</w:t>
            </w:r>
          </w:p>
        </w:tc>
        <w:tc>
          <w:tcPr>
            <w:tcW w:w="5743" w:type="dxa"/>
            <w:tcBorders>
              <w:top w:val="single" w:color="auto" w:sz="4" w:space="0"/>
              <w:left w:val="single" w:color="auto" w:sz="4" w:space="0"/>
              <w:bottom w:val="single" w:color="auto" w:sz="4" w:space="0"/>
              <w:right w:val="single" w:color="auto" w:sz="4" w:space="0"/>
            </w:tcBorders>
            <w:vAlign w:val="center"/>
          </w:tcPr>
          <w:p w14:paraId="383ED3F3">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14:paraId="5129BB8B">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7765EF36">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3502AABD">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2904C8F6">
            <w:pPr>
              <w:widowControl/>
              <w:jc w:val="left"/>
              <w:rPr>
                <w:rFonts w:ascii="宋体" w:hAnsi="宋体" w:cs="宋体"/>
                <w:color w:val="auto"/>
                <w:kern w:val="0"/>
                <w:sz w:val="20"/>
                <w:highlight w:val="none"/>
              </w:rPr>
            </w:pPr>
          </w:p>
        </w:tc>
      </w:tr>
      <w:tr w14:paraId="7A9AC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839C510">
            <w:pPr>
              <w:widowControl/>
              <w:jc w:val="center"/>
              <w:rPr>
                <w:rFonts w:ascii="宋体" w:hAnsi="宋体" w:cs="宋体"/>
                <w:b/>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14:paraId="3E2EB174">
            <w:pPr>
              <w:widowControl/>
              <w:jc w:val="left"/>
              <w:rPr>
                <w:rFonts w:ascii="宋体" w:hAnsi="宋体"/>
                <w:b/>
                <w:color w:val="auto"/>
                <w:sz w:val="20"/>
                <w:highlight w:val="none"/>
              </w:rPr>
            </w:pPr>
            <w:r>
              <w:rPr>
                <w:rFonts w:hint="eastAsia" w:ascii="宋体" w:hAnsi="宋体"/>
                <w:b/>
                <w:color w:val="auto"/>
                <w:sz w:val="20"/>
                <w:highlight w:val="none"/>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14:paraId="775BCFAC">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14:paraId="0090F2BB">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5089B59F">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6D204E54">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100BA30C">
            <w:pPr>
              <w:widowControl/>
              <w:jc w:val="left"/>
              <w:rPr>
                <w:rFonts w:ascii="宋体" w:hAnsi="宋体" w:cs="宋体"/>
                <w:color w:val="auto"/>
                <w:kern w:val="0"/>
                <w:sz w:val="20"/>
                <w:highlight w:val="none"/>
              </w:rPr>
            </w:pPr>
          </w:p>
        </w:tc>
      </w:tr>
      <w:tr w14:paraId="5D84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BBA9B0B">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3.4.1</w:t>
            </w:r>
          </w:p>
        </w:tc>
        <w:tc>
          <w:tcPr>
            <w:tcW w:w="2161" w:type="dxa"/>
            <w:tcBorders>
              <w:top w:val="single" w:color="auto" w:sz="4" w:space="0"/>
              <w:left w:val="single" w:color="auto" w:sz="4" w:space="0"/>
              <w:bottom w:val="single" w:color="auto" w:sz="4" w:space="0"/>
              <w:right w:val="single" w:color="auto" w:sz="4" w:space="0"/>
            </w:tcBorders>
            <w:vAlign w:val="center"/>
          </w:tcPr>
          <w:p w14:paraId="44440002">
            <w:pPr>
              <w:widowControl/>
              <w:jc w:val="left"/>
              <w:rPr>
                <w:rFonts w:ascii="宋体" w:hAnsi="宋体"/>
                <w:color w:val="auto"/>
                <w:sz w:val="20"/>
                <w:highlight w:val="none"/>
              </w:rPr>
            </w:pPr>
            <w:r>
              <w:rPr>
                <w:rFonts w:hint="eastAsia" w:ascii="宋体" w:hAnsi="宋体"/>
                <w:color w:val="auto"/>
                <w:sz w:val="20"/>
                <w:highlight w:val="none"/>
              </w:rPr>
              <w:t>基坑支护</w:t>
            </w:r>
          </w:p>
        </w:tc>
        <w:tc>
          <w:tcPr>
            <w:tcW w:w="5743" w:type="dxa"/>
            <w:tcBorders>
              <w:top w:val="single" w:color="auto" w:sz="4" w:space="0"/>
              <w:left w:val="single" w:color="auto" w:sz="4" w:space="0"/>
              <w:bottom w:val="single" w:color="auto" w:sz="4" w:space="0"/>
              <w:right w:val="single" w:color="auto" w:sz="4" w:space="0"/>
            </w:tcBorders>
            <w:vAlign w:val="center"/>
          </w:tcPr>
          <w:p w14:paraId="029200B6">
            <w:pPr>
              <w:widowControl/>
              <w:jc w:val="left"/>
              <w:rPr>
                <w:rFonts w:ascii="宋体" w:hAnsi="宋体"/>
                <w:color w:val="auto"/>
                <w:sz w:val="20"/>
                <w:highlight w:val="none"/>
              </w:rPr>
            </w:pPr>
            <w:r>
              <w:rPr>
                <w:rFonts w:hint="eastAsia" w:ascii="宋体" w:hAnsi="宋体"/>
                <w:color w:val="auto"/>
                <w:sz w:val="20"/>
                <w:highlight w:val="none"/>
              </w:rPr>
              <w:t>未按设计和规范要求进行基坑支护，每次处违约金5000元，并限期整改。</w:t>
            </w:r>
          </w:p>
        </w:tc>
        <w:tc>
          <w:tcPr>
            <w:tcW w:w="1429" w:type="dxa"/>
            <w:tcBorders>
              <w:top w:val="single" w:color="auto" w:sz="4" w:space="0"/>
              <w:left w:val="single" w:color="auto" w:sz="4" w:space="0"/>
              <w:bottom w:val="single" w:color="auto" w:sz="4" w:space="0"/>
              <w:right w:val="single" w:color="auto" w:sz="4" w:space="0"/>
            </w:tcBorders>
          </w:tcPr>
          <w:p w14:paraId="172E5EBE">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3BDBE270">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56FDC1CB">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272D4066">
            <w:pPr>
              <w:widowControl/>
              <w:jc w:val="left"/>
              <w:rPr>
                <w:rFonts w:ascii="宋体" w:hAnsi="宋体" w:cs="宋体"/>
                <w:color w:val="auto"/>
                <w:kern w:val="0"/>
                <w:sz w:val="20"/>
                <w:highlight w:val="none"/>
              </w:rPr>
            </w:pPr>
          </w:p>
        </w:tc>
      </w:tr>
      <w:tr w14:paraId="41D7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7475DAB">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3.4.2</w:t>
            </w:r>
          </w:p>
        </w:tc>
        <w:tc>
          <w:tcPr>
            <w:tcW w:w="2161" w:type="dxa"/>
            <w:tcBorders>
              <w:top w:val="single" w:color="auto" w:sz="4" w:space="0"/>
              <w:left w:val="single" w:color="auto" w:sz="4" w:space="0"/>
              <w:bottom w:val="single" w:color="auto" w:sz="4" w:space="0"/>
              <w:right w:val="single" w:color="auto" w:sz="4" w:space="0"/>
            </w:tcBorders>
            <w:vAlign w:val="center"/>
          </w:tcPr>
          <w:p w14:paraId="5F4B2E93">
            <w:pPr>
              <w:widowControl/>
              <w:jc w:val="left"/>
              <w:rPr>
                <w:rFonts w:ascii="宋体" w:hAnsi="宋体"/>
                <w:color w:val="auto"/>
                <w:sz w:val="20"/>
                <w:highlight w:val="none"/>
              </w:rPr>
            </w:pPr>
            <w:r>
              <w:rPr>
                <w:rFonts w:hint="eastAsia" w:ascii="宋体" w:hAnsi="宋体"/>
                <w:color w:val="auto"/>
                <w:sz w:val="20"/>
                <w:highlight w:val="none"/>
              </w:rPr>
              <w:t>防水处理</w:t>
            </w:r>
          </w:p>
        </w:tc>
        <w:tc>
          <w:tcPr>
            <w:tcW w:w="5743" w:type="dxa"/>
            <w:tcBorders>
              <w:top w:val="single" w:color="auto" w:sz="4" w:space="0"/>
              <w:left w:val="single" w:color="auto" w:sz="4" w:space="0"/>
              <w:bottom w:val="single" w:color="auto" w:sz="4" w:space="0"/>
              <w:right w:val="single" w:color="auto" w:sz="4" w:space="0"/>
            </w:tcBorders>
            <w:vAlign w:val="center"/>
          </w:tcPr>
          <w:p w14:paraId="77C8BF91">
            <w:pPr>
              <w:widowControl/>
              <w:jc w:val="left"/>
              <w:rPr>
                <w:rFonts w:ascii="宋体" w:hAnsi="宋体"/>
                <w:color w:val="auto"/>
                <w:sz w:val="20"/>
                <w:highlight w:val="none"/>
              </w:rPr>
            </w:pPr>
            <w:r>
              <w:rPr>
                <w:rFonts w:hint="eastAsia" w:ascii="宋体" w:hAnsi="宋体"/>
                <w:color w:val="auto"/>
                <w:sz w:val="20"/>
                <w:highlight w:val="none"/>
              </w:rPr>
              <w:t>未按设计和规范要求进行防水处理，造成隧道渗漏、设备腐蚀、影响外观和危害运营安全,每次处违约金10000元。</w:t>
            </w:r>
          </w:p>
        </w:tc>
        <w:tc>
          <w:tcPr>
            <w:tcW w:w="1429" w:type="dxa"/>
            <w:tcBorders>
              <w:top w:val="single" w:color="auto" w:sz="4" w:space="0"/>
              <w:left w:val="single" w:color="auto" w:sz="4" w:space="0"/>
              <w:bottom w:val="single" w:color="auto" w:sz="4" w:space="0"/>
              <w:right w:val="single" w:color="auto" w:sz="4" w:space="0"/>
            </w:tcBorders>
          </w:tcPr>
          <w:p w14:paraId="7F5EF84A">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036F4FD6">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40214B04">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26969AF3">
            <w:pPr>
              <w:widowControl/>
              <w:jc w:val="left"/>
              <w:rPr>
                <w:rFonts w:ascii="宋体" w:hAnsi="宋体" w:cs="宋体"/>
                <w:color w:val="auto"/>
                <w:kern w:val="0"/>
                <w:sz w:val="20"/>
                <w:highlight w:val="none"/>
              </w:rPr>
            </w:pPr>
          </w:p>
        </w:tc>
      </w:tr>
      <w:tr w14:paraId="00AF8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6B94B69">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3.4.3</w:t>
            </w:r>
          </w:p>
        </w:tc>
        <w:tc>
          <w:tcPr>
            <w:tcW w:w="2161" w:type="dxa"/>
            <w:tcBorders>
              <w:top w:val="single" w:color="auto" w:sz="4" w:space="0"/>
              <w:left w:val="single" w:color="auto" w:sz="4" w:space="0"/>
              <w:bottom w:val="single" w:color="auto" w:sz="4" w:space="0"/>
              <w:right w:val="single" w:color="auto" w:sz="4" w:space="0"/>
            </w:tcBorders>
            <w:vAlign w:val="center"/>
          </w:tcPr>
          <w:p w14:paraId="0C5641A0">
            <w:pPr>
              <w:widowControl/>
              <w:jc w:val="left"/>
              <w:rPr>
                <w:rFonts w:ascii="宋体" w:hAnsi="宋体"/>
                <w:color w:val="auto"/>
                <w:sz w:val="20"/>
                <w:highlight w:val="none"/>
              </w:rPr>
            </w:pPr>
            <w:r>
              <w:rPr>
                <w:rFonts w:hint="eastAsia" w:ascii="宋体" w:hAnsi="宋体"/>
                <w:color w:val="auto"/>
                <w:sz w:val="20"/>
                <w:highlight w:val="none"/>
              </w:rPr>
              <w:t>橡胶止水带缝接</w:t>
            </w:r>
          </w:p>
        </w:tc>
        <w:tc>
          <w:tcPr>
            <w:tcW w:w="5743" w:type="dxa"/>
            <w:tcBorders>
              <w:top w:val="single" w:color="auto" w:sz="4" w:space="0"/>
              <w:left w:val="single" w:color="auto" w:sz="4" w:space="0"/>
              <w:bottom w:val="single" w:color="auto" w:sz="4" w:space="0"/>
              <w:right w:val="single" w:color="auto" w:sz="4" w:space="0"/>
            </w:tcBorders>
            <w:vAlign w:val="center"/>
          </w:tcPr>
          <w:p w14:paraId="740BD3D5">
            <w:pPr>
              <w:widowControl/>
              <w:jc w:val="left"/>
              <w:rPr>
                <w:rFonts w:ascii="宋体" w:hAnsi="宋体"/>
                <w:color w:val="auto"/>
                <w:sz w:val="20"/>
                <w:highlight w:val="none"/>
              </w:rPr>
            </w:pPr>
            <w:r>
              <w:rPr>
                <w:rFonts w:hint="eastAsia" w:ascii="宋体" w:hAnsi="宋体"/>
                <w:color w:val="auto"/>
                <w:sz w:val="20"/>
                <w:highlight w:val="none"/>
              </w:rPr>
              <w:t>橡胶止水带的搭接宽度小于10cm，冷粘或焊接的缝宽小于5cm的，每处处违约金1000元，并限期纠正。</w:t>
            </w:r>
          </w:p>
        </w:tc>
        <w:tc>
          <w:tcPr>
            <w:tcW w:w="1429" w:type="dxa"/>
            <w:tcBorders>
              <w:top w:val="single" w:color="auto" w:sz="4" w:space="0"/>
              <w:left w:val="single" w:color="auto" w:sz="4" w:space="0"/>
              <w:bottom w:val="single" w:color="auto" w:sz="4" w:space="0"/>
              <w:right w:val="single" w:color="auto" w:sz="4" w:space="0"/>
            </w:tcBorders>
          </w:tcPr>
          <w:p w14:paraId="15FE6373">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138A9186">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5E757DD5">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2582F643">
            <w:pPr>
              <w:widowControl/>
              <w:jc w:val="left"/>
              <w:rPr>
                <w:rFonts w:ascii="宋体" w:hAnsi="宋体" w:cs="宋体"/>
                <w:color w:val="auto"/>
                <w:kern w:val="0"/>
                <w:sz w:val="20"/>
                <w:highlight w:val="none"/>
              </w:rPr>
            </w:pPr>
          </w:p>
        </w:tc>
      </w:tr>
      <w:tr w14:paraId="77EC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00838AC">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3.4.4</w:t>
            </w:r>
          </w:p>
        </w:tc>
        <w:tc>
          <w:tcPr>
            <w:tcW w:w="2161" w:type="dxa"/>
            <w:tcBorders>
              <w:top w:val="single" w:color="auto" w:sz="4" w:space="0"/>
              <w:left w:val="single" w:color="auto" w:sz="4" w:space="0"/>
              <w:bottom w:val="single" w:color="auto" w:sz="4" w:space="0"/>
              <w:right w:val="single" w:color="auto" w:sz="4" w:space="0"/>
            </w:tcBorders>
            <w:vAlign w:val="center"/>
          </w:tcPr>
          <w:p w14:paraId="254D7694">
            <w:pPr>
              <w:widowControl/>
              <w:jc w:val="left"/>
              <w:rPr>
                <w:rFonts w:ascii="宋体" w:hAnsi="宋体"/>
                <w:color w:val="auto"/>
                <w:sz w:val="20"/>
                <w:highlight w:val="none"/>
              </w:rPr>
            </w:pPr>
            <w:r>
              <w:rPr>
                <w:rFonts w:hint="eastAsia" w:ascii="宋体" w:hAnsi="宋体"/>
                <w:color w:val="auto"/>
                <w:sz w:val="20"/>
                <w:highlight w:val="none"/>
              </w:rPr>
              <w:t>钢筋焊接</w:t>
            </w:r>
          </w:p>
        </w:tc>
        <w:tc>
          <w:tcPr>
            <w:tcW w:w="5743" w:type="dxa"/>
            <w:tcBorders>
              <w:top w:val="single" w:color="auto" w:sz="4" w:space="0"/>
              <w:left w:val="single" w:color="auto" w:sz="4" w:space="0"/>
              <w:bottom w:val="single" w:color="auto" w:sz="4" w:space="0"/>
              <w:right w:val="single" w:color="auto" w:sz="4" w:space="0"/>
            </w:tcBorders>
            <w:vAlign w:val="center"/>
          </w:tcPr>
          <w:p w14:paraId="2027CAF4">
            <w:pPr>
              <w:widowControl/>
              <w:jc w:val="left"/>
              <w:rPr>
                <w:rFonts w:ascii="宋体" w:hAnsi="宋体"/>
                <w:color w:val="auto"/>
                <w:sz w:val="20"/>
                <w:highlight w:val="none"/>
              </w:rPr>
            </w:pPr>
            <w:r>
              <w:rPr>
                <w:rFonts w:hint="eastAsia" w:ascii="宋体" w:hAnsi="宋体"/>
                <w:color w:val="auto"/>
                <w:sz w:val="20"/>
                <w:highlight w:val="none"/>
              </w:rPr>
              <w:t>钢筋焊接长度不足或焊缝不饱满或钢筋间距不符合设计要求，每处处违约金1000元，并限期纠正。钢筋骨架有污垢、油腻、锈蚀者，每处处违约金500元，并作返工处理。</w:t>
            </w:r>
          </w:p>
        </w:tc>
        <w:tc>
          <w:tcPr>
            <w:tcW w:w="1429" w:type="dxa"/>
            <w:tcBorders>
              <w:top w:val="single" w:color="auto" w:sz="4" w:space="0"/>
              <w:left w:val="single" w:color="auto" w:sz="4" w:space="0"/>
              <w:bottom w:val="single" w:color="auto" w:sz="4" w:space="0"/>
              <w:right w:val="single" w:color="auto" w:sz="4" w:space="0"/>
            </w:tcBorders>
          </w:tcPr>
          <w:p w14:paraId="39767275">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28AB27CD">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4CE40913">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1615CA93">
            <w:pPr>
              <w:widowControl/>
              <w:jc w:val="left"/>
              <w:rPr>
                <w:rFonts w:ascii="宋体" w:hAnsi="宋体" w:cs="宋体"/>
                <w:color w:val="auto"/>
                <w:kern w:val="0"/>
                <w:sz w:val="20"/>
                <w:highlight w:val="none"/>
              </w:rPr>
            </w:pPr>
          </w:p>
        </w:tc>
      </w:tr>
      <w:tr w14:paraId="2780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94EDE22">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3.4.5</w:t>
            </w:r>
          </w:p>
        </w:tc>
        <w:tc>
          <w:tcPr>
            <w:tcW w:w="2161" w:type="dxa"/>
            <w:tcBorders>
              <w:top w:val="single" w:color="auto" w:sz="4" w:space="0"/>
              <w:left w:val="single" w:color="auto" w:sz="4" w:space="0"/>
              <w:bottom w:val="single" w:color="auto" w:sz="4" w:space="0"/>
              <w:right w:val="single" w:color="auto" w:sz="4" w:space="0"/>
            </w:tcBorders>
            <w:vAlign w:val="center"/>
          </w:tcPr>
          <w:p w14:paraId="30814033">
            <w:pPr>
              <w:widowControl/>
              <w:jc w:val="left"/>
              <w:rPr>
                <w:rFonts w:ascii="宋体" w:hAnsi="宋体"/>
                <w:color w:val="auto"/>
                <w:sz w:val="20"/>
                <w:highlight w:val="none"/>
              </w:rPr>
            </w:pPr>
            <w:r>
              <w:rPr>
                <w:rFonts w:hint="eastAsia" w:ascii="宋体" w:hAnsi="宋体"/>
                <w:color w:val="auto"/>
                <w:sz w:val="20"/>
                <w:highlight w:val="none"/>
              </w:rPr>
              <w:t>防水板</w:t>
            </w:r>
          </w:p>
        </w:tc>
        <w:tc>
          <w:tcPr>
            <w:tcW w:w="5743" w:type="dxa"/>
            <w:tcBorders>
              <w:top w:val="single" w:color="auto" w:sz="4" w:space="0"/>
              <w:left w:val="single" w:color="auto" w:sz="4" w:space="0"/>
              <w:bottom w:val="single" w:color="auto" w:sz="4" w:space="0"/>
              <w:right w:val="single" w:color="auto" w:sz="4" w:space="0"/>
            </w:tcBorders>
            <w:vAlign w:val="center"/>
          </w:tcPr>
          <w:p w14:paraId="42704D3F">
            <w:pPr>
              <w:widowControl/>
              <w:jc w:val="left"/>
              <w:rPr>
                <w:rFonts w:ascii="宋体" w:hAnsi="宋体"/>
                <w:color w:val="auto"/>
                <w:sz w:val="20"/>
                <w:highlight w:val="none"/>
              </w:rPr>
            </w:pPr>
            <w:r>
              <w:rPr>
                <w:rFonts w:hint="eastAsia" w:ascii="宋体" w:hAnsi="宋体"/>
                <w:color w:val="auto"/>
                <w:sz w:val="20"/>
                <w:highlight w:val="none"/>
              </w:rPr>
              <w:t>防水板张挂后，由安装衬砌钢筋或其他原因而破损或漏焊的，未经处理达到规范和设计要求，便浇筑衬砌混凝土的，每处处违约金5000元。</w:t>
            </w:r>
          </w:p>
        </w:tc>
        <w:tc>
          <w:tcPr>
            <w:tcW w:w="1429" w:type="dxa"/>
            <w:tcBorders>
              <w:top w:val="single" w:color="auto" w:sz="4" w:space="0"/>
              <w:left w:val="single" w:color="auto" w:sz="4" w:space="0"/>
              <w:bottom w:val="single" w:color="auto" w:sz="4" w:space="0"/>
              <w:right w:val="single" w:color="auto" w:sz="4" w:space="0"/>
            </w:tcBorders>
          </w:tcPr>
          <w:p w14:paraId="32EC2AD8">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0D9913A7">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2D52F423">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716949A0">
            <w:pPr>
              <w:widowControl/>
              <w:jc w:val="left"/>
              <w:rPr>
                <w:rFonts w:ascii="宋体" w:hAnsi="宋体" w:cs="宋体"/>
                <w:color w:val="auto"/>
                <w:kern w:val="0"/>
                <w:sz w:val="20"/>
                <w:highlight w:val="none"/>
              </w:rPr>
            </w:pPr>
          </w:p>
        </w:tc>
      </w:tr>
      <w:tr w14:paraId="5C3F8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7ADB478">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3.4.6</w:t>
            </w:r>
          </w:p>
        </w:tc>
        <w:tc>
          <w:tcPr>
            <w:tcW w:w="2161" w:type="dxa"/>
            <w:tcBorders>
              <w:top w:val="single" w:color="auto" w:sz="4" w:space="0"/>
              <w:left w:val="single" w:color="auto" w:sz="4" w:space="0"/>
              <w:bottom w:val="single" w:color="auto" w:sz="4" w:space="0"/>
              <w:right w:val="single" w:color="auto" w:sz="4" w:space="0"/>
            </w:tcBorders>
            <w:vAlign w:val="center"/>
          </w:tcPr>
          <w:p w14:paraId="769CF477">
            <w:pPr>
              <w:widowControl/>
              <w:jc w:val="left"/>
              <w:rPr>
                <w:rFonts w:ascii="宋体" w:hAnsi="宋体"/>
                <w:color w:val="auto"/>
                <w:sz w:val="20"/>
                <w:highlight w:val="none"/>
              </w:rPr>
            </w:pPr>
            <w:r>
              <w:rPr>
                <w:rFonts w:hint="eastAsia" w:ascii="宋体" w:hAnsi="宋体"/>
                <w:color w:val="auto"/>
                <w:sz w:val="20"/>
                <w:highlight w:val="none"/>
              </w:rPr>
              <w:t>未经审批施工</w:t>
            </w:r>
          </w:p>
        </w:tc>
        <w:tc>
          <w:tcPr>
            <w:tcW w:w="5743" w:type="dxa"/>
            <w:tcBorders>
              <w:top w:val="single" w:color="auto" w:sz="4" w:space="0"/>
              <w:left w:val="single" w:color="auto" w:sz="4" w:space="0"/>
              <w:bottom w:val="single" w:color="auto" w:sz="4" w:space="0"/>
              <w:right w:val="single" w:color="auto" w:sz="4" w:space="0"/>
            </w:tcBorders>
            <w:vAlign w:val="center"/>
          </w:tcPr>
          <w:p w14:paraId="06E55DF7">
            <w:pPr>
              <w:widowControl/>
              <w:jc w:val="left"/>
              <w:rPr>
                <w:rFonts w:ascii="宋体" w:hAnsi="宋体"/>
                <w:color w:val="auto"/>
                <w:sz w:val="20"/>
                <w:highlight w:val="none"/>
              </w:rPr>
            </w:pPr>
            <w:r>
              <w:rPr>
                <w:rFonts w:hint="eastAsia" w:ascii="宋体" w:hAnsi="宋体"/>
                <w:color w:val="auto"/>
                <w:sz w:val="20"/>
                <w:highlight w:val="none"/>
              </w:rPr>
              <w:t>未按经审批的专项施工组织方案进行施工的，每次处违约金10000～20000元，并限期纠正。</w:t>
            </w:r>
          </w:p>
        </w:tc>
        <w:tc>
          <w:tcPr>
            <w:tcW w:w="1429" w:type="dxa"/>
            <w:tcBorders>
              <w:top w:val="single" w:color="auto" w:sz="4" w:space="0"/>
              <w:left w:val="single" w:color="auto" w:sz="4" w:space="0"/>
              <w:bottom w:val="single" w:color="auto" w:sz="4" w:space="0"/>
              <w:right w:val="single" w:color="auto" w:sz="4" w:space="0"/>
            </w:tcBorders>
          </w:tcPr>
          <w:p w14:paraId="776E7AE7">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47F11AE8">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0974A22B">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35D31FA7">
            <w:pPr>
              <w:widowControl/>
              <w:jc w:val="left"/>
              <w:rPr>
                <w:rFonts w:ascii="宋体" w:hAnsi="宋体" w:cs="宋体"/>
                <w:color w:val="auto"/>
                <w:kern w:val="0"/>
                <w:sz w:val="20"/>
                <w:highlight w:val="none"/>
              </w:rPr>
            </w:pPr>
          </w:p>
        </w:tc>
      </w:tr>
      <w:tr w14:paraId="0DEF8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013C14F">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3.5</w:t>
            </w:r>
          </w:p>
        </w:tc>
        <w:tc>
          <w:tcPr>
            <w:tcW w:w="2161" w:type="dxa"/>
            <w:tcBorders>
              <w:top w:val="single" w:color="auto" w:sz="4" w:space="0"/>
              <w:left w:val="single" w:color="auto" w:sz="4" w:space="0"/>
              <w:bottom w:val="single" w:color="auto" w:sz="4" w:space="0"/>
              <w:right w:val="single" w:color="auto" w:sz="4" w:space="0"/>
            </w:tcBorders>
            <w:vAlign w:val="center"/>
          </w:tcPr>
          <w:p w14:paraId="0BB53181">
            <w:pPr>
              <w:widowControl/>
              <w:jc w:val="left"/>
              <w:rPr>
                <w:rFonts w:ascii="宋体" w:hAnsi="宋体"/>
                <w:color w:val="auto"/>
                <w:sz w:val="20"/>
                <w:highlight w:val="none"/>
              </w:rPr>
            </w:pPr>
            <w:r>
              <w:rPr>
                <w:rFonts w:hint="eastAsia" w:ascii="宋体" w:hAnsi="宋体"/>
                <w:b/>
                <w:color w:val="auto"/>
                <w:sz w:val="20"/>
                <w:highlight w:val="none"/>
              </w:rPr>
              <w:t>交通工程</w:t>
            </w:r>
          </w:p>
        </w:tc>
        <w:tc>
          <w:tcPr>
            <w:tcW w:w="5743" w:type="dxa"/>
            <w:tcBorders>
              <w:top w:val="single" w:color="auto" w:sz="4" w:space="0"/>
              <w:left w:val="single" w:color="auto" w:sz="4" w:space="0"/>
              <w:bottom w:val="single" w:color="auto" w:sz="4" w:space="0"/>
              <w:right w:val="single" w:color="auto" w:sz="4" w:space="0"/>
            </w:tcBorders>
            <w:vAlign w:val="center"/>
          </w:tcPr>
          <w:p w14:paraId="38B351D4">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14:paraId="48ECC47F">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6A1F72B0">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4D6FFC40">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12798C77">
            <w:pPr>
              <w:widowControl/>
              <w:jc w:val="left"/>
              <w:rPr>
                <w:rFonts w:ascii="宋体" w:hAnsi="宋体" w:cs="宋体"/>
                <w:color w:val="auto"/>
                <w:kern w:val="0"/>
                <w:sz w:val="20"/>
                <w:highlight w:val="none"/>
              </w:rPr>
            </w:pPr>
          </w:p>
        </w:tc>
      </w:tr>
      <w:tr w14:paraId="2EFFF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9405B54">
            <w:pPr>
              <w:widowControl/>
              <w:jc w:val="center"/>
              <w:rPr>
                <w:rFonts w:ascii="宋体" w:hAnsi="宋体" w:cs="宋体"/>
                <w:b/>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14:paraId="3A00F0DB">
            <w:pPr>
              <w:widowControl/>
              <w:jc w:val="left"/>
              <w:rPr>
                <w:rFonts w:ascii="宋体" w:hAnsi="宋体"/>
                <w:b/>
                <w:color w:val="auto"/>
                <w:sz w:val="20"/>
                <w:highlight w:val="none"/>
              </w:rPr>
            </w:pPr>
            <w:r>
              <w:rPr>
                <w:rFonts w:hint="eastAsia" w:ascii="宋体" w:hAnsi="宋体"/>
                <w:b/>
                <w:color w:val="auto"/>
                <w:sz w:val="20"/>
                <w:highlight w:val="none"/>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14:paraId="27620CE8">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14:paraId="7975E0D2">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433C9861">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71FFD1A4">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0D5676A9">
            <w:pPr>
              <w:widowControl/>
              <w:jc w:val="left"/>
              <w:rPr>
                <w:rFonts w:ascii="宋体" w:hAnsi="宋体" w:cs="宋体"/>
                <w:color w:val="auto"/>
                <w:kern w:val="0"/>
                <w:sz w:val="20"/>
                <w:highlight w:val="none"/>
              </w:rPr>
            </w:pPr>
          </w:p>
        </w:tc>
      </w:tr>
      <w:tr w14:paraId="3B572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F2482E9">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3.5.1</w:t>
            </w:r>
          </w:p>
        </w:tc>
        <w:tc>
          <w:tcPr>
            <w:tcW w:w="2161" w:type="dxa"/>
            <w:tcBorders>
              <w:top w:val="single" w:color="auto" w:sz="4" w:space="0"/>
              <w:left w:val="single" w:color="auto" w:sz="4" w:space="0"/>
              <w:bottom w:val="single" w:color="auto" w:sz="4" w:space="0"/>
              <w:right w:val="single" w:color="auto" w:sz="4" w:space="0"/>
            </w:tcBorders>
            <w:vAlign w:val="center"/>
          </w:tcPr>
          <w:p w14:paraId="06E68F73">
            <w:pPr>
              <w:widowControl/>
              <w:jc w:val="left"/>
              <w:rPr>
                <w:rFonts w:ascii="宋体" w:hAnsi="宋体"/>
                <w:b/>
                <w:color w:val="auto"/>
                <w:sz w:val="20"/>
                <w:highlight w:val="none"/>
              </w:rPr>
            </w:pPr>
            <w:r>
              <w:rPr>
                <w:rFonts w:hint="eastAsia" w:ascii="宋体" w:hAnsi="宋体"/>
                <w:color w:val="auto"/>
                <w:sz w:val="20"/>
                <w:highlight w:val="none"/>
              </w:rPr>
              <w:t>防眩板</w:t>
            </w:r>
          </w:p>
        </w:tc>
        <w:tc>
          <w:tcPr>
            <w:tcW w:w="5743" w:type="dxa"/>
            <w:tcBorders>
              <w:top w:val="single" w:color="auto" w:sz="4" w:space="0"/>
              <w:left w:val="single" w:color="auto" w:sz="4" w:space="0"/>
              <w:bottom w:val="single" w:color="auto" w:sz="4" w:space="0"/>
              <w:right w:val="single" w:color="auto" w:sz="4" w:space="0"/>
            </w:tcBorders>
            <w:vAlign w:val="center"/>
          </w:tcPr>
          <w:p w14:paraId="10A5CA13">
            <w:pPr>
              <w:widowControl/>
              <w:jc w:val="left"/>
              <w:rPr>
                <w:rFonts w:ascii="宋体" w:hAnsi="宋体"/>
                <w:color w:val="auto"/>
                <w:sz w:val="20"/>
                <w:highlight w:val="none"/>
              </w:rPr>
            </w:pPr>
            <w:r>
              <w:rPr>
                <w:rFonts w:hint="eastAsia" w:ascii="宋体" w:hAnsi="宋体"/>
                <w:color w:val="auto"/>
                <w:sz w:val="20"/>
                <w:highlight w:val="none"/>
              </w:rPr>
              <w:t>防眩板表面不得有气泡、裂纹、疤痕、擦伤及端面分层等表面缺陷。违者每处处违约金1000元，并限期纠正。</w:t>
            </w:r>
          </w:p>
        </w:tc>
        <w:tc>
          <w:tcPr>
            <w:tcW w:w="1429" w:type="dxa"/>
            <w:tcBorders>
              <w:top w:val="single" w:color="auto" w:sz="4" w:space="0"/>
              <w:left w:val="single" w:color="auto" w:sz="4" w:space="0"/>
              <w:bottom w:val="single" w:color="auto" w:sz="4" w:space="0"/>
              <w:right w:val="single" w:color="auto" w:sz="4" w:space="0"/>
            </w:tcBorders>
          </w:tcPr>
          <w:p w14:paraId="1A705E91">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0344E2A4">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63231D5B">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236A7D92">
            <w:pPr>
              <w:widowControl/>
              <w:jc w:val="left"/>
              <w:rPr>
                <w:rFonts w:ascii="宋体" w:hAnsi="宋体" w:cs="宋体"/>
                <w:color w:val="auto"/>
                <w:kern w:val="0"/>
                <w:sz w:val="20"/>
                <w:highlight w:val="none"/>
              </w:rPr>
            </w:pPr>
          </w:p>
        </w:tc>
      </w:tr>
      <w:tr w14:paraId="4D4F9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01F2347">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3.5.2</w:t>
            </w:r>
          </w:p>
        </w:tc>
        <w:tc>
          <w:tcPr>
            <w:tcW w:w="2161" w:type="dxa"/>
            <w:tcBorders>
              <w:top w:val="single" w:color="auto" w:sz="4" w:space="0"/>
              <w:left w:val="single" w:color="auto" w:sz="4" w:space="0"/>
              <w:bottom w:val="single" w:color="auto" w:sz="4" w:space="0"/>
              <w:right w:val="single" w:color="auto" w:sz="4" w:space="0"/>
            </w:tcBorders>
            <w:vAlign w:val="center"/>
          </w:tcPr>
          <w:p w14:paraId="7A71074F">
            <w:pPr>
              <w:widowControl/>
              <w:jc w:val="left"/>
              <w:rPr>
                <w:rFonts w:ascii="宋体" w:hAnsi="宋体"/>
                <w:b/>
                <w:color w:val="auto"/>
                <w:sz w:val="20"/>
                <w:highlight w:val="none"/>
              </w:rPr>
            </w:pPr>
            <w:r>
              <w:rPr>
                <w:rFonts w:hint="eastAsia" w:ascii="宋体" w:hAnsi="宋体"/>
                <w:color w:val="auto"/>
                <w:sz w:val="20"/>
                <w:highlight w:val="none"/>
              </w:rPr>
              <w:t>防眩板设施</w:t>
            </w:r>
          </w:p>
        </w:tc>
        <w:tc>
          <w:tcPr>
            <w:tcW w:w="5743" w:type="dxa"/>
            <w:tcBorders>
              <w:top w:val="single" w:color="auto" w:sz="4" w:space="0"/>
              <w:left w:val="single" w:color="auto" w:sz="4" w:space="0"/>
              <w:bottom w:val="single" w:color="auto" w:sz="4" w:space="0"/>
              <w:right w:val="single" w:color="auto" w:sz="4" w:space="0"/>
            </w:tcBorders>
            <w:vAlign w:val="center"/>
          </w:tcPr>
          <w:p w14:paraId="665BAB0E">
            <w:pPr>
              <w:widowControl/>
              <w:jc w:val="left"/>
              <w:rPr>
                <w:rFonts w:ascii="宋体" w:hAnsi="宋体"/>
                <w:color w:val="auto"/>
                <w:sz w:val="20"/>
                <w:highlight w:val="none"/>
              </w:rPr>
            </w:pPr>
            <w:r>
              <w:rPr>
                <w:rFonts w:hint="eastAsia" w:ascii="宋体" w:hAnsi="宋体"/>
                <w:color w:val="auto"/>
                <w:sz w:val="20"/>
                <w:highlight w:val="none"/>
              </w:rPr>
              <w:t>防眩板设施整体需与路线线形一致，违者处违约金2000元，并限期纠正。</w:t>
            </w:r>
          </w:p>
        </w:tc>
        <w:tc>
          <w:tcPr>
            <w:tcW w:w="1429" w:type="dxa"/>
            <w:tcBorders>
              <w:top w:val="single" w:color="auto" w:sz="4" w:space="0"/>
              <w:left w:val="single" w:color="auto" w:sz="4" w:space="0"/>
              <w:bottom w:val="single" w:color="auto" w:sz="4" w:space="0"/>
              <w:right w:val="single" w:color="auto" w:sz="4" w:space="0"/>
            </w:tcBorders>
          </w:tcPr>
          <w:p w14:paraId="62A6A1B6">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462CB39C">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5E3DD327">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0AB08E52">
            <w:pPr>
              <w:widowControl/>
              <w:jc w:val="left"/>
              <w:rPr>
                <w:rFonts w:ascii="宋体" w:hAnsi="宋体" w:cs="宋体"/>
                <w:color w:val="auto"/>
                <w:kern w:val="0"/>
                <w:sz w:val="20"/>
                <w:highlight w:val="none"/>
              </w:rPr>
            </w:pPr>
          </w:p>
        </w:tc>
      </w:tr>
      <w:tr w14:paraId="60505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62C3494">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3.5.3</w:t>
            </w:r>
          </w:p>
        </w:tc>
        <w:tc>
          <w:tcPr>
            <w:tcW w:w="2161" w:type="dxa"/>
            <w:tcBorders>
              <w:top w:val="single" w:color="auto" w:sz="4" w:space="0"/>
              <w:left w:val="single" w:color="auto" w:sz="4" w:space="0"/>
              <w:bottom w:val="single" w:color="auto" w:sz="4" w:space="0"/>
              <w:right w:val="single" w:color="auto" w:sz="4" w:space="0"/>
            </w:tcBorders>
            <w:vAlign w:val="center"/>
          </w:tcPr>
          <w:p w14:paraId="68E53B25">
            <w:pPr>
              <w:widowControl/>
              <w:jc w:val="left"/>
              <w:rPr>
                <w:rFonts w:ascii="宋体" w:hAnsi="宋体"/>
                <w:b/>
                <w:color w:val="auto"/>
                <w:sz w:val="20"/>
                <w:highlight w:val="none"/>
              </w:rPr>
            </w:pPr>
            <w:r>
              <w:rPr>
                <w:rFonts w:hint="eastAsia" w:ascii="宋体" w:hAnsi="宋体"/>
                <w:color w:val="auto"/>
                <w:sz w:val="20"/>
                <w:highlight w:val="none"/>
              </w:rPr>
              <w:t>标线清理</w:t>
            </w:r>
          </w:p>
        </w:tc>
        <w:tc>
          <w:tcPr>
            <w:tcW w:w="5743" w:type="dxa"/>
            <w:tcBorders>
              <w:top w:val="single" w:color="auto" w:sz="4" w:space="0"/>
              <w:left w:val="single" w:color="auto" w:sz="4" w:space="0"/>
              <w:bottom w:val="single" w:color="auto" w:sz="4" w:space="0"/>
              <w:right w:val="single" w:color="auto" w:sz="4" w:space="0"/>
            </w:tcBorders>
            <w:vAlign w:val="center"/>
          </w:tcPr>
          <w:p w14:paraId="509AC099">
            <w:pPr>
              <w:widowControl/>
              <w:jc w:val="left"/>
              <w:rPr>
                <w:rFonts w:ascii="宋体" w:hAnsi="宋体"/>
                <w:color w:val="auto"/>
                <w:sz w:val="20"/>
                <w:highlight w:val="none"/>
              </w:rPr>
            </w:pPr>
            <w:r>
              <w:rPr>
                <w:rFonts w:hint="eastAsia" w:ascii="宋体" w:hAnsi="宋体"/>
                <w:color w:val="auto"/>
                <w:sz w:val="20"/>
                <w:highlight w:val="none"/>
              </w:rPr>
              <w:t>标线以外的道路被标线材料污染需及时清理，违者每处处违约金2000元，并限期纠正。</w:t>
            </w:r>
          </w:p>
        </w:tc>
        <w:tc>
          <w:tcPr>
            <w:tcW w:w="1429" w:type="dxa"/>
            <w:tcBorders>
              <w:top w:val="single" w:color="auto" w:sz="4" w:space="0"/>
              <w:left w:val="single" w:color="auto" w:sz="4" w:space="0"/>
              <w:bottom w:val="single" w:color="auto" w:sz="4" w:space="0"/>
              <w:right w:val="single" w:color="auto" w:sz="4" w:space="0"/>
            </w:tcBorders>
          </w:tcPr>
          <w:p w14:paraId="60A2B200">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0CAE1FEB">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72A8CF75">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1A7C81AE">
            <w:pPr>
              <w:widowControl/>
              <w:jc w:val="left"/>
              <w:rPr>
                <w:rFonts w:ascii="宋体" w:hAnsi="宋体" w:cs="宋体"/>
                <w:color w:val="auto"/>
                <w:kern w:val="0"/>
                <w:sz w:val="20"/>
                <w:highlight w:val="none"/>
              </w:rPr>
            </w:pPr>
          </w:p>
        </w:tc>
      </w:tr>
      <w:tr w14:paraId="2E17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BBCA300">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3.5.4</w:t>
            </w:r>
          </w:p>
        </w:tc>
        <w:tc>
          <w:tcPr>
            <w:tcW w:w="2161" w:type="dxa"/>
            <w:tcBorders>
              <w:top w:val="single" w:color="auto" w:sz="4" w:space="0"/>
              <w:left w:val="single" w:color="auto" w:sz="4" w:space="0"/>
              <w:bottom w:val="single" w:color="auto" w:sz="4" w:space="0"/>
              <w:right w:val="single" w:color="auto" w:sz="4" w:space="0"/>
            </w:tcBorders>
            <w:vAlign w:val="center"/>
          </w:tcPr>
          <w:p w14:paraId="1F7B80AE">
            <w:pPr>
              <w:widowControl/>
              <w:jc w:val="left"/>
              <w:rPr>
                <w:rFonts w:ascii="宋体" w:hAnsi="宋体"/>
                <w:b/>
                <w:color w:val="auto"/>
                <w:sz w:val="20"/>
                <w:highlight w:val="none"/>
              </w:rPr>
            </w:pPr>
            <w:r>
              <w:rPr>
                <w:rFonts w:hint="eastAsia" w:ascii="宋体" w:hAnsi="宋体"/>
                <w:color w:val="auto"/>
                <w:sz w:val="20"/>
                <w:highlight w:val="none"/>
              </w:rPr>
              <w:t>标线及反光标线玻璃</w:t>
            </w:r>
          </w:p>
        </w:tc>
        <w:tc>
          <w:tcPr>
            <w:tcW w:w="5743" w:type="dxa"/>
            <w:tcBorders>
              <w:top w:val="single" w:color="auto" w:sz="4" w:space="0"/>
              <w:left w:val="single" w:color="auto" w:sz="4" w:space="0"/>
              <w:bottom w:val="single" w:color="auto" w:sz="4" w:space="0"/>
              <w:right w:val="single" w:color="auto" w:sz="4" w:space="0"/>
            </w:tcBorders>
            <w:vAlign w:val="center"/>
          </w:tcPr>
          <w:p w14:paraId="4ED49602">
            <w:pPr>
              <w:widowControl/>
              <w:jc w:val="left"/>
              <w:rPr>
                <w:rFonts w:ascii="宋体" w:hAnsi="宋体"/>
                <w:color w:val="auto"/>
                <w:sz w:val="20"/>
                <w:highlight w:val="none"/>
              </w:rPr>
            </w:pPr>
            <w:r>
              <w:rPr>
                <w:rFonts w:hint="eastAsia" w:ascii="宋体" w:hAnsi="宋体"/>
                <w:color w:val="auto"/>
                <w:sz w:val="20"/>
                <w:highlight w:val="none"/>
              </w:rPr>
              <w:t>标线厚度及反光标线玻璃必须保持均匀，违者每处处违约金500元，并限期纠正。</w:t>
            </w:r>
          </w:p>
        </w:tc>
        <w:tc>
          <w:tcPr>
            <w:tcW w:w="1429" w:type="dxa"/>
            <w:tcBorders>
              <w:top w:val="single" w:color="auto" w:sz="4" w:space="0"/>
              <w:left w:val="single" w:color="auto" w:sz="4" w:space="0"/>
              <w:bottom w:val="single" w:color="auto" w:sz="4" w:space="0"/>
              <w:right w:val="single" w:color="auto" w:sz="4" w:space="0"/>
            </w:tcBorders>
          </w:tcPr>
          <w:p w14:paraId="0BCD56B7">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041DC772">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44D51AB7">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6A634A04">
            <w:pPr>
              <w:widowControl/>
              <w:jc w:val="left"/>
              <w:rPr>
                <w:rFonts w:ascii="宋体" w:hAnsi="宋体" w:cs="宋体"/>
                <w:color w:val="auto"/>
                <w:kern w:val="0"/>
                <w:sz w:val="20"/>
                <w:highlight w:val="none"/>
              </w:rPr>
            </w:pPr>
          </w:p>
        </w:tc>
      </w:tr>
      <w:tr w14:paraId="7068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217A503">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3.5.5</w:t>
            </w:r>
          </w:p>
        </w:tc>
        <w:tc>
          <w:tcPr>
            <w:tcW w:w="2161" w:type="dxa"/>
            <w:tcBorders>
              <w:top w:val="single" w:color="auto" w:sz="4" w:space="0"/>
              <w:left w:val="single" w:color="auto" w:sz="4" w:space="0"/>
              <w:bottom w:val="single" w:color="auto" w:sz="4" w:space="0"/>
              <w:right w:val="single" w:color="auto" w:sz="4" w:space="0"/>
            </w:tcBorders>
            <w:vAlign w:val="center"/>
          </w:tcPr>
          <w:p w14:paraId="0EEF5DE9">
            <w:pPr>
              <w:widowControl/>
              <w:jc w:val="left"/>
              <w:rPr>
                <w:rFonts w:ascii="宋体" w:hAnsi="宋体"/>
                <w:color w:val="auto"/>
                <w:sz w:val="20"/>
                <w:highlight w:val="none"/>
              </w:rPr>
            </w:pPr>
            <w:r>
              <w:rPr>
                <w:rFonts w:hint="eastAsia" w:ascii="宋体" w:hAnsi="宋体"/>
                <w:color w:val="auto"/>
                <w:sz w:val="20"/>
                <w:highlight w:val="none"/>
              </w:rPr>
              <w:t>标志牌</w:t>
            </w:r>
          </w:p>
        </w:tc>
        <w:tc>
          <w:tcPr>
            <w:tcW w:w="5743" w:type="dxa"/>
            <w:tcBorders>
              <w:top w:val="single" w:color="auto" w:sz="4" w:space="0"/>
              <w:left w:val="single" w:color="auto" w:sz="4" w:space="0"/>
              <w:bottom w:val="single" w:color="auto" w:sz="4" w:space="0"/>
              <w:right w:val="single" w:color="auto" w:sz="4" w:space="0"/>
            </w:tcBorders>
            <w:vAlign w:val="center"/>
          </w:tcPr>
          <w:p w14:paraId="5DCBF785">
            <w:pPr>
              <w:widowControl/>
              <w:jc w:val="left"/>
              <w:rPr>
                <w:rFonts w:ascii="宋体" w:hAnsi="宋体"/>
                <w:color w:val="auto"/>
                <w:sz w:val="20"/>
                <w:highlight w:val="none"/>
              </w:rPr>
            </w:pPr>
            <w:r>
              <w:rPr>
                <w:rFonts w:hint="eastAsia" w:ascii="宋体" w:hAnsi="宋体"/>
                <w:color w:val="auto"/>
                <w:sz w:val="20"/>
                <w:highlight w:val="none"/>
              </w:rPr>
              <w:t>标志牌防锈处理和镀层必须均匀完整，表面光洁，无脱落，无气泡，违者每处处违约金500元，并限期纠正。</w:t>
            </w:r>
          </w:p>
        </w:tc>
        <w:tc>
          <w:tcPr>
            <w:tcW w:w="1429" w:type="dxa"/>
            <w:tcBorders>
              <w:top w:val="single" w:color="auto" w:sz="4" w:space="0"/>
              <w:left w:val="single" w:color="auto" w:sz="4" w:space="0"/>
              <w:bottom w:val="single" w:color="auto" w:sz="4" w:space="0"/>
              <w:right w:val="single" w:color="auto" w:sz="4" w:space="0"/>
            </w:tcBorders>
          </w:tcPr>
          <w:p w14:paraId="6B718FBF">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53B10357">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184851FD">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7E56F6F1">
            <w:pPr>
              <w:widowControl/>
              <w:jc w:val="left"/>
              <w:rPr>
                <w:rFonts w:ascii="宋体" w:hAnsi="宋体" w:cs="宋体"/>
                <w:color w:val="auto"/>
                <w:kern w:val="0"/>
                <w:sz w:val="20"/>
                <w:highlight w:val="none"/>
              </w:rPr>
            </w:pPr>
          </w:p>
        </w:tc>
      </w:tr>
      <w:tr w14:paraId="741B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8C28BDC">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3.5.6</w:t>
            </w:r>
          </w:p>
        </w:tc>
        <w:tc>
          <w:tcPr>
            <w:tcW w:w="2161" w:type="dxa"/>
            <w:tcBorders>
              <w:top w:val="single" w:color="auto" w:sz="4" w:space="0"/>
              <w:left w:val="single" w:color="auto" w:sz="4" w:space="0"/>
              <w:bottom w:val="single" w:color="auto" w:sz="4" w:space="0"/>
              <w:right w:val="single" w:color="auto" w:sz="4" w:space="0"/>
            </w:tcBorders>
            <w:vAlign w:val="center"/>
          </w:tcPr>
          <w:p w14:paraId="72803FC6">
            <w:pPr>
              <w:widowControl/>
              <w:jc w:val="left"/>
              <w:rPr>
                <w:rFonts w:ascii="宋体" w:hAnsi="宋体"/>
                <w:color w:val="auto"/>
                <w:sz w:val="20"/>
                <w:highlight w:val="none"/>
              </w:rPr>
            </w:pPr>
            <w:r>
              <w:rPr>
                <w:rFonts w:hint="eastAsia" w:ascii="宋体" w:hAnsi="宋体"/>
                <w:color w:val="auto"/>
                <w:sz w:val="20"/>
                <w:highlight w:val="none"/>
              </w:rPr>
              <w:t>未经审批施工</w:t>
            </w:r>
          </w:p>
        </w:tc>
        <w:tc>
          <w:tcPr>
            <w:tcW w:w="5743" w:type="dxa"/>
            <w:tcBorders>
              <w:top w:val="single" w:color="auto" w:sz="4" w:space="0"/>
              <w:left w:val="single" w:color="auto" w:sz="4" w:space="0"/>
              <w:bottom w:val="single" w:color="auto" w:sz="4" w:space="0"/>
              <w:right w:val="single" w:color="auto" w:sz="4" w:space="0"/>
            </w:tcBorders>
            <w:vAlign w:val="center"/>
          </w:tcPr>
          <w:p w14:paraId="51FD0BAE">
            <w:pPr>
              <w:widowControl/>
              <w:jc w:val="left"/>
              <w:rPr>
                <w:rFonts w:ascii="宋体" w:hAnsi="宋体"/>
                <w:color w:val="auto"/>
                <w:sz w:val="20"/>
                <w:highlight w:val="none"/>
              </w:rPr>
            </w:pPr>
            <w:r>
              <w:rPr>
                <w:rFonts w:hint="eastAsia" w:ascii="宋体" w:hAnsi="宋体"/>
                <w:color w:val="auto"/>
                <w:sz w:val="20"/>
                <w:highlight w:val="none"/>
              </w:rPr>
              <w:t>未按经审批的专项施工组织方案进行施工的，每次处违约金10000～20000元，并限期纠正。</w:t>
            </w:r>
          </w:p>
        </w:tc>
        <w:tc>
          <w:tcPr>
            <w:tcW w:w="1429" w:type="dxa"/>
            <w:tcBorders>
              <w:top w:val="single" w:color="auto" w:sz="4" w:space="0"/>
              <w:left w:val="single" w:color="auto" w:sz="4" w:space="0"/>
              <w:bottom w:val="single" w:color="auto" w:sz="4" w:space="0"/>
              <w:right w:val="single" w:color="auto" w:sz="4" w:space="0"/>
            </w:tcBorders>
          </w:tcPr>
          <w:p w14:paraId="4E368978">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0AA91055">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20D9221A">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770222DD">
            <w:pPr>
              <w:widowControl/>
              <w:jc w:val="left"/>
              <w:rPr>
                <w:rFonts w:ascii="宋体" w:hAnsi="宋体" w:cs="宋体"/>
                <w:color w:val="auto"/>
                <w:kern w:val="0"/>
                <w:sz w:val="20"/>
                <w:highlight w:val="none"/>
              </w:rPr>
            </w:pPr>
          </w:p>
        </w:tc>
      </w:tr>
      <w:tr w14:paraId="389B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DE70E00">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3.6</w:t>
            </w:r>
          </w:p>
        </w:tc>
        <w:tc>
          <w:tcPr>
            <w:tcW w:w="2161" w:type="dxa"/>
            <w:tcBorders>
              <w:top w:val="single" w:color="auto" w:sz="4" w:space="0"/>
              <w:left w:val="single" w:color="auto" w:sz="4" w:space="0"/>
              <w:bottom w:val="single" w:color="auto" w:sz="4" w:space="0"/>
              <w:right w:val="single" w:color="auto" w:sz="4" w:space="0"/>
            </w:tcBorders>
            <w:vAlign w:val="center"/>
          </w:tcPr>
          <w:p w14:paraId="231FF60A">
            <w:pPr>
              <w:widowControl/>
              <w:jc w:val="left"/>
              <w:rPr>
                <w:rFonts w:ascii="宋体" w:hAnsi="宋体"/>
                <w:color w:val="auto"/>
                <w:sz w:val="20"/>
                <w:highlight w:val="none"/>
              </w:rPr>
            </w:pPr>
            <w:r>
              <w:rPr>
                <w:rFonts w:hint="eastAsia" w:ascii="宋体" w:hAnsi="宋体"/>
                <w:b/>
                <w:color w:val="auto"/>
                <w:sz w:val="20"/>
                <w:highlight w:val="none"/>
              </w:rPr>
              <w:t>市政排水工程</w:t>
            </w:r>
          </w:p>
        </w:tc>
        <w:tc>
          <w:tcPr>
            <w:tcW w:w="5743" w:type="dxa"/>
            <w:tcBorders>
              <w:top w:val="single" w:color="auto" w:sz="4" w:space="0"/>
              <w:left w:val="single" w:color="auto" w:sz="4" w:space="0"/>
              <w:bottom w:val="single" w:color="auto" w:sz="4" w:space="0"/>
              <w:right w:val="single" w:color="auto" w:sz="4" w:space="0"/>
            </w:tcBorders>
            <w:vAlign w:val="center"/>
          </w:tcPr>
          <w:p w14:paraId="127C2865">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14:paraId="78AA8E01">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0FEB0958">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399A9D2D">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43FFD93D">
            <w:pPr>
              <w:widowControl/>
              <w:jc w:val="left"/>
              <w:rPr>
                <w:rFonts w:ascii="宋体" w:hAnsi="宋体" w:cs="宋体"/>
                <w:color w:val="auto"/>
                <w:kern w:val="0"/>
                <w:sz w:val="20"/>
                <w:highlight w:val="none"/>
              </w:rPr>
            </w:pPr>
          </w:p>
        </w:tc>
      </w:tr>
      <w:tr w14:paraId="64D7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D02D402">
            <w:pPr>
              <w:widowControl/>
              <w:jc w:val="center"/>
              <w:rPr>
                <w:rFonts w:ascii="宋体" w:hAnsi="宋体" w:cs="宋体"/>
                <w:b/>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14:paraId="256D9DF9">
            <w:pPr>
              <w:widowControl/>
              <w:jc w:val="left"/>
              <w:rPr>
                <w:rFonts w:ascii="宋体" w:hAnsi="宋体"/>
                <w:b/>
                <w:color w:val="auto"/>
                <w:sz w:val="20"/>
                <w:highlight w:val="none"/>
              </w:rPr>
            </w:pPr>
            <w:r>
              <w:rPr>
                <w:rFonts w:hint="eastAsia" w:ascii="宋体" w:hAnsi="宋体"/>
                <w:b/>
                <w:color w:val="auto"/>
                <w:sz w:val="20"/>
                <w:highlight w:val="none"/>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14:paraId="6E5632E1">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14:paraId="4F55B908">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2BDD01F6">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09E24B65">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4D170FAB">
            <w:pPr>
              <w:widowControl/>
              <w:jc w:val="left"/>
              <w:rPr>
                <w:rFonts w:ascii="宋体" w:hAnsi="宋体" w:cs="宋体"/>
                <w:color w:val="auto"/>
                <w:kern w:val="0"/>
                <w:sz w:val="20"/>
                <w:highlight w:val="none"/>
              </w:rPr>
            </w:pPr>
          </w:p>
        </w:tc>
      </w:tr>
      <w:tr w14:paraId="6C3E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3D8F3CA">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3.6.1</w:t>
            </w:r>
          </w:p>
        </w:tc>
        <w:tc>
          <w:tcPr>
            <w:tcW w:w="2161" w:type="dxa"/>
            <w:tcBorders>
              <w:top w:val="single" w:color="auto" w:sz="4" w:space="0"/>
              <w:left w:val="single" w:color="auto" w:sz="4" w:space="0"/>
              <w:bottom w:val="single" w:color="auto" w:sz="4" w:space="0"/>
              <w:right w:val="single" w:color="auto" w:sz="4" w:space="0"/>
            </w:tcBorders>
            <w:vAlign w:val="center"/>
          </w:tcPr>
          <w:p w14:paraId="06E01389">
            <w:pPr>
              <w:widowControl/>
              <w:jc w:val="left"/>
              <w:rPr>
                <w:rFonts w:ascii="宋体" w:hAnsi="宋体"/>
                <w:color w:val="auto"/>
                <w:sz w:val="20"/>
                <w:highlight w:val="none"/>
              </w:rPr>
            </w:pPr>
            <w:r>
              <w:rPr>
                <w:rFonts w:hint="eastAsia" w:ascii="宋体" w:hAnsi="宋体"/>
                <w:color w:val="auto"/>
                <w:sz w:val="20"/>
                <w:highlight w:val="none"/>
              </w:rPr>
              <w:t>回填要求</w:t>
            </w:r>
          </w:p>
        </w:tc>
        <w:tc>
          <w:tcPr>
            <w:tcW w:w="5743" w:type="dxa"/>
            <w:tcBorders>
              <w:top w:val="single" w:color="auto" w:sz="4" w:space="0"/>
              <w:left w:val="single" w:color="auto" w:sz="4" w:space="0"/>
              <w:bottom w:val="single" w:color="auto" w:sz="4" w:space="0"/>
              <w:right w:val="single" w:color="auto" w:sz="4" w:space="0"/>
            </w:tcBorders>
            <w:vAlign w:val="center"/>
          </w:tcPr>
          <w:p w14:paraId="58882434">
            <w:pPr>
              <w:widowControl/>
              <w:jc w:val="left"/>
              <w:rPr>
                <w:rFonts w:ascii="宋体" w:hAnsi="宋体"/>
                <w:color w:val="auto"/>
                <w:sz w:val="20"/>
                <w:highlight w:val="none"/>
              </w:rPr>
            </w:pPr>
            <w:r>
              <w:rPr>
                <w:rFonts w:hint="eastAsia" w:ascii="宋体" w:hAnsi="宋体"/>
                <w:color w:val="auto"/>
                <w:sz w:val="20"/>
                <w:highlight w:val="none"/>
              </w:rPr>
              <w:t>不按设计与规范要求进行回填压实，超厚回填，倾斜碾压，填土不符合要求，带水回填，影响回填密实度，造成管体上部破裂，或压扁管道的，每处处违约金5000元，并限期纠正。</w:t>
            </w:r>
          </w:p>
        </w:tc>
        <w:tc>
          <w:tcPr>
            <w:tcW w:w="1429" w:type="dxa"/>
            <w:tcBorders>
              <w:top w:val="single" w:color="auto" w:sz="4" w:space="0"/>
              <w:left w:val="single" w:color="auto" w:sz="4" w:space="0"/>
              <w:bottom w:val="single" w:color="auto" w:sz="4" w:space="0"/>
              <w:right w:val="single" w:color="auto" w:sz="4" w:space="0"/>
            </w:tcBorders>
          </w:tcPr>
          <w:p w14:paraId="2306E15A">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74042A2E">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0C61C182">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593FCF24">
            <w:pPr>
              <w:widowControl/>
              <w:jc w:val="left"/>
              <w:rPr>
                <w:rFonts w:ascii="宋体" w:hAnsi="宋体" w:cs="宋体"/>
                <w:color w:val="auto"/>
                <w:kern w:val="0"/>
                <w:sz w:val="20"/>
                <w:highlight w:val="none"/>
              </w:rPr>
            </w:pPr>
          </w:p>
        </w:tc>
      </w:tr>
      <w:tr w14:paraId="7C2C0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897BA2B">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3.6.2</w:t>
            </w:r>
          </w:p>
        </w:tc>
        <w:tc>
          <w:tcPr>
            <w:tcW w:w="2161" w:type="dxa"/>
            <w:tcBorders>
              <w:top w:val="single" w:color="auto" w:sz="4" w:space="0"/>
              <w:left w:val="single" w:color="auto" w:sz="4" w:space="0"/>
              <w:bottom w:val="single" w:color="auto" w:sz="4" w:space="0"/>
              <w:right w:val="single" w:color="auto" w:sz="4" w:space="0"/>
            </w:tcBorders>
            <w:vAlign w:val="center"/>
          </w:tcPr>
          <w:p w14:paraId="5F4CDA6F">
            <w:pPr>
              <w:widowControl/>
              <w:jc w:val="left"/>
              <w:rPr>
                <w:rFonts w:ascii="宋体" w:hAnsi="宋体"/>
                <w:color w:val="auto"/>
                <w:sz w:val="20"/>
                <w:highlight w:val="none"/>
              </w:rPr>
            </w:pPr>
            <w:r>
              <w:rPr>
                <w:rFonts w:hint="eastAsia" w:ascii="宋体" w:hAnsi="宋体"/>
                <w:color w:val="auto"/>
                <w:sz w:val="20"/>
                <w:highlight w:val="none"/>
              </w:rPr>
              <w:t>相关质量要求</w:t>
            </w:r>
          </w:p>
        </w:tc>
        <w:tc>
          <w:tcPr>
            <w:tcW w:w="5743" w:type="dxa"/>
            <w:tcBorders>
              <w:top w:val="single" w:color="auto" w:sz="4" w:space="0"/>
              <w:left w:val="single" w:color="auto" w:sz="4" w:space="0"/>
              <w:bottom w:val="single" w:color="auto" w:sz="4" w:space="0"/>
              <w:right w:val="single" w:color="auto" w:sz="4" w:space="0"/>
            </w:tcBorders>
            <w:vAlign w:val="center"/>
          </w:tcPr>
          <w:p w14:paraId="2920D565">
            <w:pPr>
              <w:widowControl/>
              <w:jc w:val="left"/>
              <w:rPr>
                <w:rFonts w:ascii="宋体" w:hAnsi="宋体"/>
                <w:color w:val="auto"/>
                <w:sz w:val="20"/>
                <w:highlight w:val="none"/>
              </w:rPr>
            </w:pPr>
            <w:r>
              <w:rPr>
                <w:rFonts w:hint="eastAsia" w:ascii="宋体" w:hAnsi="宋体"/>
                <w:color w:val="auto"/>
                <w:sz w:val="20"/>
                <w:highlight w:val="none"/>
              </w:rPr>
              <w:t>基础不均匀下沉，管材及其接口施工质量差、闭水段端头封堵不严密、井体施工质量差等原因造成漏水或不通畅等现象，违者每处处违约金2000元，并限期纠正。</w:t>
            </w:r>
          </w:p>
        </w:tc>
        <w:tc>
          <w:tcPr>
            <w:tcW w:w="1429" w:type="dxa"/>
            <w:tcBorders>
              <w:top w:val="single" w:color="auto" w:sz="4" w:space="0"/>
              <w:left w:val="single" w:color="auto" w:sz="4" w:space="0"/>
              <w:bottom w:val="single" w:color="auto" w:sz="4" w:space="0"/>
              <w:right w:val="single" w:color="auto" w:sz="4" w:space="0"/>
            </w:tcBorders>
          </w:tcPr>
          <w:p w14:paraId="26EEFF37">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0874BF46">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642BB5BF">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0AB60F0C">
            <w:pPr>
              <w:widowControl/>
              <w:jc w:val="left"/>
              <w:rPr>
                <w:rFonts w:ascii="宋体" w:hAnsi="宋体" w:cs="宋体"/>
                <w:color w:val="auto"/>
                <w:kern w:val="0"/>
                <w:sz w:val="20"/>
                <w:highlight w:val="none"/>
              </w:rPr>
            </w:pPr>
          </w:p>
        </w:tc>
      </w:tr>
      <w:tr w14:paraId="6BE7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97C126B">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3.6.3</w:t>
            </w:r>
          </w:p>
        </w:tc>
        <w:tc>
          <w:tcPr>
            <w:tcW w:w="2161" w:type="dxa"/>
            <w:tcBorders>
              <w:top w:val="single" w:color="auto" w:sz="4" w:space="0"/>
              <w:left w:val="single" w:color="auto" w:sz="4" w:space="0"/>
              <w:bottom w:val="single" w:color="auto" w:sz="4" w:space="0"/>
              <w:right w:val="single" w:color="auto" w:sz="4" w:space="0"/>
            </w:tcBorders>
            <w:vAlign w:val="center"/>
          </w:tcPr>
          <w:p w14:paraId="4F4428DD">
            <w:pPr>
              <w:widowControl/>
              <w:jc w:val="left"/>
              <w:rPr>
                <w:rFonts w:ascii="宋体" w:hAnsi="宋体"/>
                <w:color w:val="auto"/>
                <w:sz w:val="20"/>
                <w:highlight w:val="none"/>
              </w:rPr>
            </w:pPr>
            <w:r>
              <w:rPr>
                <w:rFonts w:hint="eastAsia" w:ascii="宋体" w:hAnsi="宋体"/>
                <w:color w:val="auto"/>
                <w:sz w:val="20"/>
                <w:highlight w:val="none"/>
              </w:rPr>
              <w:t>相关质量要求</w:t>
            </w:r>
          </w:p>
        </w:tc>
        <w:tc>
          <w:tcPr>
            <w:tcW w:w="5743" w:type="dxa"/>
            <w:tcBorders>
              <w:top w:val="single" w:color="auto" w:sz="4" w:space="0"/>
              <w:left w:val="single" w:color="auto" w:sz="4" w:space="0"/>
              <w:bottom w:val="single" w:color="auto" w:sz="4" w:space="0"/>
              <w:right w:val="single" w:color="auto" w:sz="4" w:space="0"/>
            </w:tcBorders>
            <w:vAlign w:val="center"/>
          </w:tcPr>
          <w:p w14:paraId="095089B9">
            <w:pPr>
              <w:widowControl/>
              <w:jc w:val="left"/>
              <w:rPr>
                <w:rFonts w:ascii="宋体" w:hAnsi="宋体"/>
                <w:color w:val="auto"/>
                <w:sz w:val="20"/>
                <w:highlight w:val="none"/>
              </w:rPr>
            </w:pPr>
            <w:r>
              <w:rPr>
                <w:rFonts w:hint="eastAsia" w:ascii="宋体" w:hAnsi="宋体"/>
                <w:color w:val="auto"/>
                <w:sz w:val="20"/>
                <w:highlight w:val="none"/>
              </w:rPr>
              <w:t>检查井变形和下沉，井盖质量和安装质量差，铁爬梯安装随意，影响外观及其使用质量，违者每处处违约金2000元，并限期纠正。</w:t>
            </w:r>
          </w:p>
        </w:tc>
        <w:tc>
          <w:tcPr>
            <w:tcW w:w="1429" w:type="dxa"/>
            <w:tcBorders>
              <w:top w:val="single" w:color="auto" w:sz="4" w:space="0"/>
              <w:left w:val="single" w:color="auto" w:sz="4" w:space="0"/>
              <w:bottom w:val="single" w:color="auto" w:sz="4" w:space="0"/>
              <w:right w:val="single" w:color="auto" w:sz="4" w:space="0"/>
            </w:tcBorders>
          </w:tcPr>
          <w:p w14:paraId="4CA4642D">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7FDB0B87">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7F0CE04C">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396C6EBE">
            <w:pPr>
              <w:widowControl/>
              <w:jc w:val="left"/>
              <w:rPr>
                <w:rFonts w:ascii="宋体" w:hAnsi="宋体" w:cs="宋体"/>
                <w:color w:val="auto"/>
                <w:kern w:val="0"/>
                <w:sz w:val="20"/>
                <w:highlight w:val="none"/>
              </w:rPr>
            </w:pPr>
          </w:p>
        </w:tc>
      </w:tr>
      <w:tr w14:paraId="197BD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94190A8">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3.6.4</w:t>
            </w:r>
          </w:p>
        </w:tc>
        <w:tc>
          <w:tcPr>
            <w:tcW w:w="2161" w:type="dxa"/>
            <w:tcBorders>
              <w:top w:val="single" w:color="auto" w:sz="4" w:space="0"/>
              <w:left w:val="single" w:color="auto" w:sz="4" w:space="0"/>
              <w:bottom w:val="single" w:color="auto" w:sz="4" w:space="0"/>
              <w:right w:val="single" w:color="auto" w:sz="4" w:space="0"/>
            </w:tcBorders>
            <w:vAlign w:val="center"/>
          </w:tcPr>
          <w:p w14:paraId="2B0A717A">
            <w:pPr>
              <w:widowControl/>
              <w:jc w:val="left"/>
              <w:rPr>
                <w:rFonts w:ascii="宋体" w:hAnsi="宋体"/>
                <w:color w:val="auto"/>
                <w:sz w:val="20"/>
                <w:highlight w:val="none"/>
              </w:rPr>
            </w:pPr>
            <w:r>
              <w:rPr>
                <w:rFonts w:hint="eastAsia" w:ascii="宋体" w:hAnsi="宋体"/>
                <w:color w:val="auto"/>
                <w:sz w:val="20"/>
                <w:highlight w:val="none"/>
              </w:rPr>
              <w:t>未经审批施工</w:t>
            </w:r>
          </w:p>
        </w:tc>
        <w:tc>
          <w:tcPr>
            <w:tcW w:w="5743" w:type="dxa"/>
            <w:tcBorders>
              <w:top w:val="single" w:color="auto" w:sz="4" w:space="0"/>
              <w:left w:val="single" w:color="auto" w:sz="4" w:space="0"/>
              <w:bottom w:val="single" w:color="auto" w:sz="4" w:space="0"/>
              <w:right w:val="single" w:color="auto" w:sz="4" w:space="0"/>
            </w:tcBorders>
            <w:vAlign w:val="center"/>
          </w:tcPr>
          <w:p w14:paraId="32FA93B1">
            <w:pPr>
              <w:widowControl/>
              <w:jc w:val="left"/>
              <w:rPr>
                <w:rFonts w:ascii="宋体" w:hAnsi="宋体"/>
                <w:color w:val="auto"/>
                <w:sz w:val="20"/>
                <w:highlight w:val="none"/>
              </w:rPr>
            </w:pPr>
            <w:r>
              <w:rPr>
                <w:rFonts w:hint="eastAsia" w:ascii="宋体" w:hAnsi="宋体"/>
                <w:color w:val="auto"/>
                <w:sz w:val="20"/>
                <w:highlight w:val="none"/>
              </w:rPr>
              <w:t>未按经审批的专项施工组织方案进行施工的，每次处违约金10000～20000元，并限期纠正。</w:t>
            </w:r>
          </w:p>
        </w:tc>
        <w:tc>
          <w:tcPr>
            <w:tcW w:w="1429" w:type="dxa"/>
            <w:tcBorders>
              <w:top w:val="single" w:color="auto" w:sz="4" w:space="0"/>
              <w:left w:val="single" w:color="auto" w:sz="4" w:space="0"/>
              <w:bottom w:val="single" w:color="auto" w:sz="4" w:space="0"/>
              <w:right w:val="single" w:color="auto" w:sz="4" w:space="0"/>
            </w:tcBorders>
          </w:tcPr>
          <w:p w14:paraId="3BA2104C">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2C614D14">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7560BD1F">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208749E6">
            <w:pPr>
              <w:widowControl/>
              <w:jc w:val="left"/>
              <w:rPr>
                <w:rFonts w:ascii="宋体" w:hAnsi="宋体" w:cs="宋体"/>
                <w:color w:val="auto"/>
                <w:kern w:val="0"/>
                <w:sz w:val="20"/>
                <w:highlight w:val="none"/>
              </w:rPr>
            </w:pPr>
          </w:p>
        </w:tc>
      </w:tr>
      <w:tr w14:paraId="3092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CA5C1AF">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3.7</w:t>
            </w:r>
          </w:p>
        </w:tc>
        <w:tc>
          <w:tcPr>
            <w:tcW w:w="2161" w:type="dxa"/>
            <w:tcBorders>
              <w:top w:val="single" w:color="auto" w:sz="4" w:space="0"/>
              <w:left w:val="single" w:color="auto" w:sz="4" w:space="0"/>
              <w:bottom w:val="single" w:color="auto" w:sz="4" w:space="0"/>
              <w:right w:val="single" w:color="auto" w:sz="4" w:space="0"/>
            </w:tcBorders>
            <w:vAlign w:val="center"/>
          </w:tcPr>
          <w:p w14:paraId="06E22373">
            <w:pPr>
              <w:widowControl/>
              <w:jc w:val="left"/>
              <w:rPr>
                <w:rFonts w:ascii="宋体" w:hAnsi="宋体"/>
                <w:b/>
                <w:color w:val="auto"/>
                <w:sz w:val="20"/>
                <w:highlight w:val="none"/>
              </w:rPr>
            </w:pPr>
            <w:r>
              <w:rPr>
                <w:rFonts w:hint="eastAsia" w:ascii="宋体" w:hAnsi="宋体"/>
                <w:b/>
                <w:color w:val="auto"/>
                <w:sz w:val="20"/>
                <w:highlight w:val="none"/>
              </w:rPr>
              <w:t>材料管理</w:t>
            </w:r>
          </w:p>
        </w:tc>
        <w:tc>
          <w:tcPr>
            <w:tcW w:w="5743" w:type="dxa"/>
            <w:tcBorders>
              <w:top w:val="single" w:color="auto" w:sz="4" w:space="0"/>
              <w:left w:val="single" w:color="auto" w:sz="4" w:space="0"/>
              <w:bottom w:val="single" w:color="auto" w:sz="4" w:space="0"/>
              <w:right w:val="single" w:color="auto" w:sz="4" w:space="0"/>
            </w:tcBorders>
            <w:vAlign w:val="center"/>
          </w:tcPr>
          <w:p w14:paraId="4BD7CE31">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14:paraId="7E343B63">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5578C3B2">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029EBAAD">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504C67C2">
            <w:pPr>
              <w:widowControl/>
              <w:jc w:val="left"/>
              <w:rPr>
                <w:rFonts w:ascii="宋体" w:hAnsi="宋体" w:cs="宋体"/>
                <w:color w:val="auto"/>
                <w:kern w:val="0"/>
                <w:sz w:val="20"/>
                <w:highlight w:val="none"/>
              </w:rPr>
            </w:pPr>
          </w:p>
        </w:tc>
      </w:tr>
      <w:tr w14:paraId="10F2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59EDE16">
            <w:pPr>
              <w:widowControl/>
              <w:jc w:val="center"/>
              <w:rPr>
                <w:rFonts w:ascii="宋体" w:hAnsi="宋体" w:cs="宋体"/>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14:paraId="56594239">
            <w:pPr>
              <w:widowControl/>
              <w:jc w:val="left"/>
              <w:rPr>
                <w:rFonts w:ascii="宋体" w:hAnsi="宋体" w:cs="宋体"/>
                <w:color w:val="auto"/>
                <w:kern w:val="0"/>
                <w:sz w:val="20"/>
                <w:highlight w:val="none"/>
              </w:rPr>
            </w:pPr>
            <w:r>
              <w:rPr>
                <w:rFonts w:hint="eastAsia" w:ascii="宋体" w:hAnsi="宋体"/>
                <w:b/>
                <w:color w:val="auto"/>
                <w:sz w:val="20"/>
                <w:highlight w:val="none"/>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14:paraId="7BE78381">
            <w:pPr>
              <w:widowControl/>
              <w:jc w:val="left"/>
              <w:rPr>
                <w:rFonts w:ascii="宋体" w:hAnsi="宋体" w:cs="宋体"/>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14:paraId="7D8FC107">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330B3BA6">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3E6978C5">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253DE717">
            <w:pPr>
              <w:widowControl/>
              <w:jc w:val="left"/>
              <w:rPr>
                <w:rFonts w:ascii="宋体" w:hAnsi="宋体" w:cs="宋体"/>
                <w:color w:val="auto"/>
                <w:kern w:val="0"/>
                <w:sz w:val="20"/>
                <w:highlight w:val="none"/>
              </w:rPr>
            </w:pPr>
          </w:p>
        </w:tc>
      </w:tr>
      <w:tr w14:paraId="61678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B6F8E8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3.7.1</w:t>
            </w:r>
          </w:p>
        </w:tc>
        <w:tc>
          <w:tcPr>
            <w:tcW w:w="2161" w:type="dxa"/>
            <w:tcBorders>
              <w:top w:val="single" w:color="auto" w:sz="4" w:space="0"/>
              <w:left w:val="single" w:color="auto" w:sz="4" w:space="0"/>
              <w:bottom w:val="single" w:color="auto" w:sz="4" w:space="0"/>
              <w:right w:val="single" w:color="auto" w:sz="4" w:space="0"/>
            </w:tcBorders>
            <w:vAlign w:val="center"/>
          </w:tcPr>
          <w:p w14:paraId="0F14DC11">
            <w:pPr>
              <w:widowControl/>
              <w:jc w:val="left"/>
              <w:rPr>
                <w:rFonts w:ascii="宋体" w:hAnsi="宋体" w:cs="宋体"/>
                <w:color w:val="auto"/>
                <w:kern w:val="0"/>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6BE180E6">
            <w:pPr>
              <w:widowControl/>
              <w:jc w:val="left"/>
              <w:rPr>
                <w:rFonts w:ascii="宋体" w:hAnsi="宋体"/>
                <w:color w:val="auto"/>
                <w:sz w:val="20"/>
                <w:highlight w:val="none"/>
              </w:rPr>
            </w:pPr>
            <w:r>
              <w:rPr>
                <w:rFonts w:hint="eastAsia" w:ascii="宋体" w:hAnsi="宋体"/>
                <w:color w:val="auto"/>
                <w:sz w:val="20"/>
                <w:highlight w:val="none"/>
              </w:rPr>
              <w:t>水泥、钢筋、钢筋笼的存放不满足规范技术要求的，每次处违约金2000元，并限期纠正。</w:t>
            </w:r>
          </w:p>
        </w:tc>
        <w:tc>
          <w:tcPr>
            <w:tcW w:w="1429" w:type="dxa"/>
            <w:tcBorders>
              <w:top w:val="single" w:color="auto" w:sz="4" w:space="0"/>
              <w:left w:val="single" w:color="auto" w:sz="4" w:space="0"/>
              <w:bottom w:val="single" w:color="auto" w:sz="4" w:space="0"/>
              <w:right w:val="single" w:color="auto" w:sz="4" w:space="0"/>
            </w:tcBorders>
          </w:tcPr>
          <w:p w14:paraId="7E60B12B">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638BBCDB">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0CAF4C5C">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20303FAF">
            <w:pPr>
              <w:widowControl/>
              <w:jc w:val="left"/>
              <w:rPr>
                <w:rFonts w:ascii="宋体" w:hAnsi="宋体" w:cs="宋体"/>
                <w:color w:val="auto"/>
                <w:kern w:val="0"/>
                <w:sz w:val="20"/>
                <w:highlight w:val="none"/>
              </w:rPr>
            </w:pPr>
          </w:p>
        </w:tc>
      </w:tr>
      <w:tr w14:paraId="6C13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73BFE7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3.7.2</w:t>
            </w:r>
          </w:p>
        </w:tc>
        <w:tc>
          <w:tcPr>
            <w:tcW w:w="2161" w:type="dxa"/>
            <w:tcBorders>
              <w:top w:val="single" w:color="auto" w:sz="4" w:space="0"/>
              <w:left w:val="single" w:color="auto" w:sz="4" w:space="0"/>
              <w:bottom w:val="single" w:color="auto" w:sz="4" w:space="0"/>
              <w:right w:val="single" w:color="auto" w:sz="4" w:space="0"/>
            </w:tcBorders>
            <w:vAlign w:val="center"/>
          </w:tcPr>
          <w:p w14:paraId="10A02DB1">
            <w:pPr>
              <w:widowControl/>
              <w:jc w:val="left"/>
              <w:rPr>
                <w:rFonts w:ascii="宋体" w:hAnsi="宋体" w:cs="宋体"/>
                <w:color w:val="auto"/>
                <w:kern w:val="0"/>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59BE17B8">
            <w:pPr>
              <w:widowControl/>
              <w:jc w:val="left"/>
              <w:rPr>
                <w:rFonts w:ascii="宋体" w:hAnsi="宋体"/>
                <w:color w:val="auto"/>
                <w:sz w:val="20"/>
                <w:highlight w:val="none"/>
              </w:rPr>
            </w:pPr>
            <w:r>
              <w:rPr>
                <w:rFonts w:hint="eastAsia" w:ascii="宋体" w:hAnsi="宋体"/>
                <w:color w:val="auto"/>
                <w:sz w:val="20"/>
                <w:highlight w:val="none"/>
              </w:rPr>
              <w:t>原材料送检或其他自检项目的试验（如钢筋焊接、土的重击试验）不及时，频率未达到规定要求，每次处违约金5000元，并限期纠正。</w:t>
            </w:r>
          </w:p>
        </w:tc>
        <w:tc>
          <w:tcPr>
            <w:tcW w:w="1429" w:type="dxa"/>
            <w:tcBorders>
              <w:top w:val="single" w:color="auto" w:sz="4" w:space="0"/>
              <w:left w:val="single" w:color="auto" w:sz="4" w:space="0"/>
              <w:bottom w:val="single" w:color="auto" w:sz="4" w:space="0"/>
              <w:right w:val="single" w:color="auto" w:sz="4" w:space="0"/>
            </w:tcBorders>
          </w:tcPr>
          <w:p w14:paraId="35D2EE40">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6924F8E0">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031ED8CC">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3F50A132">
            <w:pPr>
              <w:widowControl/>
              <w:jc w:val="left"/>
              <w:rPr>
                <w:rFonts w:ascii="宋体" w:hAnsi="宋体" w:cs="宋体"/>
                <w:color w:val="auto"/>
                <w:kern w:val="0"/>
                <w:sz w:val="20"/>
                <w:highlight w:val="none"/>
              </w:rPr>
            </w:pPr>
          </w:p>
        </w:tc>
      </w:tr>
      <w:tr w14:paraId="342A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47DD1A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3.7.3</w:t>
            </w:r>
          </w:p>
        </w:tc>
        <w:tc>
          <w:tcPr>
            <w:tcW w:w="2161" w:type="dxa"/>
            <w:tcBorders>
              <w:top w:val="single" w:color="auto" w:sz="4" w:space="0"/>
              <w:left w:val="single" w:color="auto" w:sz="4" w:space="0"/>
              <w:bottom w:val="single" w:color="auto" w:sz="4" w:space="0"/>
              <w:right w:val="single" w:color="auto" w:sz="4" w:space="0"/>
            </w:tcBorders>
            <w:vAlign w:val="center"/>
          </w:tcPr>
          <w:p w14:paraId="6543C1CB">
            <w:pPr>
              <w:widowControl/>
              <w:jc w:val="left"/>
              <w:rPr>
                <w:rFonts w:ascii="宋体" w:hAnsi="宋体" w:cs="宋体"/>
                <w:color w:val="auto"/>
                <w:kern w:val="0"/>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297DB4CF">
            <w:pPr>
              <w:widowControl/>
              <w:jc w:val="left"/>
              <w:rPr>
                <w:rFonts w:ascii="宋体" w:hAnsi="宋体"/>
                <w:color w:val="auto"/>
                <w:sz w:val="20"/>
                <w:highlight w:val="none"/>
              </w:rPr>
            </w:pPr>
            <w:r>
              <w:rPr>
                <w:rFonts w:hint="eastAsia" w:ascii="宋体" w:hAnsi="宋体"/>
                <w:color w:val="auto"/>
                <w:sz w:val="20"/>
                <w:highlight w:val="none"/>
              </w:rPr>
              <w:t>使用未经检验合格的材料（原材料、锚具等）用于施工的，每次处违约金5000元，并限期纠正。</w:t>
            </w:r>
          </w:p>
        </w:tc>
        <w:tc>
          <w:tcPr>
            <w:tcW w:w="1429" w:type="dxa"/>
            <w:tcBorders>
              <w:top w:val="single" w:color="auto" w:sz="4" w:space="0"/>
              <w:left w:val="single" w:color="auto" w:sz="4" w:space="0"/>
              <w:bottom w:val="single" w:color="auto" w:sz="4" w:space="0"/>
              <w:right w:val="single" w:color="auto" w:sz="4" w:space="0"/>
            </w:tcBorders>
          </w:tcPr>
          <w:p w14:paraId="34EE1D43">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1E19EB69">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3C975C70">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600EB4EF">
            <w:pPr>
              <w:widowControl/>
              <w:jc w:val="left"/>
              <w:rPr>
                <w:rFonts w:ascii="宋体" w:hAnsi="宋体" w:cs="宋体"/>
                <w:color w:val="auto"/>
                <w:kern w:val="0"/>
                <w:sz w:val="20"/>
                <w:highlight w:val="none"/>
              </w:rPr>
            </w:pPr>
          </w:p>
        </w:tc>
      </w:tr>
      <w:tr w14:paraId="0D928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9DA28F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3.7.4</w:t>
            </w:r>
          </w:p>
        </w:tc>
        <w:tc>
          <w:tcPr>
            <w:tcW w:w="2161" w:type="dxa"/>
            <w:tcBorders>
              <w:top w:val="single" w:color="auto" w:sz="4" w:space="0"/>
              <w:left w:val="single" w:color="auto" w:sz="4" w:space="0"/>
              <w:bottom w:val="single" w:color="auto" w:sz="4" w:space="0"/>
              <w:right w:val="single" w:color="auto" w:sz="4" w:space="0"/>
            </w:tcBorders>
            <w:vAlign w:val="center"/>
          </w:tcPr>
          <w:p w14:paraId="64D0BDF9">
            <w:pPr>
              <w:widowControl/>
              <w:jc w:val="left"/>
              <w:rPr>
                <w:rFonts w:ascii="宋体" w:hAnsi="宋体" w:cs="宋体"/>
                <w:color w:val="auto"/>
                <w:kern w:val="0"/>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6BAA4204">
            <w:pPr>
              <w:widowControl/>
              <w:jc w:val="left"/>
              <w:rPr>
                <w:rFonts w:ascii="宋体" w:hAnsi="宋体"/>
                <w:color w:val="auto"/>
                <w:sz w:val="20"/>
                <w:highlight w:val="none"/>
              </w:rPr>
            </w:pPr>
            <w:r>
              <w:rPr>
                <w:rFonts w:hint="eastAsia" w:ascii="宋体" w:hAnsi="宋体"/>
                <w:color w:val="auto"/>
                <w:sz w:val="20"/>
                <w:highlight w:val="none"/>
              </w:rPr>
              <w:t>经查实，工程材料的各种证明材料属弄虚作假的，每批次处违约金20000元，并限期整改。</w:t>
            </w:r>
          </w:p>
        </w:tc>
        <w:tc>
          <w:tcPr>
            <w:tcW w:w="1429" w:type="dxa"/>
            <w:tcBorders>
              <w:top w:val="single" w:color="auto" w:sz="4" w:space="0"/>
              <w:left w:val="single" w:color="auto" w:sz="4" w:space="0"/>
              <w:bottom w:val="single" w:color="auto" w:sz="4" w:space="0"/>
              <w:right w:val="single" w:color="auto" w:sz="4" w:space="0"/>
            </w:tcBorders>
          </w:tcPr>
          <w:p w14:paraId="5B4068F9">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6AE4AC6F">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462F2E12">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2AFCA205">
            <w:pPr>
              <w:widowControl/>
              <w:jc w:val="left"/>
              <w:rPr>
                <w:rFonts w:ascii="宋体" w:hAnsi="宋体" w:cs="宋体"/>
                <w:color w:val="auto"/>
                <w:kern w:val="0"/>
                <w:sz w:val="20"/>
                <w:highlight w:val="none"/>
              </w:rPr>
            </w:pPr>
          </w:p>
        </w:tc>
      </w:tr>
      <w:tr w14:paraId="4543B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F4B1C5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3.7.5</w:t>
            </w:r>
          </w:p>
        </w:tc>
        <w:tc>
          <w:tcPr>
            <w:tcW w:w="2161" w:type="dxa"/>
            <w:tcBorders>
              <w:top w:val="single" w:color="auto" w:sz="4" w:space="0"/>
              <w:left w:val="single" w:color="auto" w:sz="4" w:space="0"/>
              <w:bottom w:val="single" w:color="auto" w:sz="4" w:space="0"/>
              <w:right w:val="single" w:color="auto" w:sz="4" w:space="0"/>
            </w:tcBorders>
            <w:vAlign w:val="center"/>
          </w:tcPr>
          <w:p w14:paraId="420F06F4">
            <w:pPr>
              <w:widowControl/>
              <w:jc w:val="left"/>
              <w:rPr>
                <w:rFonts w:ascii="宋体" w:hAnsi="宋体" w:cs="宋体"/>
                <w:color w:val="auto"/>
                <w:kern w:val="0"/>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0243EDB4">
            <w:pPr>
              <w:widowControl/>
              <w:jc w:val="left"/>
              <w:rPr>
                <w:rFonts w:ascii="宋体" w:hAnsi="宋体"/>
                <w:color w:val="auto"/>
                <w:sz w:val="20"/>
                <w:highlight w:val="none"/>
              </w:rPr>
            </w:pPr>
            <w:r>
              <w:rPr>
                <w:rFonts w:hint="eastAsia"/>
                <w:color w:val="auto"/>
                <w:highlight w:val="none"/>
              </w:rPr>
              <w:t>未按规定使用“建筑废料回收生成料”</w:t>
            </w:r>
            <w:r>
              <w:rPr>
                <w:rFonts w:hint="eastAsia" w:ascii="宋体" w:hAnsi="宋体"/>
                <w:color w:val="auto"/>
                <w:sz w:val="20"/>
                <w:highlight w:val="none"/>
              </w:rPr>
              <w:t xml:space="preserve"> ，每次处违约金2000元，并限期纠正。</w:t>
            </w:r>
          </w:p>
        </w:tc>
        <w:tc>
          <w:tcPr>
            <w:tcW w:w="1429" w:type="dxa"/>
            <w:tcBorders>
              <w:top w:val="single" w:color="auto" w:sz="4" w:space="0"/>
              <w:left w:val="single" w:color="auto" w:sz="4" w:space="0"/>
              <w:bottom w:val="single" w:color="auto" w:sz="4" w:space="0"/>
              <w:right w:val="single" w:color="auto" w:sz="4" w:space="0"/>
            </w:tcBorders>
          </w:tcPr>
          <w:p w14:paraId="6079A79C">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2E9AD91A">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66A0E20D">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077FE899">
            <w:pPr>
              <w:widowControl/>
              <w:jc w:val="left"/>
              <w:rPr>
                <w:rFonts w:ascii="宋体" w:hAnsi="宋体" w:cs="宋体"/>
                <w:color w:val="auto"/>
                <w:kern w:val="0"/>
                <w:sz w:val="20"/>
                <w:highlight w:val="none"/>
              </w:rPr>
            </w:pPr>
          </w:p>
        </w:tc>
      </w:tr>
      <w:tr w14:paraId="3A24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E2E7134">
            <w:pPr>
              <w:widowControl/>
              <w:jc w:val="center"/>
              <w:rPr>
                <w:rFonts w:ascii="宋体" w:hAnsi="宋体" w:cs="宋体"/>
                <w:b/>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14:paraId="787F365A">
            <w:pPr>
              <w:widowControl/>
              <w:jc w:val="left"/>
              <w:rPr>
                <w:rFonts w:ascii="宋体" w:hAnsi="宋体"/>
                <w:b/>
                <w:color w:val="auto"/>
                <w:sz w:val="20"/>
                <w:highlight w:val="none"/>
              </w:rPr>
            </w:pPr>
            <w:r>
              <w:rPr>
                <w:rFonts w:hint="eastAsia" w:ascii="宋体" w:hAnsi="宋体"/>
                <w:b/>
                <w:color w:val="auto"/>
                <w:sz w:val="20"/>
                <w:highlight w:val="none"/>
              </w:rPr>
              <w:t>一般违约及严重违约</w:t>
            </w:r>
          </w:p>
        </w:tc>
        <w:tc>
          <w:tcPr>
            <w:tcW w:w="5743" w:type="dxa"/>
            <w:tcBorders>
              <w:top w:val="single" w:color="auto" w:sz="4" w:space="0"/>
              <w:left w:val="single" w:color="auto" w:sz="4" w:space="0"/>
              <w:bottom w:val="single" w:color="auto" w:sz="4" w:space="0"/>
              <w:right w:val="single" w:color="auto" w:sz="4" w:space="0"/>
            </w:tcBorders>
            <w:vAlign w:val="center"/>
          </w:tcPr>
          <w:p w14:paraId="7C64C01F">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14:paraId="744E8A60">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2D3ADBC6">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1B3AB62C">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042D5B67">
            <w:pPr>
              <w:widowControl/>
              <w:jc w:val="left"/>
              <w:rPr>
                <w:rFonts w:ascii="宋体" w:hAnsi="宋体" w:cs="宋体"/>
                <w:color w:val="auto"/>
                <w:kern w:val="0"/>
                <w:sz w:val="20"/>
                <w:highlight w:val="none"/>
              </w:rPr>
            </w:pPr>
          </w:p>
        </w:tc>
      </w:tr>
      <w:tr w14:paraId="493DF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E500E99">
            <w:pPr>
              <w:widowControl/>
              <w:rPr>
                <w:rFonts w:ascii="宋体" w:hAnsi="宋体" w:cs="宋体"/>
                <w:color w:val="auto"/>
                <w:kern w:val="0"/>
                <w:sz w:val="20"/>
                <w:highlight w:val="none"/>
              </w:rPr>
            </w:pPr>
            <w:r>
              <w:rPr>
                <w:rFonts w:hint="eastAsia" w:ascii="宋体" w:hAnsi="宋体" w:cs="宋体"/>
                <w:color w:val="auto"/>
                <w:kern w:val="0"/>
                <w:sz w:val="20"/>
                <w:highlight w:val="none"/>
              </w:rPr>
              <w:t xml:space="preserve"> 3.7.6</w:t>
            </w:r>
          </w:p>
        </w:tc>
        <w:tc>
          <w:tcPr>
            <w:tcW w:w="2161" w:type="dxa"/>
            <w:tcBorders>
              <w:top w:val="single" w:color="auto" w:sz="4" w:space="0"/>
              <w:left w:val="single" w:color="auto" w:sz="4" w:space="0"/>
              <w:bottom w:val="single" w:color="auto" w:sz="4" w:space="0"/>
              <w:right w:val="single" w:color="auto" w:sz="4" w:space="0"/>
            </w:tcBorders>
            <w:vAlign w:val="center"/>
          </w:tcPr>
          <w:p w14:paraId="1D2B50F1">
            <w:pPr>
              <w:widowControl/>
              <w:jc w:val="left"/>
              <w:rPr>
                <w:rFonts w:ascii="宋体" w:hAnsi="宋体" w:cs="宋体"/>
                <w:color w:val="auto"/>
                <w:kern w:val="0"/>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75513B2A">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发现所检查的材料不符合时,所有不符合条件材料必须更换为合格材料。</w:t>
            </w:r>
          </w:p>
        </w:tc>
        <w:tc>
          <w:tcPr>
            <w:tcW w:w="1429" w:type="dxa"/>
            <w:tcBorders>
              <w:top w:val="single" w:color="auto" w:sz="4" w:space="0"/>
              <w:left w:val="single" w:color="auto" w:sz="4" w:space="0"/>
              <w:bottom w:val="single" w:color="auto" w:sz="4" w:space="0"/>
              <w:right w:val="single" w:color="auto" w:sz="4" w:space="0"/>
            </w:tcBorders>
          </w:tcPr>
          <w:p w14:paraId="70F73C6B">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7EAEABFF">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2B08A110">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49A7872F">
            <w:pPr>
              <w:widowControl/>
              <w:jc w:val="left"/>
              <w:rPr>
                <w:rFonts w:ascii="宋体" w:hAnsi="宋体" w:cs="宋体"/>
                <w:color w:val="auto"/>
                <w:kern w:val="0"/>
                <w:sz w:val="20"/>
                <w:highlight w:val="none"/>
              </w:rPr>
            </w:pPr>
          </w:p>
        </w:tc>
      </w:tr>
      <w:tr w14:paraId="66CA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0E48C1B">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3.7.7</w:t>
            </w:r>
          </w:p>
        </w:tc>
        <w:tc>
          <w:tcPr>
            <w:tcW w:w="2161" w:type="dxa"/>
            <w:tcBorders>
              <w:top w:val="single" w:color="auto" w:sz="4" w:space="0"/>
              <w:left w:val="single" w:color="auto" w:sz="4" w:space="0"/>
              <w:bottom w:val="single" w:color="auto" w:sz="4" w:space="0"/>
              <w:right w:val="single" w:color="auto" w:sz="4" w:space="0"/>
            </w:tcBorders>
            <w:vAlign w:val="center"/>
          </w:tcPr>
          <w:p w14:paraId="1E520C3A">
            <w:pPr>
              <w:widowControl/>
              <w:jc w:val="left"/>
              <w:rPr>
                <w:rFonts w:ascii="宋体" w:hAnsi="宋体" w:cs="宋体"/>
                <w:color w:val="auto"/>
                <w:kern w:val="0"/>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6B7946B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单宗或批次材料价值在人民币10万元以上100万元以下（含100万元）承包人承担一次一般违约责任。</w:t>
            </w:r>
          </w:p>
        </w:tc>
        <w:tc>
          <w:tcPr>
            <w:tcW w:w="1429" w:type="dxa"/>
            <w:tcBorders>
              <w:top w:val="single" w:color="auto" w:sz="4" w:space="0"/>
              <w:left w:val="single" w:color="auto" w:sz="4" w:space="0"/>
              <w:bottom w:val="single" w:color="auto" w:sz="4" w:space="0"/>
              <w:right w:val="single" w:color="auto" w:sz="4" w:space="0"/>
            </w:tcBorders>
          </w:tcPr>
          <w:p w14:paraId="1851B2B1">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08FDEADB">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60C9DBD6">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145F3019">
            <w:pPr>
              <w:widowControl/>
              <w:jc w:val="left"/>
              <w:rPr>
                <w:rFonts w:ascii="宋体" w:hAnsi="宋体" w:cs="宋体"/>
                <w:color w:val="auto"/>
                <w:kern w:val="0"/>
                <w:sz w:val="20"/>
                <w:highlight w:val="none"/>
              </w:rPr>
            </w:pPr>
          </w:p>
        </w:tc>
      </w:tr>
      <w:tr w14:paraId="239B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F5DCD7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3.7.8</w:t>
            </w:r>
          </w:p>
        </w:tc>
        <w:tc>
          <w:tcPr>
            <w:tcW w:w="2161" w:type="dxa"/>
            <w:tcBorders>
              <w:top w:val="single" w:color="auto" w:sz="4" w:space="0"/>
              <w:left w:val="single" w:color="auto" w:sz="4" w:space="0"/>
              <w:bottom w:val="single" w:color="auto" w:sz="4" w:space="0"/>
              <w:right w:val="single" w:color="auto" w:sz="4" w:space="0"/>
            </w:tcBorders>
            <w:vAlign w:val="center"/>
          </w:tcPr>
          <w:p w14:paraId="5E634239">
            <w:pPr>
              <w:widowControl/>
              <w:jc w:val="left"/>
              <w:rPr>
                <w:rFonts w:ascii="宋体" w:hAnsi="宋体" w:cs="宋体"/>
                <w:color w:val="auto"/>
                <w:kern w:val="0"/>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5FC9EAFC">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单宗或批次材料价值人民币100-200万元（含200万元）承包人承担一次严重违约责任。</w:t>
            </w:r>
          </w:p>
        </w:tc>
        <w:tc>
          <w:tcPr>
            <w:tcW w:w="1429" w:type="dxa"/>
            <w:tcBorders>
              <w:top w:val="single" w:color="auto" w:sz="4" w:space="0"/>
              <w:left w:val="single" w:color="auto" w:sz="4" w:space="0"/>
              <w:bottom w:val="single" w:color="auto" w:sz="4" w:space="0"/>
              <w:right w:val="single" w:color="auto" w:sz="4" w:space="0"/>
            </w:tcBorders>
          </w:tcPr>
          <w:p w14:paraId="55432533">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41D6E9BA">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339C6700">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4C85EC00">
            <w:pPr>
              <w:widowControl/>
              <w:jc w:val="left"/>
              <w:rPr>
                <w:rFonts w:ascii="宋体" w:hAnsi="宋体" w:cs="宋体"/>
                <w:color w:val="auto"/>
                <w:kern w:val="0"/>
                <w:sz w:val="20"/>
                <w:highlight w:val="none"/>
              </w:rPr>
            </w:pPr>
          </w:p>
        </w:tc>
      </w:tr>
      <w:tr w14:paraId="3E6F8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9A5377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3.7.9</w:t>
            </w:r>
          </w:p>
        </w:tc>
        <w:tc>
          <w:tcPr>
            <w:tcW w:w="2161" w:type="dxa"/>
            <w:tcBorders>
              <w:top w:val="single" w:color="auto" w:sz="4" w:space="0"/>
              <w:left w:val="single" w:color="auto" w:sz="4" w:space="0"/>
              <w:bottom w:val="single" w:color="auto" w:sz="4" w:space="0"/>
              <w:right w:val="single" w:color="auto" w:sz="4" w:space="0"/>
            </w:tcBorders>
            <w:vAlign w:val="center"/>
          </w:tcPr>
          <w:p w14:paraId="378D6826">
            <w:pPr>
              <w:widowControl/>
              <w:jc w:val="left"/>
              <w:rPr>
                <w:rFonts w:ascii="宋体" w:hAnsi="宋体" w:cs="宋体"/>
                <w:color w:val="auto"/>
                <w:kern w:val="0"/>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58A5C9D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单宗或批次材料价值在人民币200万元以上的,承包人承担两次严重违约责任。</w:t>
            </w:r>
          </w:p>
        </w:tc>
        <w:tc>
          <w:tcPr>
            <w:tcW w:w="1429" w:type="dxa"/>
            <w:tcBorders>
              <w:top w:val="single" w:color="auto" w:sz="4" w:space="0"/>
              <w:left w:val="single" w:color="auto" w:sz="4" w:space="0"/>
              <w:bottom w:val="single" w:color="auto" w:sz="4" w:space="0"/>
              <w:right w:val="single" w:color="auto" w:sz="4" w:space="0"/>
            </w:tcBorders>
          </w:tcPr>
          <w:p w14:paraId="5B6B5788">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50259791">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1D027D3C">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544D97F0">
            <w:pPr>
              <w:widowControl/>
              <w:jc w:val="left"/>
              <w:rPr>
                <w:rFonts w:ascii="宋体" w:hAnsi="宋体" w:cs="宋体"/>
                <w:color w:val="auto"/>
                <w:kern w:val="0"/>
                <w:sz w:val="20"/>
                <w:highlight w:val="none"/>
              </w:rPr>
            </w:pPr>
          </w:p>
        </w:tc>
      </w:tr>
      <w:tr w14:paraId="25EAA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0665CB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3.7.10</w:t>
            </w:r>
          </w:p>
        </w:tc>
        <w:tc>
          <w:tcPr>
            <w:tcW w:w="2161" w:type="dxa"/>
            <w:tcBorders>
              <w:top w:val="single" w:color="auto" w:sz="4" w:space="0"/>
              <w:left w:val="single" w:color="auto" w:sz="4" w:space="0"/>
              <w:bottom w:val="single" w:color="auto" w:sz="4" w:space="0"/>
              <w:right w:val="single" w:color="auto" w:sz="4" w:space="0"/>
            </w:tcBorders>
            <w:vAlign w:val="center"/>
          </w:tcPr>
          <w:p w14:paraId="4293E0EC">
            <w:pPr>
              <w:widowControl/>
              <w:jc w:val="left"/>
              <w:rPr>
                <w:rFonts w:ascii="宋体" w:hAnsi="宋体" w:cs="宋体"/>
                <w:color w:val="auto"/>
                <w:kern w:val="0"/>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1E457113">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对于单宗或批次材料价值不高于人民币10万元的（含10万元），但累计抽检不合格达5次,承包人承担1次一般违约责任。</w:t>
            </w:r>
          </w:p>
        </w:tc>
        <w:tc>
          <w:tcPr>
            <w:tcW w:w="1429" w:type="dxa"/>
            <w:tcBorders>
              <w:top w:val="single" w:color="auto" w:sz="4" w:space="0"/>
              <w:left w:val="single" w:color="auto" w:sz="4" w:space="0"/>
              <w:bottom w:val="single" w:color="auto" w:sz="4" w:space="0"/>
              <w:right w:val="single" w:color="auto" w:sz="4" w:space="0"/>
            </w:tcBorders>
          </w:tcPr>
          <w:p w14:paraId="307DFC31">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5B8BC669">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0909EFA8">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44A92554">
            <w:pPr>
              <w:widowControl/>
              <w:jc w:val="left"/>
              <w:rPr>
                <w:rFonts w:ascii="宋体" w:hAnsi="宋体" w:cs="宋体"/>
                <w:color w:val="auto"/>
                <w:kern w:val="0"/>
                <w:sz w:val="20"/>
                <w:highlight w:val="none"/>
              </w:rPr>
            </w:pPr>
          </w:p>
        </w:tc>
      </w:tr>
      <w:tr w14:paraId="0CD2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F38AA55">
            <w:pPr>
              <w:widowControl/>
              <w:jc w:val="center"/>
              <w:rPr>
                <w:rFonts w:ascii="宋体" w:hAnsi="宋体" w:cs="宋体"/>
                <w:b/>
                <w:color w:val="auto"/>
                <w:kern w:val="0"/>
                <w:sz w:val="20"/>
                <w:highlight w:val="none"/>
              </w:rPr>
            </w:pPr>
            <w:r>
              <w:rPr>
                <w:rFonts w:hint="eastAsia" w:ascii="宋体" w:hAnsi="宋体" w:cs="宋体"/>
                <w:b/>
                <w:color w:val="auto"/>
                <w:kern w:val="0"/>
                <w:sz w:val="20"/>
                <w:highlight w:val="none"/>
              </w:rPr>
              <w:t>3.8</w:t>
            </w:r>
          </w:p>
        </w:tc>
        <w:tc>
          <w:tcPr>
            <w:tcW w:w="2161" w:type="dxa"/>
            <w:tcBorders>
              <w:top w:val="single" w:color="auto" w:sz="4" w:space="0"/>
              <w:left w:val="single" w:color="auto" w:sz="4" w:space="0"/>
              <w:bottom w:val="single" w:color="auto" w:sz="4" w:space="0"/>
              <w:right w:val="single" w:color="auto" w:sz="4" w:space="0"/>
            </w:tcBorders>
            <w:vAlign w:val="center"/>
          </w:tcPr>
          <w:p w14:paraId="363BEA49">
            <w:pPr>
              <w:widowControl/>
              <w:jc w:val="left"/>
              <w:rPr>
                <w:rFonts w:ascii="宋体" w:hAnsi="宋体" w:cs="宋体"/>
                <w:b/>
                <w:color w:val="auto"/>
                <w:kern w:val="0"/>
                <w:sz w:val="20"/>
                <w:highlight w:val="none"/>
              </w:rPr>
            </w:pPr>
            <w:r>
              <w:rPr>
                <w:rFonts w:hint="eastAsia" w:ascii="宋体" w:hAnsi="宋体" w:cs="宋体"/>
                <w:b/>
                <w:color w:val="auto"/>
                <w:kern w:val="0"/>
                <w:sz w:val="20"/>
                <w:highlight w:val="none"/>
              </w:rPr>
              <w:t>工程质量管理</w:t>
            </w:r>
          </w:p>
        </w:tc>
        <w:tc>
          <w:tcPr>
            <w:tcW w:w="5743" w:type="dxa"/>
            <w:tcBorders>
              <w:top w:val="single" w:color="auto" w:sz="4" w:space="0"/>
              <w:left w:val="single" w:color="auto" w:sz="4" w:space="0"/>
              <w:bottom w:val="single" w:color="auto" w:sz="4" w:space="0"/>
              <w:right w:val="single" w:color="auto" w:sz="4" w:space="0"/>
            </w:tcBorders>
            <w:vAlign w:val="center"/>
          </w:tcPr>
          <w:p w14:paraId="38B73EA6">
            <w:pPr>
              <w:widowControl/>
              <w:jc w:val="left"/>
              <w:rPr>
                <w:rFonts w:ascii="宋体" w:hAnsi="宋体" w:cs="宋体"/>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14:paraId="3741729E">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040D827F">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6242DB0C">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328846F2">
            <w:pPr>
              <w:widowControl/>
              <w:jc w:val="left"/>
              <w:rPr>
                <w:rFonts w:ascii="宋体" w:hAnsi="宋体" w:cs="宋体"/>
                <w:color w:val="auto"/>
                <w:kern w:val="0"/>
                <w:sz w:val="20"/>
                <w:highlight w:val="none"/>
              </w:rPr>
            </w:pPr>
          </w:p>
        </w:tc>
      </w:tr>
      <w:tr w14:paraId="5976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08ED01C">
            <w:pPr>
              <w:widowControl/>
              <w:jc w:val="center"/>
              <w:rPr>
                <w:rFonts w:ascii="宋体" w:hAnsi="宋体" w:cs="宋体"/>
                <w:b/>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14:paraId="1C985967">
            <w:pPr>
              <w:widowControl/>
              <w:jc w:val="left"/>
              <w:rPr>
                <w:rFonts w:ascii="宋体" w:hAnsi="宋体" w:cs="宋体"/>
                <w:b/>
                <w:color w:val="auto"/>
                <w:kern w:val="0"/>
                <w:sz w:val="20"/>
                <w:highlight w:val="none"/>
              </w:rPr>
            </w:pPr>
            <w:r>
              <w:rPr>
                <w:rFonts w:hint="eastAsia" w:ascii="宋体" w:hAnsi="宋体" w:cs="宋体"/>
                <w:b/>
                <w:color w:val="auto"/>
                <w:kern w:val="0"/>
                <w:sz w:val="20"/>
                <w:highlight w:val="none"/>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14:paraId="58203446">
            <w:pPr>
              <w:widowControl/>
              <w:jc w:val="left"/>
              <w:rPr>
                <w:rFonts w:ascii="宋体" w:hAnsi="宋体" w:cs="宋体"/>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14:paraId="4D16F728">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56349803">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0E9B0611">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58436AA5">
            <w:pPr>
              <w:widowControl/>
              <w:jc w:val="left"/>
              <w:rPr>
                <w:rFonts w:ascii="宋体" w:hAnsi="宋体" w:cs="宋体"/>
                <w:color w:val="auto"/>
                <w:kern w:val="0"/>
                <w:sz w:val="20"/>
                <w:highlight w:val="none"/>
              </w:rPr>
            </w:pPr>
          </w:p>
        </w:tc>
      </w:tr>
      <w:tr w14:paraId="17CD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98B65A3">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3.8.1</w:t>
            </w:r>
          </w:p>
        </w:tc>
        <w:tc>
          <w:tcPr>
            <w:tcW w:w="2161" w:type="dxa"/>
            <w:tcBorders>
              <w:top w:val="single" w:color="auto" w:sz="4" w:space="0"/>
              <w:left w:val="single" w:color="auto" w:sz="4" w:space="0"/>
              <w:bottom w:val="single" w:color="auto" w:sz="4" w:space="0"/>
              <w:right w:val="single" w:color="auto" w:sz="4" w:space="0"/>
            </w:tcBorders>
            <w:vAlign w:val="center"/>
          </w:tcPr>
          <w:p w14:paraId="52BC3D36">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469C0962">
            <w:pPr>
              <w:widowControl/>
              <w:jc w:val="left"/>
              <w:rPr>
                <w:rFonts w:ascii="宋体" w:hAnsi="宋体"/>
                <w:color w:val="auto"/>
                <w:sz w:val="20"/>
                <w:highlight w:val="none"/>
              </w:rPr>
            </w:pPr>
            <w:r>
              <w:rPr>
                <w:rFonts w:hint="eastAsia" w:ascii="宋体" w:hAnsi="宋体"/>
                <w:color w:val="auto"/>
                <w:sz w:val="20"/>
                <w:highlight w:val="none"/>
              </w:rPr>
              <w:t>工程通过自检而抽检不合格，不合格的原因是由于承包人偷工减料或故意采取欺瞒手段所致，每次处违约金50000元，并限期改正，工期不得顺延。</w:t>
            </w:r>
          </w:p>
        </w:tc>
        <w:tc>
          <w:tcPr>
            <w:tcW w:w="1429" w:type="dxa"/>
            <w:tcBorders>
              <w:top w:val="single" w:color="auto" w:sz="4" w:space="0"/>
              <w:left w:val="single" w:color="auto" w:sz="4" w:space="0"/>
              <w:bottom w:val="single" w:color="auto" w:sz="4" w:space="0"/>
              <w:right w:val="single" w:color="auto" w:sz="4" w:space="0"/>
            </w:tcBorders>
          </w:tcPr>
          <w:p w14:paraId="48FDE5B0">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52EC167D">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1B1B5BF7">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5522E09F">
            <w:pPr>
              <w:widowControl/>
              <w:jc w:val="left"/>
              <w:rPr>
                <w:rFonts w:ascii="宋体" w:hAnsi="宋体" w:cs="宋体"/>
                <w:color w:val="auto"/>
                <w:kern w:val="0"/>
                <w:sz w:val="20"/>
                <w:highlight w:val="none"/>
              </w:rPr>
            </w:pPr>
          </w:p>
        </w:tc>
      </w:tr>
      <w:tr w14:paraId="5CF3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C910924">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3.8.2</w:t>
            </w:r>
          </w:p>
        </w:tc>
        <w:tc>
          <w:tcPr>
            <w:tcW w:w="2161" w:type="dxa"/>
            <w:tcBorders>
              <w:top w:val="single" w:color="auto" w:sz="4" w:space="0"/>
              <w:left w:val="single" w:color="auto" w:sz="4" w:space="0"/>
              <w:bottom w:val="single" w:color="auto" w:sz="4" w:space="0"/>
              <w:right w:val="single" w:color="auto" w:sz="4" w:space="0"/>
            </w:tcBorders>
            <w:vAlign w:val="center"/>
          </w:tcPr>
          <w:p w14:paraId="6B9ED1D9">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2E18C3CB">
            <w:pPr>
              <w:widowControl/>
              <w:jc w:val="left"/>
              <w:rPr>
                <w:rFonts w:ascii="宋体" w:hAnsi="宋体"/>
                <w:color w:val="auto"/>
                <w:sz w:val="20"/>
                <w:highlight w:val="none"/>
              </w:rPr>
            </w:pPr>
            <w:r>
              <w:rPr>
                <w:rFonts w:hint="eastAsia" w:ascii="宋体" w:hAnsi="宋体"/>
                <w:color w:val="auto"/>
                <w:sz w:val="20"/>
                <w:highlight w:val="none"/>
              </w:rPr>
              <w:t>承包单位接到建设行政主管单位、建设（业主）单位、代建单位或质监站的工程整改通知后，未按要求在限期内进行整改的，每次处违约金1000～10000元。</w:t>
            </w:r>
          </w:p>
        </w:tc>
        <w:tc>
          <w:tcPr>
            <w:tcW w:w="1429" w:type="dxa"/>
            <w:tcBorders>
              <w:top w:val="single" w:color="auto" w:sz="4" w:space="0"/>
              <w:left w:val="single" w:color="auto" w:sz="4" w:space="0"/>
              <w:bottom w:val="single" w:color="auto" w:sz="4" w:space="0"/>
              <w:right w:val="single" w:color="auto" w:sz="4" w:space="0"/>
            </w:tcBorders>
          </w:tcPr>
          <w:p w14:paraId="5966B14A">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27028963">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2555880D">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1815F09C">
            <w:pPr>
              <w:widowControl/>
              <w:jc w:val="left"/>
              <w:rPr>
                <w:rFonts w:ascii="宋体" w:hAnsi="宋体" w:cs="宋体"/>
                <w:color w:val="auto"/>
                <w:kern w:val="0"/>
                <w:sz w:val="20"/>
                <w:highlight w:val="none"/>
              </w:rPr>
            </w:pPr>
          </w:p>
        </w:tc>
      </w:tr>
      <w:tr w14:paraId="5CC34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BB948B9">
            <w:pPr>
              <w:widowControl/>
              <w:jc w:val="center"/>
              <w:rPr>
                <w:rFonts w:ascii="宋体" w:hAnsi="宋体" w:cs="宋体"/>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14:paraId="0C8C2E90">
            <w:pPr>
              <w:widowControl/>
              <w:jc w:val="left"/>
              <w:rPr>
                <w:rFonts w:ascii="宋体" w:hAnsi="宋体"/>
                <w:b/>
                <w:color w:val="auto"/>
                <w:sz w:val="20"/>
                <w:highlight w:val="none"/>
              </w:rPr>
            </w:pPr>
            <w:r>
              <w:rPr>
                <w:rFonts w:hint="eastAsia" w:ascii="宋体" w:hAnsi="宋体"/>
                <w:b/>
                <w:color w:val="auto"/>
                <w:sz w:val="20"/>
                <w:highlight w:val="none"/>
              </w:rPr>
              <w:t>一般违约及严重违约</w:t>
            </w:r>
          </w:p>
        </w:tc>
        <w:tc>
          <w:tcPr>
            <w:tcW w:w="5743" w:type="dxa"/>
            <w:tcBorders>
              <w:top w:val="single" w:color="auto" w:sz="4" w:space="0"/>
              <w:left w:val="single" w:color="auto" w:sz="4" w:space="0"/>
              <w:bottom w:val="single" w:color="auto" w:sz="4" w:space="0"/>
              <w:right w:val="single" w:color="auto" w:sz="4" w:space="0"/>
            </w:tcBorders>
            <w:vAlign w:val="center"/>
          </w:tcPr>
          <w:p w14:paraId="2845737B">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14:paraId="05B40212">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43CAC059">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715D9CDE">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6062F715">
            <w:pPr>
              <w:widowControl/>
              <w:jc w:val="left"/>
              <w:rPr>
                <w:rFonts w:ascii="宋体" w:hAnsi="宋体" w:cs="宋体"/>
                <w:color w:val="auto"/>
                <w:kern w:val="0"/>
                <w:sz w:val="20"/>
                <w:highlight w:val="none"/>
              </w:rPr>
            </w:pPr>
          </w:p>
        </w:tc>
      </w:tr>
      <w:tr w14:paraId="13E0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FD74A7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3.8.3</w:t>
            </w:r>
          </w:p>
        </w:tc>
        <w:tc>
          <w:tcPr>
            <w:tcW w:w="2161" w:type="dxa"/>
            <w:tcBorders>
              <w:top w:val="single" w:color="auto" w:sz="4" w:space="0"/>
              <w:left w:val="single" w:color="auto" w:sz="4" w:space="0"/>
              <w:bottom w:val="single" w:color="auto" w:sz="4" w:space="0"/>
              <w:right w:val="single" w:color="auto" w:sz="4" w:space="0"/>
            </w:tcBorders>
            <w:vAlign w:val="center"/>
          </w:tcPr>
          <w:p w14:paraId="7C5E173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如承包人申请报验后，经总监理工程师或发包人检查发现存在较大质量问题（如存在质量问题的部分超过检查部分工程的10％的）</w:t>
            </w:r>
          </w:p>
        </w:tc>
        <w:tc>
          <w:tcPr>
            <w:tcW w:w="5743" w:type="dxa"/>
            <w:tcBorders>
              <w:top w:val="single" w:color="auto" w:sz="4" w:space="0"/>
              <w:left w:val="single" w:color="auto" w:sz="4" w:space="0"/>
              <w:bottom w:val="single" w:color="auto" w:sz="4" w:space="0"/>
              <w:right w:val="single" w:color="auto" w:sz="4" w:space="0"/>
            </w:tcBorders>
            <w:vAlign w:val="center"/>
          </w:tcPr>
          <w:p w14:paraId="397F6C29">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必须对不合格部分进行返工，返工后经检查合格才准进入下一工序，工期不予顺延。复检的结果，按每一分项工程计算，总计发现3次或连续发现2次质量控制点不合格的，承包人承担一次一般违约责任；总计发现3次以上（不含本数）或连续发现2次以上（不含本数）质量控制点不合格的，承包人承担一次严重违约责任；承包人采取整改措施后效果仍不明显的，发包人有权部分解除合同，将该分项工程另行发包，并不免除承包人应承担的违约赔偿责任。</w:t>
            </w:r>
          </w:p>
        </w:tc>
        <w:tc>
          <w:tcPr>
            <w:tcW w:w="1429" w:type="dxa"/>
            <w:tcBorders>
              <w:top w:val="single" w:color="auto" w:sz="4" w:space="0"/>
              <w:left w:val="single" w:color="auto" w:sz="4" w:space="0"/>
              <w:bottom w:val="single" w:color="auto" w:sz="4" w:space="0"/>
              <w:right w:val="single" w:color="auto" w:sz="4" w:space="0"/>
            </w:tcBorders>
          </w:tcPr>
          <w:p w14:paraId="3D114A54">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6466EBDC">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34B8204C">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1E80CBFB">
            <w:pPr>
              <w:widowControl/>
              <w:jc w:val="left"/>
              <w:rPr>
                <w:rFonts w:ascii="宋体" w:hAnsi="宋体" w:cs="宋体"/>
                <w:color w:val="auto"/>
                <w:kern w:val="0"/>
                <w:sz w:val="20"/>
                <w:highlight w:val="none"/>
              </w:rPr>
            </w:pPr>
          </w:p>
        </w:tc>
      </w:tr>
      <w:tr w14:paraId="5C07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EED57D4">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3.8.4</w:t>
            </w:r>
          </w:p>
        </w:tc>
        <w:tc>
          <w:tcPr>
            <w:tcW w:w="2161" w:type="dxa"/>
            <w:tcBorders>
              <w:top w:val="single" w:color="auto" w:sz="4" w:space="0"/>
              <w:left w:val="single" w:color="auto" w:sz="4" w:space="0"/>
              <w:bottom w:val="single" w:color="auto" w:sz="4" w:space="0"/>
              <w:right w:val="single" w:color="auto" w:sz="4" w:space="0"/>
            </w:tcBorders>
            <w:vAlign w:val="center"/>
          </w:tcPr>
          <w:p w14:paraId="38AF77EB">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工程达不到合同约定的质量目标的</w:t>
            </w:r>
          </w:p>
        </w:tc>
        <w:tc>
          <w:tcPr>
            <w:tcW w:w="5743" w:type="dxa"/>
            <w:tcBorders>
              <w:top w:val="single" w:color="auto" w:sz="4" w:space="0"/>
              <w:left w:val="single" w:color="auto" w:sz="4" w:space="0"/>
              <w:bottom w:val="single" w:color="auto" w:sz="4" w:space="0"/>
              <w:right w:val="single" w:color="auto" w:sz="4" w:space="0"/>
            </w:tcBorders>
            <w:vAlign w:val="center"/>
          </w:tcPr>
          <w:p w14:paraId="3E7101A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承包人向发包人交纳审定结算总价1％的违约金，但必须整改至合同约定的质量等级。</w:t>
            </w:r>
          </w:p>
        </w:tc>
        <w:tc>
          <w:tcPr>
            <w:tcW w:w="1429" w:type="dxa"/>
            <w:tcBorders>
              <w:top w:val="single" w:color="auto" w:sz="4" w:space="0"/>
              <w:left w:val="single" w:color="auto" w:sz="4" w:space="0"/>
              <w:bottom w:val="single" w:color="auto" w:sz="4" w:space="0"/>
              <w:right w:val="single" w:color="auto" w:sz="4" w:space="0"/>
            </w:tcBorders>
          </w:tcPr>
          <w:p w14:paraId="4974093B">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7B58EFE3">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31F72C78">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48AC2018">
            <w:pPr>
              <w:widowControl/>
              <w:jc w:val="left"/>
              <w:rPr>
                <w:rFonts w:ascii="宋体" w:hAnsi="宋体" w:cs="宋体"/>
                <w:color w:val="auto"/>
                <w:kern w:val="0"/>
                <w:sz w:val="20"/>
                <w:highlight w:val="none"/>
              </w:rPr>
            </w:pPr>
          </w:p>
        </w:tc>
      </w:tr>
      <w:tr w14:paraId="4315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1E8162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3.8.5</w:t>
            </w:r>
          </w:p>
        </w:tc>
        <w:tc>
          <w:tcPr>
            <w:tcW w:w="2161" w:type="dxa"/>
            <w:tcBorders>
              <w:top w:val="single" w:color="auto" w:sz="4" w:space="0"/>
              <w:left w:val="single" w:color="auto" w:sz="4" w:space="0"/>
              <w:bottom w:val="single" w:color="auto" w:sz="4" w:space="0"/>
              <w:right w:val="single" w:color="auto" w:sz="4" w:space="0"/>
            </w:tcBorders>
            <w:vAlign w:val="center"/>
          </w:tcPr>
          <w:p w14:paraId="18D80E3E">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在施工过程中工程发现重大质量问题或在工程保修期内发现重大质量不合格问题（该重大质量问题应界定为达不到要求的质量标准，属质量保修的问题除外）</w:t>
            </w:r>
          </w:p>
        </w:tc>
        <w:tc>
          <w:tcPr>
            <w:tcW w:w="5743" w:type="dxa"/>
            <w:tcBorders>
              <w:top w:val="single" w:color="auto" w:sz="4" w:space="0"/>
              <w:left w:val="single" w:color="auto" w:sz="4" w:space="0"/>
              <w:bottom w:val="single" w:color="auto" w:sz="4" w:space="0"/>
              <w:right w:val="single" w:color="auto" w:sz="4" w:space="0"/>
            </w:tcBorders>
            <w:vAlign w:val="center"/>
          </w:tcPr>
          <w:p w14:paraId="3EB86E8F">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承包人必须在规定的期限整改或返工达到合同约定的质量等级，并按该项目所处分项工程造价3％计算向发包人承担支付违约金的责任。</w:t>
            </w:r>
          </w:p>
        </w:tc>
        <w:tc>
          <w:tcPr>
            <w:tcW w:w="1429" w:type="dxa"/>
            <w:tcBorders>
              <w:top w:val="single" w:color="auto" w:sz="4" w:space="0"/>
              <w:left w:val="single" w:color="auto" w:sz="4" w:space="0"/>
              <w:bottom w:val="single" w:color="auto" w:sz="4" w:space="0"/>
              <w:right w:val="single" w:color="auto" w:sz="4" w:space="0"/>
            </w:tcBorders>
          </w:tcPr>
          <w:p w14:paraId="7C1FAA38">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267FF8F1">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32D350F8">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5EA283E7">
            <w:pPr>
              <w:widowControl/>
              <w:jc w:val="left"/>
              <w:rPr>
                <w:rFonts w:ascii="宋体" w:hAnsi="宋体" w:cs="宋体"/>
                <w:color w:val="auto"/>
                <w:kern w:val="0"/>
                <w:sz w:val="20"/>
                <w:highlight w:val="none"/>
              </w:rPr>
            </w:pPr>
          </w:p>
        </w:tc>
      </w:tr>
      <w:tr w14:paraId="39148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5E55F48">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4</w:t>
            </w:r>
          </w:p>
        </w:tc>
        <w:tc>
          <w:tcPr>
            <w:tcW w:w="2161" w:type="dxa"/>
            <w:tcBorders>
              <w:top w:val="single" w:color="auto" w:sz="4" w:space="0"/>
              <w:left w:val="single" w:color="auto" w:sz="4" w:space="0"/>
              <w:bottom w:val="single" w:color="auto" w:sz="4" w:space="0"/>
              <w:right w:val="single" w:color="auto" w:sz="4" w:space="0"/>
            </w:tcBorders>
            <w:vAlign w:val="center"/>
          </w:tcPr>
          <w:p w14:paraId="3DF03A57">
            <w:pPr>
              <w:widowControl/>
              <w:jc w:val="left"/>
              <w:rPr>
                <w:rFonts w:ascii="宋体" w:hAnsi="宋体"/>
                <w:color w:val="auto"/>
                <w:sz w:val="20"/>
                <w:highlight w:val="none"/>
              </w:rPr>
            </w:pPr>
            <w:r>
              <w:rPr>
                <w:rFonts w:hint="eastAsia" w:ascii="宋体" w:hAnsi="宋体"/>
                <w:b/>
                <w:color w:val="auto"/>
                <w:sz w:val="20"/>
                <w:highlight w:val="none"/>
              </w:rPr>
              <w:t>内业资料及其他事项</w:t>
            </w:r>
          </w:p>
        </w:tc>
        <w:tc>
          <w:tcPr>
            <w:tcW w:w="5743" w:type="dxa"/>
            <w:tcBorders>
              <w:top w:val="single" w:color="auto" w:sz="4" w:space="0"/>
              <w:left w:val="single" w:color="auto" w:sz="4" w:space="0"/>
              <w:bottom w:val="single" w:color="auto" w:sz="4" w:space="0"/>
              <w:right w:val="single" w:color="auto" w:sz="4" w:space="0"/>
            </w:tcBorders>
            <w:vAlign w:val="center"/>
          </w:tcPr>
          <w:p w14:paraId="00DB9AEE">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14:paraId="327D6829">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4DEB4A4D">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3C416735">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19499C45">
            <w:pPr>
              <w:widowControl/>
              <w:jc w:val="left"/>
              <w:rPr>
                <w:rFonts w:ascii="宋体" w:hAnsi="宋体" w:cs="宋体"/>
                <w:color w:val="auto"/>
                <w:kern w:val="0"/>
                <w:sz w:val="20"/>
                <w:highlight w:val="none"/>
              </w:rPr>
            </w:pPr>
          </w:p>
        </w:tc>
      </w:tr>
      <w:tr w14:paraId="75AA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92B7992">
            <w:pPr>
              <w:widowControl/>
              <w:jc w:val="center"/>
              <w:rPr>
                <w:rFonts w:ascii="宋体" w:hAnsi="宋体" w:cs="宋体"/>
                <w:b/>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14:paraId="324729F0">
            <w:pPr>
              <w:widowControl/>
              <w:jc w:val="left"/>
              <w:rPr>
                <w:rFonts w:ascii="宋体" w:hAnsi="宋体"/>
                <w:b/>
                <w:color w:val="auto"/>
                <w:sz w:val="20"/>
                <w:highlight w:val="none"/>
              </w:rPr>
            </w:pPr>
            <w:r>
              <w:rPr>
                <w:rFonts w:hint="eastAsia" w:ascii="宋体" w:hAnsi="宋体"/>
                <w:b/>
                <w:color w:val="auto"/>
                <w:sz w:val="20"/>
                <w:highlight w:val="none"/>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14:paraId="4A8D827E">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14:paraId="493E83AE">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238D54F8">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28A042BE">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28E9E9CA">
            <w:pPr>
              <w:widowControl/>
              <w:jc w:val="left"/>
              <w:rPr>
                <w:rFonts w:ascii="宋体" w:hAnsi="宋体" w:cs="宋体"/>
                <w:color w:val="auto"/>
                <w:kern w:val="0"/>
                <w:sz w:val="20"/>
                <w:highlight w:val="none"/>
              </w:rPr>
            </w:pPr>
          </w:p>
        </w:tc>
      </w:tr>
      <w:tr w14:paraId="08A7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8CB4F2A">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4.1</w:t>
            </w:r>
          </w:p>
        </w:tc>
        <w:tc>
          <w:tcPr>
            <w:tcW w:w="2161" w:type="dxa"/>
            <w:tcBorders>
              <w:top w:val="single" w:color="auto" w:sz="4" w:space="0"/>
              <w:left w:val="single" w:color="auto" w:sz="4" w:space="0"/>
              <w:bottom w:val="single" w:color="auto" w:sz="4" w:space="0"/>
              <w:right w:val="single" w:color="auto" w:sz="4" w:space="0"/>
            </w:tcBorders>
            <w:vAlign w:val="center"/>
          </w:tcPr>
          <w:p w14:paraId="50F58D05">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0D8A5E75">
            <w:pPr>
              <w:widowControl/>
              <w:jc w:val="left"/>
              <w:rPr>
                <w:rFonts w:ascii="宋体" w:hAnsi="宋体"/>
                <w:color w:val="auto"/>
                <w:sz w:val="20"/>
                <w:highlight w:val="none"/>
              </w:rPr>
            </w:pPr>
            <w:r>
              <w:rPr>
                <w:rFonts w:hint="eastAsia" w:ascii="宋体" w:hAnsi="宋体"/>
                <w:color w:val="auto"/>
                <w:sz w:val="20"/>
                <w:highlight w:val="none"/>
              </w:rPr>
              <w:t>内业原始资料故意弄虚作假的，每次处违约金2000元，并限期纠正。</w:t>
            </w:r>
          </w:p>
        </w:tc>
        <w:tc>
          <w:tcPr>
            <w:tcW w:w="1429" w:type="dxa"/>
            <w:tcBorders>
              <w:top w:val="single" w:color="auto" w:sz="4" w:space="0"/>
              <w:left w:val="single" w:color="auto" w:sz="4" w:space="0"/>
              <w:bottom w:val="single" w:color="auto" w:sz="4" w:space="0"/>
              <w:right w:val="single" w:color="auto" w:sz="4" w:space="0"/>
            </w:tcBorders>
          </w:tcPr>
          <w:p w14:paraId="62694356">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50A49E9C">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0A488829">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149C9AF7">
            <w:pPr>
              <w:widowControl/>
              <w:jc w:val="left"/>
              <w:rPr>
                <w:rFonts w:ascii="宋体" w:hAnsi="宋体" w:cs="宋体"/>
                <w:color w:val="auto"/>
                <w:kern w:val="0"/>
                <w:sz w:val="20"/>
                <w:highlight w:val="none"/>
              </w:rPr>
            </w:pPr>
          </w:p>
        </w:tc>
      </w:tr>
      <w:tr w14:paraId="725C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161353E">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 xml:space="preserve">4.2 </w:t>
            </w:r>
          </w:p>
        </w:tc>
        <w:tc>
          <w:tcPr>
            <w:tcW w:w="2161" w:type="dxa"/>
            <w:tcBorders>
              <w:top w:val="single" w:color="auto" w:sz="4" w:space="0"/>
              <w:left w:val="single" w:color="auto" w:sz="4" w:space="0"/>
              <w:bottom w:val="single" w:color="auto" w:sz="4" w:space="0"/>
              <w:right w:val="single" w:color="auto" w:sz="4" w:space="0"/>
            </w:tcBorders>
            <w:vAlign w:val="center"/>
          </w:tcPr>
          <w:p w14:paraId="6A4D77F4">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5572C5E6">
            <w:pPr>
              <w:widowControl/>
              <w:jc w:val="left"/>
              <w:rPr>
                <w:rFonts w:ascii="宋体" w:hAnsi="宋体"/>
                <w:color w:val="auto"/>
                <w:sz w:val="20"/>
                <w:highlight w:val="none"/>
              </w:rPr>
            </w:pPr>
            <w:r>
              <w:rPr>
                <w:rFonts w:hint="eastAsia" w:ascii="宋体" w:hAnsi="宋体"/>
                <w:color w:val="auto"/>
                <w:sz w:val="20"/>
                <w:highlight w:val="none"/>
              </w:rPr>
              <w:t>内业原始资料和整理资料未按要求及时归档，每次处违约金500元，并限期纠正</w:t>
            </w:r>
          </w:p>
        </w:tc>
        <w:tc>
          <w:tcPr>
            <w:tcW w:w="1429" w:type="dxa"/>
            <w:tcBorders>
              <w:top w:val="single" w:color="auto" w:sz="4" w:space="0"/>
              <w:left w:val="single" w:color="auto" w:sz="4" w:space="0"/>
              <w:bottom w:val="single" w:color="auto" w:sz="4" w:space="0"/>
              <w:right w:val="single" w:color="auto" w:sz="4" w:space="0"/>
            </w:tcBorders>
          </w:tcPr>
          <w:p w14:paraId="5D8BDC4A">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529F803D">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17EFDDF6">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679E7249">
            <w:pPr>
              <w:widowControl/>
              <w:jc w:val="left"/>
              <w:rPr>
                <w:rFonts w:ascii="宋体" w:hAnsi="宋体" w:cs="宋体"/>
                <w:color w:val="auto"/>
                <w:kern w:val="0"/>
                <w:sz w:val="20"/>
                <w:highlight w:val="none"/>
              </w:rPr>
            </w:pPr>
          </w:p>
        </w:tc>
      </w:tr>
      <w:tr w14:paraId="233E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3BF3047">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4.3</w:t>
            </w:r>
          </w:p>
        </w:tc>
        <w:tc>
          <w:tcPr>
            <w:tcW w:w="2161" w:type="dxa"/>
            <w:tcBorders>
              <w:top w:val="single" w:color="auto" w:sz="4" w:space="0"/>
              <w:left w:val="single" w:color="auto" w:sz="4" w:space="0"/>
              <w:bottom w:val="single" w:color="auto" w:sz="4" w:space="0"/>
              <w:right w:val="single" w:color="auto" w:sz="4" w:space="0"/>
            </w:tcBorders>
            <w:vAlign w:val="center"/>
          </w:tcPr>
          <w:p w14:paraId="6029D6AE">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4A69E586">
            <w:pPr>
              <w:widowControl/>
              <w:jc w:val="left"/>
              <w:rPr>
                <w:rFonts w:ascii="宋体" w:hAnsi="宋体"/>
                <w:color w:val="auto"/>
                <w:sz w:val="20"/>
                <w:highlight w:val="none"/>
              </w:rPr>
            </w:pPr>
            <w:r>
              <w:rPr>
                <w:rFonts w:hint="eastAsia" w:ascii="宋体" w:hAnsi="宋体"/>
                <w:color w:val="auto"/>
                <w:sz w:val="20"/>
                <w:highlight w:val="none"/>
              </w:rPr>
              <w:t>上一道工序未经过监理工程师签认就进行下一道工序施工的，每次处违约金5000元，并限期整改。</w:t>
            </w:r>
          </w:p>
        </w:tc>
        <w:tc>
          <w:tcPr>
            <w:tcW w:w="1429" w:type="dxa"/>
            <w:tcBorders>
              <w:top w:val="single" w:color="auto" w:sz="4" w:space="0"/>
              <w:left w:val="single" w:color="auto" w:sz="4" w:space="0"/>
              <w:bottom w:val="single" w:color="auto" w:sz="4" w:space="0"/>
              <w:right w:val="single" w:color="auto" w:sz="4" w:space="0"/>
            </w:tcBorders>
          </w:tcPr>
          <w:p w14:paraId="65176278">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15FE21ED">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3E394AE9">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2D156B82">
            <w:pPr>
              <w:widowControl/>
              <w:jc w:val="left"/>
              <w:rPr>
                <w:rFonts w:ascii="宋体" w:hAnsi="宋体" w:cs="宋体"/>
                <w:color w:val="auto"/>
                <w:kern w:val="0"/>
                <w:sz w:val="20"/>
                <w:highlight w:val="none"/>
              </w:rPr>
            </w:pPr>
          </w:p>
        </w:tc>
      </w:tr>
      <w:tr w14:paraId="57A7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45A872A">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4.4</w:t>
            </w:r>
          </w:p>
        </w:tc>
        <w:tc>
          <w:tcPr>
            <w:tcW w:w="2161" w:type="dxa"/>
            <w:tcBorders>
              <w:top w:val="single" w:color="auto" w:sz="4" w:space="0"/>
              <w:left w:val="single" w:color="auto" w:sz="4" w:space="0"/>
              <w:bottom w:val="single" w:color="auto" w:sz="4" w:space="0"/>
              <w:right w:val="single" w:color="auto" w:sz="4" w:space="0"/>
            </w:tcBorders>
            <w:vAlign w:val="center"/>
          </w:tcPr>
          <w:p w14:paraId="0872A073">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53654B66">
            <w:pPr>
              <w:widowControl/>
              <w:jc w:val="left"/>
              <w:rPr>
                <w:rFonts w:ascii="宋体" w:hAnsi="宋体"/>
                <w:color w:val="auto"/>
                <w:sz w:val="20"/>
                <w:highlight w:val="none"/>
              </w:rPr>
            </w:pPr>
            <w:r>
              <w:rPr>
                <w:rFonts w:hint="eastAsia" w:ascii="宋体" w:hAnsi="宋体"/>
                <w:color w:val="auto"/>
                <w:sz w:val="20"/>
                <w:highlight w:val="none"/>
              </w:rPr>
              <w:t>承包单位未按有关规定派驻施工现场管理人员（施工员）的，每次处违约金1000元，超过24小时没有施工员在场而继续施工，每次处违约金5000元。</w:t>
            </w:r>
          </w:p>
        </w:tc>
        <w:tc>
          <w:tcPr>
            <w:tcW w:w="1429" w:type="dxa"/>
            <w:tcBorders>
              <w:top w:val="single" w:color="auto" w:sz="4" w:space="0"/>
              <w:left w:val="single" w:color="auto" w:sz="4" w:space="0"/>
              <w:bottom w:val="single" w:color="auto" w:sz="4" w:space="0"/>
              <w:right w:val="single" w:color="auto" w:sz="4" w:space="0"/>
            </w:tcBorders>
          </w:tcPr>
          <w:p w14:paraId="77D1515B">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05081209">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1F2695AF">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38B95EC0">
            <w:pPr>
              <w:widowControl/>
              <w:jc w:val="left"/>
              <w:rPr>
                <w:rFonts w:ascii="宋体" w:hAnsi="宋体" w:cs="宋体"/>
                <w:color w:val="auto"/>
                <w:kern w:val="0"/>
                <w:sz w:val="20"/>
                <w:highlight w:val="none"/>
              </w:rPr>
            </w:pPr>
          </w:p>
        </w:tc>
      </w:tr>
      <w:tr w14:paraId="799DA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DDE1101">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5</w:t>
            </w:r>
          </w:p>
        </w:tc>
        <w:tc>
          <w:tcPr>
            <w:tcW w:w="2161" w:type="dxa"/>
            <w:tcBorders>
              <w:top w:val="single" w:color="auto" w:sz="4" w:space="0"/>
              <w:left w:val="single" w:color="auto" w:sz="4" w:space="0"/>
              <w:bottom w:val="single" w:color="auto" w:sz="4" w:space="0"/>
              <w:right w:val="single" w:color="auto" w:sz="4" w:space="0"/>
            </w:tcBorders>
            <w:vAlign w:val="center"/>
          </w:tcPr>
          <w:p w14:paraId="356559E0">
            <w:pPr>
              <w:widowControl/>
              <w:jc w:val="left"/>
              <w:rPr>
                <w:rFonts w:ascii="宋体" w:hAnsi="宋体"/>
                <w:b/>
                <w:color w:val="auto"/>
                <w:sz w:val="20"/>
                <w:highlight w:val="none"/>
              </w:rPr>
            </w:pPr>
            <w:r>
              <w:rPr>
                <w:rFonts w:hint="eastAsia" w:ascii="宋体" w:hAnsi="宋体"/>
                <w:b/>
                <w:color w:val="auto"/>
                <w:sz w:val="20"/>
                <w:highlight w:val="none"/>
              </w:rPr>
              <w:t>安全生产管理</w:t>
            </w:r>
          </w:p>
        </w:tc>
        <w:tc>
          <w:tcPr>
            <w:tcW w:w="5743" w:type="dxa"/>
            <w:tcBorders>
              <w:top w:val="single" w:color="auto" w:sz="4" w:space="0"/>
              <w:left w:val="single" w:color="auto" w:sz="4" w:space="0"/>
              <w:bottom w:val="single" w:color="auto" w:sz="4" w:space="0"/>
              <w:right w:val="single" w:color="auto" w:sz="4" w:space="0"/>
            </w:tcBorders>
            <w:vAlign w:val="center"/>
          </w:tcPr>
          <w:p w14:paraId="2A9D9286">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14:paraId="762DEBF9">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376D35AC">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6952651C">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1C2AEBFF">
            <w:pPr>
              <w:widowControl/>
              <w:jc w:val="left"/>
              <w:rPr>
                <w:rFonts w:ascii="宋体" w:hAnsi="宋体" w:cs="宋体"/>
                <w:color w:val="auto"/>
                <w:kern w:val="0"/>
                <w:sz w:val="20"/>
                <w:highlight w:val="none"/>
              </w:rPr>
            </w:pPr>
          </w:p>
        </w:tc>
      </w:tr>
      <w:tr w14:paraId="565A2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D13B5B2">
            <w:pPr>
              <w:widowControl/>
              <w:jc w:val="center"/>
              <w:rPr>
                <w:rFonts w:ascii="宋体" w:hAnsi="宋体" w:cs="宋体"/>
                <w:b/>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14:paraId="41F292F7">
            <w:pPr>
              <w:widowControl/>
              <w:jc w:val="left"/>
              <w:rPr>
                <w:rFonts w:ascii="宋体" w:hAnsi="宋体"/>
                <w:b/>
                <w:color w:val="auto"/>
                <w:sz w:val="20"/>
                <w:highlight w:val="none"/>
              </w:rPr>
            </w:pPr>
            <w:r>
              <w:rPr>
                <w:rFonts w:hint="eastAsia" w:ascii="宋体" w:hAnsi="宋体"/>
                <w:b/>
                <w:color w:val="auto"/>
                <w:sz w:val="20"/>
                <w:highlight w:val="none"/>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14:paraId="2863FCC2">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14:paraId="71FCE14C">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1FFFDC32">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4E1F9BF7">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16CEA0B8">
            <w:pPr>
              <w:widowControl/>
              <w:jc w:val="left"/>
              <w:rPr>
                <w:rFonts w:ascii="宋体" w:hAnsi="宋体" w:cs="宋体"/>
                <w:color w:val="auto"/>
                <w:kern w:val="0"/>
                <w:sz w:val="20"/>
                <w:highlight w:val="none"/>
              </w:rPr>
            </w:pPr>
          </w:p>
        </w:tc>
      </w:tr>
      <w:tr w14:paraId="0D0DD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F67BF5D">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5.1</w:t>
            </w:r>
          </w:p>
        </w:tc>
        <w:tc>
          <w:tcPr>
            <w:tcW w:w="2161" w:type="dxa"/>
            <w:tcBorders>
              <w:top w:val="single" w:color="auto" w:sz="4" w:space="0"/>
              <w:left w:val="single" w:color="auto" w:sz="4" w:space="0"/>
              <w:bottom w:val="single" w:color="auto" w:sz="4" w:space="0"/>
              <w:right w:val="single" w:color="auto" w:sz="4" w:space="0"/>
            </w:tcBorders>
            <w:vAlign w:val="center"/>
          </w:tcPr>
          <w:p w14:paraId="0429B634">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7FF74A80">
            <w:pPr>
              <w:widowControl/>
              <w:jc w:val="left"/>
              <w:rPr>
                <w:rFonts w:ascii="宋体" w:hAnsi="宋体"/>
                <w:color w:val="auto"/>
                <w:sz w:val="20"/>
                <w:highlight w:val="none"/>
              </w:rPr>
            </w:pPr>
            <w:r>
              <w:rPr>
                <w:rFonts w:hint="eastAsia" w:ascii="宋体" w:hAnsi="宋体"/>
                <w:color w:val="auto"/>
                <w:kern w:val="0"/>
                <w:sz w:val="20"/>
                <w:highlight w:val="none"/>
              </w:rPr>
              <w:t>施工现场没有设立工地安全员（要有书面的岗位职责，有明确的人员名牌挂在工地的指挥部）</w:t>
            </w:r>
          </w:p>
        </w:tc>
        <w:tc>
          <w:tcPr>
            <w:tcW w:w="1429" w:type="dxa"/>
            <w:tcBorders>
              <w:top w:val="single" w:color="auto" w:sz="4" w:space="0"/>
              <w:left w:val="single" w:color="auto" w:sz="4" w:space="0"/>
              <w:bottom w:val="single" w:color="auto" w:sz="4" w:space="0"/>
              <w:right w:val="single" w:color="auto" w:sz="4" w:space="0"/>
            </w:tcBorders>
          </w:tcPr>
          <w:p w14:paraId="63507385">
            <w:pPr>
              <w:widowControl/>
              <w:jc w:val="left"/>
              <w:rPr>
                <w:rFonts w:ascii="宋体" w:hAnsi="宋体" w:cs="宋体"/>
                <w:color w:val="auto"/>
                <w:kern w:val="0"/>
                <w:sz w:val="20"/>
                <w:highlight w:val="none"/>
              </w:rPr>
            </w:pPr>
            <w:r>
              <w:rPr>
                <w:rFonts w:hint="eastAsia" w:ascii="宋体" w:hAnsi="宋体"/>
                <w:color w:val="auto"/>
                <w:kern w:val="0"/>
                <w:sz w:val="20"/>
                <w:highlight w:val="none"/>
              </w:rPr>
              <w:t>500元</w:t>
            </w:r>
          </w:p>
        </w:tc>
        <w:tc>
          <w:tcPr>
            <w:tcW w:w="1941" w:type="dxa"/>
            <w:tcBorders>
              <w:top w:val="single" w:color="auto" w:sz="4" w:space="0"/>
              <w:left w:val="single" w:color="auto" w:sz="4" w:space="0"/>
              <w:bottom w:val="single" w:color="auto" w:sz="4" w:space="0"/>
              <w:right w:val="single" w:color="auto" w:sz="4" w:space="0"/>
            </w:tcBorders>
          </w:tcPr>
          <w:p w14:paraId="0F24CC39">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33EC7D0E">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3A163965">
            <w:pPr>
              <w:jc w:val="center"/>
              <w:rPr>
                <w:rFonts w:ascii="宋体" w:hAnsi="宋体"/>
                <w:b/>
                <w:color w:val="auto"/>
                <w:sz w:val="20"/>
                <w:highlight w:val="none"/>
              </w:rPr>
            </w:pPr>
          </w:p>
        </w:tc>
      </w:tr>
      <w:tr w14:paraId="7894F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C10EE24">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5.2</w:t>
            </w:r>
          </w:p>
        </w:tc>
        <w:tc>
          <w:tcPr>
            <w:tcW w:w="2161" w:type="dxa"/>
            <w:tcBorders>
              <w:top w:val="single" w:color="auto" w:sz="4" w:space="0"/>
              <w:left w:val="single" w:color="auto" w:sz="4" w:space="0"/>
              <w:bottom w:val="single" w:color="auto" w:sz="4" w:space="0"/>
              <w:right w:val="single" w:color="auto" w:sz="4" w:space="0"/>
            </w:tcBorders>
            <w:vAlign w:val="center"/>
          </w:tcPr>
          <w:p w14:paraId="4B289B51">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61D997F9">
            <w:pPr>
              <w:widowControl/>
              <w:jc w:val="left"/>
              <w:rPr>
                <w:rFonts w:ascii="宋体" w:hAnsi="宋体"/>
                <w:color w:val="auto"/>
                <w:sz w:val="20"/>
                <w:highlight w:val="none"/>
              </w:rPr>
            </w:pPr>
            <w:r>
              <w:rPr>
                <w:rFonts w:hint="eastAsia" w:ascii="宋体" w:hAnsi="宋体"/>
                <w:color w:val="auto"/>
                <w:kern w:val="0"/>
                <w:sz w:val="20"/>
                <w:highlight w:val="none"/>
              </w:rPr>
              <w:t>没有按规定报批并发送安全生产、文明施工技术措施方案或特殊工程（部位）没有编写专项的安全生产技术措施并经批准</w:t>
            </w:r>
          </w:p>
        </w:tc>
        <w:tc>
          <w:tcPr>
            <w:tcW w:w="1429" w:type="dxa"/>
            <w:tcBorders>
              <w:top w:val="single" w:color="auto" w:sz="4" w:space="0"/>
              <w:left w:val="single" w:color="auto" w:sz="4" w:space="0"/>
              <w:bottom w:val="single" w:color="auto" w:sz="4" w:space="0"/>
              <w:right w:val="single" w:color="auto" w:sz="4" w:space="0"/>
            </w:tcBorders>
          </w:tcPr>
          <w:p w14:paraId="024C9206">
            <w:pPr>
              <w:widowControl/>
              <w:jc w:val="left"/>
              <w:rPr>
                <w:rFonts w:ascii="宋体" w:hAnsi="宋体" w:cs="宋体"/>
                <w:color w:val="auto"/>
                <w:kern w:val="0"/>
                <w:sz w:val="20"/>
                <w:highlight w:val="none"/>
              </w:rPr>
            </w:pPr>
            <w:r>
              <w:rPr>
                <w:rFonts w:hint="eastAsia" w:ascii="宋体" w:hAnsi="宋体"/>
                <w:color w:val="auto"/>
                <w:kern w:val="0"/>
                <w:sz w:val="20"/>
                <w:highlight w:val="none"/>
              </w:rPr>
              <w:t>500元</w:t>
            </w:r>
          </w:p>
        </w:tc>
        <w:tc>
          <w:tcPr>
            <w:tcW w:w="1941" w:type="dxa"/>
            <w:tcBorders>
              <w:top w:val="single" w:color="auto" w:sz="4" w:space="0"/>
              <w:left w:val="single" w:color="auto" w:sz="4" w:space="0"/>
              <w:bottom w:val="single" w:color="auto" w:sz="4" w:space="0"/>
              <w:right w:val="single" w:color="auto" w:sz="4" w:space="0"/>
            </w:tcBorders>
          </w:tcPr>
          <w:p w14:paraId="1B12EF0F">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7355CD2A">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14CA9443">
            <w:pPr>
              <w:jc w:val="center"/>
              <w:rPr>
                <w:rFonts w:ascii="宋体" w:hAnsi="宋体"/>
                <w:b/>
                <w:color w:val="auto"/>
                <w:sz w:val="20"/>
                <w:highlight w:val="none"/>
              </w:rPr>
            </w:pPr>
          </w:p>
        </w:tc>
      </w:tr>
      <w:tr w14:paraId="15BDD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29F7F71">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5.3</w:t>
            </w:r>
          </w:p>
        </w:tc>
        <w:tc>
          <w:tcPr>
            <w:tcW w:w="2161" w:type="dxa"/>
            <w:tcBorders>
              <w:top w:val="single" w:color="auto" w:sz="4" w:space="0"/>
              <w:left w:val="single" w:color="auto" w:sz="4" w:space="0"/>
              <w:bottom w:val="single" w:color="auto" w:sz="4" w:space="0"/>
              <w:right w:val="single" w:color="auto" w:sz="4" w:space="0"/>
            </w:tcBorders>
            <w:vAlign w:val="center"/>
          </w:tcPr>
          <w:p w14:paraId="2F6B40BE">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302639C5">
            <w:pPr>
              <w:widowControl/>
              <w:jc w:val="left"/>
              <w:rPr>
                <w:rFonts w:ascii="宋体" w:hAnsi="宋体"/>
                <w:color w:val="auto"/>
                <w:sz w:val="20"/>
                <w:highlight w:val="none"/>
              </w:rPr>
            </w:pPr>
            <w:r>
              <w:rPr>
                <w:rFonts w:hint="eastAsia" w:ascii="宋体" w:hAnsi="宋体"/>
                <w:color w:val="auto"/>
                <w:kern w:val="0"/>
                <w:sz w:val="20"/>
                <w:highlight w:val="none"/>
              </w:rPr>
              <w:t>没有各级管理人员、施工人员的安全生产技术措施交底记录</w:t>
            </w:r>
          </w:p>
        </w:tc>
        <w:tc>
          <w:tcPr>
            <w:tcW w:w="1429" w:type="dxa"/>
            <w:tcBorders>
              <w:top w:val="single" w:color="auto" w:sz="4" w:space="0"/>
              <w:left w:val="single" w:color="auto" w:sz="4" w:space="0"/>
              <w:bottom w:val="single" w:color="auto" w:sz="4" w:space="0"/>
              <w:right w:val="single" w:color="auto" w:sz="4" w:space="0"/>
            </w:tcBorders>
          </w:tcPr>
          <w:p w14:paraId="4311B670">
            <w:pPr>
              <w:widowControl/>
              <w:jc w:val="left"/>
              <w:rPr>
                <w:rFonts w:ascii="宋体" w:hAnsi="宋体" w:cs="宋体"/>
                <w:color w:val="auto"/>
                <w:kern w:val="0"/>
                <w:sz w:val="20"/>
                <w:highlight w:val="none"/>
              </w:rPr>
            </w:pPr>
            <w:r>
              <w:rPr>
                <w:rFonts w:hint="eastAsia" w:ascii="宋体" w:hAnsi="宋体"/>
                <w:color w:val="auto"/>
                <w:kern w:val="0"/>
                <w:sz w:val="20"/>
                <w:highlight w:val="none"/>
              </w:rPr>
              <w:t>300元</w:t>
            </w:r>
          </w:p>
        </w:tc>
        <w:tc>
          <w:tcPr>
            <w:tcW w:w="1941" w:type="dxa"/>
            <w:tcBorders>
              <w:top w:val="single" w:color="auto" w:sz="4" w:space="0"/>
              <w:left w:val="single" w:color="auto" w:sz="4" w:space="0"/>
              <w:bottom w:val="single" w:color="auto" w:sz="4" w:space="0"/>
              <w:right w:val="single" w:color="auto" w:sz="4" w:space="0"/>
            </w:tcBorders>
          </w:tcPr>
          <w:p w14:paraId="1191C869">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6731FD2C">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3CFDCBA3">
            <w:pPr>
              <w:widowControl/>
              <w:jc w:val="left"/>
              <w:rPr>
                <w:rFonts w:ascii="宋体" w:hAnsi="宋体" w:cs="宋体"/>
                <w:color w:val="auto"/>
                <w:kern w:val="0"/>
                <w:sz w:val="20"/>
                <w:highlight w:val="none"/>
              </w:rPr>
            </w:pPr>
          </w:p>
        </w:tc>
      </w:tr>
      <w:tr w14:paraId="2E91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1A6D5F0">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5.4</w:t>
            </w:r>
          </w:p>
        </w:tc>
        <w:tc>
          <w:tcPr>
            <w:tcW w:w="2161" w:type="dxa"/>
            <w:tcBorders>
              <w:top w:val="single" w:color="auto" w:sz="4" w:space="0"/>
              <w:left w:val="single" w:color="auto" w:sz="4" w:space="0"/>
              <w:bottom w:val="single" w:color="auto" w:sz="4" w:space="0"/>
              <w:right w:val="single" w:color="auto" w:sz="4" w:space="0"/>
            </w:tcBorders>
            <w:vAlign w:val="center"/>
          </w:tcPr>
          <w:p w14:paraId="0644655C">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729B23BD">
            <w:pPr>
              <w:widowControl/>
              <w:jc w:val="left"/>
              <w:rPr>
                <w:rFonts w:ascii="宋体" w:hAnsi="宋体"/>
                <w:color w:val="auto"/>
                <w:kern w:val="0"/>
                <w:sz w:val="20"/>
                <w:highlight w:val="none"/>
              </w:rPr>
            </w:pPr>
            <w:r>
              <w:rPr>
                <w:rFonts w:hint="eastAsia" w:ascii="宋体" w:hAnsi="宋体"/>
                <w:color w:val="auto"/>
                <w:kern w:val="0"/>
                <w:sz w:val="20"/>
                <w:highlight w:val="none"/>
              </w:rPr>
              <w:t>没有工地现场各级人员的安全生产岗位责任制资料</w:t>
            </w:r>
          </w:p>
        </w:tc>
        <w:tc>
          <w:tcPr>
            <w:tcW w:w="1429" w:type="dxa"/>
            <w:tcBorders>
              <w:top w:val="single" w:color="auto" w:sz="4" w:space="0"/>
              <w:left w:val="single" w:color="auto" w:sz="4" w:space="0"/>
              <w:bottom w:val="single" w:color="auto" w:sz="4" w:space="0"/>
              <w:right w:val="single" w:color="auto" w:sz="4" w:space="0"/>
            </w:tcBorders>
          </w:tcPr>
          <w:p w14:paraId="4C2BD4F4">
            <w:pPr>
              <w:widowControl/>
              <w:jc w:val="left"/>
              <w:rPr>
                <w:rFonts w:ascii="宋体" w:hAnsi="宋体"/>
                <w:color w:val="auto"/>
                <w:kern w:val="0"/>
                <w:sz w:val="20"/>
                <w:highlight w:val="none"/>
              </w:rPr>
            </w:pPr>
            <w:r>
              <w:rPr>
                <w:rFonts w:hint="eastAsia" w:ascii="宋体" w:hAnsi="宋体"/>
                <w:color w:val="auto"/>
                <w:kern w:val="0"/>
                <w:sz w:val="20"/>
                <w:highlight w:val="none"/>
              </w:rPr>
              <w:t>500元</w:t>
            </w:r>
          </w:p>
        </w:tc>
        <w:tc>
          <w:tcPr>
            <w:tcW w:w="1941" w:type="dxa"/>
            <w:tcBorders>
              <w:top w:val="single" w:color="auto" w:sz="4" w:space="0"/>
              <w:left w:val="single" w:color="auto" w:sz="4" w:space="0"/>
              <w:bottom w:val="single" w:color="auto" w:sz="4" w:space="0"/>
              <w:right w:val="single" w:color="auto" w:sz="4" w:space="0"/>
            </w:tcBorders>
          </w:tcPr>
          <w:p w14:paraId="719BD66D">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3248267B">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717C57E4">
            <w:pPr>
              <w:widowControl/>
              <w:jc w:val="left"/>
              <w:rPr>
                <w:rFonts w:ascii="宋体" w:hAnsi="宋体" w:cs="宋体"/>
                <w:color w:val="auto"/>
                <w:kern w:val="0"/>
                <w:sz w:val="20"/>
                <w:highlight w:val="none"/>
              </w:rPr>
            </w:pPr>
          </w:p>
        </w:tc>
      </w:tr>
      <w:tr w14:paraId="377B8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A7CE03D">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5.5</w:t>
            </w:r>
          </w:p>
        </w:tc>
        <w:tc>
          <w:tcPr>
            <w:tcW w:w="2161" w:type="dxa"/>
            <w:tcBorders>
              <w:top w:val="single" w:color="auto" w:sz="4" w:space="0"/>
              <w:left w:val="single" w:color="auto" w:sz="4" w:space="0"/>
              <w:bottom w:val="single" w:color="auto" w:sz="4" w:space="0"/>
              <w:right w:val="single" w:color="auto" w:sz="4" w:space="0"/>
            </w:tcBorders>
            <w:vAlign w:val="center"/>
          </w:tcPr>
          <w:p w14:paraId="22A90D4F">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552BD78A">
            <w:pPr>
              <w:widowControl/>
              <w:jc w:val="left"/>
              <w:rPr>
                <w:rFonts w:ascii="宋体" w:hAnsi="宋体"/>
                <w:color w:val="auto"/>
                <w:kern w:val="0"/>
                <w:sz w:val="20"/>
                <w:highlight w:val="none"/>
              </w:rPr>
            </w:pPr>
            <w:r>
              <w:rPr>
                <w:rFonts w:hint="eastAsia" w:ascii="宋体" w:hAnsi="宋体"/>
                <w:color w:val="auto"/>
                <w:kern w:val="0"/>
                <w:sz w:val="20"/>
                <w:highlight w:val="none"/>
              </w:rPr>
              <w:t>施工机械没有按规定送审取得合格证；特种作业人员没有持合格上岗证；劳务工人未取得安全教育合格证</w:t>
            </w:r>
          </w:p>
        </w:tc>
        <w:tc>
          <w:tcPr>
            <w:tcW w:w="1429" w:type="dxa"/>
            <w:tcBorders>
              <w:top w:val="single" w:color="auto" w:sz="4" w:space="0"/>
              <w:left w:val="single" w:color="auto" w:sz="4" w:space="0"/>
              <w:bottom w:val="single" w:color="auto" w:sz="4" w:space="0"/>
              <w:right w:val="single" w:color="auto" w:sz="4" w:space="0"/>
            </w:tcBorders>
          </w:tcPr>
          <w:p w14:paraId="2DC7988B">
            <w:pPr>
              <w:widowControl/>
              <w:jc w:val="left"/>
              <w:rPr>
                <w:rFonts w:ascii="宋体" w:hAnsi="宋体"/>
                <w:color w:val="auto"/>
                <w:kern w:val="0"/>
                <w:sz w:val="20"/>
                <w:highlight w:val="none"/>
              </w:rPr>
            </w:pPr>
            <w:r>
              <w:rPr>
                <w:rFonts w:hint="eastAsia" w:ascii="宋体" w:hAnsi="宋体"/>
                <w:color w:val="auto"/>
                <w:kern w:val="0"/>
                <w:sz w:val="20"/>
                <w:highlight w:val="none"/>
              </w:rPr>
              <w:t>500元/每人或每机</w:t>
            </w:r>
          </w:p>
        </w:tc>
        <w:tc>
          <w:tcPr>
            <w:tcW w:w="1941" w:type="dxa"/>
            <w:tcBorders>
              <w:top w:val="single" w:color="auto" w:sz="4" w:space="0"/>
              <w:left w:val="single" w:color="auto" w:sz="4" w:space="0"/>
              <w:bottom w:val="single" w:color="auto" w:sz="4" w:space="0"/>
              <w:right w:val="single" w:color="auto" w:sz="4" w:space="0"/>
            </w:tcBorders>
          </w:tcPr>
          <w:p w14:paraId="2272514E">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0201E403">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2017291A">
            <w:pPr>
              <w:widowControl/>
              <w:jc w:val="left"/>
              <w:rPr>
                <w:rFonts w:ascii="宋体" w:hAnsi="宋体" w:cs="宋体"/>
                <w:color w:val="auto"/>
                <w:kern w:val="0"/>
                <w:sz w:val="20"/>
                <w:highlight w:val="none"/>
              </w:rPr>
            </w:pPr>
          </w:p>
        </w:tc>
      </w:tr>
      <w:tr w14:paraId="3ABF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937EF26">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5.6</w:t>
            </w:r>
          </w:p>
        </w:tc>
        <w:tc>
          <w:tcPr>
            <w:tcW w:w="2161" w:type="dxa"/>
            <w:tcBorders>
              <w:top w:val="single" w:color="auto" w:sz="4" w:space="0"/>
              <w:left w:val="single" w:color="auto" w:sz="4" w:space="0"/>
              <w:bottom w:val="single" w:color="auto" w:sz="4" w:space="0"/>
              <w:right w:val="single" w:color="auto" w:sz="4" w:space="0"/>
            </w:tcBorders>
            <w:vAlign w:val="center"/>
          </w:tcPr>
          <w:p w14:paraId="4643F81D">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4882948D">
            <w:pPr>
              <w:widowControl/>
              <w:jc w:val="left"/>
              <w:rPr>
                <w:rFonts w:ascii="宋体" w:hAnsi="宋体"/>
                <w:color w:val="auto"/>
                <w:kern w:val="0"/>
                <w:sz w:val="20"/>
                <w:highlight w:val="none"/>
              </w:rPr>
            </w:pPr>
            <w:r>
              <w:rPr>
                <w:rFonts w:hint="eastAsia" w:ascii="宋体" w:hAnsi="宋体"/>
                <w:color w:val="auto"/>
                <w:kern w:val="0"/>
                <w:sz w:val="20"/>
                <w:highlight w:val="none"/>
              </w:rPr>
              <w:t>管坑或模板棚架支撑围规</w:t>
            </w:r>
          </w:p>
        </w:tc>
        <w:tc>
          <w:tcPr>
            <w:tcW w:w="1429" w:type="dxa"/>
            <w:tcBorders>
              <w:top w:val="single" w:color="auto" w:sz="4" w:space="0"/>
              <w:left w:val="single" w:color="auto" w:sz="4" w:space="0"/>
              <w:bottom w:val="single" w:color="auto" w:sz="4" w:space="0"/>
              <w:right w:val="single" w:color="auto" w:sz="4" w:space="0"/>
            </w:tcBorders>
          </w:tcPr>
          <w:p w14:paraId="704E3CB6">
            <w:pPr>
              <w:widowControl/>
              <w:jc w:val="left"/>
              <w:rPr>
                <w:rFonts w:ascii="宋体" w:hAnsi="宋体"/>
                <w:color w:val="auto"/>
                <w:kern w:val="0"/>
                <w:sz w:val="20"/>
                <w:highlight w:val="none"/>
              </w:rPr>
            </w:pPr>
            <w:r>
              <w:rPr>
                <w:rFonts w:hint="eastAsia" w:ascii="宋体" w:hAnsi="宋体"/>
                <w:color w:val="auto"/>
                <w:kern w:val="0"/>
                <w:sz w:val="20"/>
                <w:highlight w:val="none"/>
              </w:rPr>
              <w:t>300元/每处</w:t>
            </w:r>
          </w:p>
        </w:tc>
        <w:tc>
          <w:tcPr>
            <w:tcW w:w="1941" w:type="dxa"/>
            <w:tcBorders>
              <w:top w:val="single" w:color="auto" w:sz="4" w:space="0"/>
              <w:left w:val="single" w:color="auto" w:sz="4" w:space="0"/>
              <w:bottom w:val="single" w:color="auto" w:sz="4" w:space="0"/>
              <w:right w:val="single" w:color="auto" w:sz="4" w:space="0"/>
            </w:tcBorders>
          </w:tcPr>
          <w:p w14:paraId="6C2F0770">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35A6552C">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0F8597C0">
            <w:pPr>
              <w:widowControl/>
              <w:jc w:val="left"/>
              <w:rPr>
                <w:rFonts w:ascii="宋体" w:hAnsi="宋体" w:cs="宋体"/>
                <w:color w:val="auto"/>
                <w:kern w:val="0"/>
                <w:sz w:val="20"/>
                <w:highlight w:val="none"/>
              </w:rPr>
            </w:pPr>
          </w:p>
        </w:tc>
      </w:tr>
      <w:tr w14:paraId="2CF4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3A65C2B">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5.7</w:t>
            </w:r>
          </w:p>
        </w:tc>
        <w:tc>
          <w:tcPr>
            <w:tcW w:w="2161" w:type="dxa"/>
            <w:tcBorders>
              <w:top w:val="single" w:color="auto" w:sz="4" w:space="0"/>
              <w:left w:val="single" w:color="auto" w:sz="4" w:space="0"/>
              <w:bottom w:val="single" w:color="auto" w:sz="4" w:space="0"/>
              <w:right w:val="single" w:color="auto" w:sz="4" w:space="0"/>
            </w:tcBorders>
            <w:vAlign w:val="center"/>
          </w:tcPr>
          <w:p w14:paraId="5C6C1749">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72F86B31">
            <w:pPr>
              <w:widowControl/>
              <w:jc w:val="left"/>
              <w:rPr>
                <w:rFonts w:ascii="宋体" w:hAnsi="宋体"/>
                <w:color w:val="auto"/>
                <w:kern w:val="0"/>
                <w:sz w:val="20"/>
                <w:highlight w:val="none"/>
              </w:rPr>
            </w:pPr>
            <w:r>
              <w:rPr>
                <w:rFonts w:hint="eastAsia" w:ascii="宋体" w:hAnsi="宋体"/>
                <w:color w:val="auto"/>
                <w:kern w:val="0"/>
                <w:sz w:val="20"/>
                <w:highlight w:val="none"/>
              </w:rPr>
              <w:t>工地现场危险孔、洞、边沟、电屏、热沥青混合材料等危险部位无防护栏、盖板或警示标志</w:t>
            </w:r>
          </w:p>
        </w:tc>
        <w:tc>
          <w:tcPr>
            <w:tcW w:w="1429" w:type="dxa"/>
            <w:tcBorders>
              <w:top w:val="single" w:color="auto" w:sz="4" w:space="0"/>
              <w:left w:val="single" w:color="auto" w:sz="4" w:space="0"/>
              <w:bottom w:val="single" w:color="auto" w:sz="4" w:space="0"/>
              <w:right w:val="single" w:color="auto" w:sz="4" w:space="0"/>
            </w:tcBorders>
          </w:tcPr>
          <w:p w14:paraId="1C94B63A">
            <w:pPr>
              <w:widowControl/>
              <w:jc w:val="left"/>
              <w:rPr>
                <w:rFonts w:ascii="宋体" w:hAnsi="宋体"/>
                <w:color w:val="auto"/>
                <w:kern w:val="0"/>
                <w:sz w:val="20"/>
                <w:highlight w:val="none"/>
              </w:rPr>
            </w:pPr>
            <w:r>
              <w:rPr>
                <w:rFonts w:hint="eastAsia" w:ascii="宋体" w:hAnsi="宋体"/>
                <w:color w:val="auto"/>
                <w:kern w:val="0"/>
                <w:sz w:val="20"/>
                <w:highlight w:val="none"/>
              </w:rPr>
              <w:t>300元/每处</w:t>
            </w:r>
          </w:p>
        </w:tc>
        <w:tc>
          <w:tcPr>
            <w:tcW w:w="1941" w:type="dxa"/>
            <w:tcBorders>
              <w:top w:val="single" w:color="auto" w:sz="4" w:space="0"/>
              <w:left w:val="single" w:color="auto" w:sz="4" w:space="0"/>
              <w:bottom w:val="single" w:color="auto" w:sz="4" w:space="0"/>
              <w:right w:val="single" w:color="auto" w:sz="4" w:space="0"/>
            </w:tcBorders>
          </w:tcPr>
          <w:p w14:paraId="758AF9FE">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065A6852">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32F47768">
            <w:pPr>
              <w:widowControl/>
              <w:jc w:val="left"/>
              <w:rPr>
                <w:rFonts w:ascii="宋体" w:hAnsi="宋体" w:cs="宋体"/>
                <w:color w:val="auto"/>
                <w:kern w:val="0"/>
                <w:sz w:val="20"/>
                <w:highlight w:val="none"/>
              </w:rPr>
            </w:pPr>
          </w:p>
        </w:tc>
      </w:tr>
      <w:tr w14:paraId="083B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C3D476D">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5.8</w:t>
            </w:r>
          </w:p>
        </w:tc>
        <w:tc>
          <w:tcPr>
            <w:tcW w:w="2161" w:type="dxa"/>
            <w:tcBorders>
              <w:top w:val="single" w:color="auto" w:sz="4" w:space="0"/>
              <w:left w:val="single" w:color="auto" w:sz="4" w:space="0"/>
              <w:bottom w:val="single" w:color="auto" w:sz="4" w:space="0"/>
              <w:right w:val="single" w:color="auto" w:sz="4" w:space="0"/>
            </w:tcBorders>
            <w:vAlign w:val="center"/>
          </w:tcPr>
          <w:p w14:paraId="6AF06178">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2442D9B4">
            <w:pPr>
              <w:widowControl/>
              <w:jc w:val="left"/>
              <w:rPr>
                <w:rFonts w:ascii="宋体" w:hAnsi="宋体"/>
                <w:color w:val="auto"/>
                <w:kern w:val="0"/>
                <w:sz w:val="20"/>
                <w:highlight w:val="none"/>
              </w:rPr>
            </w:pPr>
            <w:r>
              <w:rPr>
                <w:rFonts w:hint="eastAsia" w:ascii="宋体" w:hAnsi="宋体"/>
                <w:color w:val="auto"/>
                <w:kern w:val="0"/>
                <w:sz w:val="20"/>
                <w:highlight w:val="none"/>
              </w:rPr>
              <w:t>脚手架、支模没有经安全员以上技术员验收或发现有倾斜、摇晃、松脱及柱脚悬空等危险现象</w:t>
            </w:r>
          </w:p>
        </w:tc>
        <w:tc>
          <w:tcPr>
            <w:tcW w:w="1429" w:type="dxa"/>
            <w:tcBorders>
              <w:top w:val="single" w:color="auto" w:sz="4" w:space="0"/>
              <w:left w:val="single" w:color="auto" w:sz="4" w:space="0"/>
              <w:bottom w:val="single" w:color="auto" w:sz="4" w:space="0"/>
              <w:right w:val="single" w:color="auto" w:sz="4" w:space="0"/>
            </w:tcBorders>
          </w:tcPr>
          <w:p w14:paraId="68D629CD">
            <w:pPr>
              <w:widowControl/>
              <w:jc w:val="left"/>
              <w:rPr>
                <w:rFonts w:ascii="宋体" w:hAnsi="宋体"/>
                <w:color w:val="auto"/>
                <w:kern w:val="0"/>
                <w:sz w:val="20"/>
                <w:highlight w:val="none"/>
              </w:rPr>
            </w:pPr>
            <w:r>
              <w:rPr>
                <w:rFonts w:hint="eastAsia" w:ascii="宋体" w:hAnsi="宋体"/>
                <w:color w:val="auto"/>
                <w:kern w:val="0"/>
                <w:sz w:val="20"/>
                <w:highlight w:val="none"/>
              </w:rPr>
              <w:t>300元/每处</w:t>
            </w:r>
          </w:p>
        </w:tc>
        <w:tc>
          <w:tcPr>
            <w:tcW w:w="1941" w:type="dxa"/>
            <w:tcBorders>
              <w:top w:val="single" w:color="auto" w:sz="4" w:space="0"/>
              <w:left w:val="single" w:color="auto" w:sz="4" w:space="0"/>
              <w:bottom w:val="single" w:color="auto" w:sz="4" w:space="0"/>
              <w:right w:val="single" w:color="auto" w:sz="4" w:space="0"/>
            </w:tcBorders>
          </w:tcPr>
          <w:p w14:paraId="3AF0A029">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256A03AD">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2A72CA7D">
            <w:pPr>
              <w:widowControl/>
              <w:jc w:val="left"/>
              <w:rPr>
                <w:rFonts w:ascii="宋体" w:hAnsi="宋体" w:cs="宋体"/>
                <w:color w:val="auto"/>
                <w:kern w:val="0"/>
                <w:sz w:val="20"/>
                <w:highlight w:val="none"/>
              </w:rPr>
            </w:pPr>
          </w:p>
        </w:tc>
      </w:tr>
      <w:tr w14:paraId="689B2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18E13C2">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5.9</w:t>
            </w:r>
          </w:p>
        </w:tc>
        <w:tc>
          <w:tcPr>
            <w:tcW w:w="2161" w:type="dxa"/>
            <w:tcBorders>
              <w:top w:val="single" w:color="auto" w:sz="4" w:space="0"/>
              <w:left w:val="single" w:color="auto" w:sz="4" w:space="0"/>
              <w:bottom w:val="single" w:color="auto" w:sz="4" w:space="0"/>
              <w:right w:val="single" w:color="auto" w:sz="4" w:space="0"/>
            </w:tcBorders>
            <w:vAlign w:val="center"/>
          </w:tcPr>
          <w:p w14:paraId="0A70346A">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045AE1FA">
            <w:pPr>
              <w:widowControl/>
              <w:jc w:val="left"/>
              <w:rPr>
                <w:rFonts w:ascii="宋体" w:hAnsi="宋体"/>
                <w:color w:val="auto"/>
                <w:kern w:val="0"/>
                <w:sz w:val="20"/>
                <w:highlight w:val="none"/>
              </w:rPr>
            </w:pPr>
            <w:r>
              <w:rPr>
                <w:rFonts w:hint="eastAsia" w:ascii="宋体" w:hAnsi="宋体"/>
                <w:color w:val="auto"/>
                <w:kern w:val="0"/>
                <w:sz w:val="20"/>
                <w:highlight w:val="none"/>
              </w:rPr>
              <w:t>发现有工人没签定法定的劳动合同或没有受过“三级安全教育“，即没有安全教育登记卡</w:t>
            </w:r>
          </w:p>
        </w:tc>
        <w:tc>
          <w:tcPr>
            <w:tcW w:w="1429" w:type="dxa"/>
            <w:tcBorders>
              <w:top w:val="single" w:color="auto" w:sz="4" w:space="0"/>
              <w:left w:val="single" w:color="auto" w:sz="4" w:space="0"/>
              <w:bottom w:val="single" w:color="auto" w:sz="4" w:space="0"/>
              <w:right w:val="single" w:color="auto" w:sz="4" w:space="0"/>
            </w:tcBorders>
          </w:tcPr>
          <w:p w14:paraId="48E28CE6">
            <w:pPr>
              <w:widowControl/>
              <w:jc w:val="left"/>
              <w:rPr>
                <w:rFonts w:ascii="宋体" w:hAnsi="宋体"/>
                <w:color w:val="auto"/>
                <w:kern w:val="0"/>
                <w:sz w:val="20"/>
                <w:highlight w:val="none"/>
              </w:rPr>
            </w:pPr>
            <w:r>
              <w:rPr>
                <w:rFonts w:hint="eastAsia" w:ascii="宋体" w:hAnsi="宋体"/>
                <w:color w:val="auto"/>
                <w:kern w:val="0"/>
                <w:sz w:val="20"/>
                <w:highlight w:val="none"/>
              </w:rPr>
              <w:t>500元/每人</w:t>
            </w:r>
          </w:p>
        </w:tc>
        <w:tc>
          <w:tcPr>
            <w:tcW w:w="1941" w:type="dxa"/>
            <w:tcBorders>
              <w:top w:val="single" w:color="auto" w:sz="4" w:space="0"/>
              <w:left w:val="single" w:color="auto" w:sz="4" w:space="0"/>
              <w:bottom w:val="single" w:color="auto" w:sz="4" w:space="0"/>
              <w:right w:val="single" w:color="auto" w:sz="4" w:space="0"/>
            </w:tcBorders>
          </w:tcPr>
          <w:p w14:paraId="64B3D2A0">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32150D2D">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276A3C25">
            <w:pPr>
              <w:widowControl/>
              <w:jc w:val="left"/>
              <w:rPr>
                <w:rFonts w:ascii="宋体" w:hAnsi="宋体" w:cs="宋体"/>
                <w:color w:val="auto"/>
                <w:kern w:val="0"/>
                <w:sz w:val="20"/>
                <w:highlight w:val="none"/>
              </w:rPr>
            </w:pPr>
          </w:p>
        </w:tc>
      </w:tr>
      <w:tr w14:paraId="1E8D4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B32E8EB">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5.10</w:t>
            </w:r>
          </w:p>
        </w:tc>
        <w:tc>
          <w:tcPr>
            <w:tcW w:w="2161" w:type="dxa"/>
            <w:tcBorders>
              <w:top w:val="single" w:color="auto" w:sz="4" w:space="0"/>
              <w:left w:val="single" w:color="auto" w:sz="4" w:space="0"/>
              <w:bottom w:val="single" w:color="auto" w:sz="4" w:space="0"/>
              <w:right w:val="single" w:color="auto" w:sz="4" w:space="0"/>
            </w:tcBorders>
            <w:vAlign w:val="center"/>
          </w:tcPr>
          <w:p w14:paraId="6B5203ED">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008C78B1">
            <w:pPr>
              <w:widowControl/>
              <w:jc w:val="left"/>
              <w:rPr>
                <w:rFonts w:ascii="宋体" w:hAnsi="宋体"/>
                <w:color w:val="auto"/>
                <w:kern w:val="0"/>
                <w:sz w:val="20"/>
                <w:highlight w:val="none"/>
              </w:rPr>
            </w:pPr>
            <w:r>
              <w:rPr>
                <w:rFonts w:hint="eastAsia" w:ascii="宋体" w:hAnsi="宋体"/>
                <w:color w:val="auto"/>
                <w:kern w:val="0"/>
                <w:sz w:val="20"/>
                <w:highlight w:val="none"/>
              </w:rPr>
              <w:t>施工机械或电气设备发现有危险故障仍运行或作业现场危险未采取措施</w:t>
            </w:r>
          </w:p>
        </w:tc>
        <w:tc>
          <w:tcPr>
            <w:tcW w:w="1429" w:type="dxa"/>
            <w:tcBorders>
              <w:top w:val="single" w:color="auto" w:sz="4" w:space="0"/>
              <w:left w:val="single" w:color="auto" w:sz="4" w:space="0"/>
              <w:bottom w:val="single" w:color="auto" w:sz="4" w:space="0"/>
              <w:right w:val="single" w:color="auto" w:sz="4" w:space="0"/>
            </w:tcBorders>
          </w:tcPr>
          <w:p w14:paraId="5B060EFC">
            <w:pPr>
              <w:widowControl/>
              <w:jc w:val="left"/>
              <w:rPr>
                <w:rFonts w:ascii="宋体" w:hAnsi="宋体"/>
                <w:color w:val="auto"/>
                <w:kern w:val="0"/>
                <w:sz w:val="20"/>
                <w:highlight w:val="none"/>
              </w:rPr>
            </w:pPr>
            <w:r>
              <w:rPr>
                <w:rFonts w:hint="eastAsia" w:ascii="宋体" w:hAnsi="宋体"/>
                <w:color w:val="auto"/>
                <w:kern w:val="0"/>
                <w:sz w:val="20"/>
                <w:highlight w:val="none"/>
              </w:rPr>
              <w:t>300元/每台</w:t>
            </w:r>
          </w:p>
        </w:tc>
        <w:tc>
          <w:tcPr>
            <w:tcW w:w="1941" w:type="dxa"/>
            <w:tcBorders>
              <w:top w:val="single" w:color="auto" w:sz="4" w:space="0"/>
              <w:left w:val="single" w:color="auto" w:sz="4" w:space="0"/>
              <w:bottom w:val="single" w:color="auto" w:sz="4" w:space="0"/>
              <w:right w:val="single" w:color="auto" w:sz="4" w:space="0"/>
            </w:tcBorders>
          </w:tcPr>
          <w:p w14:paraId="701077C1">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67D0DA22">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11BF5471">
            <w:pPr>
              <w:widowControl/>
              <w:jc w:val="left"/>
              <w:rPr>
                <w:rFonts w:ascii="宋体" w:hAnsi="宋体" w:cs="宋体"/>
                <w:color w:val="auto"/>
                <w:kern w:val="0"/>
                <w:sz w:val="20"/>
                <w:highlight w:val="none"/>
              </w:rPr>
            </w:pPr>
          </w:p>
        </w:tc>
      </w:tr>
      <w:tr w14:paraId="18C9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8E72633">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5.11</w:t>
            </w:r>
          </w:p>
        </w:tc>
        <w:tc>
          <w:tcPr>
            <w:tcW w:w="2161" w:type="dxa"/>
            <w:tcBorders>
              <w:top w:val="single" w:color="auto" w:sz="4" w:space="0"/>
              <w:left w:val="single" w:color="auto" w:sz="4" w:space="0"/>
              <w:bottom w:val="single" w:color="auto" w:sz="4" w:space="0"/>
              <w:right w:val="single" w:color="auto" w:sz="4" w:space="0"/>
            </w:tcBorders>
            <w:vAlign w:val="center"/>
          </w:tcPr>
          <w:p w14:paraId="79B81BF2">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220DAABA">
            <w:pPr>
              <w:widowControl/>
              <w:jc w:val="left"/>
              <w:rPr>
                <w:rFonts w:ascii="宋体" w:hAnsi="宋体"/>
                <w:color w:val="auto"/>
                <w:kern w:val="0"/>
                <w:sz w:val="20"/>
                <w:highlight w:val="none"/>
              </w:rPr>
            </w:pPr>
            <w:r>
              <w:rPr>
                <w:rFonts w:hint="eastAsia" w:ascii="宋体" w:hAnsi="宋体"/>
                <w:color w:val="auto"/>
                <w:kern w:val="0"/>
                <w:sz w:val="20"/>
                <w:highlight w:val="none"/>
              </w:rPr>
              <w:t>电缆不按规定（一般2.5米高，车道6米高）架设或电缆靠近危险地方或拖地设置等违规</w:t>
            </w:r>
          </w:p>
        </w:tc>
        <w:tc>
          <w:tcPr>
            <w:tcW w:w="1429" w:type="dxa"/>
            <w:tcBorders>
              <w:top w:val="single" w:color="auto" w:sz="4" w:space="0"/>
              <w:left w:val="single" w:color="auto" w:sz="4" w:space="0"/>
              <w:bottom w:val="single" w:color="auto" w:sz="4" w:space="0"/>
              <w:right w:val="single" w:color="auto" w:sz="4" w:space="0"/>
            </w:tcBorders>
          </w:tcPr>
          <w:p w14:paraId="47B440E6">
            <w:pPr>
              <w:widowControl/>
              <w:jc w:val="left"/>
              <w:rPr>
                <w:rFonts w:ascii="宋体" w:hAnsi="宋体"/>
                <w:color w:val="auto"/>
                <w:kern w:val="0"/>
                <w:sz w:val="20"/>
                <w:highlight w:val="none"/>
              </w:rPr>
            </w:pPr>
            <w:r>
              <w:rPr>
                <w:rFonts w:hint="eastAsia" w:ascii="宋体" w:hAnsi="宋体"/>
                <w:color w:val="auto"/>
                <w:kern w:val="0"/>
                <w:sz w:val="20"/>
                <w:highlight w:val="none"/>
              </w:rPr>
              <w:t>300元/每处</w:t>
            </w:r>
          </w:p>
        </w:tc>
        <w:tc>
          <w:tcPr>
            <w:tcW w:w="1941" w:type="dxa"/>
            <w:tcBorders>
              <w:top w:val="single" w:color="auto" w:sz="4" w:space="0"/>
              <w:left w:val="single" w:color="auto" w:sz="4" w:space="0"/>
              <w:bottom w:val="single" w:color="auto" w:sz="4" w:space="0"/>
              <w:right w:val="single" w:color="auto" w:sz="4" w:space="0"/>
            </w:tcBorders>
          </w:tcPr>
          <w:p w14:paraId="385F456E">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0C4A21D3">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3D7C7CDB">
            <w:pPr>
              <w:widowControl/>
              <w:jc w:val="left"/>
              <w:rPr>
                <w:rFonts w:ascii="宋体" w:hAnsi="宋体" w:cs="宋体"/>
                <w:color w:val="auto"/>
                <w:kern w:val="0"/>
                <w:sz w:val="20"/>
                <w:highlight w:val="none"/>
              </w:rPr>
            </w:pPr>
          </w:p>
        </w:tc>
      </w:tr>
      <w:tr w14:paraId="46F43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AB2CF38">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5.12</w:t>
            </w:r>
          </w:p>
        </w:tc>
        <w:tc>
          <w:tcPr>
            <w:tcW w:w="2161" w:type="dxa"/>
            <w:tcBorders>
              <w:top w:val="single" w:color="auto" w:sz="4" w:space="0"/>
              <w:left w:val="single" w:color="auto" w:sz="4" w:space="0"/>
              <w:bottom w:val="single" w:color="auto" w:sz="4" w:space="0"/>
              <w:right w:val="single" w:color="auto" w:sz="4" w:space="0"/>
            </w:tcBorders>
            <w:vAlign w:val="center"/>
          </w:tcPr>
          <w:p w14:paraId="777B8E66">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277A895A">
            <w:pPr>
              <w:widowControl/>
              <w:jc w:val="left"/>
              <w:rPr>
                <w:rFonts w:ascii="宋体" w:hAnsi="宋体"/>
                <w:color w:val="auto"/>
                <w:kern w:val="0"/>
                <w:sz w:val="20"/>
                <w:highlight w:val="none"/>
              </w:rPr>
            </w:pPr>
            <w:r>
              <w:rPr>
                <w:rFonts w:hint="eastAsia" w:ascii="宋体" w:hAnsi="宋体"/>
                <w:color w:val="auto"/>
                <w:kern w:val="0"/>
                <w:sz w:val="20"/>
                <w:highlight w:val="none"/>
              </w:rPr>
              <w:t>用电设备不按规定配备漏电保护开关或其金属外壳不接保护地线或地线装设违规</w:t>
            </w:r>
          </w:p>
        </w:tc>
        <w:tc>
          <w:tcPr>
            <w:tcW w:w="1429" w:type="dxa"/>
            <w:tcBorders>
              <w:top w:val="single" w:color="auto" w:sz="4" w:space="0"/>
              <w:left w:val="single" w:color="auto" w:sz="4" w:space="0"/>
              <w:bottom w:val="single" w:color="auto" w:sz="4" w:space="0"/>
              <w:right w:val="single" w:color="auto" w:sz="4" w:space="0"/>
            </w:tcBorders>
          </w:tcPr>
          <w:p w14:paraId="253D32C7">
            <w:pPr>
              <w:widowControl/>
              <w:jc w:val="left"/>
              <w:rPr>
                <w:rFonts w:ascii="宋体" w:hAnsi="宋体"/>
                <w:color w:val="auto"/>
                <w:kern w:val="0"/>
                <w:sz w:val="20"/>
                <w:highlight w:val="none"/>
              </w:rPr>
            </w:pPr>
            <w:r>
              <w:rPr>
                <w:rFonts w:hint="eastAsia" w:ascii="宋体" w:hAnsi="宋体"/>
                <w:color w:val="auto"/>
                <w:kern w:val="0"/>
                <w:sz w:val="20"/>
                <w:highlight w:val="none"/>
              </w:rPr>
              <w:t>300元/每台</w:t>
            </w:r>
          </w:p>
        </w:tc>
        <w:tc>
          <w:tcPr>
            <w:tcW w:w="1941" w:type="dxa"/>
            <w:tcBorders>
              <w:top w:val="single" w:color="auto" w:sz="4" w:space="0"/>
              <w:left w:val="single" w:color="auto" w:sz="4" w:space="0"/>
              <w:bottom w:val="single" w:color="auto" w:sz="4" w:space="0"/>
              <w:right w:val="single" w:color="auto" w:sz="4" w:space="0"/>
            </w:tcBorders>
          </w:tcPr>
          <w:p w14:paraId="48F6531B">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37CEFDAC">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74C2AFE1">
            <w:pPr>
              <w:widowControl/>
              <w:jc w:val="left"/>
              <w:rPr>
                <w:rFonts w:ascii="宋体" w:hAnsi="宋体" w:cs="宋体"/>
                <w:color w:val="auto"/>
                <w:kern w:val="0"/>
                <w:sz w:val="20"/>
                <w:highlight w:val="none"/>
              </w:rPr>
            </w:pPr>
          </w:p>
        </w:tc>
      </w:tr>
      <w:tr w14:paraId="250A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5A7D39B">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5.13</w:t>
            </w:r>
          </w:p>
        </w:tc>
        <w:tc>
          <w:tcPr>
            <w:tcW w:w="2161" w:type="dxa"/>
            <w:tcBorders>
              <w:top w:val="single" w:color="auto" w:sz="4" w:space="0"/>
              <w:left w:val="single" w:color="auto" w:sz="4" w:space="0"/>
              <w:bottom w:val="single" w:color="auto" w:sz="4" w:space="0"/>
              <w:right w:val="single" w:color="auto" w:sz="4" w:space="0"/>
            </w:tcBorders>
            <w:vAlign w:val="center"/>
          </w:tcPr>
          <w:p w14:paraId="0DFFDA49">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5A2AF1D1">
            <w:pPr>
              <w:widowControl/>
              <w:jc w:val="left"/>
              <w:rPr>
                <w:rFonts w:ascii="宋体" w:hAnsi="宋体"/>
                <w:color w:val="auto"/>
                <w:kern w:val="0"/>
                <w:sz w:val="20"/>
                <w:highlight w:val="none"/>
              </w:rPr>
            </w:pPr>
            <w:r>
              <w:rPr>
                <w:rFonts w:hint="eastAsia" w:ascii="宋体" w:hAnsi="宋体"/>
                <w:color w:val="auto"/>
                <w:kern w:val="0"/>
                <w:sz w:val="20"/>
                <w:highlight w:val="none"/>
              </w:rPr>
              <w:t>用电设备带故障运行，插头，制盖破烂、导线接头违规、电制箱破烂或没有离地0.6米以上放置等</w:t>
            </w:r>
          </w:p>
        </w:tc>
        <w:tc>
          <w:tcPr>
            <w:tcW w:w="1429" w:type="dxa"/>
            <w:tcBorders>
              <w:top w:val="single" w:color="auto" w:sz="4" w:space="0"/>
              <w:left w:val="single" w:color="auto" w:sz="4" w:space="0"/>
              <w:bottom w:val="single" w:color="auto" w:sz="4" w:space="0"/>
              <w:right w:val="single" w:color="auto" w:sz="4" w:space="0"/>
            </w:tcBorders>
          </w:tcPr>
          <w:p w14:paraId="2ADB4DC3">
            <w:pPr>
              <w:widowControl/>
              <w:jc w:val="left"/>
              <w:rPr>
                <w:rFonts w:ascii="宋体" w:hAnsi="宋体"/>
                <w:color w:val="auto"/>
                <w:kern w:val="0"/>
                <w:sz w:val="20"/>
                <w:highlight w:val="none"/>
              </w:rPr>
            </w:pPr>
            <w:r>
              <w:rPr>
                <w:rFonts w:hint="eastAsia" w:ascii="宋体" w:hAnsi="宋体"/>
                <w:color w:val="auto"/>
                <w:kern w:val="0"/>
                <w:sz w:val="20"/>
                <w:highlight w:val="none"/>
              </w:rPr>
              <w:t>300元/每处</w:t>
            </w:r>
          </w:p>
        </w:tc>
        <w:tc>
          <w:tcPr>
            <w:tcW w:w="1941" w:type="dxa"/>
            <w:tcBorders>
              <w:top w:val="single" w:color="auto" w:sz="4" w:space="0"/>
              <w:left w:val="single" w:color="auto" w:sz="4" w:space="0"/>
              <w:bottom w:val="single" w:color="auto" w:sz="4" w:space="0"/>
              <w:right w:val="single" w:color="auto" w:sz="4" w:space="0"/>
            </w:tcBorders>
          </w:tcPr>
          <w:p w14:paraId="12D1C98E">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071DC715">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38A60B25">
            <w:pPr>
              <w:widowControl/>
              <w:jc w:val="left"/>
              <w:rPr>
                <w:rFonts w:ascii="宋体" w:hAnsi="宋体" w:cs="宋体"/>
                <w:color w:val="auto"/>
                <w:kern w:val="0"/>
                <w:sz w:val="20"/>
                <w:highlight w:val="none"/>
              </w:rPr>
            </w:pPr>
          </w:p>
        </w:tc>
      </w:tr>
      <w:tr w14:paraId="02884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F524C8B">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5.14</w:t>
            </w:r>
          </w:p>
        </w:tc>
        <w:tc>
          <w:tcPr>
            <w:tcW w:w="2161" w:type="dxa"/>
            <w:tcBorders>
              <w:top w:val="single" w:color="auto" w:sz="4" w:space="0"/>
              <w:left w:val="single" w:color="auto" w:sz="4" w:space="0"/>
              <w:bottom w:val="single" w:color="auto" w:sz="4" w:space="0"/>
              <w:right w:val="single" w:color="auto" w:sz="4" w:space="0"/>
            </w:tcBorders>
            <w:vAlign w:val="center"/>
          </w:tcPr>
          <w:p w14:paraId="442B7E21">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4571EE11">
            <w:pPr>
              <w:widowControl/>
              <w:jc w:val="left"/>
              <w:rPr>
                <w:rFonts w:ascii="宋体" w:hAnsi="宋体"/>
                <w:color w:val="auto"/>
                <w:kern w:val="0"/>
                <w:sz w:val="20"/>
                <w:highlight w:val="none"/>
              </w:rPr>
            </w:pPr>
            <w:r>
              <w:rPr>
                <w:rFonts w:hint="eastAsia" w:ascii="宋体" w:hAnsi="宋体"/>
                <w:color w:val="auto"/>
                <w:kern w:val="0"/>
                <w:sz w:val="20"/>
                <w:highlight w:val="none"/>
              </w:rPr>
              <w:t>发现有违规使用压力气瓶（乙炔瓶、氧气瓶、液化气瓶等），例如：被阳光暴晒、离火源少于10米、卧放、没有装乙炔回火防止器、气瓶及配套设备有故障等</w:t>
            </w:r>
          </w:p>
        </w:tc>
        <w:tc>
          <w:tcPr>
            <w:tcW w:w="1429" w:type="dxa"/>
            <w:tcBorders>
              <w:top w:val="single" w:color="auto" w:sz="4" w:space="0"/>
              <w:left w:val="single" w:color="auto" w:sz="4" w:space="0"/>
              <w:bottom w:val="single" w:color="auto" w:sz="4" w:space="0"/>
              <w:right w:val="single" w:color="auto" w:sz="4" w:space="0"/>
            </w:tcBorders>
          </w:tcPr>
          <w:p w14:paraId="2875E03E">
            <w:pPr>
              <w:widowControl/>
              <w:jc w:val="left"/>
              <w:rPr>
                <w:rFonts w:ascii="宋体" w:hAnsi="宋体"/>
                <w:color w:val="auto"/>
                <w:kern w:val="0"/>
                <w:sz w:val="20"/>
                <w:highlight w:val="none"/>
              </w:rPr>
            </w:pPr>
            <w:r>
              <w:rPr>
                <w:rFonts w:hint="eastAsia" w:ascii="宋体" w:hAnsi="宋体"/>
                <w:color w:val="auto"/>
                <w:kern w:val="0"/>
                <w:sz w:val="20"/>
                <w:highlight w:val="none"/>
              </w:rPr>
              <w:t>300元/每处</w:t>
            </w:r>
          </w:p>
        </w:tc>
        <w:tc>
          <w:tcPr>
            <w:tcW w:w="1941" w:type="dxa"/>
            <w:tcBorders>
              <w:top w:val="single" w:color="auto" w:sz="4" w:space="0"/>
              <w:left w:val="single" w:color="auto" w:sz="4" w:space="0"/>
              <w:bottom w:val="single" w:color="auto" w:sz="4" w:space="0"/>
              <w:right w:val="single" w:color="auto" w:sz="4" w:space="0"/>
            </w:tcBorders>
          </w:tcPr>
          <w:p w14:paraId="55D9257D">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1ECE54BD">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20518376">
            <w:pPr>
              <w:widowControl/>
              <w:jc w:val="left"/>
              <w:rPr>
                <w:rFonts w:ascii="宋体" w:hAnsi="宋体" w:cs="宋体"/>
                <w:color w:val="auto"/>
                <w:kern w:val="0"/>
                <w:sz w:val="20"/>
                <w:highlight w:val="none"/>
              </w:rPr>
            </w:pPr>
          </w:p>
        </w:tc>
      </w:tr>
      <w:tr w14:paraId="59F03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783366C">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5.15</w:t>
            </w:r>
          </w:p>
        </w:tc>
        <w:tc>
          <w:tcPr>
            <w:tcW w:w="2161" w:type="dxa"/>
            <w:tcBorders>
              <w:top w:val="single" w:color="auto" w:sz="4" w:space="0"/>
              <w:left w:val="single" w:color="auto" w:sz="4" w:space="0"/>
              <w:bottom w:val="single" w:color="auto" w:sz="4" w:space="0"/>
              <w:right w:val="single" w:color="auto" w:sz="4" w:space="0"/>
            </w:tcBorders>
            <w:vAlign w:val="center"/>
          </w:tcPr>
          <w:p w14:paraId="7AF7B597">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281D0A76">
            <w:pPr>
              <w:widowControl/>
              <w:jc w:val="left"/>
              <w:rPr>
                <w:rFonts w:ascii="宋体" w:hAnsi="宋体"/>
                <w:color w:val="auto"/>
                <w:kern w:val="0"/>
                <w:sz w:val="20"/>
                <w:highlight w:val="none"/>
              </w:rPr>
            </w:pPr>
            <w:r>
              <w:rPr>
                <w:rFonts w:hint="eastAsia" w:ascii="宋体" w:hAnsi="宋体"/>
                <w:color w:val="auto"/>
                <w:kern w:val="0"/>
                <w:sz w:val="20"/>
                <w:highlight w:val="none"/>
              </w:rPr>
              <w:t>发生轻、重伤，处罚施工单位项目经理RMB1000-2000元，处罚项目部RMB10000-20000元</w:t>
            </w:r>
          </w:p>
        </w:tc>
        <w:tc>
          <w:tcPr>
            <w:tcW w:w="1429" w:type="dxa"/>
            <w:tcBorders>
              <w:top w:val="single" w:color="auto" w:sz="4" w:space="0"/>
              <w:left w:val="single" w:color="auto" w:sz="4" w:space="0"/>
              <w:bottom w:val="single" w:color="auto" w:sz="4" w:space="0"/>
              <w:right w:val="single" w:color="auto" w:sz="4" w:space="0"/>
            </w:tcBorders>
          </w:tcPr>
          <w:p w14:paraId="60F46D1D">
            <w:pPr>
              <w:widowControl/>
              <w:jc w:val="left"/>
              <w:rPr>
                <w:rFonts w:ascii="宋体" w:hAnsi="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30B15498">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01AAD1CC">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082CF644">
            <w:pPr>
              <w:widowControl/>
              <w:jc w:val="left"/>
              <w:rPr>
                <w:rFonts w:ascii="宋体" w:hAnsi="宋体" w:cs="宋体"/>
                <w:color w:val="auto"/>
                <w:kern w:val="0"/>
                <w:sz w:val="20"/>
                <w:highlight w:val="none"/>
              </w:rPr>
            </w:pPr>
          </w:p>
        </w:tc>
      </w:tr>
      <w:tr w14:paraId="2A597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CE4E949">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5.17</w:t>
            </w:r>
          </w:p>
        </w:tc>
        <w:tc>
          <w:tcPr>
            <w:tcW w:w="2161" w:type="dxa"/>
            <w:tcBorders>
              <w:top w:val="single" w:color="auto" w:sz="4" w:space="0"/>
              <w:left w:val="single" w:color="auto" w:sz="4" w:space="0"/>
              <w:bottom w:val="single" w:color="auto" w:sz="4" w:space="0"/>
              <w:right w:val="single" w:color="auto" w:sz="4" w:space="0"/>
            </w:tcBorders>
            <w:vAlign w:val="center"/>
          </w:tcPr>
          <w:p w14:paraId="11BCB5DD">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0C3ACDC4">
            <w:pPr>
              <w:widowControl/>
              <w:jc w:val="left"/>
              <w:rPr>
                <w:rFonts w:ascii="宋体" w:hAnsi="宋体"/>
                <w:color w:val="auto"/>
                <w:sz w:val="20"/>
                <w:highlight w:val="none"/>
              </w:rPr>
            </w:pPr>
            <w:r>
              <w:rPr>
                <w:rFonts w:hint="eastAsia" w:ascii="宋体" w:hAnsi="宋体"/>
                <w:color w:val="auto"/>
                <w:sz w:val="20"/>
                <w:highlight w:val="none"/>
              </w:rPr>
              <w:t>施工现场人员出现以下情况，每人每次处违约金100元：（1）不戴安全帽；（2）高空作业不系安全带；（3）水上作业不穿救生衣；（4）赤脚或穿拖鞋；（5）管理人员不佩带工作证；（6）施工人员不佩带平安卡或监理签发的出入证。</w:t>
            </w:r>
          </w:p>
        </w:tc>
        <w:tc>
          <w:tcPr>
            <w:tcW w:w="1429" w:type="dxa"/>
            <w:tcBorders>
              <w:top w:val="single" w:color="auto" w:sz="4" w:space="0"/>
              <w:left w:val="single" w:color="auto" w:sz="4" w:space="0"/>
              <w:bottom w:val="single" w:color="auto" w:sz="4" w:space="0"/>
              <w:right w:val="single" w:color="auto" w:sz="4" w:space="0"/>
            </w:tcBorders>
          </w:tcPr>
          <w:p w14:paraId="3F6306E2">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0CA32DFD">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59E4AECC">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4109D55A">
            <w:pPr>
              <w:widowControl/>
              <w:jc w:val="left"/>
              <w:rPr>
                <w:rFonts w:ascii="宋体" w:hAnsi="宋体" w:cs="宋体"/>
                <w:color w:val="auto"/>
                <w:kern w:val="0"/>
                <w:sz w:val="20"/>
                <w:highlight w:val="none"/>
              </w:rPr>
            </w:pPr>
          </w:p>
        </w:tc>
      </w:tr>
      <w:tr w14:paraId="4F8E7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B4F3FD0">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5.18</w:t>
            </w:r>
          </w:p>
        </w:tc>
        <w:tc>
          <w:tcPr>
            <w:tcW w:w="2161" w:type="dxa"/>
            <w:tcBorders>
              <w:top w:val="single" w:color="auto" w:sz="4" w:space="0"/>
              <w:left w:val="single" w:color="auto" w:sz="4" w:space="0"/>
              <w:bottom w:val="single" w:color="auto" w:sz="4" w:space="0"/>
              <w:right w:val="single" w:color="auto" w:sz="4" w:space="0"/>
            </w:tcBorders>
            <w:vAlign w:val="center"/>
          </w:tcPr>
          <w:p w14:paraId="3EBE9456">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05413C7C">
            <w:pPr>
              <w:widowControl/>
              <w:jc w:val="left"/>
              <w:rPr>
                <w:rFonts w:ascii="宋体" w:hAnsi="宋体"/>
                <w:color w:val="auto"/>
                <w:sz w:val="20"/>
                <w:highlight w:val="none"/>
              </w:rPr>
            </w:pPr>
            <w:r>
              <w:rPr>
                <w:rFonts w:hint="eastAsia" w:ascii="宋体" w:hAnsi="宋体"/>
                <w:color w:val="auto"/>
                <w:sz w:val="20"/>
                <w:highlight w:val="none"/>
              </w:rPr>
              <w:t>未按规定设置电箱、漏电开关等电器设备，不按有关规定用电的；施工现场未设安全警示标志，每处罚款500元，并限期纠正。</w:t>
            </w:r>
          </w:p>
        </w:tc>
        <w:tc>
          <w:tcPr>
            <w:tcW w:w="1429" w:type="dxa"/>
            <w:tcBorders>
              <w:top w:val="single" w:color="auto" w:sz="4" w:space="0"/>
              <w:left w:val="single" w:color="auto" w:sz="4" w:space="0"/>
              <w:bottom w:val="single" w:color="auto" w:sz="4" w:space="0"/>
              <w:right w:val="single" w:color="auto" w:sz="4" w:space="0"/>
            </w:tcBorders>
          </w:tcPr>
          <w:p w14:paraId="4CBD0775">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08EC326A">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76B80804">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5BA89A30">
            <w:pPr>
              <w:widowControl/>
              <w:jc w:val="left"/>
              <w:rPr>
                <w:rFonts w:ascii="宋体" w:hAnsi="宋体" w:cs="宋体"/>
                <w:color w:val="auto"/>
                <w:kern w:val="0"/>
                <w:sz w:val="20"/>
                <w:highlight w:val="none"/>
              </w:rPr>
            </w:pPr>
          </w:p>
        </w:tc>
      </w:tr>
      <w:tr w14:paraId="721E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E388DEA">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5.19</w:t>
            </w:r>
          </w:p>
        </w:tc>
        <w:tc>
          <w:tcPr>
            <w:tcW w:w="2161" w:type="dxa"/>
            <w:tcBorders>
              <w:top w:val="single" w:color="auto" w:sz="4" w:space="0"/>
              <w:left w:val="single" w:color="auto" w:sz="4" w:space="0"/>
              <w:bottom w:val="single" w:color="auto" w:sz="4" w:space="0"/>
              <w:right w:val="single" w:color="auto" w:sz="4" w:space="0"/>
            </w:tcBorders>
            <w:vAlign w:val="center"/>
          </w:tcPr>
          <w:p w14:paraId="165A5C92">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2E8A9B07">
            <w:pPr>
              <w:widowControl/>
              <w:jc w:val="left"/>
              <w:rPr>
                <w:rFonts w:ascii="宋体" w:hAnsi="宋体"/>
                <w:color w:val="auto"/>
                <w:sz w:val="20"/>
                <w:highlight w:val="none"/>
              </w:rPr>
            </w:pPr>
            <w:r>
              <w:rPr>
                <w:rFonts w:hint="eastAsia" w:ascii="宋体" w:hAnsi="宋体"/>
                <w:color w:val="auto"/>
                <w:sz w:val="20"/>
                <w:highlight w:val="none"/>
              </w:rPr>
              <w:t>高空作业未设置稳固爬梯；不设围栏、安全网、每处处违约金1000元。</w:t>
            </w:r>
          </w:p>
        </w:tc>
        <w:tc>
          <w:tcPr>
            <w:tcW w:w="1429" w:type="dxa"/>
            <w:tcBorders>
              <w:top w:val="single" w:color="auto" w:sz="4" w:space="0"/>
              <w:left w:val="single" w:color="auto" w:sz="4" w:space="0"/>
              <w:bottom w:val="single" w:color="auto" w:sz="4" w:space="0"/>
              <w:right w:val="single" w:color="auto" w:sz="4" w:space="0"/>
            </w:tcBorders>
          </w:tcPr>
          <w:p w14:paraId="6A5891A5">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47B5E563">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4F68FD63">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44E20C8D">
            <w:pPr>
              <w:widowControl/>
              <w:jc w:val="left"/>
              <w:rPr>
                <w:rFonts w:ascii="宋体" w:hAnsi="宋体" w:cs="宋体"/>
                <w:color w:val="auto"/>
                <w:kern w:val="0"/>
                <w:sz w:val="20"/>
                <w:highlight w:val="none"/>
              </w:rPr>
            </w:pPr>
          </w:p>
        </w:tc>
      </w:tr>
      <w:tr w14:paraId="2ACD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01482E2">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5.20</w:t>
            </w:r>
          </w:p>
        </w:tc>
        <w:tc>
          <w:tcPr>
            <w:tcW w:w="2161" w:type="dxa"/>
            <w:tcBorders>
              <w:top w:val="single" w:color="auto" w:sz="4" w:space="0"/>
              <w:left w:val="single" w:color="auto" w:sz="4" w:space="0"/>
              <w:bottom w:val="single" w:color="auto" w:sz="4" w:space="0"/>
              <w:right w:val="single" w:color="auto" w:sz="4" w:space="0"/>
            </w:tcBorders>
            <w:vAlign w:val="center"/>
          </w:tcPr>
          <w:p w14:paraId="3AEC3374">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5137AECB">
            <w:pPr>
              <w:widowControl/>
              <w:jc w:val="left"/>
              <w:rPr>
                <w:rFonts w:ascii="宋体" w:hAnsi="宋体"/>
                <w:color w:val="auto"/>
                <w:sz w:val="20"/>
                <w:highlight w:val="none"/>
              </w:rPr>
            </w:pPr>
            <w:r>
              <w:rPr>
                <w:rFonts w:hint="eastAsia" w:ascii="宋体" w:hAnsi="宋体"/>
                <w:color w:val="auto"/>
                <w:sz w:val="20"/>
                <w:highlight w:val="none"/>
              </w:rPr>
              <w:t>拖欠工人劳务工资受到投诉，一经核实每次处违约金1000－10000元，并限期纠正。</w:t>
            </w:r>
          </w:p>
        </w:tc>
        <w:tc>
          <w:tcPr>
            <w:tcW w:w="1429" w:type="dxa"/>
            <w:tcBorders>
              <w:top w:val="single" w:color="auto" w:sz="4" w:space="0"/>
              <w:left w:val="single" w:color="auto" w:sz="4" w:space="0"/>
              <w:bottom w:val="single" w:color="auto" w:sz="4" w:space="0"/>
              <w:right w:val="single" w:color="auto" w:sz="4" w:space="0"/>
            </w:tcBorders>
          </w:tcPr>
          <w:p w14:paraId="0DDF8A41">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5CE32F11">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739BA548">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4100A270">
            <w:pPr>
              <w:widowControl/>
              <w:jc w:val="left"/>
              <w:rPr>
                <w:rFonts w:ascii="宋体" w:hAnsi="宋体" w:cs="宋体"/>
                <w:color w:val="auto"/>
                <w:kern w:val="0"/>
                <w:sz w:val="20"/>
                <w:highlight w:val="none"/>
              </w:rPr>
            </w:pPr>
          </w:p>
        </w:tc>
      </w:tr>
      <w:tr w14:paraId="7593A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C21C52B">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5.21</w:t>
            </w:r>
          </w:p>
        </w:tc>
        <w:tc>
          <w:tcPr>
            <w:tcW w:w="2161" w:type="dxa"/>
            <w:tcBorders>
              <w:top w:val="single" w:color="auto" w:sz="4" w:space="0"/>
              <w:left w:val="single" w:color="auto" w:sz="4" w:space="0"/>
              <w:bottom w:val="single" w:color="auto" w:sz="4" w:space="0"/>
              <w:right w:val="single" w:color="auto" w:sz="4" w:space="0"/>
            </w:tcBorders>
            <w:vAlign w:val="center"/>
          </w:tcPr>
          <w:p w14:paraId="22BB5D6B">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3AAEDB2D">
            <w:pPr>
              <w:widowControl/>
              <w:jc w:val="left"/>
              <w:rPr>
                <w:rFonts w:ascii="宋体" w:hAnsi="宋体"/>
                <w:color w:val="auto"/>
                <w:sz w:val="20"/>
                <w:highlight w:val="none"/>
              </w:rPr>
            </w:pPr>
            <w:r>
              <w:rPr>
                <w:rFonts w:hint="eastAsia" w:ascii="宋体" w:hAnsi="宋体"/>
                <w:color w:val="auto"/>
                <w:sz w:val="20"/>
                <w:highlight w:val="none"/>
              </w:rPr>
              <w:t>凡工程质量、安全管理、文明施工、地方协调、环境卫生等受到地方、个人或有关部门投诉，一经核实每次处违约金1000～10000元，并限期纠正。</w:t>
            </w:r>
          </w:p>
        </w:tc>
        <w:tc>
          <w:tcPr>
            <w:tcW w:w="1429" w:type="dxa"/>
            <w:tcBorders>
              <w:top w:val="single" w:color="auto" w:sz="4" w:space="0"/>
              <w:left w:val="single" w:color="auto" w:sz="4" w:space="0"/>
              <w:bottom w:val="single" w:color="auto" w:sz="4" w:space="0"/>
              <w:right w:val="single" w:color="auto" w:sz="4" w:space="0"/>
            </w:tcBorders>
          </w:tcPr>
          <w:p w14:paraId="4AFC9BAD">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4DD5A7DF">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46271802">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51E2D09B">
            <w:pPr>
              <w:widowControl/>
              <w:jc w:val="left"/>
              <w:rPr>
                <w:rFonts w:ascii="宋体" w:hAnsi="宋体" w:cs="宋体"/>
                <w:color w:val="auto"/>
                <w:kern w:val="0"/>
                <w:sz w:val="20"/>
                <w:highlight w:val="none"/>
              </w:rPr>
            </w:pPr>
          </w:p>
        </w:tc>
      </w:tr>
      <w:tr w14:paraId="2516A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35CC9AD">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5.22</w:t>
            </w:r>
          </w:p>
        </w:tc>
        <w:tc>
          <w:tcPr>
            <w:tcW w:w="2161" w:type="dxa"/>
            <w:tcBorders>
              <w:top w:val="single" w:color="auto" w:sz="4" w:space="0"/>
              <w:left w:val="single" w:color="auto" w:sz="4" w:space="0"/>
              <w:bottom w:val="single" w:color="auto" w:sz="4" w:space="0"/>
              <w:right w:val="single" w:color="auto" w:sz="4" w:space="0"/>
            </w:tcBorders>
            <w:vAlign w:val="center"/>
          </w:tcPr>
          <w:p w14:paraId="12A2A113">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6AEA0417">
            <w:pPr>
              <w:widowControl/>
              <w:jc w:val="left"/>
              <w:rPr>
                <w:rFonts w:ascii="宋体" w:hAnsi="宋体"/>
                <w:color w:val="auto"/>
                <w:sz w:val="20"/>
                <w:highlight w:val="none"/>
              </w:rPr>
            </w:pPr>
            <w:r>
              <w:rPr>
                <w:rFonts w:hint="eastAsia" w:ascii="宋体" w:hAnsi="宋体"/>
                <w:color w:val="auto"/>
                <w:sz w:val="20"/>
                <w:highlight w:val="none"/>
              </w:rPr>
              <w:t>施工单位在政府行政主管部门或代建（业主）单位组织的质量安全检查中，被发现存在严重的安全隐患，被通报批评，或被新闻媒体曝光造成不良影响的，每次处违约金20000元，并限期整改；施工场地被评为不合格工地的，或者被通报批评的，或者被新闻媒体曝光的，每次处违约金20000元，并限期整改。</w:t>
            </w:r>
          </w:p>
        </w:tc>
        <w:tc>
          <w:tcPr>
            <w:tcW w:w="1429" w:type="dxa"/>
            <w:tcBorders>
              <w:top w:val="single" w:color="auto" w:sz="4" w:space="0"/>
              <w:left w:val="single" w:color="auto" w:sz="4" w:space="0"/>
              <w:bottom w:val="single" w:color="auto" w:sz="4" w:space="0"/>
              <w:right w:val="single" w:color="auto" w:sz="4" w:space="0"/>
            </w:tcBorders>
          </w:tcPr>
          <w:p w14:paraId="64AB4018">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5410C47C">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419EDB05">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64E1D841">
            <w:pPr>
              <w:widowControl/>
              <w:jc w:val="left"/>
              <w:rPr>
                <w:rFonts w:ascii="宋体" w:hAnsi="宋体" w:cs="宋体"/>
                <w:color w:val="auto"/>
                <w:kern w:val="0"/>
                <w:sz w:val="20"/>
                <w:highlight w:val="none"/>
              </w:rPr>
            </w:pPr>
          </w:p>
        </w:tc>
      </w:tr>
      <w:tr w14:paraId="2F623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8EBABD2">
            <w:pPr>
              <w:widowControl/>
              <w:jc w:val="center"/>
              <w:rPr>
                <w:rFonts w:ascii="宋体" w:hAnsi="宋体" w:cs="宋体"/>
                <w:b/>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14:paraId="607AD14C">
            <w:pPr>
              <w:widowControl/>
              <w:jc w:val="left"/>
              <w:rPr>
                <w:rFonts w:ascii="宋体" w:hAnsi="宋体"/>
                <w:b/>
                <w:color w:val="auto"/>
                <w:sz w:val="20"/>
                <w:highlight w:val="none"/>
              </w:rPr>
            </w:pPr>
            <w:r>
              <w:rPr>
                <w:rFonts w:hint="eastAsia" w:ascii="宋体" w:hAnsi="宋体"/>
                <w:b/>
                <w:color w:val="auto"/>
                <w:sz w:val="20"/>
                <w:highlight w:val="none"/>
              </w:rPr>
              <w:t>一般违约及严重违约</w:t>
            </w:r>
          </w:p>
        </w:tc>
        <w:tc>
          <w:tcPr>
            <w:tcW w:w="5743" w:type="dxa"/>
            <w:tcBorders>
              <w:top w:val="single" w:color="auto" w:sz="4" w:space="0"/>
              <w:left w:val="single" w:color="auto" w:sz="4" w:space="0"/>
              <w:bottom w:val="single" w:color="auto" w:sz="4" w:space="0"/>
              <w:right w:val="single" w:color="auto" w:sz="4" w:space="0"/>
            </w:tcBorders>
            <w:vAlign w:val="center"/>
          </w:tcPr>
          <w:p w14:paraId="2971710F">
            <w:pPr>
              <w:widowControl/>
              <w:jc w:val="left"/>
              <w:rPr>
                <w:rFonts w:ascii="宋体" w:hAnsi="宋体"/>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14:paraId="300C03CA">
            <w:pPr>
              <w:widowControl/>
              <w:jc w:val="left"/>
              <w:rPr>
                <w:rFonts w:ascii="宋体" w:hAnsi="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434926CD">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14BB69D6">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0EB29158">
            <w:pPr>
              <w:widowControl/>
              <w:jc w:val="left"/>
              <w:rPr>
                <w:rFonts w:ascii="宋体" w:hAnsi="宋体" w:cs="宋体"/>
                <w:color w:val="auto"/>
                <w:kern w:val="0"/>
                <w:sz w:val="20"/>
                <w:highlight w:val="none"/>
              </w:rPr>
            </w:pPr>
          </w:p>
        </w:tc>
      </w:tr>
      <w:tr w14:paraId="4B45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0E2532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5.23.</w:t>
            </w:r>
          </w:p>
        </w:tc>
        <w:tc>
          <w:tcPr>
            <w:tcW w:w="2161" w:type="dxa"/>
            <w:tcBorders>
              <w:top w:val="single" w:color="auto" w:sz="4" w:space="0"/>
              <w:left w:val="single" w:color="auto" w:sz="4" w:space="0"/>
              <w:bottom w:val="single" w:color="auto" w:sz="4" w:space="0"/>
              <w:right w:val="single" w:color="auto" w:sz="4" w:space="0"/>
            </w:tcBorders>
            <w:vAlign w:val="center"/>
          </w:tcPr>
          <w:p w14:paraId="0A1F61EA">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承包人在政府行政主管部门组织的质量安全检查中，被发现存在严重的安全隐患，被通报批评，或被新闻媒体曝光造成不良影响的</w:t>
            </w:r>
          </w:p>
        </w:tc>
        <w:tc>
          <w:tcPr>
            <w:tcW w:w="5743" w:type="dxa"/>
            <w:tcBorders>
              <w:top w:val="single" w:color="auto" w:sz="4" w:space="0"/>
              <w:left w:val="single" w:color="auto" w:sz="4" w:space="0"/>
              <w:bottom w:val="single" w:color="auto" w:sz="4" w:space="0"/>
              <w:right w:val="single" w:color="auto" w:sz="4" w:space="0"/>
            </w:tcBorders>
            <w:vAlign w:val="center"/>
          </w:tcPr>
          <w:p w14:paraId="4CA59AE6">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被通报或被曝光1次，承包人必须承担严重违约责任；造成严重社会影响或累计被通报或被曝光3次以上（含本数）的，发包人有权解除合同，将本工程另行发包，并不免除承包人应承担的违约赔偿责任。</w:t>
            </w:r>
          </w:p>
        </w:tc>
        <w:tc>
          <w:tcPr>
            <w:tcW w:w="1429" w:type="dxa"/>
            <w:tcBorders>
              <w:top w:val="single" w:color="auto" w:sz="4" w:space="0"/>
              <w:left w:val="single" w:color="auto" w:sz="4" w:space="0"/>
              <w:bottom w:val="single" w:color="auto" w:sz="4" w:space="0"/>
              <w:right w:val="single" w:color="auto" w:sz="4" w:space="0"/>
            </w:tcBorders>
          </w:tcPr>
          <w:p w14:paraId="4453F64C">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7BC86289">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1884726F">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5DCAEE65">
            <w:pPr>
              <w:widowControl/>
              <w:jc w:val="left"/>
              <w:rPr>
                <w:rFonts w:ascii="宋体" w:hAnsi="宋体" w:cs="宋体"/>
                <w:color w:val="auto"/>
                <w:kern w:val="0"/>
                <w:sz w:val="20"/>
                <w:highlight w:val="none"/>
              </w:rPr>
            </w:pPr>
          </w:p>
        </w:tc>
      </w:tr>
      <w:tr w14:paraId="18ACA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A4B60F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5.24</w:t>
            </w:r>
          </w:p>
        </w:tc>
        <w:tc>
          <w:tcPr>
            <w:tcW w:w="2161" w:type="dxa"/>
            <w:tcBorders>
              <w:top w:val="single" w:color="auto" w:sz="4" w:space="0"/>
              <w:left w:val="single" w:color="auto" w:sz="4" w:space="0"/>
              <w:bottom w:val="single" w:color="auto" w:sz="4" w:space="0"/>
              <w:right w:val="single" w:color="auto" w:sz="4" w:space="0"/>
            </w:tcBorders>
            <w:vAlign w:val="center"/>
          </w:tcPr>
          <w:p w14:paraId="75CA1A6D">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承包人在发包人、总监理工程师进行的日常质量安全检查中，被发现存在安全隐患的</w:t>
            </w:r>
          </w:p>
        </w:tc>
        <w:tc>
          <w:tcPr>
            <w:tcW w:w="5743" w:type="dxa"/>
            <w:tcBorders>
              <w:top w:val="single" w:color="auto" w:sz="4" w:space="0"/>
              <w:left w:val="single" w:color="auto" w:sz="4" w:space="0"/>
              <w:bottom w:val="single" w:color="auto" w:sz="4" w:space="0"/>
              <w:right w:val="single" w:color="auto" w:sz="4" w:space="0"/>
            </w:tcBorders>
            <w:vAlign w:val="center"/>
          </w:tcPr>
          <w:p w14:paraId="3F4290C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承包人应限期改正。若同样问题被发现2次的或累计类似问题被发现3次，承包人必须承担一般违约责任1次；此类问题的认定，以发包人、总监理工程师书面通知、指令、通报和会议纪要为准。</w:t>
            </w:r>
          </w:p>
        </w:tc>
        <w:tc>
          <w:tcPr>
            <w:tcW w:w="1429" w:type="dxa"/>
            <w:tcBorders>
              <w:top w:val="single" w:color="auto" w:sz="4" w:space="0"/>
              <w:left w:val="single" w:color="auto" w:sz="4" w:space="0"/>
              <w:bottom w:val="single" w:color="auto" w:sz="4" w:space="0"/>
              <w:right w:val="single" w:color="auto" w:sz="4" w:space="0"/>
            </w:tcBorders>
          </w:tcPr>
          <w:p w14:paraId="686377DA">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50BFD525">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207CF57C">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06C166C6">
            <w:pPr>
              <w:widowControl/>
              <w:jc w:val="left"/>
              <w:rPr>
                <w:rFonts w:ascii="宋体" w:hAnsi="宋体" w:cs="宋体"/>
                <w:color w:val="auto"/>
                <w:kern w:val="0"/>
                <w:sz w:val="20"/>
                <w:highlight w:val="none"/>
              </w:rPr>
            </w:pPr>
          </w:p>
        </w:tc>
      </w:tr>
      <w:tr w14:paraId="5334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876F70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5.25</w:t>
            </w:r>
          </w:p>
        </w:tc>
        <w:tc>
          <w:tcPr>
            <w:tcW w:w="2161" w:type="dxa"/>
            <w:tcBorders>
              <w:top w:val="single" w:color="auto" w:sz="4" w:space="0"/>
              <w:left w:val="single" w:color="auto" w:sz="4" w:space="0"/>
              <w:bottom w:val="single" w:color="auto" w:sz="4" w:space="0"/>
              <w:right w:val="single" w:color="auto" w:sz="4" w:space="0"/>
            </w:tcBorders>
            <w:vAlign w:val="center"/>
          </w:tcPr>
          <w:p w14:paraId="2F0CC9B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承包人因自身原因造成的重大安全事故（含工程质量事故）的</w:t>
            </w:r>
          </w:p>
        </w:tc>
        <w:tc>
          <w:tcPr>
            <w:tcW w:w="5743" w:type="dxa"/>
            <w:tcBorders>
              <w:top w:val="single" w:color="auto" w:sz="4" w:space="0"/>
              <w:left w:val="single" w:color="auto" w:sz="4" w:space="0"/>
              <w:bottom w:val="single" w:color="auto" w:sz="4" w:space="0"/>
              <w:right w:val="single" w:color="auto" w:sz="4" w:space="0"/>
            </w:tcBorders>
            <w:vAlign w:val="center"/>
          </w:tcPr>
          <w:p w14:paraId="173AF6F3">
            <w:pPr>
              <w:widowControl/>
              <w:jc w:val="left"/>
              <w:rPr>
                <w:rFonts w:ascii="宋体" w:hAnsi="宋体" w:cs="宋体"/>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14:paraId="2213AB3C">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16075054">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26008EEC">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3C890BEF">
            <w:pPr>
              <w:widowControl/>
              <w:jc w:val="left"/>
              <w:rPr>
                <w:rFonts w:ascii="宋体" w:hAnsi="宋体" w:cs="宋体"/>
                <w:color w:val="auto"/>
                <w:kern w:val="0"/>
                <w:sz w:val="20"/>
                <w:highlight w:val="none"/>
              </w:rPr>
            </w:pPr>
          </w:p>
        </w:tc>
      </w:tr>
      <w:tr w14:paraId="3B23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A5AF48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5.25.1</w:t>
            </w:r>
          </w:p>
        </w:tc>
        <w:tc>
          <w:tcPr>
            <w:tcW w:w="2161" w:type="dxa"/>
            <w:tcBorders>
              <w:top w:val="single" w:color="auto" w:sz="4" w:space="0"/>
              <w:left w:val="single" w:color="auto" w:sz="4" w:space="0"/>
              <w:bottom w:val="single" w:color="auto" w:sz="4" w:space="0"/>
              <w:right w:val="single" w:color="auto" w:sz="4" w:space="0"/>
            </w:tcBorders>
            <w:vAlign w:val="center"/>
          </w:tcPr>
          <w:p w14:paraId="5E920B24">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发生一级重大事故（死亡30人以上（含30人），或直接经济损失达300万元人民币以上的事故）</w:t>
            </w:r>
          </w:p>
        </w:tc>
        <w:tc>
          <w:tcPr>
            <w:tcW w:w="5743" w:type="dxa"/>
            <w:tcBorders>
              <w:top w:val="single" w:color="auto" w:sz="4" w:space="0"/>
              <w:left w:val="single" w:color="auto" w:sz="4" w:space="0"/>
              <w:bottom w:val="single" w:color="auto" w:sz="4" w:space="0"/>
              <w:right w:val="single" w:color="auto" w:sz="4" w:space="0"/>
            </w:tcBorders>
            <w:vAlign w:val="center"/>
          </w:tcPr>
          <w:p w14:paraId="55ABC72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必须积极补救消除隐患和影响，所需费用自负。如造成人员死亡的，承包人须向发包人支付违约金，违约金从相对应等级金额①起计，死亡的人数多于30人时，每增加死亡1人，承包人除支付上述违约金外还须再向发包人支付相对应等级的违约金②；如无造成人员死亡的，承包人除赔偿因此而给发包人造成的全部损失外，还应向发包人支付相对应等级的违约金③，同时承担严重违约责任三次。</w:t>
            </w:r>
          </w:p>
        </w:tc>
        <w:tc>
          <w:tcPr>
            <w:tcW w:w="1429" w:type="dxa"/>
            <w:tcBorders>
              <w:top w:val="single" w:color="auto" w:sz="4" w:space="0"/>
              <w:left w:val="single" w:color="auto" w:sz="4" w:space="0"/>
              <w:bottom w:val="single" w:color="auto" w:sz="4" w:space="0"/>
              <w:right w:val="single" w:color="auto" w:sz="4" w:space="0"/>
            </w:tcBorders>
          </w:tcPr>
          <w:p w14:paraId="1D19506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①10万元；        ②10万元/人；      </w:t>
            </w:r>
          </w:p>
          <w:p w14:paraId="50C2EE6B">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③10万元。</w:t>
            </w:r>
          </w:p>
        </w:tc>
        <w:tc>
          <w:tcPr>
            <w:tcW w:w="1941" w:type="dxa"/>
            <w:tcBorders>
              <w:top w:val="single" w:color="auto" w:sz="4" w:space="0"/>
              <w:left w:val="single" w:color="auto" w:sz="4" w:space="0"/>
              <w:bottom w:val="single" w:color="auto" w:sz="4" w:space="0"/>
              <w:right w:val="single" w:color="auto" w:sz="4" w:space="0"/>
            </w:tcBorders>
          </w:tcPr>
          <w:p w14:paraId="0D348CAF">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①20万元；         ②20万元/人；      ③20万元。</w:t>
            </w:r>
          </w:p>
        </w:tc>
        <w:tc>
          <w:tcPr>
            <w:tcW w:w="1781" w:type="dxa"/>
            <w:tcBorders>
              <w:top w:val="single" w:color="auto" w:sz="4" w:space="0"/>
              <w:left w:val="single" w:color="auto" w:sz="4" w:space="0"/>
              <w:bottom w:val="single" w:color="auto" w:sz="4" w:space="0"/>
              <w:right w:val="single" w:color="auto" w:sz="4" w:space="0"/>
            </w:tcBorders>
          </w:tcPr>
          <w:p w14:paraId="4C5D516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①30万元；       ②30万元/人；      ③30万元。</w:t>
            </w:r>
          </w:p>
        </w:tc>
        <w:tc>
          <w:tcPr>
            <w:tcW w:w="1480" w:type="dxa"/>
            <w:tcBorders>
              <w:top w:val="single" w:color="auto" w:sz="4" w:space="0"/>
              <w:left w:val="single" w:color="auto" w:sz="4" w:space="0"/>
              <w:bottom w:val="single" w:color="auto" w:sz="4" w:space="0"/>
              <w:right w:val="single" w:color="auto" w:sz="4" w:space="0"/>
            </w:tcBorders>
          </w:tcPr>
          <w:p w14:paraId="6BA2F36E">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①50万元；       ②50万元/人；     </w:t>
            </w:r>
          </w:p>
          <w:p w14:paraId="05A085A1">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③50万元。</w:t>
            </w:r>
          </w:p>
        </w:tc>
      </w:tr>
      <w:tr w14:paraId="7EB7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56463B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5.25.2</w:t>
            </w:r>
          </w:p>
        </w:tc>
        <w:tc>
          <w:tcPr>
            <w:tcW w:w="2161" w:type="dxa"/>
            <w:tcBorders>
              <w:top w:val="single" w:color="auto" w:sz="4" w:space="0"/>
              <w:left w:val="single" w:color="auto" w:sz="4" w:space="0"/>
              <w:bottom w:val="single" w:color="auto" w:sz="4" w:space="0"/>
              <w:right w:val="single" w:color="auto" w:sz="4" w:space="0"/>
            </w:tcBorders>
            <w:vAlign w:val="center"/>
          </w:tcPr>
          <w:p w14:paraId="67C1A2AA">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发生二级重大事故（死亡10人以上（含10人）29人以下，或直接经济损失达100万元人民币以上，不满300万元人民币的事故）</w:t>
            </w:r>
          </w:p>
        </w:tc>
        <w:tc>
          <w:tcPr>
            <w:tcW w:w="5743" w:type="dxa"/>
            <w:tcBorders>
              <w:top w:val="single" w:color="auto" w:sz="4" w:space="0"/>
              <w:left w:val="single" w:color="auto" w:sz="4" w:space="0"/>
              <w:bottom w:val="single" w:color="auto" w:sz="4" w:space="0"/>
              <w:right w:val="single" w:color="auto" w:sz="4" w:space="0"/>
            </w:tcBorders>
            <w:vAlign w:val="center"/>
          </w:tcPr>
          <w:p w14:paraId="0D5BDEB1">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必须积极补救消除隐患和影响，所需费用自负。如造成人员死亡的，承包人须向发包人支付违约金，违约金从相对应等级金额①起计，死亡的人数多于10人时，每增加死亡1人，承包人除支付上述违约金外还须再向发包人支付相对应等级的违约金②；如无造成人员死亡的，承包人除赔偿因此而给发包人造成的全部损失外，还应向发包人支付相对应等级的违约金③，同时承担严重违约责任三次。</w:t>
            </w:r>
          </w:p>
        </w:tc>
        <w:tc>
          <w:tcPr>
            <w:tcW w:w="1429" w:type="dxa"/>
            <w:tcBorders>
              <w:top w:val="single" w:color="auto" w:sz="4" w:space="0"/>
              <w:left w:val="single" w:color="auto" w:sz="4" w:space="0"/>
              <w:bottom w:val="single" w:color="auto" w:sz="4" w:space="0"/>
              <w:right w:val="single" w:color="auto" w:sz="4" w:space="0"/>
            </w:tcBorders>
          </w:tcPr>
          <w:p w14:paraId="7752ED15">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①8万元；         ②8万元/人；      </w:t>
            </w:r>
          </w:p>
          <w:p w14:paraId="68883B8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③8万元。</w:t>
            </w:r>
          </w:p>
        </w:tc>
        <w:tc>
          <w:tcPr>
            <w:tcW w:w="1941" w:type="dxa"/>
            <w:tcBorders>
              <w:top w:val="single" w:color="auto" w:sz="4" w:space="0"/>
              <w:left w:val="single" w:color="auto" w:sz="4" w:space="0"/>
              <w:bottom w:val="single" w:color="auto" w:sz="4" w:space="0"/>
              <w:right w:val="single" w:color="auto" w:sz="4" w:space="0"/>
            </w:tcBorders>
          </w:tcPr>
          <w:p w14:paraId="15B873B3">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①15万元；        ②15万元/人；      ③15万元。</w:t>
            </w:r>
          </w:p>
        </w:tc>
        <w:tc>
          <w:tcPr>
            <w:tcW w:w="1781" w:type="dxa"/>
            <w:tcBorders>
              <w:top w:val="single" w:color="auto" w:sz="4" w:space="0"/>
              <w:left w:val="single" w:color="auto" w:sz="4" w:space="0"/>
              <w:bottom w:val="single" w:color="auto" w:sz="4" w:space="0"/>
              <w:right w:val="single" w:color="auto" w:sz="4" w:space="0"/>
            </w:tcBorders>
          </w:tcPr>
          <w:p w14:paraId="7769E464">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①20万元；        ②20万元/人；      ③20万元。</w:t>
            </w:r>
          </w:p>
        </w:tc>
        <w:tc>
          <w:tcPr>
            <w:tcW w:w="1480" w:type="dxa"/>
            <w:tcBorders>
              <w:top w:val="single" w:color="auto" w:sz="4" w:space="0"/>
              <w:left w:val="single" w:color="auto" w:sz="4" w:space="0"/>
              <w:bottom w:val="single" w:color="auto" w:sz="4" w:space="0"/>
              <w:right w:val="single" w:color="auto" w:sz="4" w:space="0"/>
            </w:tcBorders>
          </w:tcPr>
          <w:p w14:paraId="5D672DCC">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 xml:space="preserve">①30万元；       ②30万元/人；     </w:t>
            </w:r>
          </w:p>
          <w:p w14:paraId="16663E63">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③30万元。</w:t>
            </w:r>
          </w:p>
        </w:tc>
      </w:tr>
      <w:tr w14:paraId="5BD6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32F278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5.25.3</w:t>
            </w:r>
          </w:p>
        </w:tc>
        <w:tc>
          <w:tcPr>
            <w:tcW w:w="2161" w:type="dxa"/>
            <w:tcBorders>
              <w:top w:val="single" w:color="auto" w:sz="4" w:space="0"/>
              <w:left w:val="single" w:color="auto" w:sz="4" w:space="0"/>
              <w:bottom w:val="single" w:color="auto" w:sz="4" w:space="0"/>
              <w:right w:val="single" w:color="auto" w:sz="4" w:space="0"/>
            </w:tcBorders>
            <w:vAlign w:val="center"/>
          </w:tcPr>
          <w:p w14:paraId="34231C0B">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发生三级重大事故（死亡3人以上（含3人）9人以下，或者伤20人以上（含20人），或直接经济损失达30万元人民币以上，不满100万元人民币的事故）</w:t>
            </w:r>
          </w:p>
        </w:tc>
        <w:tc>
          <w:tcPr>
            <w:tcW w:w="5743" w:type="dxa"/>
            <w:tcBorders>
              <w:top w:val="single" w:color="auto" w:sz="4" w:space="0"/>
              <w:left w:val="single" w:color="auto" w:sz="4" w:space="0"/>
              <w:bottom w:val="single" w:color="auto" w:sz="4" w:space="0"/>
              <w:right w:val="single" w:color="auto" w:sz="4" w:space="0"/>
            </w:tcBorders>
            <w:vAlign w:val="center"/>
          </w:tcPr>
          <w:p w14:paraId="4E58753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如造成人员死亡或重伤的，承包人须向发包人支付违约金，违约金从相应等级金额①起计，死亡的人数多于3人或重伤的人数多于20人时，每增加死亡1人或重伤3人，承包人除支付上述违约金外还须再向发包人支付相对应等级的违约金②，本条违约金最多不超过相对应等级的金额③；如无造成人员死亡或重伤的，承包人除赔偿因此而给发包人造成的全部损失外，还应向发包人支付相对应等级的违约金④，同时承担严重违约责任两次。</w:t>
            </w:r>
          </w:p>
        </w:tc>
        <w:tc>
          <w:tcPr>
            <w:tcW w:w="1429" w:type="dxa"/>
            <w:tcBorders>
              <w:top w:val="single" w:color="auto" w:sz="4" w:space="0"/>
              <w:left w:val="single" w:color="auto" w:sz="4" w:space="0"/>
              <w:bottom w:val="single" w:color="auto" w:sz="4" w:space="0"/>
              <w:right w:val="single" w:color="auto" w:sz="4" w:space="0"/>
            </w:tcBorders>
          </w:tcPr>
          <w:p w14:paraId="6979D64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①6万元；         ②6万元；         ③200万元；        ④6万元。</w:t>
            </w:r>
          </w:p>
        </w:tc>
        <w:tc>
          <w:tcPr>
            <w:tcW w:w="1941" w:type="dxa"/>
            <w:tcBorders>
              <w:top w:val="single" w:color="auto" w:sz="4" w:space="0"/>
              <w:left w:val="single" w:color="auto" w:sz="4" w:space="0"/>
              <w:bottom w:val="single" w:color="auto" w:sz="4" w:space="0"/>
              <w:right w:val="single" w:color="auto" w:sz="4" w:space="0"/>
            </w:tcBorders>
          </w:tcPr>
          <w:p w14:paraId="0F287DD7">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①8万元；        ②8万元；         ③400万元；        ④8万元。</w:t>
            </w:r>
          </w:p>
        </w:tc>
        <w:tc>
          <w:tcPr>
            <w:tcW w:w="1781" w:type="dxa"/>
            <w:tcBorders>
              <w:top w:val="single" w:color="auto" w:sz="4" w:space="0"/>
              <w:left w:val="single" w:color="auto" w:sz="4" w:space="0"/>
              <w:bottom w:val="single" w:color="auto" w:sz="4" w:space="0"/>
              <w:right w:val="single" w:color="auto" w:sz="4" w:space="0"/>
            </w:tcBorders>
          </w:tcPr>
          <w:p w14:paraId="52A1A13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①10万元；        ②10万元；         ③600万元；        ④10万元。</w:t>
            </w:r>
          </w:p>
        </w:tc>
        <w:tc>
          <w:tcPr>
            <w:tcW w:w="1480" w:type="dxa"/>
            <w:tcBorders>
              <w:top w:val="single" w:color="auto" w:sz="4" w:space="0"/>
              <w:left w:val="single" w:color="auto" w:sz="4" w:space="0"/>
              <w:bottom w:val="single" w:color="auto" w:sz="4" w:space="0"/>
              <w:right w:val="single" w:color="auto" w:sz="4" w:space="0"/>
            </w:tcBorders>
          </w:tcPr>
          <w:p w14:paraId="61CE645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①15万元；        ②15万元；        ③900万元；        ④15万元。</w:t>
            </w:r>
          </w:p>
        </w:tc>
      </w:tr>
      <w:tr w14:paraId="49048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153AE08">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5.25.4</w:t>
            </w:r>
          </w:p>
        </w:tc>
        <w:tc>
          <w:tcPr>
            <w:tcW w:w="2161" w:type="dxa"/>
            <w:tcBorders>
              <w:top w:val="single" w:color="auto" w:sz="4" w:space="0"/>
              <w:left w:val="single" w:color="auto" w:sz="4" w:space="0"/>
              <w:bottom w:val="single" w:color="auto" w:sz="4" w:space="0"/>
              <w:right w:val="single" w:color="auto" w:sz="4" w:space="0"/>
            </w:tcBorders>
            <w:vAlign w:val="center"/>
          </w:tcPr>
          <w:p w14:paraId="6F2F326D">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发生四级重大事故（死亡2人以下，或重伤3人以上（含3人）19人以下，或直接经济损失达10万元人民币以上，不满30万元人民币的事故）</w:t>
            </w:r>
          </w:p>
        </w:tc>
        <w:tc>
          <w:tcPr>
            <w:tcW w:w="5743" w:type="dxa"/>
            <w:tcBorders>
              <w:top w:val="single" w:color="auto" w:sz="4" w:space="0"/>
              <w:left w:val="single" w:color="auto" w:sz="4" w:space="0"/>
              <w:bottom w:val="single" w:color="auto" w:sz="4" w:space="0"/>
              <w:right w:val="single" w:color="auto" w:sz="4" w:space="0"/>
            </w:tcBorders>
            <w:vAlign w:val="center"/>
          </w:tcPr>
          <w:p w14:paraId="02BBE30B">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如造成人员死亡或重伤的，承包人须向发包人支付违约金，违约金从相应等级金额①起计，死亡的人数多于1人或重伤的人数多于3人时，每增加死亡1人或重伤4人，承包人除支付上述违约金外还须再向发包人支付相对应等级的违约金②，本条违约金最多不超过相对应等级的金额③；如无造成人员死亡或重伤的，承包人除赔偿因此而给发包人造成的全部损失外，还应向发包人支付相对应等级的违约金④，同时承担严重违约责任两次。</w:t>
            </w:r>
          </w:p>
        </w:tc>
        <w:tc>
          <w:tcPr>
            <w:tcW w:w="1429" w:type="dxa"/>
            <w:tcBorders>
              <w:top w:val="single" w:color="auto" w:sz="4" w:space="0"/>
              <w:left w:val="single" w:color="auto" w:sz="4" w:space="0"/>
              <w:bottom w:val="single" w:color="auto" w:sz="4" w:space="0"/>
              <w:right w:val="single" w:color="auto" w:sz="4" w:space="0"/>
            </w:tcBorders>
          </w:tcPr>
          <w:p w14:paraId="01EE25DC">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①4万元；         ②4万元；         ③150万元；        ④4万元。</w:t>
            </w:r>
          </w:p>
        </w:tc>
        <w:tc>
          <w:tcPr>
            <w:tcW w:w="1941" w:type="dxa"/>
            <w:tcBorders>
              <w:top w:val="single" w:color="auto" w:sz="4" w:space="0"/>
              <w:left w:val="single" w:color="auto" w:sz="4" w:space="0"/>
              <w:bottom w:val="single" w:color="auto" w:sz="4" w:space="0"/>
              <w:right w:val="single" w:color="auto" w:sz="4" w:space="0"/>
            </w:tcBorders>
          </w:tcPr>
          <w:p w14:paraId="5989144F">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①6万元；         ②6万元；         ③200万元；        ④6万元。</w:t>
            </w:r>
          </w:p>
        </w:tc>
        <w:tc>
          <w:tcPr>
            <w:tcW w:w="1781" w:type="dxa"/>
            <w:tcBorders>
              <w:top w:val="single" w:color="auto" w:sz="4" w:space="0"/>
              <w:left w:val="single" w:color="auto" w:sz="4" w:space="0"/>
              <w:bottom w:val="single" w:color="auto" w:sz="4" w:space="0"/>
              <w:right w:val="single" w:color="auto" w:sz="4" w:space="0"/>
            </w:tcBorders>
          </w:tcPr>
          <w:p w14:paraId="523547D9">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①8万元；         ②8万元；         ③300万元；        ④8万元。</w:t>
            </w:r>
          </w:p>
        </w:tc>
        <w:tc>
          <w:tcPr>
            <w:tcW w:w="1480" w:type="dxa"/>
            <w:tcBorders>
              <w:top w:val="single" w:color="auto" w:sz="4" w:space="0"/>
              <w:left w:val="single" w:color="auto" w:sz="4" w:space="0"/>
              <w:bottom w:val="single" w:color="auto" w:sz="4" w:space="0"/>
              <w:right w:val="single" w:color="auto" w:sz="4" w:space="0"/>
            </w:tcBorders>
          </w:tcPr>
          <w:p w14:paraId="6DB36D91">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①10万元；        ②10万元；        ③400万元；        ④10万元。</w:t>
            </w:r>
          </w:p>
        </w:tc>
      </w:tr>
      <w:tr w14:paraId="5960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C2470FA">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6</w:t>
            </w:r>
          </w:p>
        </w:tc>
        <w:tc>
          <w:tcPr>
            <w:tcW w:w="2161" w:type="dxa"/>
            <w:tcBorders>
              <w:top w:val="single" w:color="auto" w:sz="4" w:space="0"/>
              <w:left w:val="single" w:color="auto" w:sz="4" w:space="0"/>
              <w:bottom w:val="single" w:color="auto" w:sz="4" w:space="0"/>
              <w:right w:val="single" w:color="auto" w:sz="4" w:space="0"/>
            </w:tcBorders>
            <w:vAlign w:val="center"/>
          </w:tcPr>
          <w:p w14:paraId="6E9F800E">
            <w:pPr>
              <w:widowControl/>
              <w:jc w:val="left"/>
              <w:rPr>
                <w:rFonts w:ascii="宋体" w:hAnsi="宋体"/>
                <w:color w:val="auto"/>
                <w:sz w:val="20"/>
                <w:highlight w:val="none"/>
              </w:rPr>
            </w:pPr>
            <w:r>
              <w:rPr>
                <w:rFonts w:hint="eastAsia" w:ascii="宋体" w:hAnsi="宋体"/>
                <w:b/>
                <w:color w:val="auto"/>
                <w:sz w:val="20"/>
                <w:highlight w:val="none"/>
              </w:rPr>
              <w:t>安全文明施工</w:t>
            </w:r>
          </w:p>
        </w:tc>
        <w:tc>
          <w:tcPr>
            <w:tcW w:w="5743" w:type="dxa"/>
            <w:tcBorders>
              <w:top w:val="single" w:color="auto" w:sz="4" w:space="0"/>
              <w:left w:val="single" w:color="auto" w:sz="4" w:space="0"/>
              <w:bottom w:val="single" w:color="auto" w:sz="4" w:space="0"/>
              <w:right w:val="single" w:color="auto" w:sz="4" w:space="0"/>
            </w:tcBorders>
            <w:vAlign w:val="center"/>
          </w:tcPr>
          <w:p w14:paraId="432A845C">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14:paraId="3E581EA9">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2F50590F">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4843A866">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1F22DE1E">
            <w:pPr>
              <w:widowControl/>
              <w:jc w:val="left"/>
              <w:rPr>
                <w:rFonts w:ascii="宋体" w:hAnsi="宋体" w:cs="宋体"/>
                <w:color w:val="auto"/>
                <w:kern w:val="0"/>
                <w:sz w:val="20"/>
                <w:highlight w:val="none"/>
              </w:rPr>
            </w:pPr>
          </w:p>
        </w:tc>
      </w:tr>
      <w:tr w14:paraId="57E7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5394D5F">
            <w:pPr>
              <w:widowControl/>
              <w:jc w:val="center"/>
              <w:rPr>
                <w:rFonts w:ascii="宋体" w:hAnsi="宋体" w:cs="宋体"/>
                <w:b/>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14:paraId="70391E07">
            <w:pPr>
              <w:widowControl/>
              <w:jc w:val="left"/>
              <w:rPr>
                <w:rFonts w:ascii="宋体" w:hAnsi="宋体"/>
                <w:b/>
                <w:color w:val="auto"/>
                <w:sz w:val="20"/>
                <w:highlight w:val="none"/>
              </w:rPr>
            </w:pPr>
            <w:r>
              <w:rPr>
                <w:rFonts w:hint="eastAsia" w:ascii="宋体" w:hAnsi="宋体"/>
                <w:b/>
                <w:color w:val="auto"/>
                <w:sz w:val="20"/>
                <w:highlight w:val="none"/>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14:paraId="66E69A79">
            <w:pPr>
              <w:widowControl/>
              <w:jc w:val="left"/>
              <w:rPr>
                <w:rFonts w:ascii="宋体" w:hAnsi="宋体"/>
                <w:color w:val="auto"/>
                <w:sz w:val="20"/>
                <w:highlight w:val="none"/>
              </w:rPr>
            </w:pPr>
          </w:p>
        </w:tc>
        <w:tc>
          <w:tcPr>
            <w:tcW w:w="1429" w:type="dxa"/>
            <w:tcBorders>
              <w:top w:val="single" w:color="auto" w:sz="4" w:space="0"/>
              <w:left w:val="single" w:color="auto" w:sz="4" w:space="0"/>
              <w:bottom w:val="single" w:color="auto" w:sz="4" w:space="0"/>
              <w:right w:val="single" w:color="auto" w:sz="4" w:space="0"/>
            </w:tcBorders>
          </w:tcPr>
          <w:p w14:paraId="04D930EF">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66BB2CAB">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0B77D82F">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41F0B61E">
            <w:pPr>
              <w:widowControl/>
              <w:jc w:val="left"/>
              <w:rPr>
                <w:rFonts w:ascii="宋体" w:hAnsi="宋体" w:cs="宋体"/>
                <w:color w:val="auto"/>
                <w:kern w:val="0"/>
                <w:sz w:val="20"/>
                <w:highlight w:val="none"/>
              </w:rPr>
            </w:pPr>
          </w:p>
        </w:tc>
      </w:tr>
      <w:tr w14:paraId="4775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09A0115">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6.1</w:t>
            </w:r>
          </w:p>
        </w:tc>
        <w:tc>
          <w:tcPr>
            <w:tcW w:w="2161" w:type="dxa"/>
            <w:tcBorders>
              <w:top w:val="single" w:color="auto" w:sz="4" w:space="0"/>
              <w:left w:val="single" w:color="auto" w:sz="4" w:space="0"/>
              <w:bottom w:val="single" w:color="auto" w:sz="4" w:space="0"/>
              <w:right w:val="single" w:color="auto" w:sz="4" w:space="0"/>
            </w:tcBorders>
            <w:vAlign w:val="center"/>
          </w:tcPr>
          <w:p w14:paraId="429D9716">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3A357EAB">
            <w:pPr>
              <w:spacing w:line="360" w:lineRule="exact"/>
              <w:rPr>
                <w:rFonts w:ascii="宋体" w:hAnsi="宋体"/>
                <w:color w:val="auto"/>
                <w:kern w:val="0"/>
                <w:sz w:val="20"/>
                <w:highlight w:val="none"/>
              </w:rPr>
            </w:pPr>
            <w:r>
              <w:rPr>
                <w:rFonts w:hint="eastAsia" w:ascii="宋体" w:hAnsi="宋体"/>
                <w:color w:val="auto"/>
                <w:kern w:val="0"/>
                <w:sz w:val="20"/>
                <w:highlight w:val="none"/>
              </w:rPr>
              <w:t>施工前没召集有关构筑物、管线、市政设施等管理部门研究防护措施，</w:t>
            </w:r>
          </w:p>
          <w:p w14:paraId="4ED1ACC0">
            <w:pPr>
              <w:widowControl/>
              <w:jc w:val="left"/>
              <w:rPr>
                <w:rFonts w:ascii="宋体" w:hAnsi="宋体"/>
                <w:color w:val="auto"/>
                <w:kern w:val="0"/>
                <w:sz w:val="20"/>
                <w:highlight w:val="none"/>
              </w:rPr>
            </w:pPr>
            <w:r>
              <w:rPr>
                <w:rFonts w:hint="eastAsia" w:ascii="宋体" w:hAnsi="宋体"/>
                <w:color w:val="auto"/>
                <w:kern w:val="0"/>
                <w:sz w:val="20"/>
                <w:highlight w:val="none"/>
              </w:rPr>
              <w:t>无会议记录。</w:t>
            </w:r>
          </w:p>
        </w:tc>
        <w:tc>
          <w:tcPr>
            <w:tcW w:w="1429" w:type="dxa"/>
            <w:tcBorders>
              <w:top w:val="single" w:color="auto" w:sz="4" w:space="0"/>
              <w:left w:val="single" w:color="auto" w:sz="4" w:space="0"/>
              <w:bottom w:val="single" w:color="auto" w:sz="4" w:space="0"/>
              <w:right w:val="single" w:color="auto" w:sz="4" w:space="0"/>
            </w:tcBorders>
          </w:tcPr>
          <w:p w14:paraId="116E5643">
            <w:pPr>
              <w:widowControl/>
              <w:jc w:val="left"/>
              <w:rPr>
                <w:rFonts w:ascii="宋体" w:hAnsi="宋体"/>
                <w:color w:val="auto"/>
                <w:kern w:val="0"/>
                <w:sz w:val="20"/>
                <w:highlight w:val="none"/>
              </w:rPr>
            </w:pPr>
            <w:r>
              <w:rPr>
                <w:rFonts w:hint="eastAsia" w:ascii="宋体" w:hAnsi="宋体"/>
                <w:color w:val="auto"/>
                <w:kern w:val="0"/>
                <w:sz w:val="20"/>
                <w:highlight w:val="none"/>
              </w:rPr>
              <w:t>300元</w:t>
            </w:r>
          </w:p>
        </w:tc>
        <w:tc>
          <w:tcPr>
            <w:tcW w:w="1941" w:type="dxa"/>
            <w:tcBorders>
              <w:top w:val="single" w:color="auto" w:sz="4" w:space="0"/>
              <w:left w:val="single" w:color="auto" w:sz="4" w:space="0"/>
              <w:bottom w:val="single" w:color="auto" w:sz="4" w:space="0"/>
              <w:right w:val="single" w:color="auto" w:sz="4" w:space="0"/>
            </w:tcBorders>
          </w:tcPr>
          <w:p w14:paraId="3C587C53">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2C033CA8">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101D3A8C">
            <w:pPr>
              <w:widowControl/>
              <w:jc w:val="left"/>
              <w:rPr>
                <w:rFonts w:ascii="宋体" w:hAnsi="宋体" w:cs="宋体"/>
                <w:color w:val="auto"/>
                <w:kern w:val="0"/>
                <w:sz w:val="20"/>
                <w:highlight w:val="none"/>
              </w:rPr>
            </w:pPr>
          </w:p>
        </w:tc>
      </w:tr>
      <w:tr w14:paraId="184E7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18E8429">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6.2</w:t>
            </w:r>
          </w:p>
        </w:tc>
        <w:tc>
          <w:tcPr>
            <w:tcW w:w="2161" w:type="dxa"/>
            <w:tcBorders>
              <w:top w:val="single" w:color="auto" w:sz="4" w:space="0"/>
              <w:left w:val="single" w:color="auto" w:sz="4" w:space="0"/>
              <w:bottom w:val="single" w:color="auto" w:sz="4" w:space="0"/>
              <w:right w:val="single" w:color="auto" w:sz="4" w:space="0"/>
            </w:tcBorders>
            <w:vAlign w:val="center"/>
          </w:tcPr>
          <w:p w14:paraId="67C992CA">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101F257B">
            <w:pPr>
              <w:widowControl/>
              <w:jc w:val="left"/>
              <w:rPr>
                <w:rFonts w:ascii="宋体" w:hAnsi="宋体"/>
                <w:color w:val="auto"/>
                <w:kern w:val="0"/>
                <w:sz w:val="20"/>
                <w:highlight w:val="none"/>
              </w:rPr>
            </w:pPr>
            <w:r>
              <w:rPr>
                <w:rFonts w:hint="eastAsia" w:ascii="宋体" w:hAnsi="宋体"/>
                <w:color w:val="auto"/>
                <w:kern w:val="0"/>
                <w:sz w:val="20"/>
                <w:highlight w:val="none"/>
              </w:rPr>
              <w:t>没有在现场标注地下管线的位置</w:t>
            </w:r>
          </w:p>
        </w:tc>
        <w:tc>
          <w:tcPr>
            <w:tcW w:w="1429" w:type="dxa"/>
            <w:tcBorders>
              <w:top w:val="single" w:color="auto" w:sz="4" w:space="0"/>
              <w:left w:val="single" w:color="auto" w:sz="4" w:space="0"/>
              <w:bottom w:val="single" w:color="auto" w:sz="4" w:space="0"/>
              <w:right w:val="single" w:color="auto" w:sz="4" w:space="0"/>
            </w:tcBorders>
          </w:tcPr>
          <w:p w14:paraId="0D09294E">
            <w:pPr>
              <w:widowControl/>
              <w:jc w:val="left"/>
              <w:rPr>
                <w:rFonts w:ascii="宋体" w:hAnsi="宋体"/>
                <w:color w:val="auto"/>
                <w:kern w:val="0"/>
                <w:sz w:val="20"/>
                <w:highlight w:val="none"/>
              </w:rPr>
            </w:pPr>
            <w:r>
              <w:rPr>
                <w:rFonts w:hint="eastAsia" w:ascii="宋体" w:hAnsi="宋体"/>
                <w:color w:val="auto"/>
                <w:kern w:val="0"/>
                <w:sz w:val="20"/>
                <w:highlight w:val="none"/>
              </w:rPr>
              <w:t>300元</w:t>
            </w:r>
          </w:p>
        </w:tc>
        <w:tc>
          <w:tcPr>
            <w:tcW w:w="1941" w:type="dxa"/>
            <w:tcBorders>
              <w:top w:val="single" w:color="auto" w:sz="4" w:space="0"/>
              <w:left w:val="single" w:color="auto" w:sz="4" w:space="0"/>
              <w:bottom w:val="single" w:color="auto" w:sz="4" w:space="0"/>
              <w:right w:val="single" w:color="auto" w:sz="4" w:space="0"/>
            </w:tcBorders>
          </w:tcPr>
          <w:p w14:paraId="2321B2EB">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256EC0B8">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307AB0AB">
            <w:pPr>
              <w:widowControl/>
              <w:jc w:val="left"/>
              <w:rPr>
                <w:rFonts w:ascii="宋体" w:hAnsi="宋体" w:cs="宋体"/>
                <w:color w:val="auto"/>
                <w:kern w:val="0"/>
                <w:sz w:val="20"/>
                <w:highlight w:val="none"/>
              </w:rPr>
            </w:pPr>
          </w:p>
        </w:tc>
      </w:tr>
      <w:tr w14:paraId="7C0B7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101D507">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6.3</w:t>
            </w:r>
          </w:p>
        </w:tc>
        <w:tc>
          <w:tcPr>
            <w:tcW w:w="2161" w:type="dxa"/>
            <w:tcBorders>
              <w:top w:val="single" w:color="auto" w:sz="4" w:space="0"/>
              <w:left w:val="single" w:color="auto" w:sz="4" w:space="0"/>
              <w:bottom w:val="single" w:color="auto" w:sz="4" w:space="0"/>
              <w:right w:val="single" w:color="auto" w:sz="4" w:space="0"/>
            </w:tcBorders>
            <w:vAlign w:val="center"/>
          </w:tcPr>
          <w:p w14:paraId="44CB22E4">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6494E9E1">
            <w:pPr>
              <w:widowControl/>
              <w:jc w:val="left"/>
              <w:rPr>
                <w:rFonts w:ascii="宋体" w:hAnsi="宋体"/>
                <w:color w:val="auto"/>
                <w:kern w:val="0"/>
                <w:sz w:val="20"/>
                <w:highlight w:val="none"/>
              </w:rPr>
            </w:pPr>
            <w:r>
              <w:rPr>
                <w:rFonts w:hint="eastAsia" w:ascii="宋体" w:hAnsi="宋体"/>
                <w:color w:val="auto"/>
                <w:kern w:val="0"/>
                <w:sz w:val="20"/>
                <w:highlight w:val="none"/>
              </w:rPr>
              <w:t>工地上没有“文明施工技术措施计划” 的文件或没有将计划送到质安科</w:t>
            </w:r>
          </w:p>
        </w:tc>
        <w:tc>
          <w:tcPr>
            <w:tcW w:w="1429" w:type="dxa"/>
            <w:tcBorders>
              <w:top w:val="single" w:color="auto" w:sz="4" w:space="0"/>
              <w:left w:val="single" w:color="auto" w:sz="4" w:space="0"/>
              <w:bottom w:val="single" w:color="auto" w:sz="4" w:space="0"/>
              <w:right w:val="single" w:color="auto" w:sz="4" w:space="0"/>
            </w:tcBorders>
          </w:tcPr>
          <w:p w14:paraId="6B89FE2E">
            <w:pPr>
              <w:widowControl/>
              <w:jc w:val="left"/>
              <w:rPr>
                <w:rFonts w:ascii="宋体" w:hAnsi="宋体"/>
                <w:color w:val="auto"/>
                <w:kern w:val="0"/>
                <w:sz w:val="20"/>
                <w:highlight w:val="none"/>
              </w:rPr>
            </w:pPr>
            <w:r>
              <w:rPr>
                <w:rFonts w:hint="eastAsia" w:ascii="宋体" w:hAnsi="宋体"/>
                <w:color w:val="auto"/>
                <w:kern w:val="0"/>
                <w:sz w:val="20"/>
                <w:highlight w:val="none"/>
              </w:rPr>
              <w:t>300元</w:t>
            </w:r>
          </w:p>
        </w:tc>
        <w:tc>
          <w:tcPr>
            <w:tcW w:w="1941" w:type="dxa"/>
            <w:tcBorders>
              <w:top w:val="single" w:color="auto" w:sz="4" w:space="0"/>
              <w:left w:val="single" w:color="auto" w:sz="4" w:space="0"/>
              <w:bottom w:val="single" w:color="auto" w:sz="4" w:space="0"/>
              <w:right w:val="single" w:color="auto" w:sz="4" w:space="0"/>
            </w:tcBorders>
          </w:tcPr>
          <w:p w14:paraId="50F56273">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54C461EA">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4E8E89D3">
            <w:pPr>
              <w:widowControl/>
              <w:jc w:val="left"/>
              <w:rPr>
                <w:rFonts w:ascii="宋体" w:hAnsi="宋体" w:cs="宋体"/>
                <w:color w:val="auto"/>
                <w:kern w:val="0"/>
                <w:sz w:val="20"/>
                <w:highlight w:val="none"/>
              </w:rPr>
            </w:pPr>
          </w:p>
        </w:tc>
      </w:tr>
      <w:tr w14:paraId="693DF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091A01F">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6.4</w:t>
            </w:r>
          </w:p>
        </w:tc>
        <w:tc>
          <w:tcPr>
            <w:tcW w:w="2161" w:type="dxa"/>
            <w:tcBorders>
              <w:top w:val="single" w:color="auto" w:sz="4" w:space="0"/>
              <w:left w:val="single" w:color="auto" w:sz="4" w:space="0"/>
              <w:bottom w:val="single" w:color="auto" w:sz="4" w:space="0"/>
              <w:right w:val="single" w:color="auto" w:sz="4" w:space="0"/>
            </w:tcBorders>
            <w:vAlign w:val="center"/>
          </w:tcPr>
          <w:p w14:paraId="4B6ADFB3">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71350E62">
            <w:pPr>
              <w:widowControl/>
              <w:jc w:val="left"/>
              <w:rPr>
                <w:rFonts w:ascii="宋体" w:hAnsi="宋体"/>
                <w:color w:val="auto"/>
                <w:kern w:val="0"/>
                <w:sz w:val="20"/>
                <w:highlight w:val="none"/>
              </w:rPr>
            </w:pPr>
            <w:r>
              <w:rPr>
                <w:rFonts w:hint="eastAsia" w:ascii="宋体" w:hAnsi="宋体"/>
                <w:color w:val="auto"/>
                <w:kern w:val="0"/>
                <w:sz w:val="20"/>
                <w:highlight w:val="none"/>
              </w:rPr>
              <w:t>没有现场“文明施工技术措施计划”三级交底记录</w:t>
            </w:r>
          </w:p>
        </w:tc>
        <w:tc>
          <w:tcPr>
            <w:tcW w:w="1429" w:type="dxa"/>
            <w:tcBorders>
              <w:top w:val="single" w:color="auto" w:sz="4" w:space="0"/>
              <w:left w:val="single" w:color="auto" w:sz="4" w:space="0"/>
              <w:bottom w:val="single" w:color="auto" w:sz="4" w:space="0"/>
              <w:right w:val="single" w:color="auto" w:sz="4" w:space="0"/>
            </w:tcBorders>
          </w:tcPr>
          <w:p w14:paraId="5AC59BFB">
            <w:pPr>
              <w:widowControl/>
              <w:jc w:val="left"/>
              <w:rPr>
                <w:rFonts w:ascii="宋体" w:hAnsi="宋体"/>
                <w:color w:val="auto"/>
                <w:kern w:val="0"/>
                <w:sz w:val="20"/>
                <w:highlight w:val="none"/>
              </w:rPr>
            </w:pPr>
            <w:r>
              <w:rPr>
                <w:rFonts w:hint="eastAsia" w:ascii="宋体" w:hAnsi="宋体"/>
                <w:color w:val="auto"/>
                <w:kern w:val="0"/>
                <w:sz w:val="20"/>
                <w:highlight w:val="none"/>
              </w:rPr>
              <w:t>300元</w:t>
            </w:r>
          </w:p>
        </w:tc>
        <w:tc>
          <w:tcPr>
            <w:tcW w:w="1941" w:type="dxa"/>
            <w:tcBorders>
              <w:top w:val="single" w:color="auto" w:sz="4" w:space="0"/>
              <w:left w:val="single" w:color="auto" w:sz="4" w:space="0"/>
              <w:bottom w:val="single" w:color="auto" w:sz="4" w:space="0"/>
              <w:right w:val="single" w:color="auto" w:sz="4" w:space="0"/>
            </w:tcBorders>
          </w:tcPr>
          <w:p w14:paraId="06AF0DF2">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022A6468">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77B88B3E">
            <w:pPr>
              <w:widowControl/>
              <w:jc w:val="left"/>
              <w:rPr>
                <w:rFonts w:ascii="宋体" w:hAnsi="宋体" w:cs="宋体"/>
                <w:color w:val="auto"/>
                <w:kern w:val="0"/>
                <w:sz w:val="20"/>
                <w:highlight w:val="none"/>
              </w:rPr>
            </w:pPr>
          </w:p>
        </w:tc>
      </w:tr>
      <w:tr w14:paraId="757F2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F817904">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6.5</w:t>
            </w:r>
          </w:p>
        </w:tc>
        <w:tc>
          <w:tcPr>
            <w:tcW w:w="2161" w:type="dxa"/>
            <w:tcBorders>
              <w:top w:val="single" w:color="auto" w:sz="4" w:space="0"/>
              <w:left w:val="single" w:color="auto" w:sz="4" w:space="0"/>
              <w:bottom w:val="single" w:color="auto" w:sz="4" w:space="0"/>
              <w:right w:val="single" w:color="auto" w:sz="4" w:space="0"/>
            </w:tcBorders>
            <w:vAlign w:val="center"/>
          </w:tcPr>
          <w:p w14:paraId="0DB5437C">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322EC5B6">
            <w:pPr>
              <w:widowControl/>
              <w:jc w:val="left"/>
              <w:rPr>
                <w:rFonts w:ascii="宋体" w:hAnsi="宋体"/>
                <w:color w:val="auto"/>
                <w:kern w:val="0"/>
                <w:sz w:val="20"/>
                <w:highlight w:val="none"/>
              </w:rPr>
            </w:pPr>
            <w:r>
              <w:rPr>
                <w:rFonts w:hint="eastAsia" w:ascii="宋体" w:hAnsi="宋体"/>
                <w:color w:val="auto"/>
                <w:kern w:val="0"/>
                <w:sz w:val="20"/>
                <w:highlight w:val="none"/>
              </w:rPr>
              <w:t>没有现场落实“文明施工技术措施计划”有关的各类人员责任状书</w:t>
            </w:r>
          </w:p>
        </w:tc>
        <w:tc>
          <w:tcPr>
            <w:tcW w:w="1429" w:type="dxa"/>
            <w:tcBorders>
              <w:top w:val="single" w:color="auto" w:sz="4" w:space="0"/>
              <w:left w:val="single" w:color="auto" w:sz="4" w:space="0"/>
              <w:bottom w:val="single" w:color="auto" w:sz="4" w:space="0"/>
              <w:right w:val="single" w:color="auto" w:sz="4" w:space="0"/>
            </w:tcBorders>
          </w:tcPr>
          <w:p w14:paraId="4BEC7BCC">
            <w:pPr>
              <w:widowControl/>
              <w:jc w:val="left"/>
              <w:rPr>
                <w:rFonts w:ascii="宋体" w:hAnsi="宋体"/>
                <w:color w:val="auto"/>
                <w:kern w:val="0"/>
                <w:sz w:val="20"/>
                <w:highlight w:val="none"/>
              </w:rPr>
            </w:pPr>
            <w:r>
              <w:rPr>
                <w:rFonts w:hint="eastAsia" w:ascii="宋体" w:hAnsi="宋体"/>
                <w:color w:val="auto"/>
                <w:kern w:val="0"/>
                <w:sz w:val="20"/>
                <w:highlight w:val="none"/>
              </w:rPr>
              <w:t>300元</w:t>
            </w:r>
          </w:p>
        </w:tc>
        <w:tc>
          <w:tcPr>
            <w:tcW w:w="1941" w:type="dxa"/>
            <w:tcBorders>
              <w:top w:val="single" w:color="auto" w:sz="4" w:space="0"/>
              <w:left w:val="single" w:color="auto" w:sz="4" w:space="0"/>
              <w:bottom w:val="single" w:color="auto" w:sz="4" w:space="0"/>
              <w:right w:val="single" w:color="auto" w:sz="4" w:space="0"/>
            </w:tcBorders>
          </w:tcPr>
          <w:p w14:paraId="52615818">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5964F434">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191027AB">
            <w:pPr>
              <w:widowControl/>
              <w:jc w:val="left"/>
              <w:rPr>
                <w:rFonts w:ascii="宋体" w:hAnsi="宋体" w:cs="宋体"/>
                <w:color w:val="auto"/>
                <w:kern w:val="0"/>
                <w:sz w:val="20"/>
                <w:highlight w:val="none"/>
              </w:rPr>
            </w:pPr>
          </w:p>
        </w:tc>
      </w:tr>
      <w:tr w14:paraId="563C4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88D0E19">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6.6</w:t>
            </w:r>
          </w:p>
        </w:tc>
        <w:tc>
          <w:tcPr>
            <w:tcW w:w="2161" w:type="dxa"/>
            <w:tcBorders>
              <w:top w:val="single" w:color="auto" w:sz="4" w:space="0"/>
              <w:left w:val="single" w:color="auto" w:sz="4" w:space="0"/>
              <w:bottom w:val="single" w:color="auto" w:sz="4" w:space="0"/>
              <w:right w:val="single" w:color="auto" w:sz="4" w:space="0"/>
            </w:tcBorders>
            <w:vAlign w:val="center"/>
          </w:tcPr>
          <w:p w14:paraId="6BD078D2">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49210FD7">
            <w:pPr>
              <w:widowControl/>
              <w:jc w:val="left"/>
              <w:rPr>
                <w:rFonts w:ascii="宋体" w:hAnsi="宋体"/>
                <w:color w:val="auto"/>
                <w:kern w:val="0"/>
                <w:sz w:val="20"/>
                <w:highlight w:val="none"/>
              </w:rPr>
            </w:pPr>
            <w:r>
              <w:rPr>
                <w:rFonts w:hint="eastAsia" w:ascii="宋体" w:hAnsi="宋体"/>
                <w:color w:val="auto"/>
                <w:kern w:val="0"/>
                <w:sz w:val="20"/>
                <w:highlight w:val="none"/>
              </w:rPr>
              <w:t>没有按规定悬挂开挖证、或交通导向牌或施工告示牌</w:t>
            </w:r>
          </w:p>
        </w:tc>
        <w:tc>
          <w:tcPr>
            <w:tcW w:w="1429" w:type="dxa"/>
            <w:tcBorders>
              <w:top w:val="single" w:color="auto" w:sz="4" w:space="0"/>
              <w:left w:val="single" w:color="auto" w:sz="4" w:space="0"/>
              <w:bottom w:val="single" w:color="auto" w:sz="4" w:space="0"/>
              <w:right w:val="single" w:color="auto" w:sz="4" w:space="0"/>
            </w:tcBorders>
          </w:tcPr>
          <w:p w14:paraId="3AD2927B">
            <w:pPr>
              <w:widowControl/>
              <w:jc w:val="left"/>
              <w:rPr>
                <w:rFonts w:ascii="宋体" w:hAnsi="宋体"/>
                <w:color w:val="auto"/>
                <w:kern w:val="0"/>
                <w:sz w:val="20"/>
                <w:highlight w:val="none"/>
              </w:rPr>
            </w:pPr>
            <w:r>
              <w:rPr>
                <w:rFonts w:hint="eastAsia" w:ascii="宋体" w:hAnsi="宋体"/>
                <w:color w:val="auto"/>
                <w:kern w:val="0"/>
                <w:sz w:val="20"/>
                <w:highlight w:val="none"/>
              </w:rPr>
              <w:t>300元/每块</w:t>
            </w:r>
          </w:p>
        </w:tc>
        <w:tc>
          <w:tcPr>
            <w:tcW w:w="1941" w:type="dxa"/>
            <w:tcBorders>
              <w:top w:val="single" w:color="auto" w:sz="4" w:space="0"/>
              <w:left w:val="single" w:color="auto" w:sz="4" w:space="0"/>
              <w:bottom w:val="single" w:color="auto" w:sz="4" w:space="0"/>
              <w:right w:val="single" w:color="auto" w:sz="4" w:space="0"/>
            </w:tcBorders>
          </w:tcPr>
          <w:p w14:paraId="56DBC990">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660063BF">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566F025F">
            <w:pPr>
              <w:widowControl/>
              <w:jc w:val="left"/>
              <w:rPr>
                <w:rFonts w:ascii="宋体" w:hAnsi="宋体" w:cs="宋体"/>
                <w:color w:val="auto"/>
                <w:kern w:val="0"/>
                <w:sz w:val="20"/>
                <w:highlight w:val="none"/>
              </w:rPr>
            </w:pPr>
          </w:p>
        </w:tc>
      </w:tr>
      <w:tr w14:paraId="0F71C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4A38EDE">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6.7</w:t>
            </w:r>
          </w:p>
        </w:tc>
        <w:tc>
          <w:tcPr>
            <w:tcW w:w="2161" w:type="dxa"/>
            <w:tcBorders>
              <w:top w:val="single" w:color="auto" w:sz="4" w:space="0"/>
              <w:left w:val="single" w:color="auto" w:sz="4" w:space="0"/>
              <w:bottom w:val="single" w:color="auto" w:sz="4" w:space="0"/>
              <w:right w:val="single" w:color="auto" w:sz="4" w:space="0"/>
            </w:tcBorders>
            <w:vAlign w:val="center"/>
          </w:tcPr>
          <w:p w14:paraId="6C17902E">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07C2C5C9">
            <w:pPr>
              <w:widowControl/>
              <w:jc w:val="left"/>
              <w:rPr>
                <w:rFonts w:ascii="宋体" w:hAnsi="宋体"/>
                <w:color w:val="auto"/>
                <w:kern w:val="0"/>
                <w:sz w:val="20"/>
                <w:highlight w:val="none"/>
              </w:rPr>
            </w:pPr>
            <w:r>
              <w:rPr>
                <w:rFonts w:hint="eastAsia" w:ascii="宋体" w:hAnsi="宋体"/>
                <w:color w:val="auto"/>
                <w:kern w:val="0"/>
                <w:sz w:val="20"/>
                <w:highlight w:val="none"/>
              </w:rPr>
              <w:t>没有按规定围蔽施工，每缺或每翻倒2米以下围栏以及每缺一盏警示灯</w:t>
            </w:r>
          </w:p>
        </w:tc>
        <w:tc>
          <w:tcPr>
            <w:tcW w:w="1429" w:type="dxa"/>
            <w:tcBorders>
              <w:top w:val="single" w:color="auto" w:sz="4" w:space="0"/>
              <w:left w:val="single" w:color="auto" w:sz="4" w:space="0"/>
              <w:bottom w:val="single" w:color="auto" w:sz="4" w:space="0"/>
              <w:right w:val="single" w:color="auto" w:sz="4" w:space="0"/>
            </w:tcBorders>
          </w:tcPr>
          <w:p w14:paraId="5AF57250">
            <w:pPr>
              <w:widowControl/>
              <w:jc w:val="left"/>
              <w:rPr>
                <w:rFonts w:ascii="宋体" w:hAnsi="宋体"/>
                <w:color w:val="auto"/>
                <w:kern w:val="0"/>
                <w:sz w:val="20"/>
                <w:highlight w:val="none"/>
              </w:rPr>
            </w:pPr>
            <w:r>
              <w:rPr>
                <w:rFonts w:hint="eastAsia" w:ascii="宋体" w:hAnsi="宋体"/>
                <w:color w:val="auto"/>
                <w:kern w:val="0"/>
                <w:sz w:val="20"/>
                <w:highlight w:val="none"/>
              </w:rPr>
              <w:t>300元/处</w:t>
            </w:r>
          </w:p>
        </w:tc>
        <w:tc>
          <w:tcPr>
            <w:tcW w:w="1941" w:type="dxa"/>
            <w:tcBorders>
              <w:top w:val="single" w:color="auto" w:sz="4" w:space="0"/>
              <w:left w:val="single" w:color="auto" w:sz="4" w:space="0"/>
              <w:bottom w:val="single" w:color="auto" w:sz="4" w:space="0"/>
              <w:right w:val="single" w:color="auto" w:sz="4" w:space="0"/>
            </w:tcBorders>
          </w:tcPr>
          <w:p w14:paraId="1ACEE065">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60454FD4">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6C69EFFC">
            <w:pPr>
              <w:widowControl/>
              <w:jc w:val="left"/>
              <w:rPr>
                <w:rFonts w:ascii="宋体" w:hAnsi="宋体" w:cs="宋体"/>
                <w:color w:val="auto"/>
                <w:kern w:val="0"/>
                <w:sz w:val="20"/>
                <w:highlight w:val="none"/>
              </w:rPr>
            </w:pPr>
          </w:p>
        </w:tc>
      </w:tr>
      <w:tr w14:paraId="53EA1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7B5CE4C">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6.8</w:t>
            </w:r>
          </w:p>
        </w:tc>
        <w:tc>
          <w:tcPr>
            <w:tcW w:w="2161" w:type="dxa"/>
            <w:tcBorders>
              <w:top w:val="single" w:color="auto" w:sz="4" w:space="0"/>
              <w:left w:val="single" w:color="auto" w:sz="4" w:space="0"/>
              <w:bottom w:val="single" w:color="auto" w:sz="4" w:space="0"/>
              <w:right w:val="single" w:color="auto" w:sz="4" w:space="0"/>
            </w:tcBorders>
            <w:vAlign w:val="center"/>
          </w:tcPr>
          <w:p w14:paraId="57D65F1F">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15DC2DD1">
            <w:pPr>
              <w:widowControl/>
              <w:jc w:val="left"/>
              <w:rPr>
                <w:rFonts w:ascii="宋体" w:hAnsi="宋体"/>
                <w:color w:val="auto"/>
                <w:kern w:val="0"/>
                <w:sz w:val="20"/>
                <w:highlight w:val="none"/>
              </w:rPr>
            </w:pPr>
            <w:r>
              <w:rPr>
                <w:rFonts w:hint="eastAsia" w:ascii="宋体" w:hAnsi="宋体"/>
                <w:color w:val="auto"/>
                <w:kern w:val="0"/>
                <w:sz w:val="20"/>
                <w:highlight w:val="none"/>
              </w:rPr>
              <w:t>工棚没有批准或在危险地方搭建</w:t>
            </w:r>
          </w:p>
        </w:tc>
        <w:tc>
          <w:tcPr>
            <w:tcW w:w="1429" w:type="dxa"/>
            <w:tcBorders>
              <w:top w:val="single" w:color="auto" w:sz="4" w:space="0"/>
              <w:left w:val="single" w:color="auto" w:sz="4" w:space="0"/>
              <w:bottom w:val="single" w:color="auto" w:sz="4" w:space="0"/>
              <w:right w:val="single" w:color="auto" w:sz="4" w:space="0"/>
            </w:tcBorders>
          </w:tcPr>
          <w:p w14:paraId="5F55846A">
            <w:pPr>
              <w:widowControl/>
              <w:jc w:val="left"/>
              <w:rPr>
                <w:rFonts w:ascii="宋体" w:hAnsi="宋体"/>
                <w:color w:val="auto"/>
                <w:kern w:val="0"/>
                <w:sz w:val="20"/>
                <w:highlight w:val="none"/>
              </w:rPr>
            </w:pPr>
            <w:r>
              <w:rPr>
                <w:rFonts w:hint="eastAsia" w:ascii="宋体" w:hAnsi="宋体"/>
                <w:color w:val="auto"/>
                <w:kern w:val="0"/>
                <w:sz w:val="20"/>
                <w:highlight w:val="none"/>
              </w:rPr>
              <w:t>500元/每处</w:t>
            </w:r>
          </w:p>
        </w:tc>
        <w:tc>
          <w:tcPr>
            <w:tcW w:w="1941" w:type="dxa"/>
            <w:tcBorders>
              <w:top w:val="single" w:color="auto" w:sz="4" w:space="0"/>
              <w:left w:val="single" w:color="auto" w:sz="4" w:space="0"/>
              <w:bottom w:val="single" w:color="auto" w:sz="4" w:space="0"/>
              <w:right w:val="single" w:color="auto" w:sz="4" w:space="0"/>
            </w:tcBorders>
          </w:tcPr>
          <w:p w14:paraId="2BAE1083">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57DD2477">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550EFD1E">
            <w:pPr>
              <w:widowControl/>
              <w:jc w:val="left"/>
              <w:rPr>
                <w:rFonts w:ascii="宋体" w:hAnsi="宋体" w:cs="宋体"/>
                <w:color w:val="auto"/>
                <w:kern w:val="0"/>
                <w:sz w:val="20"/>
                <w:highlight w:val="none"/>
              </w:rPr>
            </w:pPr>
          </w:p>
        </w:tc>
      </w:tr>
      <w:tr w14:paraId="58EC3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D84A238">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6.9</w:t>
            </w:r>
          </w:p>
        </w:tc>
        <w:tc>
          <w:tcPr>
            <w:tcW w:w="2161" w:type="dxa"/>
            <w:tcBorders>
              <w:top w:val="single" w:color="auto" w:sz="4" w:space="0"/>
              <w:left w:val="single" w:color="auto" w:sz="4" w:space="0"/>
              <w:bottom w:val="single" w:color="auto" w:sz="4" w:space="0"/>
              <w:right w:val="single" w:color="auto" w:sz="4" w:space="0"/>
            </w:tcBorders>
            <w:vAlign w:val="center"/>
          </w:tcPr>
          <w:p w14:paraId="774A41F1">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1285602D">
            <w:pPr>
              <w:widowControl/>
              <w:jc w:val="left"/>
              <w:rPr>
                <w:rFonts w:ascii="宋体" w:hAnsi="宋体"/>
                <w:color w:val="auto"/>
                <w:kern w:val="0"/>
                <w:sz w:val="20"/>
                <w:highlight w:val="none"/>
              </w:rPr>
            </w:pPr>
            <w:r>
              <w:rPr>
                <w:rFonts w:hint="eastAsia" w:ascii="宋体" w:hAnsi="宋体"/>
                <w:color w:val="auto"/>
                <w:kern w:val="0"/>
                <w:sz w:val="20"/>
                <w:highlight w:val="none"/>
              </w:rPr>
              <w:t>工棚宿舍有蚊虫的洼积水、或有乱抛烟头落地、物资堆放凌乱、或环境卫生差的</w:t>
            </w:r>
          </w:p>
        </w:tc>
        <w:tc>
          <w:tcPr>
            <w:tcW w:w="1429" w:type="dxa"/>
            <w:tcBorders>
              <w:top w:val="single" w:color="auto" w:sz="4" w:space="0"/>
              <w:left w:val="single" w:color="auto" w:sz="4" w:space="0"/>
              <w:bottom w:val="single" w:color="auto" w:sz="4" w:space="0"/>
              <w:right w:val="single" w:color="auto" w:sz="4" w:space="0"/>
            </w:tcBorders>
          </w:tcPr>
          <w:p w14:paraId="072E376C">
            <w:pPr>
              <w:widowControl/>
              <w:jc w:val="left"/>
              <w:rPr>
                <w:rFonts w:ascii="宋体" w:hAnsi="宋体"/>
                <w:color w:val="auto"/>
                <w:kern w:val="0"/>
                <w:sz w:val="20"/>
                <w:highlight w:val="none"/>
              </w:rPr>
            </w:pPr>
            <w:r>
              <w:rPr>
                <w:rFonts w:hint="eastAsia" w:ascii="宋体" w:hAnsi="宋体"/>
                <w:color w:val="auto"/>
                <w:kern w:val="0"/>
                <w:sz w:val="20"/>
                <w:highlight w:val="none"/>
              </w:rPr>
              <w:t>500元/每处</w:t>
            </w:r>
          </w:p>
        </w:tc>
        <w:tc>
          <w:tcPr>
            <w:tcW w:w="1941" w:type="dxa"/>
            <w:tcBorders>
              <w:top w:val="single" w:color="auto" w:sz="4" w:space="0"/>
              <w:left w:val="single" w:color="auto" w:sz="4" w:space="0"/>
              <w:bottom w:val="single" w:color="auto" w:sz="4" w:space="0"/>
              <w:right w:val="single" w:color="auto" w:sz="4" w:space="0"/>
            </w:tcBorders>
          </w:tcPr>
          <w:p w14:paraId="46C21C95">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5269AB76">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47ED979E">
            <w:pPr>
              <w:widowControl/>
              <w:jc w:val="left"/>
              <w:rPr>
                <w:rFonts w:ascii="宋体" w:hAnsi="宋体" w:cs="宋体"/>
                <w:color w:val="auto"/>
                <w:kern w:val="0"/>
                <w:sz w:val="20"/>
                <w:highlight w:val="none"/>
              </w:rPr>
            </w:pPr>
          </w:p>
        </w:tc>
      </w:tr>
      <w:tr w14:paraId="6E40F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48B7435">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6.10</w:t>
            </w:r>
          </w:p>
        </w:tc>
        <w:tc>
          <w:tcPr>
            <w:tcW w:w="2161" w:type="dxa"/>
            <w:tcBorders>
              <w:top w:val="single" w:color="auto" w:sz="4" w:space="0"/>
              <w:left w:val="single" w:color="auto" w:sz="4" w:space="0"/>
              <w:bottom w:val="single" w:color="auto" w:sz="4" w:space="0"/>
              <w:right w:val="single" w:color="auto" w:sz="4" w:space="0"/>
            </w:tcBorders>
            <w:vAlign w:val="center"/>
          </w:tcPr>
          <w:p w14:paraId="706CB305">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5FA7F9E9">
            <w:pPr>
              <w:widowControl/>
              <w:jc w:val="left"/>
              <w:rPr>
                <w:rFonts w:ascii="宋体" w:hAnsi="宋体"/>
                <w:color w:val="auto"/>
                <w:kern w:val="0"/>
                <w:sz w:val="20"/>
                <w:highlight w:val="none"/>
              </w:rPr>
            </w:pPr>
            <w:r>
              <w:rPr>
                <w:rFonts w:hint="eastAsia" w:ascii="宋体" w:hAnsi="宋体"/>
                <w:color w:val="auto"/>
                <w:kern w:val="0"/>
                <w:sz w:val="20"/>
                <w:highlight w:val="none"/>
              </w:rPr>
              <w:t>临时便道、施工通道不符合规定要求</w:t>
            </w:r>
          </w:p>
        </w:tc>
        <w:tc>
          <w:tcPr>
            <w:tcW w:w="1429" w:type="dxa"/>
            <w:tcBorders>
              <w:top w:val="single" w:color="auto" w:sz="4" w:space="0"/>
              <w:left w:val="single" w:color="auto" w:sz="4" w:space="0"/>
              <w:bottom w:val="single" w:color="auto" w:sz="4" w:space="0"/>
              <w:right w:val="single" w:color="auto" w:sz="4" w:space="0"/>
            </w:tcBorders>
          </w:tcPr>
          <w:p w14:paraId="6A674DA3">
            <w:pPr>
              <w:widowControl/>
              <w:jc w:val="left"/>
              <w:rPr>
                <w:rFonts w:ascii="宋体" w:hAnsi="宋体"/>
                <w:color w:val="auto"/>
                <w:kern w:val="0"/>
                <w:sz w:val="20"/>
                <w:highlight w:val="none"/>
              </w:rPr>
            </w:pPr>
            <w:r>
              <w:rPr>
                <w:rFonts w:hint="eastAsia" w:ascii="宋体" w:hAnsi="宋体"/>
                <w:color w:val="auto"/>
                <w:kern w:val="0"/>
                <w:sz w:val="20"/>
                <w:highlight w:val="none"/>
              </w:rPr>
              <w:t>500元/每处</w:t>
            </w:r>
          </w:p>
        </w:tc>
        <w:tc>
          <w:tcPr>
            <w:tcW w:w="1941" w:type="dxa"/>
            <w:tcBorders>
              <w:top w:val="single" w:color="auto" w:sz="4" w:space="0"/>
              <w:left w:val="single" w:color="auto" w:sz="4" w:space="0"/>
              <w:bottom w:val="single" w:color="auto" w:sz="4" w:space="0"/>
              <w:right w:val="single" w:color="auto" w:sz="4" w:space="0"/>
            </w:tcBorders>
          </w:tcPr>
          <w:p w14:paraId="54064E1F">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62A1DDEF">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31DAA067">
            <w:pPr>
              <w:widowControl/>
              <w:jc w:val="left"/>
              <w:rPr>
                <w:rFonts w:ascii="宋体" w:hAnsi="宋体" w:cs="宋体"/>
                <w:color w:val="auto"/>
                <w:kern w:val="0"/>
                <w:sz w:val="20"/>
                <w:highlight w:val="none"/>
              </w:rPr>
            </w:pPr>
          </w:p>
        </w:tc>
      </w:tr>
      <w:tr w14:paraId="566FB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7638B77">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6.11</w:t>
            </w:r>
          </w:p>
        </w:tc>
        <w:tc>
          <w:tcPr>
            <w:tcW w:w="2161" w:type="dxa"/>
            <w:tcBorders>
              <w:top w:val="single" w:color="auto" w:sz="4" w:space="0"/>
              <w:left w:val="single" w:color="auto" w:sz="4" w:space="0"/>
              <w:bottom w:val="single" w:color="auto" w:sz="4" w:space="0"/>
              <w:right w:val="single" w:color="auto" w:sz="4" w:space="0"/>
            </w:tcBorders>
            <w:vAlign w:val="center"/>
          </w:tcPr>
          <w:p w14:paraId="0B81081E">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29F71DD4">
            <w:pPr>
              <w:widowControl/>
              <w:jc w:val="left"/>
              <w:rPr>
                <w:rFonts w:ascii="宋体" w:hAnsi="宋体"/>
                <w:color w:val="auto"/>
                <w:kern w:val="0"/>
                <w:sz w:val="20"/>
                <w:highlight w:val="none"/>
              </w:rPr>
            </w:pPr>
            <w:r>
              <w:rPr>
                <w:rFonts w:hint="eastAsia" w:ascii="宋体" w:hAnsi="宋体"/>
                <w:color w:val="auto"/>
                <w:kern w:val="0"/>
                <w:sz w:val="20"/>
                <w:highlight w:val="none"/>
              </w:rPr>
              <w:t>违规现场搅拌混凝土</w:t>
            </w:r>
          </w:p>
        </w:tc>
        <w:tc>
          <w:tcPr>
            <w:tcW w:w="1429" w:type="dxa"/>
            <w:tcBorders>
              <w:top w:val="single" w:color="auto" w:sz="4" w:space="0"/>
              <w:left w:val="single" w:color="auto" w:sz="4" w:space="0"/>
              <w:bottom w:val="single" w:color="auto" w:sz="4" w:space="0"/>
              <w:right w:val="single" w:color="auto" w:sz="4" w:space="0"/>
            </w:tcBorders>
          </w:tcPr>
          <w:p w14:paraId="5DE55805">
            <w:pPr>
              <w:widowControl/>
              <w:jc w:val="left"/>
              <w:rPr>
                <w:rFonts w:ascii="宋体" w:hAnsi="宋体"/>
                <w:color w:val="auto"/>
                <w:kern w:val="0"/>
                <w:sz w:val="20"/>
                <w:highlight w:val="none"/>
              </w:rPr>
            </w:pPr>
            <w:r>
              <w:rPr>
                <w:rFonts w:hint="eastAsia" w:ascii="宋体" w:hAnsi="宋体"/>
                <w:color w:val="auto"/>
                <w:kern w:val="0"/>
                <w:sz w:val="20"/>
                <w:highlight w:val="none"/>
              </w:rPr>
              <w:t>500元/每处</w:t>
            </w:r>
          </w:p>
        </w:tc>
        <w:tc>
          <w:tcPr>
            <w:tcW w:w="1941" w:type="dxa"/>
            <w:tcBorders>
              <w:top w:val="single" w:color="auto" w:sz="4" w:space="0"/>
              <w:left w:val="single" w:color="auto" w:sz="4" w:space="0"/>
              <w:bottom w:val="single" w:color="auto" w:sz="4" w:space="0"/>
              <w:right w:val="single" w:color="auto" w:sz="4" w:space="0"/>
            </w:tcBorders>
          </w:tcPr>
          <w:p w14:paraId="5295CDBF">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1A9B53F6">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1CC1672D">
            <w:pPr>
              <w:widowControl/>
              <w:jc w:val="left"/>
              <w:rPr>
                <w:rFonts w:ascii="宋体" w:hAnsi="宋体" w:cs="宋体"/>
                <w:color w:val="auto"/>
                <w:kern w:val="0"/>
                <w:sz w:val="20"/>
                <w:highlight w:val="none"/>
              </w:rPr>
            </w:pPr>
          </w:p>
        </w:tc>
      </w:tr>
      <w:tr w14:paraId="322C0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175401D">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6.12</w:t>
            </w:r>
          </w:p>
        </w:tc>
        <w:tc>
          <w:tcPr>
            <w:tcW w:w="2161" w:type="dxa"/>
            <w:tcBorders>
              <w:top w:val="single" w:color="auto" w:sz="4" w:space="0"/>
              <w:left w:val="single" w:color="auto" w:sz="4" w:space="0"/>
              <w:bottom w:val="single" w:color="auto" w:sz="4" w:space="0"/>
              <w:right w:val="single" w:color="auto" w:sz="4" w:space="0"/>
            </w:tcBorders>
            <w:vAlign w:val="center"/>
          </w:tcPr>
          <w:p w14:paraId="18AF6E3A">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4B67A4A7">
            <w:pPr>
              <w:widowControl/>
              <w:jc w:val="left"/>
              <w:rPr>
                <w:rFonts w:ascii="宋体" w:hAnsi="宋体"/>
                <w:color w:val="auto"/>
                <w:kern w:val="0"/>
                <w:sz w:val="20"/>
                <w:highlight w:val="none"/>
              </w:rPr>
            </w:pPr>
            <w:r>
              <w:rPr>
                <w:rFonts w:hint="eastAsia" w:ascii="宋体" w:hAnsi="宋体"/>
                <w:color w:val="auto"/>
                <w:kern w:val="0"/>
                <w:sz w:val="20"/>
                <w:highlight w:val="none"/>
              </w:rPr>
              <w:t>工地的污水、余泥污染围蔽范围以外的地方</w:t>
            </w:r>
          </w:p>
        </w:tc>
        <w:tc>
          <w:tcPr>
            <w:tcW w:w="1429" w:type="dxa"/>
            <w:tcBorders>
              <w:top w:val="single" w:color="auto" w:sz="4" w:space="0"/>
              <w:left w:val="single" w:color="auto" w:sz="4" w:space="0"/>
              <w:bottom w:val="single" w:color="auto" w:sz="4" w:space="0"/>
              <w:right w:val="single" w:color="auto" w:sz="4" w:space="0"/>
            </w:tcBorders>
          </w:tcPr>
          <w:p w14:paraId="55074036">
            <w:pPr>
              <w:widowControl/>
              <w:jc w:val="left"/>
              <w:rPr>
                <w:rFonts w:ascii="宋体" w:hAnsi="宋体"/>
                <w:color w:val="auto"/>
                <w:kern w:val="0"/>
                <w:sz w:val="20"/>
                <w:highlight w:val="none"/>
              </w:rPr>
            </w:pPr>
            <w:r>
              <w:rPr>
                <w:rFonts w:hint="eastAsia" w:ascii="宋体" w:hAnsi="宋体"/>
                <w:color w:val="auto"/>
                <w:kern w:val="0"/>
                <w:sz w:val="20"/>
                <w:highlight w:val="none"/>
              </w:rPr>
              <w:t>500元/每处</w:t>
            </w:r>
          </w:p>
        </w:tc>
        <w:tc>
          <w:tcPr>
            <w:tcW w:w="1941" w:type="dxa"/>
            <w:tcBorders>
              <w:top w:val="single" w:color="auto" w:sz="4" w:space="0"/>
              <w:left w:val="single" w:color="auto" w:sz="4" w:space="0"/>
              <w:bottom w:val="single" w:color="auto" w:sz="4" w:space="0"/>
              <w:right w:val="single" w:color="auto" w:sz="4" w:space="0"/>
            </w:tcBorders>
          </w:tcPr>
          <w:p w14:paraId="139B3A91">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7430F3DC">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18A38188">
            <w:pPr>
              <w:widowControl/>
              <w:jc w:val="left"/>
              <w:rPr>
                <w:rFonts w:ascii="宋体" w:hAnsi="宋体" w:cs="宋体"/>
                <w:color w:val="auto"/>
                <w:kern w:val="0"/>
                <w:sz w:val="20"/>
                <w:highlight w:val="none"/>
              </w:rPr>
            </w:pPr>
          </w:p>
        </w:tc>
      </w:tr>
      <w:tr w14:paraId="42D9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AB6B9DC">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6.13</w:t>
            </w:r>
          </w:p>
        </w:tc>
        <w:tc>
          <w:tcPr>
            <w:tcW w:w="2161" w:type="dxa"/>
            <w:tcBorders>
              <w:top w:val="single" w:color="auto" w:sz="4" w:space="0"/>
              <w:left w:val="single" w:color="auto" w:sz="4" w:space="0"/>
              <w:bottom w:val="single" w:color="auto" w:sz="4" w:space="0"/>
              <w:right w:val="single" w:color="auto" w:sz="4" w:space="0"/>
            </w:tcBorders>
            <w:vAlign w:val="center"/>
          </w:tcPr>
          <w:p w14:paraId="74F0B898">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00BF2154">
            <w:pPr>
              <w:widowControl/>
              <w:jc w:val="left"/>
              <w:rPr>
                <w:rFonts w:ascii="宋体" w:hAnsi="宋体"/>
                <w:color w:val="auto"/>
                <w:kern w:val="0"/>
                <w:sz w:val="20"/>
                <w:highlight w:val="none"/>
              </w:rPr>
            </w:pPr>
            <w:r>
              <w:rPr>
                <w:rFonts w:hint="eastAsia" w:ascii="宋体" w:hAnsi="宋体"/>
                <w:color w:val="auto"/>
                <w:kern w:val="0"/>
                <w:sz w:val="20"/>
                <w:highlight w:val="none"/>
              </w:rPr>
              <w:t>余泥堆放违规或物料放在围蔽范围之外</w:t>
            </w:r>
          </w:p>
        </w:tc>
        <w:tc>
          <w:tcPr>
            <w:tcW w:w="1429" w:type="dxa"/>
            <w:tcBorders>
              <w:top w:val="single" w:color="auto" w:sz="4" w:space="0"/>
              <w:left w:val="single" w:color="auto" w:sz="4" w:space="0"/>
              <w:bottom w:val="single" w:color="auto" w:sz="4" w:space="0"/>
              <w:right w:val="single" w:color="auto" w:sz="4" w:space="0"/>
            </w:tcBorders>
          </w:tcPr>
          <w:p w14:paraId="471F7823">
            <w:pPr>
              <w:widowControl/>
              <w:jc w:val="left"/>
              <w:rPr>
                <w:rFonts w:ascii="宋体" w:hAnsi="宋体"/>
                <w:color w:val="auto"/>
                <w:kern w:val="0"/>
                <w:sz w:val="20"/>
                <w:highlight w:val="none"/>
              </w:rPr>
            </w:pPr>
            <w:r>
              <w:rPr>
                <w:rFonts w:hint="eastAsia" w:ascii="宋体" w:hAnsi="宋体"/>
                <w:color w:val="auto"/>
                <w:kern w:val="0"/>
                <w:sz w:val="20"/>
                <w:highlight w:val="none"/>
              </w:rPr>
              <w:t>500元/每处</w:t>
            </w:r>
          </w:p>
        </w:tc>
        <w:tc>
          <w:tcPr>
            <w:tcW w:w="1941" w:type="dxa"/>
            <w:tcBorders>
              <w:top w:val="single" w:color="auto" w:sz="4" w:space="0"/>
              <w:left w:val="single" w:color="auto" w:sz="4" w:space="0"/>
              <w:bottom w:val="single" w:color="auto" w:sz="4" w:space="0"/>
              <w:right w:val="single" w:color="auto" w:sz="4" w:space="0"/>
            </w:tcBorders>
          </w:tcPr>
          <w:p w14:paraId="00360A8C">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74D9619D">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1BF9FDE3">
            <w:pPr>
              <w:widowControl/>
              <w:jc w:val="left"/>
              <w:rPr>
                <w:rFonts w:ascii="宋体" w:hAnsi="宋体" w:cs="宋体"/>
                <w:color w:val="auto"/>
                <w:kern w:val="0"/>
                <w:sz w:val="20"/>
                <w:highlight w:val="none"/>
              </w:rPr>
            </w:pPr>
          </w:p>
        </w:tc>
      </w:tr>
      <w:tr w14:paraId="43F15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66B7938">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6.14</w:t>
            </w:r>
          </w:p>
        </w:tc>
        <w:tc>
          <w:tcPr>
            <w:tcW w:w="2161" w:type="dxa"/>
            <w:tcBorders>
              <w:top w:val="single" w:color="auto" w:sz="4" w:space="0"/>
              <w:left w:val="single" w:color="auto" w:sz="4" w:space="0"/>
              <w:bottom w:val="single" w:color="auto" w:sz="4" w:space="0"/>
              <w:right w:val="single" w:color="auto" w:sz="4" w:space="0"/>
            </w:tcBorders>
            <w:vAlign w:val="center"/>
          </w:tcPr>
          <w:p w14:paraId="58AFD87C">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0D07CD35">
            <w:pPr>
              <w:widowControl/>
              <w:jc w:val="left"/>
              <w:rPr>
                <w:rFonts w:ascii="宋体" w:hAnsi="宋体"/>
                <w:color w:val="auto"/>
                <w:kern w:val="0"/>
                <w:sz w:val="20"/>
                <w:highlight w:val="none"/>
              </w:rPr>
            </w:pPr>
            <w:r>
              <w:rPr>
                <w:rFonts w:hint="eastAsia" w:ascii="宋体" w:hAnsi="宋体"/>
                <w:color w:val="auto"/>
                <w:kern w:val="0"/>
                <w:sz w:val="20"/>
                <w:highlight w:val="none"/>
              </w:rPr>
              <w:t>运输车辆没有清洗或其中物料散落市区、无证运输余泥</w:t>
            </w:r>
          </w:p>
        </w:tc>
        <w:tc>
          <w:tcPr>
            <w:tcW w:w="1429" w:type="dxa"/>
            <w:tcBorders>
              <w:top w:val="single" w:color="auto" w:sz="4" w:space="0"/>
              <w:left w:val="single" w:color="auto" w:sz="4" w:space="0"/>
              <w:bottom w:val="single" w:color="auto" w:sz="4" w:space="0"/>
              <w:right w:val="single" w:color="auto" w:sz="4" w:space="0"/>
            </w:tcBorders>
          </w:tcPr>
          <w:p w14:paraId="65BDAA7B">
            <w:pPr>
              <w:widowControl/>
              <w:jc w:val="left"/>
              <w:rPr>
                <w:rFonts w:ascii="宋体" w:hAnsi="宋体"/>
                <w:color w:val="auto"/>
                <w:kern w:val="0"/>
                <w:sz w:val="20"/>
                <w:highlight w:val="none"/>
              </w:rPr>
            </w:pPr>
            <w:r>
              <w:rPr>
                <w:rFonts w:hint="eastAsia" w:ascii="宋体" w:hAnsi="宋体"/>
                <w:color w:val="auto"/>
                <w:kern w:val="0"/>
                <w:sz w:val="20"/>
                <w:highlight w:val="none"/>
              </w:rPr>
              <w:t>500元/每处</w:t>
            </w:r>
          </w:p>
        </w:tc>
        <w:tc>
          <w:tcPr>
            <w:tcW w:w="1941" w:type="dxa"/>
            <w:tcBorders>
              <w:top w:val="single" w:color="auto" w:sz="4" w:space="0"/>
              <w:left w:val="single" w:color="auto" w:sz="4" w:space="0"/>
              <w:bottom w:val="single" w:color="auto" w:sz="4" w:space="0"/>
              <w:right w:val="single" w:color="auto" w:sz="4" w:space="0"/>
            </w:tcBorders>
          </w:tcPr>
          <w:p w14:paraId="4243B657">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56487C0F">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05D35A25">
            <w:pPr>
              <w:widowControl/>
              <w:jc w:val="left"/>
              <w:rPr>
                <w:rFonts w:ascii="宋体" w:hAnsi="宋体" w:cs="宋体"/>
                <w:color w:val="auto"/>
                <w:kern w:val="0"/>
                <w:sz w:val="20"/>
                <w:highlight w:val="none"/>
              </w:rPr>
            </w:pPr>
          </w:p>
        </w:tc>
      </w:tr>
      <w:tr w14:paraId="05411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C191885">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6.15</w:t>
            </w:r>
          </w:p>
        </w:tc>
        <w:tc>
          <w:tcPr>
            <w:tcW w:w="2161" w:type="dxa"/>
            <w:tcBorders>
              <w:top w:val="single" w:color="auto" w:sz="4" w:space="0"/>
              <w:left w:val="single" w:color="auto" w:sz="4" w:space="0"/>
              <w:bottom w:val="single" w:color="auto" w:sz="4" w:space="0"/>
              <w:right w:val="single" w:color="auto" w:sz="4" w:space="0"/>
            </w:tcBorders>
            <w:vAlign w:val="center"/>
          </w:tcPr>
          <w:p w14:paraId="4CB07FF2">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28FFE988">
            <w:pPr>
              <w:widowControl/>
              <w:jc w:val="left"/>
              <w:rPr>
                <w:rFonts w:ascii="宋体" w:hAnsi="宋体"/>
                <w:color w:val="auto"/>
                <w:kern w:val="0"/>
                <w:sz w:val="20"/>
                <w:highlight w:val="none"/>
              </w:rPr>
            </w:pPr>
            <w:r>
              <w:rPr>
                <w:rFonts w:hint="eastAsia" w:ascii="宋体" w:hAnsi="宋体"/>
                <w:color w:val="auto"/>
                <w:kern w:val="0"/>
                <w:sz w:val="20"/>
                <w:highlight w:val="none"/>
              </w:rPr>
              <w:t>完工撤场后遗留物料在现场或损坏绿化、市政构筑物和建筑物等</w:t>
            </w:r>
          </w:p>
        </w:tc>
        <w:tc>
          <w:tcPr>
            <w:tcW w:w="1429" w:type="dxa"/>
            <w:tcBorders>
              <w:top w:val="single" w:color="auto" w:sz="4" w:space="0"/>
              <w:left w:val="single" w:color="auto" w:sz="4" w:space="0"/>
              <w:bottom w:val="single" w:color="auto" w:sz="4" w:space="0"/>
              <w:right w:val="single" w:color="auto" w:sz="4" w:space="0"/>
            </w:tcBorders>
          </w:tcPr>
          <w:p w14:paraId="2789933F">
            <w:pPr>
              <w:widowControl/>
              <w:jc w:val="left"/>
              <w:rPr>
                <w:rFonts w:ascii="宋体" w:hAnsi="宋体"/>
                <w:color w:val="auto"/>
                <w:kern w:val="0"/>
                <w:sz w:val="20"/>
                <w:highlight w:val="none"/>
              </w:rPr>
            </w:pPr>
            <w:r>
              <w:rPr>
                <w:rFonts w:hint="eastAsia" w:ascii="宋体" w:hAnsi="宋体"/>
                <w:color w:val="auto"/>
                <w:kern w:val="0"/>
                <w:sz w:val="20"/>
                <w:highlight w:val="none"/>
              </w:rPr>
              <w:t>500元/每处</w:t>
            </w:r>
          </w:p>
        </w:tc>
        <w:tc>
          <w:tcPr>
            <w:tcW w:w="1941" w:type="dxa"/>
            <w:tcBorders>
              <w:top w:val="single" w:color="auto" w:sz="4" w:space="0"/>
              <w:left w:val="single" w:color="auto" w:sz="4" w:space="0"/>
              <w:bottom w:val="single" w:color="auto" w:sz="4" w:space="0"/>
              <w:right w:val="single" w:color="auto" w:sz="4" w:space="0"/>
            </w:tcBorders>
          </w:tcPr>
          <w:p w14:paraId="65E2E9E2">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7CE6EB69">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00710757">
            <w:pPr>
              <w:widowControl/>
              <w:jc w:val="left"/>
              <w:rPr>
                <w:rFonts w:ascii="宋体" w:hAnsi="宋体" w:cs="宋体"/>
                <w:color w:val="auto"/>
                <w:kern w:val="0"/>
                <w:sz w:val="20"/>
                <w:highlight w:val="none"/>
              </w:rPr>
            </w:pPr>
          </w:p>
        </w:tc>
      </w:tr>
      <w:tr w14:paraId="174C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9D72D41">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6.16</w:t>
            </w:r>
          </w:p>
        </w:tc>
        <w:tc>
          <w:tcPr>
            <w:tcW w:w="2161" w:type="dxa"/>
            <w:tcBorders>
              <w:top w:val="single" w:color="auto" w:sz="4" w:space="0"/>
              <w:left w:val="single" w:color="auto" w:sz="4" w:space="0"/>
              <w:bottom w:val="single" w:color="auto" w:sz="4" w:space="0"/>
              <w:right w:val="single" w:color="auto" w:sz="4" w:space="0"/>
            </w:tcBorders>
            <w:vAlign w:val="center"/>
          </w:tcPr>
          <w:p w14:paraId="786E0D93">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691C77BC">
            <w:pPr>
              <w:widowControl/>
              <w:jc w:val="left"/>
              <w:rPr>
                <w:rFonts w:ascii="宋体" w:hAnsi="宋体"/>
                <w:color w:val="auto"/>
                <w:kern w:val="0"/>
                <w:sz w:val="20"/>
                <w:highlight w:val="none"/>
              </w:rPr>
            </w:pPr>
            <w:r>
              <w:rPr>
                <w:rFonts w:hint="eastAsia" w:ascii="宋体" w:hAnsi="宋体"/>
                <w:color w:val="auto"/>
                <w:kern w:val="0"/>
                <w:sz w:val="20"/>
                <w:highlight w:val="none"/>
              </w:rPr>
              <w:t>流动清疏车辆没有按规定放置、警示锥筒每缺一个或闪灯每缺一盏</w:t>
            </w:r>
          </w:p>
        </w:tc>
        <w:tc>
          <w:tcPr>
            <w:tcW w:w="1429" w:type="dxa"/>
            <w:tcBorders>
              <w:top w:val="single" w:color="auto" w:sz="4" w:space="0"/>
              <w:left w:val="single" w:color="auto" w:sz="4" w:space="0"/>
              <w:bottom w:val="single" w:color="auto" w:sz="4" w:space="0"/>
              <w:right w:val="single" w:color="auto" w:sz="4" w:space="0"/>
            </w:tcBorders>
          </w:tcPr>
          <w:p w14:paraId="6DD850E7">
            <w:pPr>
              <w:widowControl/>
              <w:jc w:val="left"/>
              <w:rPr>
                <w:rFonts w:ascii="宋体" w:hAnsi="宋体"/>
                <w:color w:val="auto"/>
                <w:kern w:val="0"/>
                <w:sz w:val="20"/>
                <w:highlight w:val="none"/>
              </w:rPr>
            </w:pPr>
            <w:r>
              <w:rPr>
                <w:rFonts w:hint="eastAsia" w:ascii="宋体" w:hAnsi="宋体"/>
                <w:color w:val="auto"/>
                <w:kern w:val="0"/>
                <w:sz w:val="20"/>
                <w:highlight w:val="none"/>
              </w:rPr>
              <w:t>200元/个,盏</w:t>
            </w:r>
          </w:p>
        </w:tc>
        <w:tc>
          <w:tcPr>
            <w:tcW w:w="1941" w:type="dxa"/>
            <w:tcBorders>
              <w:top w:val="single" w:color="auto" w:sz="4" w:space="0"/>
              <w:left w:val="single" w:color="auto" w:sz="4" w:space="0"/>
              <w:bottom w:val="single" w:color="auto" w:sz="4" w:space="0"/>
              <w:right w:val="single" w:color="auto" w:sz="4" w:space="0"/>
            </w:tcBorders>
          </w:tcPr>
          <w:p w14:paraId="45073372">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498FD979">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110C4E9E">
            <w:pPr>
              <w:widowControl/>
              <w:jc w:val="left"/>
              <w:rPr>
                <w:rFonts w:ascii="宋体" w:hAnsi="宋体" w:cs="宋体"/>
                <w:color w:val="auto"/>
                <w:kern w:val="0"/>
                <w:sz w:val="20"/>
                <w:highlight w:val="none"/>
              </w:rPr>
            </w:pPr>
          </w:p>
        </w:tc>
      </w:tr>
      <w:tr w14:paraId="0588E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E361BCB">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6.17</w:t>
            </w:r>
          </w:p>
        </w:tc>
        <w:tc>
          <w:tcPr>
            <w:tcW w:w="2161" w:type="dxa"/>
            <w:tcBorders>
              <w:top w:val="single" w:color="auto" w:sz="4" w:space="0"/>
              <w:left w:val="single" w:color="auto" w:sz="4" w:space="0"/>
              <w:bottom w:val="single" w:color="auto" w:sz="4" w:space="0"/>
              <w:right w:val="single" w:color="auto" w:sz="4" w:space="0"/>
            </w:tcBorders>
            <w:vAlign w:val="center"/>
          </w:tcPr>
          <w:p w14:paraId="23539325">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4C0ABB2C">
            <w:pPr>
              <w:widowControl/>
              <w:jc w:val="left"/>
              <w:rPr>
                <w:rFonts w:ascii="宋体" w:hAnsi="宋体"/>
                <w:color w:val="auto"/>
                <w:kern w:val="0"/>
                <w:sz w:val="20"/>
                <w:highlight w:val="none"/>
              </w:rPr>
            </w:pPr>
            <w:r>
              <w:rPr>
                <w:rFonts w:hint="eastAsia" w:ascii="宋体" w:hAnsi="宋体"/>
                <w:color w:val="auto"/>
                <w:kern w:val="0"/>
                <w:sz w:val="20"/>
                <w:highlight w:val="none"/>
              </w:rPr>
              <w:t>电闸开关、机电设备、压力气瓶、消防器材等设备前没有留出通道或吊挂放置其它杂物</w:t>
            </w:r>
          </w:p>
        </w:tc>
        <w:tc>
          <w:tcPr>
            <w:tcW w:w="1429" w:type="dxa"/>
            <w:tcBorders>
              <w:top w:val="single" w:color="auto" w:sz="4" w:space="0"/>
              <w:left w:val="single" w:color="auto" w:sz="4" w:space="0"/>
              <w:bottom w:val="single" w:color="auto" w:sz="4" w:space="0"/>
              <w:right w:val="single" w:color="auto" w:sz="4" w:space="0"/>
            </w:tcBorders>
          </w:tcPr>
          <w:p w14:paraId="106B463B">
            <w:pPr>
              <w:widowControl/>
              <w:jc w:val="left"/>
              <w:rPr>
                <w:rFonts w:ascii="宋体" w:hAnsi="宋体"/>
                <w:color w:val="auto"/>
                <w:kern w:val="0"/>
                <w:sz w:val="20"/>
                <w:highlight w:val="none"/>
              </w:rPr>
            </w:pPr>
            <w:r>
              <w:rPr>
                <w:rFonts w:hint="eastAsia" w:ascii="宋体" w:hAnsi="宋体"/>
                <w:color w:val="auto"/>
                <w:kern w:val="0"/>
                <w:sz w:val="20"/>
                <w:highlight w:val="none"/>
              </w:rPr>
              <w:t>300元/每处</w:t>
            </w:r>
          </w:p>
        </w:tc>
        <w:tc>
          <w:tcPr>
            <w:tcW w:w="1941" w:type="dxa"/>
            <w:tcBorders>
              <w:top w:val="single" w:color="auto" w:sz="4" w:space="0"/>
              <w:left w:val="single" w:color="auto" w:sz="4" w:space="0"/>
              <w:bottom w:val="single" w:color="auto" w:sz="4" w:space="0"/>
              <w:right w:val="single" w:color="auto" w:sz="4" w:space="0"/>
            </w:tcBorders>
          </w:tcPr>
          <w:p w14:paraId="20CBE1F1">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08EE8A23">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0D83EBFD">
            <w:pPr>
              <w:widowControl/>
              <w:jc w:val="left"/>
              <w:rPr>
                <w:rFonts w:ascii="宋体" w:hAnsi="宋体" w:cs="宋体"/>
                <w:color w:val="auto"/>
                <w:kern w:val="0"/>
                <w:sz w:val="20"/>
                <w:highlight w:val="none"/>
              </w:rPr>
            </w:pPr>
          </w:p>
        </w:tc>
      </w:tr>
      <w:tr w14:paraId="01F2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1234964">
            <w:pPr>
              <w:widowControl/>
              <w:jc w:val="center"/>
              <w:rPr>
                <w:rFonts w:ascii="宋体" w:hAnsi="宋体" w:cs="宋体"/>
                <w:bCs/>
                <w:color w:val="auto"/>
                <w:kern w:val="0"/>
                <w:sz w:val="20"/>
                <w:highlight w:val="none"/>
              </w:rPr>
            </w:pPr>
            <w:r>
              <w:rPr>
                <w:rFonts w:hint="eastAsia" w:ascii="宋体" w:hAnsi="宋体" w:cs="宋体"/>
                <w:bCs/>
                <w:color w:val="auto"/>
                <w:kern w:val="0"/>
                <w:sz w:val="20"/>
                <w:highlight w:val="none"/>
              </w:rPr>
              <w:t>6.18</w:t>
            </w:r>
          </w:p>
        </w:tc>
        <w:tc>
          <w:tcPr>
            <w:tcW w:w="2161" w:type="dxa"/>
            <w:tcBorders>
              <w:top w:val="single" w:color="auto" w:sz="4" w:space="0"/>
              <w:left w:val="single" w:color="auto" w:sz="4" w:space="0"/>
              <w:bottom w:val="single" w:color="auto" w:sz="4" w:space="0"/>
              <w:right w:val="single" w:color="auto" w:sz="4" w:space="0"/>
            </w:tcBorders>
            <w:vAlign w:val="center"/>
          </w:tcPr>
          <w:p w14:paraId="19AA3303">
            <w:pPr>
              <w:widowControl/>
              <w:jc w:val="left"/>
              <w:rPr>
                <w:rFonts w:ascii="宋体" w:hAnsi="宋体"/>
                <w:color w:val="auto"/>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2D25C7F9">
            <w:pPr>
              <w:widowControl/>
              <w:jc w:val="left"/>
              <w:rPr>
                <w:rFonts w:ascii="宋体" w:hAnsi="宋体"/>
                <w:color w:val="auto"/>
                <w:kern w:val="0"/>
                <w:sz w:val="20"/>
                <w:highlight w:val="none"/>
              </w:rPr>
            </w:pPr>
            <w:r>
              <w:rPr>
                <w:rFonts w:hint="eastAsia" w:ascii="宋体" w:hAnsi="宋体"/>
                <w:color w:val="auto"/>
                <w:kern w:val="0"/>
                <w:sz w:val="20"/>
                <w:highlight w:val="none"/>
              </w:rPr>
              <w:t>作业场所内有积油、积水或物资堆放脏乱的现场</w:t>
            </w:r>
          </w:p>
        </w:tc>
        <w:tc>
          <w:tcPr>
            <w:tcW w:w="1429" w:type="dxa"/>
            <w:tcBorders>
              <w:top w:val="single" w:color="auto" w:sz="4" w:space="0"/>
              <w:left w:val="single" w:color="auto" w:sz="4" w:space="0"/>
              <w:bottom w:val="single" w:color="auto" w:sz="4" w:space="0"/>
              <w:right w:val="single" w:color="auto" w:sz="4" w:space="0"/>
            </w:tcBorders>
          </w:tcPr>
          <w:p w14:paraId="10EFB9C0">
            <w:pPr>
              <w:widowControl/>
              <w:jc w:val="left"/>
              <w:rPr>
                <w:rFonts w:ascii="宋体" w:hAnsi="宋体"/>
                <w:color w:val="auto"/>
                <w:kern w:val="0"/>
                <w:sz w:val="20"/>
                <w:highlight w:val="none"/>
              </w:rPr>
            </w:pPr>
            <w:r>
              <w:rPr>
                <w:rFonts w:hint="eastAsia" w:ascii="宋体" w:hAnsi="宋体"/>
                <w:color w:val="auto"/>
                <w:kern w:val="0"/>
                <w:sz w:val="20"/>
                <w:highlight w:val="none"/>
              </w:rPr>
              <w:t>300元/每处</w:t>
            </w:r>
          </w:p>
        </w:tc>
        <w:tc>
          <w:tcPr>
            <w:tcW w:w="1941" w:type="dxa"/>
            <w:tcBorders>
              <w:top w:val="single" w:color="auto" w:sz="4" w:space="0"/>
              <w:left w:val="single" w:color="auto" w:sz="4" w:space="0"/>
              <w:bottom w:val="single" w:color="auto" w:sz="4" w:space="0"/>
              <w:right w:val="single" w:color="auto" w:sz="4" w:space="0"/>
            </w:tcBorders>
          </w:tcPr>
          <w:p w14:paraId="1B0810FB">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29BED26D">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28E5D96A">
            <w:pPr>
              <w:widowControl/>
              <w:jc w:val="left"/>
              <w:rPr>
                <w:rFonts w:ascii="宋体" w:hAnsi="宋体" w:cs="宋体"/>
                <w:color w:val="auto"/>
                <w:kern w:val="0"/>
                <w:sz w:val="20"/>
                <w:highlight w:val="none"/>
              </w:rPr>
            </w:pPr>
          </w:p>
        </w:tc>
      </w:tr>
      <w:tr w14:paraId="0428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3A3013D">
            <w:pPr>
              <w:widowControl/>
              <w:jc w:val="center"/>
              <w:rPr>
                <w:rFonts w:ascii="宋体" w:hAnsi="宋体" w:cs="宋体"/>
                <w:b/>
                <w:bCs/>
                <w:color w:val="auto"/>
                <w:kern w:val="0"/>
                <w:sz w:val="20"/>
                <w:highlight w:val="none"/>
              </w:rPr>
            </w:pPr>
            <w:r>
              <w:rPr>
                <w:rFonts w:hint="eastAsia" w:ascii="宋体" w:hAnsi="宋体" w:cs="宋体"/>
                <w:color w:val="auto"/>
                <w:kern w:val="0"/>
                <w:sz w:val="20"/>
                <w:highlight w:val="none"/>
              </w:rPr>
              <w:t>6.19</w:t>
            </w:r>
          </w:p>
        </w:tc>
        <w:tc>
          <w:tcPr>
            <w:tcW w:w="2161" w:type="dxa"/>
            <w:tcBorders>
              <w:top w:val="single" w:color="auto" w:sz="4" w:space="0"/>
              <w:left w:val="single" w:color="auto" w:sz="4" w:space="0"/>
              <w:bottom w:val="single" w:color="auto" w:sz="4" w:space="0"/>
              <w:right w:val="single" w:color="auto" w:sz="4" w:space="0"/>
            </w:tcBorders>
            <w:vAlign w:val="center"/>
          </w:tcPr>
          <w:p w14:paraId="48251508">
            <w:pPr>
              <w:widowControl/>
              <w:jc w:val="left"/>
              <w:rPr>
                <w:rFonts w:ascii="宋体" w:hAnsi="宋体" w:cs="宋体"/>
                <w:b/>
                <w:bCs/>
                <w:color w:val="auto"/>
                <w:kern w:val="0"/>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0D43054D">
            <w:pPr>
              <w:spacing w:line="330" w:lineRule="exact"/>
              <w:rPr>
                <w:rFonts w:ascii="宋体" w:hAnsi="宋体" w:cs="宋体"/>
                <w:b/>
                <w:bCs/>
                <w:color w:val="auto"/>
                <w:kern w:val="0"/>
                <w:sz w:val="20"/>
                <w:highlight w:val="none"/>
              </w:rPr>
            </w:pPr>
            <w:r>
              <w:rPr>
                <w:rFonts w:hint="eastAsia" w:ascii="宋体" w:hAnsi="宋体"/>
                <w:color w:val="auto"/>
                <w:sz w:val="20"/>
                <w:highlight w:val="none"/>
              </w:rPr>
              <w:t>承包人工程施工使用的工程设备、车辆的尾气排放要达标。若因尾气污染而受到个人或有关部门投诉，发包人经核实每次处罚承包人违约金5000元并限期改正</w:t>
            </w:r>
          </w:p>
        </w:tc>
        <w:tc>
          <w:tcPr>
            <w:tcW w:w="1429" w:type="dxa"/>
            <w:tcBorders>
              <w:top w:val="single" w:color="auto" w:sz="4" w:space="0"/>
              <w:left w:val="single" w:color="auto" w:sz="4" w:space="0"/>
              <w:bottom w:val="single" w:color="auto" w:sz="4" w:space="0"/>
              <w:right w:val="single" w:color="auto" w:sz="4" w:space="0"/>
            </w:tcBorders>
          </w:tcPr>
          <w:p w14:paraId="72F1D048">
            <w:pPr>
              <w:widowControl/>
              <w:jc w:val="left"/>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7560C405">
            <w:pPr>
              <w:widowControl/>
              <w:jc w:val="left"/>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3F18ADB9">
            <w:pPr>
              <w:widowControl/>
              <w:jc w:val="left"/>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25C5CBC5">
            <w:pPr>
              <w:widowControl/>
              <w:jc w:val="left"/>
              <w:rPr>
                <w:rFonts w:ascii="宋体" w:hAnsi="宋体" w:cs="宋体"/>
                <w:b/>
                <w:bCs/>
                <w:color w:val="auto"/>
                <w:kern w:val="0"/>
                <w:sz w:val="20"/>
                <w:highlight w:val="none"/>
              </w:rPr>
            </w:pPr>
          </w:p>
        </w:tc>
      </w:tr>
      <w:tr w14:paraId="76C5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585C76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6.20</w:t>
            </w:r>
          </w:p>
        </w:tc>
        <w:tc>
          <w:tcPr>
            <w:tcW w:w="2161" w:type="dxa"/>
            <w:tcBorders>
              <w:top w:val="single" w:color="auto" w:sz="4" w:space="0"/>
              <w:left w:val="single" w:color="auto" w:sz="4" w:space="0"/>
              <w:bottom w:val="single" w:color="auto" w:sz="4" w:space="0"/>
              <w:right w:val="single" w:color="auto" w:sz="4" w:space="0"/>
            </w:tcBorders>
            <w:vAlign w:val="center"/>
          </w:tcPr>
          <w:p w14:paraId="29DD8A91">
            <w:pPr>
              <w:widowControl/>
              <w:jc w:val="left"/>
              <w:rPr>
                <w:rFonts w:ascii="宋体" w:hAnsi="宋体" w:cs="宋体"/>
                <w:b/>
                <w:bCs/>
                <w:color w:val="auto"/>
                <w:kern w:val="0"/>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5517C846">
            <w:pPr>
              <w:tabs>
                <w:tab w:val="left" w:pos="0"/>
              </w:tabs>
              <w:spacing w:line="330" w:lineRule="exact"/>
              <w:rPr>
                <w:rFonts w:ascii="宋体" w:hAnsi="宋体" w:cs="宋体"/>
                <w:b/>
                <w:bCs/>
                <w:color w:val="auto"/>
                <w:kern w:val="0"/>
                <w:sz w:val="20"/>
                <w:highlight w:val="none"/>
              </w:rPr>
            </w:pPr>
            <w:r>
              <w:rPr>
                <w:rFonts w:hint="eastAsia" w:ascii="宋体" w:hAnsi="宋体"/>
                <w:color w:val="auto"/>
                <w:sz w:val="20"/>
                <w:highlight w:val="none"/>
              </w:rPr>
              <w:t>在施工过程中，承包人应严格按照合同“45.7施工单位扬尘污染防治责任补充条款”控制工地扬尘。若因扬尘未按合同约定、行政监管部门及政府令相关文件要求执行，发包人经核实每次处罚承包人违约金5000元并限期改正。</w:t>
            </w:r>
          </w:p>
        </w:tc>
        <w:tc>
          <w:tcPr>
            <w:tcW w:w="1429" w:type="dxa"/>
            <w:tcBorders>
              <w:top w:val="single" w:color="auto" w:sz="4" w:space="0"/>
              <w:left w:val="single" w:color="auto" w:sz="4" w:space="0"/>
              <w:bottom w:val="single" w:color="auto" w:sz="4" w:space="0"/>
              <w:right w:val="single" w:color="auto" w:sz="4" w:space="0"/>
            </w:tcBorders>
          </w:tcPr>
          <w:p w14:paraId="52F741B6">
            <w:pPr>
              <w:widowControl/>
              <w:jc w:val="left"/>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1CE477B9">
            <w:pPr>
              <w:widowControl/>
              <w:jc w:val="left"/>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5A414C0F">
            <w:pPr>
              <w:widowControl/>
              <w:jc w:val="left"/>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77A1B2D1">
            <w:pPr>
              <w:widowControl/>
              <w:jc w:val="left"/>
              <w:rPr>
                <w:rFonts w:ascii="宋体" w:hAnsi="宋体" w:cs="宋体"/>
                <w:b/>
                <w:bCs/>
                <w:color w:val="auto"/>
                <w:kern w:val="0"/>
                <w:sz w:val="20"/>
                <w:highlight w:val="none"/>
              </w:rPr>
            </w:pPr>
          </w:p>
        </w:tc>
      </w:tr>
      <w:tr w14:paraId="48FE3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DA5148A">
            <w:pPr>
              <w:widowControl/>
              <w:jc w:val="center"/>
              <w:rPr>
                <w:rFonts w:ascii="宋体" w:hAnsi="宋体" w:cs="宋体"/>
                <w:b/>
                <w:bCs/>
                <w:color w:val="auto"/>
                <w:kern w:val="0"/>
                <w:sz w:val="20"/>
                <w:highlight w:val="none"/>
              </w:rPr>
            </w:pPr>
            <w:r>
              <w:rPr>
                <w:rFonts w:hint="eastAsia" w:ascii="宋体" w:hAnsi="宋体" w:cs="宋体"/>
                <w:color w:val="auto"/>
                <w:kern w:val="0"/>
                <w:sz w:val="20"/>
                <w:highlight w:val="none"/>
              </w:rPr>
              <w:t>6.21</w:t>
            </w:r>
          </w:p>
        </w:tc>
        <w:tc>
          <w:tcPr>
            <w:tcW w:w="2161" w:type="dxa"/>
            <w:tcBorders>
              <w:top w:val="single" w:color="auto" w:sz="4" w:space="0"/>
              <w:left w:val="single" w:color="auto" w:sz="4" w:space="0"/>
              <w:bottom w:val="single" w:color="auto" w:sz="4" w:space="0"/>
              <w:right w:val="single" w:color="auto" w:sz="4" w:space="0"/>
            </w:tcBorders>
            <w:vAlign w:val="center"/>
          </w:tcPr>
          <w:p w14:paraId="07434DED">
            <w:pPr>
              <w:widowControl/>
              <w:jc w:val="left"/>
              <w:rPr>
                <w:rFonts w:ascii="宋体" w:hAnsi="宋体" w:cs="宋体"/>
                <w:b/>
                <w:bCs/>
                <w:color w:val="auto"/>
                <w:kern w:val="0"/>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5E49592C">
            <w:pPr>
              <w:widowControl/>
              <w:jc w:val="left"/>
              <w:rPr>
                <w:rFonts w:ascii="宋体" w:hAnsi="宋体" w:cs="宋体"/>
                <w:b/>
                <w:bCs/>
                <w:color w:val="auto"/>
                <w:kern w:val="0"/>
                <w:sz w:val="20"/>
                <w:highlight w:val="none"/>
              </w:rPr>
            </w:pPr>
            <w:r>
              <w:rPr>
                <w:rFonts w:hint="eastAsia" w:ascii="宋体" w:hAnsi="宋体"/>
                <w:color w:val="auto"/>
                <w:sz w:val="20"/>
                <w:highlight w:val="none"/>
              </w:rPr>
              <w:t>施工车辆进出施工场地，应当采取喷淋或者冲洗等措施。如因措施不力导致污染环境而受到个人或有关部门投诉或处罚，发包人经核实每次处罚承包人违约金5000元并限期整改</w:t>
            </w:r>
          </w:p>
        </w:tc>
        <w:tc>
          <w:tcPr>
            <w:tcW w:w="1429" w:type="dxa"/>
            <w:tcBorders>
              <w:top w:val="single" w:color="auto" w:sz="4" w:space="0"/>
              <w:left w:val="single" w:color="auto" w:sz="4" w:space="0"/>
              <w:bottom w:val="single" w:color="auto" w:sz="4" w:space="0"/>
              <w:right w:val="single" w:color="auto" w:sz="4" w:space="0"/>
            </w:tcBorders>
          </w:tcPr>
          <w:p w14:paraId="1DCFF861">
            <w:pPr>
              <w:widowControl/>
              <w:jc w:val="left"/>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3479D923">
            <w:pPr>
              <w:widowControl/>
              <w:jc w:val="left"/>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5BD12597">
            <w:pPr>
              <w:widowControl/>
              <w:jc w:val="left"/>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1516C9AD">
            <w:pPr>
              <w:widowControl/>
              <w:jc w:val="left"/>
              <w:rPr>
                <w:rFonts w:ascii="宋体" w:hAnsi="宋体" w:cs="宋体"/>
                <w:b/>
                <w:bCs/>
                <w:color w:val="auto"/>
                <w:kern w:val="0"/>
                <w:sz w:val="20"/>
                <w:highlight w:val="none"/>
              </w:rPr>
            </w:pPr>
          </w:p>
        </w:tc>
      </w:tr>
      <w:tr w14:paraId="7E55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3680EB3">
            <w:pPr>
              <w:widowControl/>
              <w:jc w:val="center"/>
              <w:rPr>
                <w:rFonts w:ascii="宋体" w:hAnsi="宋体" w:cs="宋体"/>
                <w:b/>
                <w:bCs/>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14:paraId="378F7E61">
            <w:pPr>
              <w:widowControl/>
              <w:jc w:val="left"/>
              <w:rPr>
                <w:rFonts w:ascii="宋体" w:hAnsi="宋体" w:cs="宋体"/>
                <w:b/>
                <w:bCs/>
                <w:color w:val="auto"/>
                <w:kern w:val="0"/>
                <w:sz w:val="20"/>
                <w:highlight w:val="none"/>
              </w:rPr>
            </w:pPr>
            <w:r>
              <w:rPr>
                <w:rFonts w:hint="eastAsia" w:ascii="宋体" w:hAnsi="宋体" w:cs="宋体"/>
                <w:b/>
                <w:bCs/>
                <w:color w:val="auto"/>
                <w:kern w:val="0"/>
                <w:sz w:val="20"/>
                <w:highlight w:val="none"/>
              </w:rPr>
              <w:t>一般违约及严重违约</w:t>
            </w:r>
          </w:p>
        </w:tc>
        <w:tc>
          <w:tcPr>
            <w:tcW w:w="5743" w:type="dxa"/>
            <w:tcBorders>
              <w:top w:val="single" w:color="auto" w:sz="4" w:space="0"/>
              <w:left w:val="single" w:color="auto" w:sz="4" w:space="0"/>
              <w:bottom w:val="single" w:color="auto" w:sz="4" w:space="0"/>
              <w:right w:val="single" w:color="auto" w:sz="4" w:space="0"/>
            </w:tcBorders>
            <w:vAlign w:val="center"/>
          </w:tcPr>
          <w:p w14:paraId="25DA013E">
            <w:pPr>
              <w:widowControl/>
              <w:jc w:val="left"/>
              <w:rPr>
                <w:rFonts w:ascii="宋体" w:hAnsi="宋体" w:cs="宋体"/>
                <w:b/>
                <w:bCs/>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14:paraId="5120D492">
            <w:pPr>
              <w:widowControl/>
              <w:jc w:val="left"/>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273522BC">
            <w:pPr>
              <w:widowControl/>
              <w:jc w:val="left"/>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13157755">
            <w:pPr>
              <w:widowControl/>
              <w:jc w:val="left"/>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4E9BAC6C">
            <w:pPr>
              <w:widowControl/>
              <w:jc w:val="left"/>
              <w:rPr>
                <w:rFonts w:ascii="宋体" w:hAnsi="宋体" w:cs="宋体"/>
                <w:b/>
                <w:bCs/>
                <w:color w:val="auto"/>
                <w:kern w:val="0"/>
                <w:sz w:val="20"/>
                <w:highlight w:val="none"/>
              </w:rPr>
            </w:pPr>
          </w:p>
        </w:tc>
      </w:tr>
      <w:tr w14:paraId="573A1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6E55FAE">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6.22</w:t>
            </w:r>
          </w:p>
        </w:tc>
        <w:tc>
          <w:tcPr>
            <w:tcW w:w="2161" w:type="dxa"/>
            <w:tcBorders>
              <w:top w:val="single" w:color="auto" w:sz="4" w:space="0"/>
              <w:left w:val="single" w:color="auto" w:sz="4" w:space="0"/>
              <w:bottom w:val="single" w:color="auto" w:sz="4" w:space="0"/>
              <w:right w:val="single" w:color="auto" w:sz="4" w:space="0"/>
            </w:tcBorders>
            <w:vAlign w:val="center"/>
          </w:tcPr>
          <w:p w14:paraId="2F97ACA1">
            <w:pPr>
              <w:widowControl/>
              <w:jc w:val="left"/>
              <w:rPr>
                <w:rFonts w:ascii="宋体" w:hAnsi="宋体" w:cs="宋体"/>
                <w:b/>
                <w:bCs/>
                <w:color w:val="auto"/>
                <w:kern w:val="0"/>
                <w:sz w:val="20"/>
                <w:highlight w:val="none"/>
              </w:rPr>
            </w:pPr>
            <w:r>
              <w:rPr>
                <w:rFonts w:hint="eastAsia" w:ascii="宋体" w:hAnsi="宋体" w:cs="宋体"/>
                <w:b/>
                <w:bCs/>
                <w:color w:val="auto"/>
                <w:kern w:val="0"/>
                <w:sz w:val="20"/>
                <w:highlight w:val="none"/>
              </w:rPr>
              <w:t>整个施工现场检查</w:t>
            </w:r>
          </w:p>
        </w:tc>
        <w:tc>
          <w:tcPr>
            <w:tcW w:w="5743" w:type="dxa"/>
            <w:tcBorders>
              <w:top w:val="single" w:color="auto" w:sz="4" w:space="0"/>
              <w:left w:val="single" w:color="auto" w:sz="4" w:space="0"/>
              <w:bottom w:val="single" w:color="auto" w:sz="4" w:space="0"/>
              <w:right w:val="single" w:color="auto" w:sz="4" w:space="0"/>
            </w:tcBorders>
            <w:vAlign w:val="center"/>
          </w:tcPr>
          <w:p w14:paraId="53223800">
            <w:pPr>
              <w:widowControl/>
              <w:jc w:val="left"/>
              <w:rPr>
                <w:rFonts w:ascii="宋体" w:hAnsi="宋体" w:cs="宋体"/>
                <w:b/>
                <w:bCs/>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14:paraId="0E5156E0">
            <w:pPr>
              <w:widowControl/>
              <w:jc w:val="left"/>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2F101237">
            <w:pPr>
              <w:widowControl/>
              <w:jc w:val="left"/>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0D522C92">
            <w:pPr>
              <w:widowControl/>
              <w:jc w:val="left"/>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7B225241">
            <w:pPr>
              <w:widowControl/>
              <w:jc w:val="left"/>
              <w:rPr>
                <w:rFonts w:ascii="宋体" w:hAnsi="宋体" w:cs="宋体"/>
                <w:b/>
                <w:bCs/>
                <w:color w:val="auto"/>
                <w:kern w:val="0"/>
                <w:sz w:val="20"/>
                <w:highlight w:val="none"/>
              </w:rPr>
            </w:pPr>
          </w:p>
        </w:tc>
      </w:tr>
      <w:tr w14:paraId="4449C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3EC704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6.22.1</w:t>
            </w:r>
          </w:p>
        </w:tc>
        <w:tc>
          <w:tcPr>
            <w:tcW w:w="2161" w:type="dxa"/>
            <w:tcBorders>
              <w:top w:val="single" w:color="auto" w:sz="4" w:space="0"/>
              <w:left w:val="single" w:color="auto" w:sz="4" w:space="0"/>
              <w:bottom w:val="single" w:color="auto" w:sz="4" w:space="0"/>
              <w:right w:val="single" w:color="auto" w:sz="4" w:space="0"/>
            </w:tcBorders>
            <w:vAlign w:val="center"/>
          </w:tcPr>
          <w:p w14:paraId="3070C1B5">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第一次检查达不到标准</w:t>
            </w:r>
          </w:p>
        </w:tc>
        <w:tc>
          <w:tcPr>
            <w:tcW w:w="5743" w:type="dxa"/>
            <w:tcBorders>
              <w:top w:val="single" w:color="auto" w:sz="4" w:space="0"/>
              <w:left w:val="single" w:color="auto" w:sz="4" w:space="0"/>
              <w:bottom w:val="single" w:color="auto" w:sz="4" w:space="0"/>
              <w:right w:val="single" w:color="auto" w:sz="4" w:space="0"/>
            </w:tcBorders>
            <w:vAlign w:val="center"/>
          </w:tcPr>
          <w:p w14:paraId="109028BE">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对承包人给予一次限期改正。</w:t>
            </w:r>
          </w:p>
        </w:tc>
        <w:tc>
          <w:tcPr>
            <w:tcW w:w="1429" w:type="dxa"/>
            <w:tcBorders>
              <w:top w:val="single" w:color="auto" w:sz="4" w:space="0"/>
              <w:left w:val="single" w:color="auto" w:sz="4" w:space="0"/>
              <w:bottom w:val="single" w:color="auto" w:sz="4" w:space="0"/>
              <w:right w:val="single" w:color="auto" w:sz="4" w:space="0"/>
            </w:tcBorders>
          </w:tcPr>
          <w:p w14:paraId="4B2CB425">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341F3DE0">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4547F1A8">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3D37420D">
            <w:pPr>
              <w:widowControl/>
              <w:jc w:val="left"/>
              <w:rPr>
                <w:rFonts w:ascii="宋体" w:hAnsi="宋体" w:cs="宋体"/>
                <w:color w:val="auto"/>
                <w:kern w:val="0"/>
                <w:sz w:val="20"/>
                <w:highlight w:val="none"/>
              </w:rPr>
            </w:pPr>
          </w:p>
        </w:tc>
      </w:tr>
      <w:tr w14:paraId="1563B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2DB639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6.22.2</w:t>
            </w:r>
          </w:p>
        </w:tc>
        <w:tc>
          <w:tcPr>
            <w:tcW w:w="2161" w:type="dxa"/>
            <w:tcBorders>
              <w:top w:val="single" w:color="auto" w:sz="4" w:space="0"/>
              <w:left w:val="single" w:color="auto" w:sz="4" w:space="0"/>
              <w:bottom w:val="single" w:color="auto" w:sz="4" w:space="0"/>
              <w:right w:val="single" w:color="auto" w:sz="4" w:space="0"/>
            </w:tcBorders>
            <w:vAlign w:val="center"/>
          </w:tcPr>
          <w:p w14:paraId="399A00AC">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同一内容第二次检查达不到标准</w:t>
            </w:r>
          </w:p>
        </w:tc>
        <w:tc>
          <w:tcPr>
            <w:tcW w:w="5743" w:type="dxa"/>
            <w:tcBorders>
              <w:top w:val="single" w:color="auto" w:sz="4" w:space="0"/>
              <w:left w:val="single" w:color="auto" w:sz="4" w:space="0"/>
              <w:bottom w:val="single" w:color="auto" w:sz="4" w:space="0"/>
              <w:right w:val="single" w:color="auto" w:sz="4" w:space="0"/>
            </w:tcBorders>
            <w:vAlign w:val="center"/>
          </w:tcPr>
          <w:p w14:paraId="13BF5DA9">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承包人须向发包人支付相对应等级的违约金。</w:t>
            </w:r>
          </w:p>
        </w:tc>
        <w:tc>
          <w:tcPr>
            <w:tcW w:w="1429" w:type="dxa"/>
            <w:tcBorders>
              <w:top w:val="single" w:color="auto" w:sz="4" w:space="0"/>
              <w:left w:val="single" w:color="auto" w:sz="4" w:space="0"/>
              <w:bottom w:val="single" w:color="auto" w:sz="4" w:space="0"/>
              <w:right w:val="single" w:color="auto" w:sz="4" w:space="0"/>
            </w:tcBorders>
          </w:tcPr>
          <w:p w14:paraId="016C95F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1万元</w:t>
            </w:r>
          </w:p>
        </w:tc>
        <w:tc>
          <w:tcPr>
            <w:tcW w:w="1941" w:type="dxa"/>
            <w:tcBorders>
              <w:top w:val="single" w:color="auto" w:sz="4" w:space="0"/>
              <w:left w:val="single" w:color="auto" w:sz="4" w:space="0"/>
              <w:bottom w:val="single" w:color="auto" w:sz="4" w:space="0"/>
              <w:right w:val="single" w:color="auto" w:sz="4" w:space="0"/>
            </w:tcBorders>
          </w:tcPr>
          <w:p w14:paraId="23D2A9E3">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2万元</w:t>
            </w:r>
          </w:p>
        </w:tc>
        <w:tc>
          <w:tcPr>
            <w:tcW w:w="1781" w:type="dxa"/>
            <w:tcBorders>
              <w:top w:val="single" w:color="auto" w:sz="4" w:space="0"/>
              <w:left w:val="single" w:color="auto" w:sz="4" w:space="0"/>
              <w:bottom w:val="single" w:color="auto" w:sz="4" w:space="0"/>
              <w:right w:val="single" w:color="auto" w:sz="4" w:space="0"/>
            </w:tcBorders>
          </w:tcPr>
          <w:p w14:paraId="57EE719F">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5万元</w:t>
            </w:r>
          </w:p>
        </w:tc>
        <w:tc>
          <w:tcPr>
            <w:tcW w:w="1480" w:type="dxa"/>
            <w:tcBorders>
              <w:top w:val="single" w:color="auto" w:sz="4" w:space="0"/>
              <w:left w:val="single" w:color="auto" w:sz="4" w:space="0"/>
              <w:bottom w:val="single" w:color="auto" w:sz="4" w:space="0"/>
              <w:right w:val="single" w:color="auto" w:sz="4" w:space="0"/>
            </w:tcBorders>
          </w:tcPr>
          <w:p w14:paraId="28BEAA9A">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10万元</w:t>
            </w:r>
          </w:p>
        </w:tc>
      </w:tr>
      <w:tr w14:paraId="6E77A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B6E388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6.22.3</w:t>
            </w:r>
          </w:p>
        </w:tc>
        <w:tc>
          <w:tcPr>
            <w:tcW w:w="2161" w:type="dxa"/>
            <w:tcBorders>
              <w:top w:val="single" w:color="auto" w:sz="4" w:space="0"/>
              <w:left w:val="single" w:color="auto" w:sz="4" w:space="0"/>
              <w:bottom w:val="single" w:color="auto" w:sz="4" w:space="0"/>
              <w:right w:val="single" w:color="auto" w:sz="4" w:space="0"/>
            </w:tcBorders>
            <w:vAlign w:val="center"/>
          </w:tcPr>
          <w:p w14:paraId="69A5E4FD">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同一内容第三次检查达不到标准</w:t>
            </w:r>
          </w:p>
        </w:tc>
        <w:tc>
          <w:tcPr>
            <w:tcW w:w="5743" w:type="dxa"/>
            <w:tcBorders>
              <w:top w:val="single" w:color="auto" w:sz="4" w:space="0"/>
              <w:left w:val="single" w:color="auto" w:sz="4" w:space="0"/>
              <w:bottom w:val="single" w:color="auto" w:sz="4" w:space="0"/>
              <w:right w:val="single" w:color="auto" w:sz="4" w:space="0"/>
            </w:tcBorders>
            <w:vAlign w:val="center"/>
          </w:tcPr>
          <w:p w14:paraId="0E1A51F6">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承包人须向发包人支付相对应等级的违约金。</w:t>
            </w:r>
          </w:p>
        </w:tc>
        <w:tc>
          <w:tcPr>
            <w:tcW w:w="1429" w:type="dxa"/>
            <w:tcBorders>
              <w:top w:val="single" w:color="auto" w:sz="4" w:space="0"/>
              <w:left w:val="single" w:color="auto" w:sz="4" w:space="0"/>
              <w:bottom w:val="single" w:color="auto" w:sz="4" w:space="0"/>
              <w:right w:val="single" w:color="auto" w:sz="4" w:space="0"/>
            </w:tcBorders>
          </w:tcPr>
          <w:p w14:paraId="7C152AC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2万元</w:t>
            </w:r>
          </w:p>
        </w:tc>
        <w:tc>
          <w:tcPr>
            <w:tcW w:w="1941" w:type="dxa"/>
            <w:tcBorders>
              <w:top w:val="single" w:color="auto" w:sz="4" w:space="0"/>
              <w:left w:val="single" w:color="auto" w:sz="4" w:space="0"/>
              <w:bottom w:val="single" w:color="auto" w:sz="4" w:space="0"/>
              <w:right w:val="single" w:color="auto" w:sz="4" w:space="0"/>
            </w:tcBorders>
          </w:tcPr>
          <w:p w14:paraId="286F501D">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4万元</w:t>
            </w:r>
          </w:p>
        </w:tc>
        <w:tc>
          <w:tcPr>
            <w:tcW w:w="1781" w:type="dxa"/>
            <w:tcBorders>
              <w:top w:val="single" w:color="auto" w:sz="4" w:space="0"/>
              <w:left w:val="single" w:color="auto" w:sz="4" w:space="0"/>
              <w:bottom w:val="single" w:color="auto" w:sz="4" w:space="0"/>
              <w:right w:val="single" w:color="auto" w:sz="4" w:space="0"/>
            </w:tcBorders>
          </w:tcPr>
          <w:p w14:paraId="4F32F2E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10万元</w:t>
            </w:r>
          </w:p>
        </w:tc>
        <w:tc>
          <w:tcPr>
            <w:tcW w:w="1480" w:type="dxa"/>
            <w:tcBorders>
              <w:top w:val="single" w:color="auto" w:sz="4" w:space="0"/>
              <w:left w:val="single" w:color="auto" w:sz="4" w:space="0"/>
              <w:bottom w:val="single" w:color="auto" w:sz="4" w:space="0"/>
              <w:right w:val="single" w:color="auto" w:sz="4" w:space="0"/>
            </w:tcBorders>
          </w:tcPr>
          <w:p w14:paraId="0CA3A9A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20万元</w:t>
            </w:r>
          </w:p>
        </w:tc>
      </w:tr>
      <w:tr w14:paraId="050B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92AE3C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6.22.4</w:t>
            </w:r>
          </w:p>
        </w:tc>
        <w:tc>
          <w:tcPr>
            <w:tcW w:w="2161" w:type="dxa"/>
            <w:tcBorders>
              <w:top w:val="single" w:color="auto" w:sz="4" w:space="0"/>
              <w:left w:val="single" w:color="auto" w:sz="4" w:space="0"/>
              <w:bottom w:val="single" w:color="auto" w:sz="4" w:space="0"/>
              <w:right w:val="single" w:color="auto" w:sz="4" w:space="0"/>
            </w:tcBorders>
            <w:vAlign w:val="center"/>
          </w:tcPr>
          <w:p w14:paraId="42586386">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同一内容第四次检查达不到标准</w:t>
            </w:r>
          </w:p>
        </w:tc>
        <w:tc>
          <w:tcPr>
            <w:tcW w:w="5743" w:type="dxa"/>
            <w:tcBorders>
              <w:top w:val="single" w:color="auto" w:sz="4" w:space="0"/>
              <w:left w:val="single" w:color="auto" w:sz="4" w:space="0"/>
              <w:bottom w:val="single" w:color="auto" w:sz="4" w:space="0"/>
              <w:right w:val="single" w:color="auto" w:sz="4" w:space="0"/>
            </w:tcBorders>
            <w:vAlign w:val="center"/>
          </w:tcPr>
          <w:p w14:paraId="5FB9848D">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承包人须向发包人支付相对应等级的违约金。</w:t>
            </w:r>
          </w:p>
        </w:tc>
        <w:tc>
          <w:tcPr>
            <w:tcW w:w="1429" w:type="dxa"/>
            <w:tcBorders>
              <w:top w:val="single" w:color="auto" w:sz="4" w:space="0"/>
              <w:left w:val="single" w:color="auto" w:sz="4" w:space="0"/>
              <w:bottom w:val="single" w:color="auto" w:sz="4" w:space="0"/>
              <w:right w:val="single" w:color="auto" w:sz="4" w:space="0"/>
            </w:tcBorders>
          </w:tcPr>
          <w:p w14:paraId="49FEACC6">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3万元</w:t>
            </w:r>
          </w:p>
        </w:tc>
        <w:tc>
          <w:tcPr>
            <w:tcW w:w="1941" w:type="dxa"/>
            <w:tcBorders>
              <w:top w:val="single" w:color="auto" w:sz="4" w:space="0"/>
              <w:left w:val="single" w:color="auto" w:sz="4" w:space="0"/>
              <w:bottom w:val="single" w:color="auto" w:sz="4" w:space="0"/>
              <w:right w:val="single" w:color="auto" w:sz="4" w:space="0"/>
            </w:tcBorders>
          </w:tcPr>
          <w:p w14:paraId="6953743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6万元</w:t>
            </w:r>
          </w:p>
        </w:tc>
        <w:tc>
          <w:tcPr>
            <w:tcW w:w="1781" w:type="dxa"/>
            <w:tcBorders>
              <w:top w:val="single" w:color="auto" w:sz="4" w:space="0"/>
              <w:left w:val="single" w:color="auto" w:sz="4" w:space="0"/>
              <w:bottom w:val="single" w:color="auto" w:sz="4" w:space="0"/>
              <w:right w:val="single" w:color="auto" w:sz="4" w:space="0"/>
            </w:tcBorders>
          </w:tcPr>
          <w:p w14:paraId="4A297FC9">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15万元</w:t>
            </w:r>
          </w:p>
        </w:tc>
        <w:tc>
          <w:tcPr>
            <w:tcW w:w="1480" w:type="dxa"/>
            <w:tcBorders>
              <w:top w:val="single" w:color="auto" w:sz="4" w:space="0"/>
              <w:left w:val="single" w:color="auto" w:sz="4" w:space="0"/>
              <w:bottom w:val="single" w:color="auto" w:sz="4" w:space="0"/>
              <w:right w:val="single" w:color="auto" w:sz="4" w:space="0"/>
            </w:tcBorders>
          </w:tcPr>
          <w:p w14:paraId="707F2707">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30万元</w:t>
            </w:r>
          </w:p>
        </w:tc>
      </w:tr>
      <w:tr w14:paraId="027E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DD2896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6.22.5</w:t>
            </w:r>
          </w:p>
        </w:tc>
        <w:tc>
          <w:tcPr>
            <w:tcW w:w="2161" w:type="dxa"/>
            <w:tcBorders>
              <w:top w:val="single" w:color="auto" w:sz="4" w:space="0"/>
              <w:left w:val="single" w:color="auto" w:sz="4" w:space="0"/>
              <w:bottom w:val="single" w:color="auto" w:sz="4" w:space="0"/>
              <w:right w:val="single" w:color="auto" w:sz="4" w:space="0"/>
            </w:tcBorders>
            <w:vAlign w:val="center"/>
          </w:tcPr>
          <w:p w14:paraId="66A0D9E0">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同一内容第五次检查达不到标准</w:t>
            </w:r>
          </w:p>
        </w:tc>
        <w:tc>
          <w:tcPr>
            <w:tcW w:w="5743" w:type="dxa"/>
            <w:tcBorders>
              <w:top w:val="single" w:color="auto" w:sz="4" w:space="0"/>
              <w:left w:val="single" w:color="auto" w:sz="4" w:space="0"/>
              <w:bottom w:val="single" w:color="auto" w:sz="4" w:space="0"/>
              <w:right w:val="single" w:color="auto" w:sz="4" w:space="0"/>
            </w:tcBorders>
            <w:vAlign w:val="center"/>
          </w:tcPr>
          <w:p w14:paraId="2EC562C6">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承包人须向发包人支付相对应等级的违约金①。如此类推，每次检查达不到标准，违约金额比上一次检查支付的违约金额递增相对应等级的金额②（违约金额上限不大于合同造价的1％），直至达到标准。</w:t>
            </w:r>
          </w:p>
        </w:tc>
        <w:tc>
          <w:tcPr>
            <w:tcW w:w="1429" w:type="dxa"/>
            <w:tcBorders>
              <w:top w:val="single" w:color="auto" w:sz="4" w:space="0"/>
              <w:left w:val="single" w:color="auto" w:sz="4" w:space="0"/>
              <w:bottom w:val="single" w:color="auto" w:sz="4" w:space="0"/>
              <w:right w:val="single" w:color="auto" w:sz="4" w:space="0"/>
            </w:tcBorders>
          </w:tcPr>
          <w:p w14:paraId="4A3C78E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①4万元；          ②1万元。</w:t>
            </w:r>
          </w:p>
        </w:tc>
        <w:tc>
          <w:tcPr>
            <w:tcW w:w="1941" w:type="dxa"/>
            <w:tcBorders>
              <w:top w:val="single" w:color="auto" w:sz="4" w:space="0"/>
              <w:left w:val="single" w:color="auto" w:sz="4" w:space="0"/>
              <w:bottom w:val="single" w:color="auto" w:sz="4" w:space="0"/>
              <w:right w:val="single" w:color="auto" w:sz="4" w:space="0"/>
            </w:tcBorders>
          </w:tcPr>
          <w:p w14:paraId="12CFEE5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①8万元；         ②2万元。</w:t>
            </w:r>
          </w:p>
        </w:tc>
        <w:tc>
          <w:tcPr>
            <w:tcW w:w="1781" w:type="dxa"/>
            <w:tcBorders>
              <w:top w:val="single" w:color="auto" w:sz="4" w:space="0"/>
              <w:left w:val="single" w:color="auto" w:sz="4" w:space="0"/>
              <w:bottom w:val="single" w:color="auto" w:sz="4" w:space="0"/>
              <w:right w:val="single" w:color="auto" w:sz="4" w:space="0"/>
            </w:tcBorders>
          </w:tcPr>
          <w:p w14:paraId="73923C7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①20万元；         ②5万元。</w:t>
            </w:r>
          </w:p>
        </w:tc>
        <w:tc>
          <w:tcPr>
            <w:tcW w:w="1480" w:type="dxa"/>
            <w:tcBorders>
              <w:top w:val="single" w:color="auto" w:sz="4" w:space="0"/>
              <w:left w:val="single" w:color="auto" w:sz="4" w:space="0"/>
              <w:bottom w:val="single" w:color="auto" w:sz="4" w:space="0"/>
              <w:right w:val="single" w:color="auto" w:sz="4" w:space="0"/>
            </w:tcBorders>
          </w:tcPr>
          <w:p w14:paraId="2C9C620E">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①40万元；         ②人10万元。</w:t>
            </w:r>
          </w:p>
        </w:tc>
      </w:tr>
      <w:tr w14:paraId="583BF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A075BE6">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6.22.6</w:t>
            </w:r>
          </w:p>
        </w:tc>
        <w:tc>
          <w:tcPr>
            <w:tcW w:w="2161" w:type="dxa"/>
            <w:tcBorders>
              <w:top w:val="single" w:color="auto" w:sz="4" w:space="0"/>
              <w:left w:val="single" w:color="auto" w:sz="4" w:space="0"/>
              <w:bottom w:val="single" w:color="auto" w:sz="4" w:space="0"/>
              <w:right w:val="single" w:color="auto" w:sz="4" w:space="0"/>
            </w:tcBorders>
            <w:vAlign w:val="center"/>
          </w:tcPr>
          <w:p w14:paraId="6E94962C">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在政府行政主管部门的检查中，承包人的施工场地被评为不合格工地的，或者被通报批评的</w:t>
            </w:r>
          </w:p>
        </w:tc>
        <w:tc>
          <w:tcPr>
            <w:tcW w:w="5743" w:type="dxa"/>
            <w:tcBorders>
              <w:top w:val="single" w:color="auto" w:sz="4" w:space="0"/>
              <w:left w:val="single" w:color="auto" w:sz="4" w:space="0"/>
              <w:bottom w:val="single" w:color="auto" w:sz="4" w:space="0"/>
              <w:right w:val="single" w:color="auto" w:sz="4" w:space="0"/>
            </w:tcBorders>
            <w:vAlign w:val="center"/>
          </w:tcPr>
          <w:p w14:paraId="48678B2F">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承包人必须承担一般违约责任一次，并立即采取切实有效措施予以整改；拒不采取切实有效的措施整改的，或整改效果不明显的，发包人将加重处罚力度，并要求承包人赔偿由此造成的损失。</w:t>
            </w:r>
          </w:p>
        </w:tc>
        <w:tc>
          <w:tcPr>
            <w:tcW w:w="1429" w:type="dxa"/>
            <w:tcBorders>
              <w:top w:val="single" w:color="auto" w:sz="4" w:space="0"/>
              <w:left w:val="single" w:color="auto" w:sz="4" w:space="0"/>
              <w:bottom w:val="single" w:color="auto" w:sz="4" w:space="0"/>
              <w:right w:val="single" w:color="auto" w:sz="4" w:space="0"/>
            </w:tcBorders>
          </w:tcPr>
          <w:p w14:paraId="39B796A3">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573A0E0C">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3496828E">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2014D997">
            <w:pPr>
              <w:widowControl/>
              <w:jc w:val="left"/>
              <w:rPr>
                <w:rFonts w:ascii="宋体" w:hAnsi="宋体" w:cs="宋体"/>
                <w:color w:val="auto"/>
                <w:kern w:val="0"/>
                <w:sz w:val="20"/>
                <w:highlight w:val="none"/>
              </w:rPr>
            </w:pPr>
          </w:p>
        </w:tc>
      </w:tr>
      <w:tr w14:paraId="561B1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4BB5C6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6.22.7</w:t>
            </w:r>
          </w:p>
        </w:tc>
        <w:tc>
          <w:tcPr>
            <w:tcW w:w="2161" w:type="dxa"/>
            <w:tcBorders>
              <w:top w:val="single" w:color="auto" w:sz="4" w:space="0"/>
              <w:left w:val="single" w:color="auto" w:sz="4" w:space="0"/>
              <w:bottom w:val="single" w:color="auto" w:sz="4" w:space="0"/>
              <w:right w:val="single" w:color="auto" w:sz="4" w:space="0"/>
            </w:tcBorders>
            <w:vAlign w:val="center"/>
          </w:tcPr>
          <w:p w14:paraId="19172EE7">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承包人在施工过程中因其自身原因造成周围环境卫生状况较差，被周围居民投诉的</w:t>
            </w:r>
          </w:p>
        </w:tc>
        <w:tc>
          <w:tcPr>
            <w:tcW w:w="5743" w:type="dxa"/>
            <w:tcBorders>
              <w:top w:val="single" w:color="auto" w:sz="4" w:space="0"/>
              <w:left w:val="single" w:color="auto" w:sz="4" w:space="0"/>
              <w:bottom w:val="single" w:color="auto" w:sz="4" w:space="0"/>
              <w:right w:val="single" w:color="auto" w:sz="4" w:space="0"/>
            </w:tcBorders>
            <w:vAlign w:val="center"/>
          </w:tcPr>
          <w:p w14:paraId="1990BB7E">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必须在当天内整改。若故意拖延或同一问题累计被投诉2次，或累计被投诉3次，经查实确为承包人原因造成的周围环境卫生问题，承包人应承担一般违约责任1次。以后每增加一次投诉经查实的，承包人应承担一次一般违约责任。</w:t>
            </w:r>
          </w:p>
        </w:tc>
        <w:tc>
          <w:tcPr>
            <w:tcW w:w="1429" w:type="dxa"/>
            <w:tcBorders>
              <w:top w:val="single" w:color="auto" w:sz="4" w:space="0"/>
              <w:left w:val="single" w:color="auto" w:sz="4" w:space="0"/>
              <w:bottom w:val="single" w:color="auto" w:sz="4" w:space="0"/>
              <w:right w:val="single" w:color="auto" w:sz="4" w:space="0"/>
            </w:tcBorders>
          </w:tcPr>
          <w:p w14:paraId="2B5B3FE1">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5F46888E">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68E87B56">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1119776D">
            <w:pPr>
              <w:widowControl/>
              <w:jc w:val="left"/>
              <w:rPr>
                <w:rFonts w:ascii="宋体" w:hAnsi="宋体" w:cs="宋体"/>
                <w:color w:val="auto"/>
                <w:kern w:val="0"/>
                <w:sz w:val="20"/>
                <w:highlight w:val="none"/>
              </w:rPr>
            </w:pPr>
          </w:p>
        </w:tc>
      </w:tr>
      <w:tr w14:paraId="5A6C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1C2A929F">
            <w:pPr>
              <w:widowControl/>
              <w:jc w:val="center"/>
              <w:rPr>
                <w:rFonts w:ascii="宋体" w:hAnsi="宋体" w:cs="宋体"/>
                <w:b/>
                <w:color w:val="auto"/>
                <w:kern w:val="0"/>
                <w:sz w:val="20"/>
                <w:highlight w:val="none"/>
              </w:rPr>
            </w:pPr>
            <w:r>
              <w:rPr>
                <w:rFonts w:hint="eastAsia" w:ascii="宋体" w:hAnsi="宋体" w:cs="宋体"/>
                <w:b/>
                <w:color w:val="auto"/>
                <w:kern w:val="0"/>
                <w:sz w:val="20"/>
                <w:highlight w:val="none"/>
              </w:rPr>
              <w:t>7</w:t>
            </w:r>
          </w:p>
        </w:tc>
        <w:tc>
          <w:tcPr>
            <w:tcW w:w="2161" w:type="dxa"/>
            <w:tcBorders>
              <w:top w:val="single" w:color="auto" w:sz="4" w:space="0"/>
              <w:left w:val="single" w:color="auto" w:sz="4" w:space="0"/>
              <w:bottom w:val="single" w:color="auto" w:sz="4" w:space="0"/>
              <w:right w:val="single" w:color="auto" w:sz="4" w:space="0"/>
            </w:tcBorders>
            <w:vAlign w:val="center"/>
          </w:tcPr>
          <w:p w14:paraId="01289296">
            <w:pPr>
              <w:widowControl/>
              <w:jc w:val="left"/>
              <w:rPr>
                <w:rFonts w:ascii="宋体" w:hAnsi="宋体" w:cs="宋体"/>
                <w:b/>
                <w:color w:val="auto"/>
                <w:kern w:val="0"/>
                <w:sz w:val="20"/>
                <w:highlight w:val="none"/>
              </w:rPr>
            </w:pPr>
            <w:r>
              <w:rPr>
                <w:rFonts w:hint="eastAsia" w:ascii="宋体" w:hAnsi="宋体" w:cs="宋体"/>
                <w:b/>
                <w:color w:val="auto"/>
                <w:kern w:val="0"/>
                <w:sz w:val="20"/>
                <w:highlight w:val="none"/>
              </w:rPr>
              <w:t>结算</w:t>
            </w:r>
          </w:p>
        </w:tc>
        <w:tc>
          <w:tcPr>
            <w:tcW w:w="5743" w:type="dxa"/>
            <w:tcBorders>
              <w:top w:val="single" w:color="auto" w:sz="4" w:space="0"/>
              <w:left w:val="single" w:color="auto" w:sz="4" w:space="0"/>
              <w:bottom w:val="single" w:color="auto" w:sz="4" w:space="0"/>
              <w:right w:val="single" w:color="auto" w:sz="4" w:space="0"/>
            </w:tcBorders>
            <w:vAlign w:val="center"/>
          </w:tcPr>
          <w:p w14:paraId="1C9A67F8">
            <w:pPr>
              <w:widowControl/>
              <w:jc w:val="left"/>
              <w:rPr>
                <w:rFonts w:ascii="宋体" w:hAnsi="宋体" w:cs="宋体"/>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14:paraId="00842436">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79D4037B">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0ED5B48A">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296A1BA5">
            <w:pPr>
              <w:widowControl/>
              <w:jc w:val="left"/>
              <w:rPr>
                <w:rFonts w:ascii="宋体" w:hAnsi="宋体" w:cs="宋体"/>
                <w:color w:val="auto"/>
                <w:kern w:val="0"/>
                <w:sz w:val="20"/>
                <w:highlight w:val="none"/>
              </w:rPr>
            </w:pPr>
          </w:p>
        </w:tc>
      </w:tr>
      <w:tr w14:paraId="4BD6A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AB2383D">
            <w:pPr>
              <w:widowControl/>
              <w:jc w:val="center"/>
              <w:rPr>
                <w:rFonts w:ascii="宋体" w:hAnsi="宋体" w:cs="宋体"/>
                <w:color w:val="auto"/>
                <w:kern w:val="0"/>
                <w:sz w:val="20"/>
                <w:highlight w:val="none"/>
              </w:rPr>
            </w:pPr>
          </w:p>
        </w:tc>
        <w:tc>
          <w:tcPr>
            <w:tcW w:w="2161" w:type="dxa"/>
            <w:tcBorders>
              <w:top w:val="single" w:color="auto" w:sz="4" w:space="0"/>
              <w:left w:val="single" w:color="auto" w:sz="4" w:space="0"/>
              <w:bottom w:val="single" w:color="auto" w:sz="4" w:space="0"/>
              <w:right w:val="single" w:color="auto" w:sz="4" w:space="0"/>
            </w:tcBorders>
            <w:vAlign w:val="center"/>
          </w:tcPr>
          <w:p w14:paraId="7ED0FF4F">
            <w:pPr>
              <w:widowControl/>
              <w:jc w:val="left"/>
              <w:rPr>
                <w:rFonts w:ascii="宋体" w:hAnsi="宋体" w:cs="宋体"/>
                <w:b/>
                <w:color w:val="auto"/>
                <w:kern w:val="0"/>
                <w:sz w:val="20"/>
                <w:highlight w:val="none"/>
              </w:rPr>
            </w:pPr>
            <w:r>
              <w:rPr>
                <w:rFonts w:hint="eastAsia" w:ascii="宋体" w:hAnsi="宋体" w:cs="宋体"/>
                <w:b/>
                <w:color w:val="auto"/>
                <w:kern w:val="0"/>
                <w:sz w:val="20"/>
                <w:highlight w:val="none"/>
              </w:rPr>
              <w:t>书面警告及限期改正</w:t>
            </w:r>
          </w:p>
        </w:tc>
        <w:tc>
          <w:tcPr>
            <w:tcW w:w="5743" w:type="dxa"/>
            <w:tcBorders>
              <w:top w:val="single" w:color="auto" w:sz="4" w:space="0"/>
              <w:left w:val="single" w:color="auto" w:sz="4" w:space="0"/>
              <w:bottom w:val="single" w:color="auto" w:sz="4" w:space="0"/>
              <w:right w:val="single" w:color="auto" w:sz="4" w:space="0"/>
            </w:tcBorders>
            <w:vAlign w:val="center"/>
          </w:tcPr>
          <w:p w14:paraId="31A799D7">
            <w:pPr>
              <w:widowControl/>
              <w:jc w:val="left"/>
              <w:rPr>
                <w:rFonts w:ascii="宋体" w:hAnsi="宋体" w:cs="宋体"/>
                <w:color w:val="auto"/>
                <w:kern w:val="0"/>
                <w:sz w:val="20"/>
                <w:highlight w:val="none"/>
              </w:rPr>
            </w:pPr>
          </w:p>
        </w:tc>
        <w:tc>
          <w:tcPr>
            <w:tcW w:w="1429" w:type="dxa"/>
            <w:tcBorders>
              <w:top w:val="single" w:color="auto" w:sz="4" w:space="0"/>
              <w:left w:val="single" w:color="auto" w:sz="4" w:space="0"/>
              <w:bottom w:val="single" w:color="auto" w:sz="4" w:space="0"/>
              <w:right w:val="single" w:color="auto" w:sz="4" w:space="0"/>
            </w:tcBorders>
          </w:tcPr>
          <w:p w14:paraId="3B8CFC15">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496866E5">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5E04F697">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4C89BBAB">
            <w:pPr>
              <w:widowControl/>
              <w:jc w:val="left"/>
              <w:rPr>
                <w:rFonts w:ascii="宋体" w:hAnsi="宋体" w:cs="宋体"/>
                <w:color w:val="auto"/>
                <w:kern w:val="0"/>
                <w:sz w:val="20"/>
                <w:highlight w:val="none"/>
              </w:rPr>
            </w:pPr>
          </w:p>
        </w:tc>
      </w:tr>
      <w:tr w14:paraId="2DA66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66874F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7.1</w:t>
            </w:r>
          </w:p>
        </w:tc>
        <w:tc>
          <w:tcPr>
            <w:tcW w:w="2161" w:type="dxa"/>
            <w:tcBorders>
              <w:top w:val="single" w:color="auto" w:sz="4" w:space="0"/>
              <w:left w:val="single" w:color="auto" w:sz="4" w:space="0"/>
              <w:bottom w:val="single" w:color="auto" w:sz="4" w:space="0"/>
              <w:right w:val="single" w:color="auto" w:sz="4" w:space="0"/>
            </w:tcBorders>
            <w:vAlign w:val="center"/>
          </w:tcPr>
          <w:p w14:paraId="6E959813">
            <w:pPr>
              <w:widowControl/>
              <w:jc w:val="left"/>
              <w:rPr>
                <w:rFonts w:ascii="宋体" w:hAnsi="宋体" w:cs="宋体"/>
                <w:color w:val="auto"/>
                <w:kern w:val="0"/>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24354761">
            <w:pPr>
              <w:widowControl/>
              <w:jc w:val="left"/>
              <w:rPr>
                <w:rFonts w:ascii="宋体" w:hAnsi="宋体" w:cs="宋体"/>
                <w:color w:val="auto"/>
                <w:kern w:val="0"/>
                <w:sz w:val="20"/>
                <w:highlight w:val="none"/>
              </w:rPr>
            </w:pPr>
            <w:r>
              <w:rPr>
                <w:rFonts w:hint="eastAsia" w:ascii="宋体" w:hAnsi="宋体"/>
                <w:color w:val="auto"/>
                <w:sz w:val="20"/>
                <w:highlight w:val="none"/>
              </w:rPr>
              <w:t>承办人向发包人报送完整的竣工结算资料、竣工资料移交后30天内将退还承包人的履约保证金（无息）。若承包人未按合同约定的期限提交结算时，则以5000元/天计罚，最高不超履约保证金（现金部分）的20%，发包人直接从履约保证金中扣除，发包人同意延期的除外。</w:t>
            </w:r>
          </w:p>
        </w:tc>
        <w:tc>
          <w:tcPr>
            <w:tcW w:w="1429" w:type="dxa"/>
            <w:tcBorders>
              <w:top w:val="single" w:color="auto" w:sz="4" w:space="0"/>
              <w:left w:val="single" w:color="auto" w:sz="4" w:space="0"/>
              <w:bottom w:val="single" w:color="auto" w:sz="4" w:space="0"/>
              <w:right w:val="single" w:color="auto" w:sz="4" w:space="0"/>
            </w:tcBorders>
          </w:tcPr>
          <w:p w14:paraId="3C2B00E9">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1EEE5725">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517A35B3">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304C4120">
            <w:pPr>
              <w:widowControl/>
              <w:jc w:val="left"/>
              <w:rPr>
                <w:rFonts w:ascii="宋体" w:hAnsi="宋体" w:cs="宋体"/>
                <w:color w:val="auto"/>
                <w:kern w:val="0"/>
                <w:sz w:val="20"/>
                <w:highlight w:val="none"/>
              </w:rPr>
            </w:pPr>
          </w:p>
        </w:tc>
      </w:tr>
      <w:tr w14:paraId="2A946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15C8F2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7.2</w:t>
            </w:r>
          </w:p>
        </w:tc>
        <w:tc>
          <w:tcPr>
            <w:tcW w:w="2161" w:type="dxa"/>
            <w:tcBorders>
              <w:top w:val="single" w:color="auto" w:sz="4" w:space="0"/>
              <w:left w:val="single" w:color="auto" w:sz="4" w:space="0"/>
              <w:bottom w:val="single" w:color="auto" w:sz="4" w:space="0"/>
              <w:right w:val="single" w:color="auto" w:sz="4" w:space="0"/>
            </w:tcBorders>
            <w:vAlign w:val="center"/>
          </w:tcPr>
          <w:p w14:paraId="4D1310A7">
            <w:pPr>
              <w:widowControl/>
              <w:jc w:val="left"/>
              <w:rPr>
                <w:rFonts w:ascii="宋体" w:hAnsi="宋体" w:cs="宋体"/>
                <w:color w:val="auto"/>
                <w:kern w:val="0"/>
                <w:sz w:val="20"/>
                <w:highlight w:val="none"/>
              </w:rPr>
            </w:pPr>
          </w:p>
        </w:tc>
        <w:tc>
          <w:tcPr>
            <w:tcW w:w="5743" w:type="dxa"/>
            <w:tcBorders>
              <w:top w:val="single" w:color="auto" w:sz="4" w:space="0"/>
              <w:left w:val="single" w:color="auto" w:sz="4" w:space="0"/>
              <w:bottom w:val="single" w:color="auto" w:sz="4" w:space="0"/>
              <w:right w:val="single" w:color="auto" w:sz="4" w:space="0"/>
            </w:tcBorders>
            <w:vAlign w:val="center"/>
          </w:tcPr>
          <w:p w14:paraId="5356FE00">
            <w:pPr>
              <w:spacing w:line="330" w:lineRule="exact"/>
              <w:ind w:firstLine="400" w:firstLineChars="200"/>
              <w:rPr>
                <w:rFonts w:ascii="宋体" w:hAnsi="宋体"/>
                <w:color w:val="auto"/>
                <w:sz w:val="20"/>
                <w:highlight w:val="none"/>
              </w:rPr>
            </w:pPr>
            <w:r>
              <w:rPr>
                <w:rFonts w:hint="eastAsia" w:ascii="宋体" w:hAnsi="宋体"/>
                <w:color w:val="auto"/>
                <w:sz w:val="20"/>
                <w:highlight w:val="none"/>
              </w:rPr>
              <w:t>工程师收到承包人递交的竣工结算报告及符合发包人要求的结算资料后进行核实，提出审核意见后半个月内送交发包人，承包人应在竣工验收完成后二个月内提交工程结算资料，承包人延误提交结算资料，按5000元/天处以罚款。发包人按照广州市财政局关于我市财政性资金投资项目工程预决算审核工作的有关要求进行结算送审，承包人应派专人配合发包人的结算工作，工程结算经市财政部门审核后作为合同结算价款。</w:t>
            </w:r>
          </w:p>
        </w:tc>
        <w:tc>
          <w:tcPr>
            <w:tcW w:w="1429" w:type="dxa"/>
            <w:tcBorders>
              <w:top w:val="single" w:color="auto" w:sz="4" w:space="0"/>
              <w:left w:val="single" w:color="auto" w:sz="4" w:space="0"/>
              <w:bottom w:val="single" w:color="auto" w:sz="4" w:space="0"/>
              <w:right w:val="single" w:color="auto" w:sz="4" w:space="0"/>
            </w:tcBorders>
          </w:tcPr>
          <w:p w14:paraId="18108E7F">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1F331170">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4FF4FB7D">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7E1DE705">
            <w:pPr>
              <w:widowControl/>
              <w:jc w:val="left"/>
              <w:rPr>
                <w:rFonts w:ascii="宋体" w:hAnsi="宋体" w:cs="宋体"/>
                <w:color w:val="auto"/>
                <w:kern w:val="0"/>
                <w:sz w:val="20"/>
                <w:highlight w:val="none"/>
              </w:rPr>
            </w:pPr>
          </w:p>
        </w:tc>
      </w:tr>
      <w:tr w14:paraId="37AA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9FAC467">
            <w:pPr>
              <w:widowControl/>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8</w:t>
            </w:r>
          </w:p>
        </w:tc>
        <w:tc>
          <w:tcPr>
            <w:tcW w:w="2161" w:type="dxa"/>
            <w:tcBorders>
              <w:top w:val="single" w:color="auto" w:sz="4" w:space="0"/>
              <w:left w:val="single" w:color="auto" w:sz="4" w:space="0"/>
              <w:bottom w:val="single" w:color="auto" w:sz="4" w:space="0"/>
              <w:right w:val="single" w:color="auto" w:sz="4" w:space="0"/>
            </w:tcBorders>
            <w:vAlign w:val="center"/>
          </w:tcPr>
          <w:p w14:paraId="1F12058A">
            <w:pPr>
              <w:widowControl/>
              <w:jc w:val="left"/>
              <w:rPr>
                <w:rFonts w:ascii="宋体" w:hAnsi="宋体" w:cs="宋体"/>
                <w:b/>
                <w:bCs/>
                <w:color w:val="auto"/>
                <w:kern w:val="0"/>
                <w:sz w:val="20"/>
                <w:highlight w:val="none"/>
              </w:rPr>
            </w:pPr>
            <w:r>
              <w:rPr>
                <w:rFonts w:hint="eastAsia" w:ascii="宋体" w:hAnsi="宋体" w:cs="宋体"/>
                <w:b/>
                <w:bCs/>
                <w:color w:val="auto"/>
                <w:kern w:val="0"/>
                <w:sz w:val="20"/>
                <w:highlight w:val="none"/>
              </w:rPr>
              <w:t>备注</w:t>
            </w:r>
          </w:p>
        </w:tc>
        <w:tc>
          <w:tcPr>
            <w:tcW w:w="5743" w:type="dxa"/>
            <w:tcBorders>
              <w:top w:val="single" w:color="auto" w:sz="4" w:space="0"/>
              <w:left w:val="single" w:color="auto" w:sz="4" w:space="0"/>
              <w:bottom w:val="single" w:color="auto" w:sz="4" w:space="0"/>
              <w:right w:val="single" w:color="auto" w:sz="4" w:space="0"/>
            </w:tcBorders>
            <w:vAlign w:val="center"/>
          </w:tcPr>
          <w:p w14:paraId="7C86D6A5">
            <w:pPr>
              <w:widowControl/>
              <w:jc w:val="left"/>
              <w:rPr>
                <w:rFonts w:ascii="宋体" w:hAnsi="宋体" w:cs="宋体"/>
                <w:b/>
                <w:bCs/>
                <w:color w:val="auto"/>
                <w:kern w:val="0"/>
                <w:sz w:val="20"/>
                <w:highlight w:val="none"/>
              </w:rPr>
            </w:pPr>
            <w:r>
              <w:rPr>
                <w:rFonts w:hint="eastAsia" w:ascii="宋体" w:hAnsi="宋体" w:cs="宋体"/>
                <w:b/>
                <w:bCs/>
                <w:color w:val="auto"/>
                <w:kern w:val="0"/>
                <w:sz w:val="20"/>
                <w:highlight w:val="none"/>
              </w:rPr>
              <w:t>上述条款中如列出违约金额的，按违约金额处罚。如只列出责任的按备注条款处罚。如同时列出违约金额和责任的，需按违约金额和备注条款一并处罚。</w:t>
            </w:r>
          </w:p>
        </w:tc>
        <w:tc>
          <w:tcPr>
            <w:tcW w:w="1429" w:type="dxa"/>
            <w:tcBorders>
              <w:top w:val="single" w:color="auto" w:sz="4" w:space="0"/>
              <w:left w:val="single" w:color="auto" w:sz="4" w:space="0"/>
              <w:bottom w:val="single" w:color="auto" w:sz="4" w:space="0"/>
              <w:right w:val="single" w:color="auto" w:sz="4" w:space="0"/>
            </w:tcBorders>
          </w:tcPr>
          <w:p w14:paraId="08FF6E50">
            <w:pPr>
              <w:widowControl/>
              <w:jc w:val="left"/>
              <w:rPr>
                <w:rFonts w:ascii="宋体" w:hAnsi="宋体" w:cs="宋体"/>
                <w:b/>
                <w:bCs/>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76859F68">
            <w:pPr>
              <w:widowControl/>
              <w:jc w:val="left"/>
              <w:rPr>
                <w:rFonts w:ascii="宋体" w:hAnsi="宋体" w:cs="宋体"/>
                <w:b/>
                <w:bCs/>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082164A9">
            <w:pPr>
              <w:widowControl/>
              <w:jc w:val="left"/>
              <w:rPr>
                <w:rFonts w:ascii="宋体" w:hAnsi="宋体" w:cs="宋体"/>
                <w:b/>
                <w:bCs/>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375DE7DE">
            <w:pPr>
              <w:widowControl/>
              <w:jc w:val="left"/>
              <w:rPr>
                <w:rFonts w:ascii="宋体" w:hAnsi="宋体" w:cs="宋体"/>
                <w:b/>
                <w:bCs/>
                <w:color w:val="auto"/>
                <w:kern w:val="0"/>
                <w:sz w:val="20"/>
                <w:highlight w:val="none"/>
              </w:rPr>
            </w:pPr>
          </w:p>
        </w:tc>
      </w:tr>
      <w:tr w14:paraId="5D6F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4C11C3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8.1</w:t>
            </w:r>
          </w:p>
        </w:tc>
        <w:tc>
          <w:tcPr>
            <w:tcW w:w="2161" w:type="dxa"/>
            <w:tcBorders>
              <w:top w:val="single" w:color="auto" w:sz="4" w:space="0"/>
              <w:left w:val="single" w:color="auto" w:sz="4" w:space="0"/>
              <w:bottom w:val="single" w:color="auto" w:sz="4" w:space="0"/>
              <w:right w:val="single" w:color="auto" w:sz="4" w:space="0"/>
            </w:tcBorders>
            <w:vAlign w:val="center"/>
          </w:tcPr>
          <w:p w14:paraId="416DAF1B">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书面警告</w:t>
            </w:r>
          </w:p>
        </w:tc>
        <w:tc>
          <w:tcPr>
            <w:tcW w:w="5743" w:type="dxa"/>
            <w:tcBorders>
              <w:top w:val="single" w:color="auto" w:sz="4" w:space="0"/>
              <w:left w:val="single" w:color="auto" w:sz="4" w:space="0"/>
              <w:bottom w:val="single" w:color="auto" w:sz="4" w:space="0"/>
              <w:right w:val="single" w:color="auto" w:sz="4" w:space="0"/>
            </w:tcBorders>
            <w:vAlign w:val="center"/>
          </w:tcPr>
          <w:p w14:paraId="0F58570F">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承包人未履行、未按时履行或未按质履行义务时，监理工程师或发包人有权向承包人发出书面警告。</w:t>
            </w:r>
          </w:p>
        </w:tc>
        <w:tc>
          <w:tcPr>
            <w:tcW w:w="1429" w:type="dxa"/>
            <w:tcBorders>
              <w:top w:val="single" w:color="auto" w:sz="4" w:space="0"/>
              <w:left w:val="single" w:color="auto" w:sz="4" w:space="0"/>
              <w:bottom w:val="single" w:color="auto" w:sz="4" w:space="0"/>
              <w:right w:val="single" w:color="auto" w:sz="4" w:space="0"/>
            </w:tcBorders>
          </w:tcPr>
          <w:p w14:paraId="2AC5F2AC">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46349D07">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2E0557BC">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6DC5F17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并且承包人应当交纳违约金1万元给发包人。</w:t>
            </w:r>
          </w:p>
        </w:tc>
      </w:tr>
      <w:tr w14:paraId="71355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9811DA4">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8.2</w:t>
            </w:r>
          </w:p>
        </w:tc>
        <w:tc>
          <w:tcPr>
            <w:tcW w:w="2161" w:type="dxa"/>
            <w:tcBorders>
              <w:top w:val="single" w:color="auto" w:sz="4" w:space="0"/>
              <w:left w:val="single" w:color="auto" w:sz="4" w:space="0"/>
              <w:bottom w:val="single" w:color="auto" w:sz="4" w:space="0"/>
              <w:right w:val="single" w:color="auto" w:sz="4" w:space="0"/>
            </w:tcBorders>
            <w:vAlign w:val="center"/>
          </w:tcPr>
          <w:p w14:paraId="0FF42EAC">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限期改正</w:t>
            </w:r>
          </w:p>
        </w:tc>
        <w:tc>
          <w:tcPr>
            <w:tcW w:w="5743" w:type="dxa"/>
            <w:tcBorders>
              <w:top w:val="single" w:color="auto" w:sz="4" w:space="0"/>
              <w:left w:val="single" w:color="auto" w:sz="4" w:space="0"/>
              <w:bottom w:val="single" w:color="auto" w:sz="4" w:space="0"/>
              <w:right w:val="single" w:color="auto" w:sz="4" w:space="0"/>
            </w:tcBorders>
            <w:vAlign w:val="center"/>
          </w:tcPr>
          <w:p w14:paraId="45EB03BD">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受到书面警告后仍不改正，监理工程师或发包人有权向承包人发出《违约责任通知书》，要求承包人必须在监理工程师或发包人限定的时间内履行义务，同时，承包人应当向发包人交纳相对应等级的违约金。</w:t>
            </w:r>
          </w:p>
        </w:tc>
        <w:tc>
          <w:tcPr>
            <w:tcW w:w="1429" w:type="dxa"/>
            <w:tcBorders>
              <w:top w:val="single" w:color="auto" w:sz="4" w:space="0"/>
              <w:left w:val="single" w:color="auto" w:sz="4" w:space="0"/>
              <w:bottom w:val="single" w:color="auto" w:sz="4" w:space="0"/>
              <w:right w:val="single" w:color="auto" w:sz="4" w:space="0"/>
            </w:tcBorders>
          </w:tcPr>
          <w:p w14:paraId="208B896B">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1万元</w:t>
            </w:r>
          </w:p>
        </w:tc>
        <w:tc>
          <w:tcPr>
            <w:tcW w:w="1941" w:type="dxa"/>
            <w:tcBorders>
              <w:top w:val="single" w:color="auto" w:sz="4" w:space="0"/>
              <w:left w:val="single" w:color="auto" w:sz="4" w:space="0"/>
              <w:bottom w:val="single" w:color="auto" w:sz="4" w:space="0"/>
              <w:right w:val="single" w:color="auto" w:sz="4" w:space="0"/>
            </w:tcBorders>
          </w:tcPr>
          <w:p w14:paraId="6DC30E13">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1万元</w:t>
            </w:r>
          </w:p>
        </w:tc>
        <w:tc>
          <w:tcPr>
            <w:tcW w:w="1781" w:type="dxa"/>
            <w:tcBorders>
              <w:top w:val="single" w:color="auto" w:sz="4" w:space="0"/>
              <w:left w:val="single" w:color="auto" w:sz="4" w:space="0"/>
              <w:bottom w:val="single" w:color="auto" w:sz="4" w:space="0"/>
              <w:right w:val="single" w:color="auto" w:sz="4" w:space="0"/>
            </w:tcBorders>
          </w:tcPr>
          <w:p w14:paraId="03CF237A">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1万元</w:t>
            </w:r>
          </w:p>
        </w:tc>
        <w:tc>
          <w:tcPr>
            <w:tcW w:w="1480" w:type="dxa"/>
            <w:tcBorders>
              <w:top w:val="single" w:color="auto" w:sz="4" w:space="0"/>
              <w:left w:val="single" w:color="auto" w:sz="4" w:space="0"/>
              <w:bottom w:val="single" w:color="auto" w:sz="4" w:space="0"/>
              <w:right w:val="single" w:color="auto" w:sz="4" w:space="0"/>
            </w:tcBorders>
          </w:tcPr>
          <w:p w14:paraId="624A80FD">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2万元</w:t>
            </w:r>
          </w:p>
        </w:tc>
      </w:tr>
      <w:tr w14:paraId="7BA06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32D5654">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8.3</w:t>
            </w:r>
          </w:p>
        </w:tc>
        <w:tc>
          <w:tcPr>
            <w:tcW w:w="2161" w:type="dxa"/>
            <w:tcBorders>
              <w:top w:val="single" w:color="auto" w:sz="4" w:space="0"/>
              <w:left w:val="single" w:color="auto" w:sz="4" w:space="0"/>
              <w:bottom w:val="single" w:color="auto" w:sz="4" w:space="0"/>
              <w:right w:val="single" w:color="auto" w:sz="4" w:space="0"/>
            </w:tcBorders>
            <w:vAlign w:val="center"/>
          </w:tcPr>
          <w:p w14:paraId="45A0F26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一般违约责任</w:t>
            </w:r>
          </w:p>
        </w:tc>
        <w:tc>
          <w:tcPr>
            <w:tcW w:w="5743" w:type="dxa"/>
            <w:tcBorders>
              <w:top w:val="single" w:color="auto" w:sz="4" w:space="0"/>
              <w:left w:val="single" w:color="auto" w:sz="4" w:space="0"/>
              <w:bottom w:val="single" w:color="auto" w:sz="4" w:space="0"/>
              <w:right w:val="single" w:color="auto" w:sz="4" w:space="0"/>
            </w:tcBorders>
            <w:vAlign w:val="center"/>
          </w:tcPr>
          <w:p w14:paraId="68AEC4C3">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承包人违反本合同的约定须承担一般违约责任时，必须向发包人交纳相对应等级的违约金①；若承包人再犯同一的违约行为，第2次缴纳②，2次以上（不含本数）缴纳③。</w:t>
            </w:r>
          </w:p>
        </w:tc>
        <w:tc>
          <w:tcPr>
            <w:tcW w:w="1429" w:type="dxa"/>
            <w:tcBorders>
              <w:top w:val="single" w:color="auto" w:sz="4" w:space="0"/>
              <w:left w:val="single" w:color="auto" w:sz="4" w:space="0"/>
              <w:bottom w:val="single" w:color="auto" w:sz="4" w:space="0"/>
              <w:right w:val="single" w:color="auto" w:sz="4" w:space="0"/>
            </w:tcBorders>
          </w:tcPr>
          <w:p w14:paraId="3C3DB30C">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①1000元/次；       ②3000元/次；       ③4000元/次。</w:t>
            </w:r>
          </w:p>
        </w:tc>
        <w:tc>
          <w:tcPr>
            <w:tcW w:w="1941" w:type="dxa"/>
            <w:tcBorders>
              <w:top w:val="single" w:color="auto" w:sz="4" w:space="0"/>
              <w:left w:val="single" w:color="auto" w:sz="4" w:space="0"/>
              <w:bottom w:val="single" w:color="auto" w:sz="4" w:space="0"/>
              <w:right w:val="single" w:color="auto" w:sz="4" w:space="0"/>
            </w:tcBorders>
          </w:tcPr>
          <w:p w14:paraId="379A2C33">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①2000元/次；       ②4000元/次；       ③6000元/次。</w:t>
            </w:r>
          </w:p>
        </w:tc>
        <w:tc>
          <w:tcPr>
            <w:tcW w:w="1781" w:type="dxa"/>
            <w:tcBorders>
              <w:top w:val="single" w:color="auto" w:sz="4" w:space="0"/>
              <w:left w:val="single" w:color="auto" w:sz="4" w:space="0"/>
              <w:bottom w:val="single" w:color="auto" w:sz="4" w:space="0"/>
              <w:right w:val="single" w:color="auto" w:sz="4" w:space="0"/>
            </w:tcBorders>
          </w:tcPr>
          <w:p w14:paraId="062D7FAE">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①5000元/次；       ②1万元/次；       ③2万元/次。</w:t>
            </w:r>
          </w:p>
        </w:tc>
        <w:tc>
          <w:tcPr>
            <w:tcW w:w="1480" w:type="dxa"/>
            <w:tcBorders>
              <w:top w:val="single" w:color="auto" w:sz="4" w:space="0"/>
              <w:left w:val="single" w:color="auto" w:sz="4" w:space="0"/>
              <w:bottom w:val="single" w:color="auto" w:sz="4" w:space="0"/>
              <w:right w:val="single" w:color="auto" w:sz="4" w:space="0"/>
            </w:tcBorders>
          </w:tcPr>
          <w:p w14:paraId="63D677F9">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①1万元/次；        ②2万元/次；       ③4万元/次。</w:t>
            </w:r>
          </w:p>
        </w:tc>
      </w:tr>
      <w:tr w14:paraId="27711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7D8AF37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8.4</w:t>
            </w:r>
          </w:p>
        </w:tc>
        <w:tc>
          <w:tcPr>
            <w:tcW w:w="2161" w:type="dxa"/>
            <w:tcBorders>
              <w:top w:val="single" w:color="auto" w:sz="4" w:space="0"/>
              <w:left w:val="single" w:color="auto" w:sz="4" w:space="0"/>
              <w:bottom w:val="single" w:color="auto" w:sz="4" w:space="0"/>
              <w:right w:val="single" w:color="auto" w:sz="4" w:space="0"/>
            </w:tcBorders>
            <w:vAlign w:val="center"/>
          </w:tcPr>
          <w:p w14:paraId="3FFD1757">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严重违约责任</w:t>
            </w:r>
          </w:p>
        </w:tc>
        <w:tc>
          <w:tcPr>
            <w:tcW w:w="5743" w:type="dxa"/>
            <w:tcBorders>
              <w:top w:val="single" w:color="auto" w:sz="4" w:space="0"/>
              <w:left w:val="single" w:color="auto" w:sz="4" w:space="0"/>
              <w:bottom w:val="single" w:color="auto" w:sz="4" w:space="0"/>
              <w:right w:val="single" w:color="auto" w:sz="4" w:space="0"/>
            </w:tcBorders>
            <w:vAlign w:val="center"/>
          </w:tcPr>
          <w:p w14:paraId="3B771B36">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承包人违反本合同的约定须承担严重违约责任时，必须向发包人交纳相对应等级的违约金。</w:t>
            </w:r>
          </w:p>
        </w:tc>
        <w:tc>
          <w:tcPr>
            <w:tcW w:w="1429" w:type="dxa"/>
            <w:tcBorders>
              <w:top w:val="single" w:color="auto" w:sz="4" w:space="0"/>
              <w:left w:val="single" w:color="auto" w:sz="4" w:space="0"/>
              <w:bottom w:val="single" w:color="auto" w:sz="4" w:space="0"/>
              <w:right w:val="single" w:color="auto" w:sz="4" w:space="0"/>
            </w:tcBorders>
          </w:tcPr>
          <w:p w14:paraId="7A7802FA">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4000/次</w:t>
            </w:r>
          </w:p>
        </w:tc>
        <w:tc>
          <w:tcPr>
            <w:tcW w:w="1941" w:type="dxa"/>
            <w:tcBorders>
              <w:top w:val="single" w:color="auto" w:sz="4" w:space="0"/>
              <w:left w:val="single" w:color="auto" w:sz="4" w:space="0"/>
              <w:bottom w:val="single" w:color="auto" w:sz="4" w:space="0"/>
              <w:right w:val="single" w:color="auto" w:sz="4" w:space="0"/>
            </w:tcBorders>
          </w:tcPr>
          <w:p w14:paraId="4573DD48">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6000元/次</w:t>
            </w:r>
          </w:p>
        </w:tc>
        <w:tc>
          <w:tcPr>
            <w:tcW w:w="1781" w:type="dxa"/>
            <w:tcBorders>
              <w:top w:val="single" w:color="auto" w:sz="4" w:space="0"/>
              <w:left w:val="single" w:color="auto" w:sz="4" w:space="0"/>
              <w:bottom w:val="single" w:color="auto" w:sz="4" w:space="0"/>
              <w:right w:val="single" w:color="auto" w:sz="4" w:space="0"/>
            </w:tcBorders>
          </w:tcPr>
          <w:p w14:paraId="35236F95">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2万元/次</w:t>
            </w:r>
          </w:p>
        </w:tc>
        <w:tc>
          <w:tcPr>
            <w:tcW w:w="1480" w:type="dxa"/>
            <w:tcBorders>
              <w:top w:val="single" w:color="auto" w:sz="4" w:space="0"/>
              <w:left w:val="single" w:color="auto" w:sz="4" w:space="0"/>
              <w:bottom w:val="single" w:color="auto" w:sz="4" w:space="0"/>
              <w:right w:val="single" w:color="auto" w:sz="4" w:space="0"/>
            </w:tcBorders>
          </w:tcPr>
          <w:p w14:paraId="74B373D9">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4万元/次</w:t>
            </w:r>
          </w:p>
        </w:tc>
      </w:tr>
      <w:tr w14:paraId="78DCA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05DF813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8.5</w:t>
            </w:r>
          </w:p>
        </w:tc>
        <w:tc>
          <w:tcPr>
            <w:tcW w:w="2161" w:type="dxa"/>
            <w:tcBorders>
              <w:top w:val="single" w:color="auto" w:sz="4" w:space="0"/>
              <w:left w:val="single" w:color="auto" w:sz="4" w:space="0"/>
              <w:bottom w:val="single" w:color="auto" w:sz="4" w:space="0"/>
              <w:right w:val="single" w:color="auto" w:sz="4" w:space="0"/>
            </w:tcBorders>
            <w:vAlign w:val="center"/>
          </w:tcPr>
          <w:p w14:paraId="0B194B7D">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赔偿损失</w:t>
            </w:r>
          </w:p>
        </w:tc>
        <w:tc>
          <w:tcPr>
            <w:tcW w:w="5743" w:type="dxa"/>
            <w:tcBorders>
              <w:top w:val="single" w:color="auto" w:sz="4" w:space="0"/>
              <w:left w:val="single" w:color="auto" w:sz="4" w:space="0"/>
              <w:bottom w:val="single" w:color="auto" w:sz="4" w:space="0"/>
              <w:right w:val="single" w:color="auto" w:sz="4" w:space="0"/>
            </w:tcBorders>
            <w:vAlign w:val="center"/>
          </w:tcPr>
          <w:p w14:paraId="74E25445">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因承包人违约造成发包人经济损失的，承包人在按照前述标准承担违约责任的同时，还应赔偿发包人因此造成的全部损失。</w:t>
            </w:r>
          </w:p>
        </w:tc>
        <w:tc>
          <w:tcPr>
            <w:tcW w:w="1429" w:type="dxa"/>
            <w:tcBorders>
              <w:top w:val="single" w:color="auto" w:sz="4" w:space="0"/>
              <w:left w:val="single" w:color="auto" w:sz="4" w:space="0"/>
              <w:bottom w:val="single" w:color="auto" w:sz="4" w:space="0"/>
              <w:right w:val="single" w:color="auto" w:sz="4" w:space="0"/>
            </w:tcBorders>
          </w:tcPr>
          <w:p w14:paraId="06FE4F35">
            <w:pPr>
              <w:widowControl/>
              <w:jc w:val="left"/>
              <w:rPr>
                <w:rFonts w:ascii="宋体" w:hAnsi="宋体" w:cs="宋体"/>
                <w:color w:val="auto"/>
                <w:kern w:val="0"/>
                <w:sz w:val="20"/>
                <w:highlight w:val="none"/>
              </w:rPr>
            </w:pPr>
          </w:p>
        </w:tc>
        <w:tc>
          <w:tcPr>
            <w:tcW w:w="1941" w:type="dxa"/>
            <w:tcBorders>
              <w:top w:val="single" w:color="auto" w:sz="4" w:space="0"/>
              <w:left w:val="single" w:color="auto" w:sz="4" w:space="0"/>
              <w:bottom w:val="single" w:color="auto" w:sz="4" w:space="0"/>
              <w:right w:val="single" w:color="auto" w:sz="4" w:space="0"/>
            </w:tcBorders>
          </w:tcPr>
          <w:p w14:paraId="7CA616B5">
            <w:pPr>
              <w:widowControl/>
              <w:jc w:val="left"/>
              <w:rPr>
                <w:rFonts w:ascii="宋体" w:hAnsi="宋体" w:cs="宋体"/>
                <w:color w:val="auto"/>
                <w:kern w:val="0"/>
                <w:sz w:val="20"/>
                <w:highlight w:val="none"/>
              </w:rPr>
            </w:pPr>
          </w:p>
        </w:tc>
        <w:tc>
          <w:tcPr>
            <w:tcW w:w="1781" w:type="dxa"/>
            <w:tcBorders>
              <w:top w:val="single" w:color="auto" w:sz="4" w:space="0"/>
              <w:left w:val="single" w:color="auto" w:sz="4" w:space="0"/>
              <w:bottom w:val="single" w:color="auto" w:sz="4" w:space="0"/>
              <w:right w:val="single" w:color="auto" w:sz="4" w:space="0"/>
            </w:tcBorders>
          </w:tcPr>
          <w:p w14:paraId="5D901864">
            <w:pPr>
              <w:widowControl/>
              <w:jc w:val="left"/>
              <w:rPr>
                <w:rFonts w:ascii="宋体" w:hAnsi="宋体" w:cs="宋体"/>
                <w:color w:val="auto"/>
                <w:kern w:val="0"/>
                <w:sz w:val="20"/>
                <w:highlight w:val="none"/>
              </w:rPr>
            </w:pPr>
          </w:p>
        </w:tc>
        <w:tc>
          <w:tcPr>
            <w:tcW w:w="1480" w:type="dxa"/>
            <w:tcBorders>
              <w:top w:val="single" w:color="auto" w:sz="4" w:space="0"/>
              <w:left w:val="single" w:color="auto" w:sz="4" w:space="0"/>
              <w:bottom w:val="single" w:color="auto" w:sz="4" w:space="0"/>
              <w:right w:val="single" w:color="auto" w:sz="4" w:space="0"/>
            </w:tcBorders>
          </w:tcPr>
          <w:p w14:paraId="1F5C7AB7">
            <w:pPr>
              <w:widowControl/>
              <w:jc w:val="left"/>
              <w:rPr>
                <w:rFonts w:ascii="宋体" w:hAnsi="宋体" w:cs="宋体"/>
                <w:color w:val="auto"/>
                <w:kern w:val="0"/>
                <w:sz w:val="20"/>
                <w:highlight w:val="none"/>
              </w:rPr>
            </w:pPr>
          </w:p>
        </w:tc>
      </w:tr>
    </w:tbl>
    <w:p w14:paraId="5EC3C9FE">
      <w:pPr>
        <w:tabs>
          <w:tab w:val="left" w:pos="1583"/>
        </w:tabs>
        <w:jc w:val="center"/>
        <w:rPr>
          <w:rFonts w:ascii="宋体" w:hAnsi="宋体" w:eastAsia="宋体" w:cs="宋体"/>
          <w:b/>
          <w:bCs/>
          <w:color w:val="auto"/>
          <w:sz w:val="28"/>
          <w:szCs w:val="28"/>
          <w:highlight w:val="none"/>
        </w:rPr>
      </w:pPr>
    </w:p>
    <w:p w14:paraId="4FCBFA9C">
      <w:pPr>
        <w:spacing w:line="288" w:lineRule="auto"/>
        <w:rPr>
          <w:rFonts w:ascii="仿宋" w:hAnsi="仿宋" w:eastAsia="仿宋" w:cs="仿宋"/>
          <w:b/>
          <w:bCs/>
          <w:color w:val="auto"/>
          <w:spacing w:val="32"/>
          <w:sz w:val="36"/>
          <w:szCs w:val="36"/>
          <w:highlight w:val="none"/>
        </w:rPr>
      </w:pPr>
    </w:p>
    <w:p w14:paraId="5A7A626C">
      <w:pPr>
        <w:ind w:left="210" w:leftChars="100"/>
        <w:rPr>
          <w:rFonts w:ascii="仿宋_GB2312" w:hAnsi="仿宋_GB2312" w:eastAsia="仿宋_GB2312" w:cs="仿宋_GB2312"/>
          <w:color w:val="auto"/>
          <w:sz w:val="24"/>
          <w:highlight w:val="none"/>
        </w:rPr>
      </w:pPr>
    </w:p>
    <w:p w14:paraId="1FA292E7">
      <w:pPr>
        <w:tabs>
          <w:tab w:val="left" w:pos="1583"/>
        </w:tabs>
        <w:jc w:val="center"/>
        <w:rPr>
          <w:rFonts w:hint="eastAsia" w:ascii="宋体" w:hAnsi="宋体" w:eastAsia="宋体" w:cs="宋体"/>
          <w:b/>
          <w:bCs/>
          <w:color w:val="auto"/>
          <w:sz w:val="28"/>
          <w:szCs w:val="28"/>
          <w:highlight w:val="none"/>
        </w:rPr>
      </w:pPr>
    </w:p>
    <w:p w14:paraId="2BB3FE8E">
      <w:pPr>
        <w:spacing w:line="288" w:lineRule="auto"/>
        <w:rPr>
          <w:rFonts w:hint="eastAsia" w:ascii="仿宋" w:hAnsi="仿宋" w:eastAsia="仿宋" w:cs="仿宋"/>
          <w:b/>
          <w:bCs/>
          <w:color w:val="auto"/>
          <w:spacing w:val="32"/>
          <w:sz w:val="36"/>
          <w:szCs w:val="36"/>
          <w:highlight w:val="none"/>
        </w:rPr>
      </w:pPr>
    </w:p>
    <w:p w14:paraId="05E959CA">
      <w:pPr>
        <w:ind w:left="210" w:leftChars="100"/>
        <w:rPr>
          <w:rFonts w:hint="eastAsia" w:ascii="仿宋_GB2312" w:hAnsi="仿宋_GB2312" w:eastAsia="仿宋_GB2312" w:cs="仿宋_GB2312"/>
          <w:color w:val="auto"/>
          <w:sz w:val="24"/>
          <w:highlight w:val="none"/>
        </w:rPr>
      </w:pPr>
    </w:p>
    <w:sectPr>
      <w:pgSz w:w="16783" w:h="11850" w:orient="landscape"/>
      <w:pgMar w:top="1417" w:right="1020" w:bottom="1417" w:left="1020"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ebkit-standard">
    <w:altName w:val="XcGJSymbol"/>
    <w:panose1 w:val="00000000000000000000"/>
    <w:charset w:val="00"/>
    <w:family w:val="auto"/>
    <w:pitch w:val="default"/>
    <w:sig w:usb0="00000000" w:usb1="00000000" w:usb2="00000000" w:usb3="00000000" w:csb0="00000000" w:csb1="00000000"/>
  </w:font>
  <w:font w:name="XcGJSymbol">
    <w:panose1 w:val="020005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AE3D9">
    <w:pPr>
      <w:pStyle w:val="7"/>
      <w:jc w:val="center"/>
      <w:rPr>
        <w:rFonts w:cs="Times New Roman"/>
      </w:rPr>
    </w:pPr>
    <w:r>
      <w:fldChar w:fldCharType="begin"/>
    </w:r>
    <w:r>
      <w:instrText xml:space="preserve"> PAGE   \* MERGEFORMAT </w:instrText>
    </w:r>
    <w:r>
      <w:fldChar w:fldCharType="separate"/>
    </w:r>
    <w:r>
      <w:rPr>
        <w:lang w:val="zh-CN"/>
      </w:rPr>
      <w:t>74</w:t>
    </w:r>
    <w:r>
      <w:fldChar w:fldCharType="end"/>
    </w:r>
  </w:p>
  <w:p w14:paraId="775436A4">
    <w:pPr>
      <w:pStyle w:val="7"/>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3B7C3"/>
    <w:multiLevelType w:val="singleLevel"/>
    <w:tmpl w:val="9733B7C3"/>
    <w:lvl w:ilvl="0" w:tentative="0">
      <w:start w:val="1"/>
      <w:numFmt w:val="decimal"/>
      <w:suff w:val="nothing"/>
      <w:lvlText w:val="（%1）"/>
      <w:lvlJc w:val="left"/>
    </w:lvl>
  </w:abstractNum>
  <w:abstractNum w:abstractNumId="1">
    <w:nsid w:val="080D5E67"/>
    <w:multiLevelType w:val="singleLevel"/>
    <w:tmpl w:val="080D5E67"/>
    <w:lvl w:ilvl="0" w:tentative="0">
      <w:start w:val="4"/>
      <w:numFmt w:val="chineseCounting"/>
      <w:suff w:val="space"/>
      <w:lvlText w:val="第%1部分"/>
      <w:lvlJc w:val="left"/>
      <w:rPr>
        <w:rFonts w:hint="eastAsia"/>
      </w:rPr>
    </w:lvl>
  </w:abstractNum>
  <w:abstractNum w:abstractNumId="2">
    <w:nsid w:val="2F1911DE"/>
    <w:multiLevelType w:val="multilevel"/>
    <w:tmpl w:val="2F1911DE"/>
    <w:lvl w:ilvl="0" w:tentative="0">
      <w:start w:val="1"/>
      <w:numFmt w:val="decimalEnclosedCircle"/>
      <w:lvlText w:val="%1"/>
      <w:lvlJc w:val="left"/>
      <w:pPr>
        <w:ind w:left="570" w:hanging="360"/>
      </w:pPr>
      <w:rPr>
        <w:rFonts w:hint="default"/>
      </w:rPr>
    </w:lvl>
    <w:lvl w:ilvl="1" w:tentative="0">
      <w:start w:val="1"/>
      <w:numFmt w:val="lowerLetter"/>
      <w:lvlText w:val="%2)"/>
      <w:lvlJc w:val="left"/>
      <w:pPr>
        <w:ind w:left="1090" w:hanging="440"/>
      </w:pPr>
    </w:lvl>
    <w:lvl w:ilvl="2" w:tentative="0">
      <w:start w:val="1"/>
      <w:numFmt w:val="lowerRoman"/>
      <w:lvlText w:val="%3."/>
      <w:lvlJc w:val="right"/>
      <w:pPr>
        <w:ind w:left="1530" w:hanging="440"/>
      </w:pPr>
    </w:lvl>
    <w:lvl w:ilvl="3" w:tentative="0">
      <w:start w:val="1"/>
      <w:numFmt w:val="decimal"/>
      <w:lvlText w:val="%4."/>
      <w:lvlJc w:val="left"/>
      <w:pPr>
        <w:ind w:left="1970" w:hanging="440"/>
      </w:pPr>
    </w:lvl>
    <w:lvl w:ilvl="4" w:tentative="0">
      <w:start w:val="1"/>
      <w:numFmt w:val="lowerLetter"/>
      <w:lvlText w:val="%5)"/>
      <w:lvlJc w:val="left"/>
      <w:pPr>
        <w:ind w:left="2410" w:hanging="440"/>
      </w:pPr>
    </w:lvl>
    <w:lvl w:ilvl="5" w:tentative="0">
      <w:start w:val="1"/>
      <w:numFmt w:val="lowerRoman"/>
      <w:lvlText w:val="%6."/>
      <w:lvlJc w:val="right"/>
      <w:pPr>
        <w:ind w:left="2850" w:hanging="440"/>
      </w:pPr>
    </w:lvl>
    <w:lvl w:ilvl="6" w:tentative="0">
      <w:start w:val="1"/>
      <w:numFmt w:val="decimal"/>
      <w:lvlText w:val="%7."/>
      <w:lvlJc w:val="left"/>
      <w:pPr>
        <w:ind w:left="3290" w:hanging="440"/>
      </w:pPr>
    </w:lvl>
    <w:lvl w:ilvl="7" w:tentative="0">
      <w:start w:val="1"/>
      <w:numFmt w:val="lowerLetter"/>
      <w:lvlText w:val="%8)"/>
      <w:lvlJc w:val="left"/>
      <w:pPr>
        <w:ind w:left="3730" w:hanging="440"/>
      </w:pPr>
    </w:lvl>
    <w:lvl w:ilvl="8" w:tentative="0">
      <w:start w:val="1"/>
      <w:numFmt w:val="lowerRoman"/>
      <w:lvlText w:val="%9."/>
      <w:lvlJc w:val="right"/>
      <w:pPr>
        <w:ind w:left="4170" w:hanging="440"/>
      </w:pPr>
    </w:lvl>
  </w:abstractNum>
  <w:abstractNum w:abstractNumId="3">
    <w:nsid w:val="53045836"/>
    <w:multiLevelType w:val="singleLevel"/>
    <w:tmpl w:val="53045836"/>
    <w:lvl w:ilvl="0" w:tentative="0">
      <w:start w:val="3"/>
      <w:numFmt w:val="decimal"/>
      <w:suff w:val="nothing"/>
      <w:lvlText w:val="（%1）"/>
      <w:lvlJc w:val="left"/>
    </w:lvl>
  </w:abstractNum>
  <w:abstractNum w:abstractNumId="4">
    <w:nsid w:val="6835565E"/>
    <w:multiLevelType w:val="multilevel"/>
    <w:tmpl w:val="6835565E"/>
    <w:lvl w:ilvl="0" w:tentative="0">
      <w:start w:val="1"/>
      <w:numFmt w:val="decimal"/>
      <w:lvlText w:val="%1．"/>
      <w:lvlJc w:val="left"/>
      <w:pPr>
        <w:tabs>
          <w:tab w:val="left" w:pos="840"/>
        </w:tabs>
        <w:ind w:left="840" w:hanging="360"/>
      </w:pPr>
    </w:lvl>
    <w:lvl w:ilvl="1" w:tentative="0">
      <w:start w:val="1"/>
      <w:numFmt w:val="lowerLetter"/>
      <w:lvlText w:val="%2)"/>
      <w:lvlJc w:val="left"/>
      <w:pPr>
        <w:tabs>
          <w:tab w:val="left" w:pos="1320"/>
        </w:tabs>
        <w:ind w:left="1320"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68355674"/>
    <w:multiLevelType w:val="multilevel"/>
    <w:tmpl w:val="68355674"/>
    <w:lvl w:ilvl="0" w:tentative="0">
      <w:start w:val="5"/>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7A3653F4"/>
    <w:multiLevelType w:val="singleLevel"/>
    <w:tmpl w:val="7A3653F4"/>
    <w:lvl w:ilvl="0" w:tentative="0">
      <w:start w:val="2"/>
      <w:numFmt w:val="chineseCounting"/>
      <w:suff w:val="space"/>
      <w:lvlText w:val="第%1部分"/>
      <w:lvlJc w:val="left"/>
      <w:rPr>
        <w:rFonts w:hint="eastAsia"/>
      </w:rPr>
    </w:lvl>
  </w:abstractNum>
  <w:num w:numId="1">
    <w:abstractNumId w:val="6"/>
  </w:num>
  <w:num w:numId="2">
    <w:abstractNumId w:val="2"/>
  </w:num>
  <w:num w:numId="3">
    <w:abstractNumId w:val="3"/>
  </w:num>
  <w:num w:numId="4">
    <w:abstractNumId w:val="0"/>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compat>
    <w:ulTrailSpace/>
    <w:doNotBreakWrappedTables/>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2D779DC"/>
    <w:rsid w:val="5ED26FC3"/>
    <w:rsid w:val="738D5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99"/>
    <w:pPr>
      <w:jc w:val="left"/>
    </w:pPr>
  </w:style>
  <w:style w:type="paragraph" w:styleId="3">
    <w:name w:val="Body Text"/>
    <w:basedOn w:val="1"/>
    <w:next w:val="1"/>
    <w:link w:val="24"/>
    <w:qFormat/>
    <w:uiPriority w:val="0"/>
    <w:pPr>
      <w:spacing w:after="120"/>
    </w:pPr>
  </w:style>
  <w:style w:type="paragraph" w:styleId="4">
    <w:name w:val="Body Text Indent"/>
    <w:basedOn w:val="1"/>
    <w:next w:val="1"/>
    <w:qFormat/>
    <w:uiPriority w:val="99"/>
    <w:pPr>
      <w:ind w:firstLine="630"/>
    </w:pPr>
    <w:rPr>
      <w:rFonts w:ascii="宋体" w:hAnsi="Times New Roman" w:cs="宋体"/>
      <w:sz w:val="32"/>
      <w:szCs w:val="32"/>
    </w:rPr>
  </w:style>
  <w:style w:type="paragraph" w:styleId="5">
    <w:name w:val="Plain Text"/>
    <w:basedOn w:val="1"/>
    <w:next w:val="1"/>
    <w:qFormat/>
    <w:uiPriority w:val="99"/>
    <w:rPr>
      <w:rFonts w:ascii="宋体" w:hAnsi="Courier New" w:cs="宋体"/>
    </w:rPr>
  </w:style>
  <w:style w:type="paragraph" w:styleId="6">
    <w:name w:val="Balloon Text"/>
    <w:basedOn w:val="1"/>
    <w:link w:val="22"/>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link w:val="17"/>
    <w:qFormat/>
    <w:uiPriority w:val="0"/>
    <w:pPr>
      <w:tabs>
        <w:tab w:val="center" w:pos="4153"/>
        <w:tab w:val="right" w:pos="8306"/>
      </w:tabs>
      <w:snapToGrid w:val="0"/>
      <w:jc w:val="center"/>
    </w:pPr>
    <w:rPr>
      <w:sz w:val="18"/>
      <w:szCs w:val="18"/>
    </w:rPr>
  </w:style>
  <w:style w:type="paragraph" w:styleId="9">
    <w:name w:val="Normal (Web)"/>
    <w:basedOn w:val="1"/>
    <w:qFormat/>
    <w:uiPriority w:val="0"/>
    <w:rPr>
      <w:sz w:val="24"/>
    </w:rPr>
  </w:style>
  <w:style w:type="paragraph" w:styleId="10">
    <w:name w:val="annotation subject"/>
    <w:basedOn w:val="2"/>
    <w:next w:val="2"/>
    <w:link w:val="20"/>
    <w:qFormat/>
    <w:uiPriority w:val="0"/>
    <w:rPr>
      <w:b/>
      <w:bCs/>
    </w:rPr>
  </w:style>
  <w:style w:type="paragraph" w:styleId="11">
    <w:name w:val="Body Text First Indent"/>
    <w:basedOn w:val="3"/>
    <w:qFormat/>
    <w:uiPriority w:val="0"/>
    <w:pPr>
      <w:spacing w:line="312" w:lineRule="auto"/>
      <w:ind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qFormat/>
    <w:uiPriority w:val="99"/>
    <w:rPr>
      <w:sz w:val="21"/>
      <w:szCs w:val="21"/>
    </w:rPr>
  </w:style>
  <w:style w:type="paragraph" w:customStyle="1" w:styleId="16">
    <w:name w:val="PlainText"/>
    <w:basedOn w:val="1"/>
    <w:qFormat/>
    <w:uiPriority w:val="0"/>
    <w:rPr>
      <w:rFonts w:hAnsi="Courier New"/>
      <w:kern w:val="0"/>
      <w:sz w:val="24"/>
    </w:rPr>
  </w:style>
  <w:style w:type="character" w:customStyle="1" w:styleId="17">
    <w:name w:val="页眉 字符"/>
    <w:basedOn w:val="14"/>
    <w:link w:val="8"/>
    <w:qFormat/>
    <w:uiPriority w:val="0"/>
    <w:rPr>
      <w:rFonts w:asciiTheme="minorHAnsi" w:hAnsiTheme="minorHAnsi" w:eastAsiaTheme="minorEastAsia" w:cstheme="minorBidi"/>
      <w:kern w:val="2"/>
      <w:sz w:val="18"/>
      <w:szCs w:val="18"/>
    </w:rPr>
  </w:style>
  <w:style w:type="paragraph" w:customStyle="1" w:styleId="18">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9">
    <w:name w:val="批注文字 字符"/>
    <w:basedOn w:val="14"/>
    <w:link w:val="2"/>
    <w:qFormat/>
    <w:uiPriority w:val="99"/>
    <w:rPr>
      <w:rFonts w:asciiTheme="minorHAnsi" w:hAnsiTheme="minorHAnsi" w:eastAsiaTheme="minorEastAsia" w:cstheme="minorBidi"/>
      <w:kern w:val="2"/>
      <w:sz w:val="21"/>
      <w:szCs w:val="24"/>
    </w:rPr>
  </w:style>
  <w:style w:type="character" w:customStyle="1" w:styleId="20">
    <w:name w:val="批注主题 字符"/>
    <w:basedOn w:val="19"/>
    <w:link w:val="10"/>
    <w:qFormat/>
    <w:uiPriority w:val="0"/>
    <w:rPr>
      <w:rFonts w:asciiTheme="minorHAnsi" w:hAnsiTheme="minorHAnsi" w:eastAsiaTheme="minorEastAsia" w:cstheme="minorBidi"/>
      <w:b/>
      <w:bCs/>
      <w:kern w:val="2"/>
      <w:sz w:val="21"/>
      <w:szCs w:val="24"/>
    </w:rPr>
  </w:style>
  <w:style w:type="paragraph" w:customStyle="1" w:styleId="21">
    <w:name w:val="List Paragraph"/>
    <w:basedOn w:val="1"/>
    <w:unhideWhenUsed/>
    <w:qFormat/>
    <w:uiPriority w:val="1"/>
    <w:pPr>
      <w:ind w:firstLine="420" w:firstLineChars="200"/>
    </w:pPr>
  </w:style>
  <w:style w:type="character" w:customStyle="1" w:styleId="22">
    <w:name w:val="批注框文本 字符"/>
    <w:basedOn w:val="14"/>
    <w:link w:val="6"/>
    <w:qFormat/>
    <w:uiPriority w:val="0"/>
    <w:rPr>
      <w:rFonts w:asciiTheme="minorHAnsi" w:hAnsiTheme="minorHAnsi" w:eastAsiaTheme="minorEastAsia" w:cstheme="minorBidi"/>
      <w:kern w:val="2"/>
      <w:sz w:val="18"/>
      <w:szCs w:val="18"/>
    </w:rPr>
  </w:style>
  <w:style w:type="character" w:customStyle="1" w:styleId="23">
    <w:name w:val="无"/>
    <w:qFormat/>
    <w:uiPriority w:val="0"/>
    <w:rPr>
      <w:lang w:val="zh-TW" w:eastAsia="zh-TW"/>
    </w:rPr>
  </w:style>
  <w:style w:type="character" w:customStyle="1" w:styleId="24">
    <w:name w:val="正文文本 字符"/>
    <w:basedOn w:val="14"/>
    <w:link w:val="3"/>
    <w:qFormat/>
    <w:uiPriority w:val="0"/>
    <w:rPr>
      <w:rFonts w:asciiTheme="minorHAnsi" w:hAnsiTheme="minorHAnsi" w:eastAsiaTheme="minorEastAsia" w:cstheme="minorBidi"/>
      <w:kern w:val="2"/>
      <w:sz w:val="21"/>
      <w:szCs w:val="24"/>
    </w:rPr>
  </w:style>
  <w:style w:type="paragraph" w:customStyle="1" w:styleId="25">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修订3"/>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8">
    <w:name w:val="样式 宋体 行距: 1.5 倍行距"/>
    <w:basedOn w:val="1"/>
    <w:qFormat/>
    <w:uiPriority w:val="0"/>
    <w:pPr>
      <w:jc w:val="center"/>
    </w:pPr>
    <w:rPr>
      <w:b/>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71</Pages>
  <Words>41424</Words>
  <Characters>42959</Characters>
  <Lines>491</Lines>
  <Paragraphs>138</Paragraphs>
  <TotalTime>10</TotalTime>
  <ScaleCrop>false</ScaleCrop>
  <LinksUpToDate>false</LinksUpToDate>
  <CharactersWithSpaces>44883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2025-05-23T19:57:00Z</dcterms:created>
  <dc:creator>Data</dc:creator>
  <cp:lastModifiedBy>W</cp:lastModifiedBy>
  <cp:lastPrinted>2024-01-24T00:05:00Z</cp:lastPrinted>
  <dcterms:modified xsi:type="dcterms:W3CDTF">2025-05-29T02:00:28Z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06A3EED6D7C8481F9378F3C1BDF0A5B1_13</vt:lpwstr>
  </property>
  <property fmtid="{D5CDD505-2E9C-101B-9397-08002B2CF9AE}" pid="4" name="KSOTemplateDocerSaveRecord">
    <vt:lpwstr>eyJoZGlkIjoiYzk2NzJlODYzMjgxNWFjMWNkOWM0ZWQ4YTJhOTI4MTIiLCJ1c2VySWQiOiIzNDg4Njg2NTEifQ==</vt:lpwstr>
  </property>
</Properties>
</file>