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EFCB36">
      <w:pPr>
        <w:spacing w:before="21" w:line="312" w:lineRule="auto"/>
        <w:ind w:left="0" w:leftChars="0" w:right="454" w:firstLine="0" w:firstLineChars="0"/>
        <w:jc w:val="center"/>
        <w:rPr>
          <w:rFonts w:hint="eastAsia" w:ascii="宋体" w:hAnsi="宋体" w:eastAsia="宋体" w:cs="宋体"/>
          <w:b/>
          <w:bCs/>
          <w:color w:val="auto"/>
          <w:sz w:val="48"/>
          <w:szCs w:val="21"/>
          <w:highlight w:val="none"/>
          <w:lang w:eastAsia="zh-CN"/>
        </w:rPr>
      </w:pPr>
      <w:bookmarkStart w:id="34" w:name="_GoBack"/>
    </w:p>
    <w:p w14:paraId="72D89C4E">
      <w:pPr>
        <w:spacing w:before="21" w:line="312" w:lineRule="auto"/>
        <w:ind w:left="0" w:leftChars="0" w:right="454" w:firstLine="0" w:firstLineChars="0"/>
        <w:jc w:val="center"/>
        <w:rPr>
          <w:rFonts w:hint="eastAsia" w:ascii="宋体" w:hAnsi="宋体" w:eastAsia="宋体" w:cs="宋体"/>
          <w:b/>
          <w:bCs/>
          <w:color w:val="auto"/>
          <w:sz w:val="48"/>
          <w:szCs w:val="21"/>
          <w:highlight w:val="none"/>
          <w:lang w:eastAsia="zh-CN"/>
        </w:rPr>
      </w:pPr>
    </w:p>
    <w:p w14:paraId="42903F23">
      <w:pPr>
        <w:spacing w:before="21" w:line="312" w:lineRule="auto"/>
        <w:ind w:left="0" w:leftChars="0" w:right="454" w:firstLine="0" w:firstLineChars="0"/>
        <w:jc w:val="center"/>
        <w:rPr>
          <w:rFonts w:hint="eastAsia" w:ascii="宋体" w:hAnsi="宋体" w:eastAsia="宋体" w:cs="宋体"/>
          <w:b/>
          <w:bCs/>
          <w:color w:val="auto"/>
          <w:sz w:val="48"/>
          <w:szCs w:val="21"/>
          <w:highlight w:val="none"/>
          <w:lang w:eastAsia="zh-CN"/>
        </w:rPr>
      </w:pPr>
    </w:p>
    <w:p w14:paraId="08546472">
      <w:pPr>
        <w:spacing w:before="21" w:line="312" w:lineRule="auto"/>
        <w:ind w:left="0" w:leftChars="0" w:right="454" w:firstLine="0" w:firstLineChars="0"/>
        <w:jc w:val="center"/>
        <w:outlineLvl w:val="9"/>
        <w:rPr>
          <w:rFonts w:hint="eastAsia" w:cs="宋体"/>
          <w:b/>
          <w:bCs/>
          <w:color w:val="auto"/>
          <w:sz w:val="44"/>
          <w:szCs w:val="20"/>
          <w:highlight w:val="none"/>
          <w:lang w:eastAsia="zh-CN"/>
        </w:rPr>
      </w:pPr>
      <w:r>
        <w:rPr>
          <w:rFonts w:hint="eastAsia" w:cs="宋体"/>
          <w:b/>
          <w:bCs/>
          <w:color w:val="auto"/>
          <w:sz w:val="44"/>
          <w:szCs w:val="20"/>
          <w:highlight w:val="none"/>
          <w:lang w:eastAsia="zh-CN"/>
        </w:rPr>
        <w:t>番禺区市桥医院改造项目</w:t>
      </w:r>
    </w:p>
    <w:p w14:paraId="35B45590">
      <w:pPr>
        <w:spacing w:before="21" w:line="312" w:lineRule="auto"/>
        <w:ind w:left="0" w:leftChars="0" w:right="454" w:firstLine="0" w:firstLineChars="0"/>
        <w:jc w:val="center"/>
        <w:outlineLvl w:val="9"/>
        <w:rPr>
          <w:rFonts w:hint="eastAsia" w:ascii="宋体" w:hAnsi="宋体" w:eastAsia="宋体" w:cs="宋体"/>
          <w:b/>
          <w:bCs/>
          <w:color w:val="auto"/>
          <w:sz w:val="48"/>
          <w:szCs w:val="21"/>
          <w:highlight w:val="none"/>
          <w:lang w:eastAsia="zh-CN"/>
        </w:rPr>
      </w:pPr>
    </w:p>
    <w:p w14:paraId="11A7431D">
      <w:pPr>
        <w:spacing w:before="21" w:line="312" w:lineRule="auto"/>
        <w:ind w:left="0" w:leftChars="0" w:right="454" w:firstLine="0" w:firstLineChars="0"/>
        <w:jc w:val="center"/>
        <w:rPr>
          <w:rFonts w:hint="eastAsia" w:ascii="宋体" w:hAnsi="宋体" w:eastAsia="宋体" w:cs="宋体"/>
          <w:b/>
          <w:bCs/>
          <w:color w:val="auto"/>
          <w:sz w:val="44"/>
          <w:szCs w:val="20"/>
          <w:highlight w:val="none"/>
          <w:lang w:eastAsia="zh-CN"/>
        </w:rPr>
      </w:pPr>
      <w:r>
        <w:rPr>
          <w:rFonts w:hint="eastAsia" w:ascii="宋体" w:hAnsi="宋体" w:eastAsia="宋体" w:cs="宋体"/>
          <w:b/>
          <w:bCs/>
          <w:color w:val="auto"/>
          <w:sz w:val="44"/>
          <w:szCs w:val="20"/>
          <w:highlight w:val="none"/>
          <w:lang w:eastAsia="zh-CN"/>
        </w:rPr>
        <w:t>设计任务书</w:t>
      </w:r>
    </w:p>
    <w:p w14:paraId="595DE36A">
      <w:pPr>
        <w:spacing w:before="21" w:line="312" w:lineRule="auto"/>
        <w:ind w:left="0" w:leftChars="0" w:right="454" w:firstLine="0" w:firstLineChars="0"/>
        <w:jc w:val="center"/>
        <w:rPr>
          <w:rFonts w:hint="eastAsia" w:ascii="宋体" w:hAnsi="宋体" w:eastAsia="宋体" w:cs="宋体"/>
          <w:b/>
          <w:bCs/>
          <w:color w:val="auto"/>
          <w:sz w:val="52"/>
          <w:szCs w:val="22"/>
          <w:highlight w:val="none"/>
          <w:lang w:eastAsia="zh-CN"/>
        </w:rPr>
      </w:pPr>
    </w:p>
    <w:p w14:paraId="2F37135A">
      <w:pPr>
        <w:spacing w:before="21" w:line="312" w:lineRule="auto"/>
        <w:ind w:left="0" w:leftChars="0" w:right="454" w:firstLine="0" w:firstLineChars="0"/>
        <w:jc w:val="center"/>
        <w:rPr>
          <w:rFonts w:hint="eastAsia" w:ascii="宋体" w:hAnsi="宋体" w:eastAsia="宋体" w:cs="宋体"/>
          <w:b/>
          <w:bCs/>
          <w:color w:val="auto"/>
          <w:sz w:val="52"/>
          <w:szCs w:val="22"/>
          <w:highlight w:val="none"/>
          <w:lang w:eastAsia="zh-CN"/>
        </w:rPr>
      </w:pPr>
    </w:p>
    <w:p w14:paraId="77DCEBDA">
      <w:pPr>
        <w:spacing w:before="21" w:line="312" w:lineRule="auto"/>
        <w:ind w:left="0" w:leftChars="0" w:right="454" w:firstLine="0" w:firstLineChars="0"/>
        <w:jc w:val="center"/>
        <w:rPr>
          <w:rFonts w:hint="eastAsia" w:ascii="宋体" w:hAnsi="宋体" w:eastAsia="宋体" w:cs="宋体"/>
          <w:b/>
          <w:bCs/>
          <w:color w:val="auto"/>
          <w:sz w:val="52"/>
          <w:szCs w:val="22"/>
          <w:highlight w:val="none"/>
          <w:lang w:eastAsia="zh-CN"/>
        </w:rPr>
      </w:pPr>
    </w:p>
    <w:p w14:paraId="7C4BA4EF">
      <w:pPr>
        <w:spacing w:before="21" w:line="312" w:lineRule="auto"/>
        <w:ind w:left="0" w:leftChars="0" w:right="454" w:firstLine="0" w:firstLineChars="0"/>
        <w:jc w:val="center"/>
        <w:rPr>
          <w:rFonts w:hint="eastAsia" w:ascii="宋体" w:hAnsi="宋体" w:eastAsia="宋体" w:cs="宋体"/>
          <w:b/>
          <w:bCs/>
          <w:color w:val="auto"/>
          <w:sz w:val="52"/>
          <w:szCs w:val="22"/>
          <w:highlight w:val="none"/>
          <w:lang w:eastAsia="zh-CN"/>
        </w:rPr>
      </w:pPr>
    </w:p>
    <w:p w14:paraId="78F8FAD0">
      <w:pPr>
        <w:spacing w:before="21" w:line="312" w:lineRule="auto"/>
        <w:ind w:left="0" w:leftChars="0" w:right="454" w:firstLine="0" w:firstLineChars="0"/>
        <w:jc w:val="center"/>
        <w:rPr>
          <w:rFonts w:hint="eastAsia" w:ascii="宋体" w:hAnsi="宋体" w:eastAsia="宋体" w:cs="宋体"/>
          <w:b/>
          <w:bCs/>
          <w:color w:val="auto"/>
          <w:sz w:val="52"/>
          <w:szCs w:val="22"/>
          <w:highlight w:val="none"/>
          <w:lang w:eastAsia="zh-CN"/>
        </w:rPr>
      </w:pPr>
    </w:p>
    <w:p w14:paraId="3503E2A6">
      <w:pPr>
        <w:spacing w:before="21" w:line="312" w:lineRule="auto"/>
        <w:ind w:left="0" w:leftChars="0" w:right="454" w:firstLine="0" w:firstLineChars="0"/>
        <w:jc w:val="center"/>
        <w:rPr>
          <w:rFonts w:hint="eastAsia" w:ascii="宋体" w:hAnsi="宋体" w:eastAsia="宋体" w:cs="宋体"/>
          <w:b/>
          <w:bCs/>
          <w:color w:val="auto"/>
          <w:sz w:val="52"/>
          <w:szCs w:val="22"/>
          <w:highlight w:val="none"/>
          <w:lang w:eastAsia="zh-CN"/>
        </w:rPr>
      </w:pPr>
    </w:p>
    <w:p w14:paraId="0B37D434">
      <w:pPr>
        <w:spacing w:before="21" w:line="312" w:lineRule="auto"/>
        <w:ind w:left="0" w:leftChars="0" w:right="454" w:firstLine="0" w:firstLineChars="0"/>
        <w:jc w:val="center"/>
        <w:rPr>
          <w:rFonts w:hint="eastAsia" w:ascii="宋体" w:hAnsi="宋体" w:eastAsia="宋体" w:cs="宋体"/>
          <w:b/>
          <w:bCs/>
          <w:color w:val="auto"/>
          <w:sz w:val="52"/>
          <w:szCs w:val="22"/>
          <w:highlight w:val="none"/>
          <w:lang w:eastAsia="zh-CN"/>
        </w:rPr>
      </w:pPr>
    </w:p>
    <w:p w14:paraId="67A30B61">
      <w:pPr>
        <w:bidi w:val="0"/>
        <w:ind w:left="0" w:leftChars="0" w:firstLine="0" w:firstLineChars="0"/>
        <w:jc w:val="center"/>
        <w:outlineLvl w:val="9"/>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t>编制单位：广州市番禺区市桥医院</w:t>
      </w:r>
    </w:p>
    <w:p w14:paraId="72A69209">
      <w:pPr>
        <w:bidi w:val="0"/>
        <w:ind w:left="0" w:leftChars="0" w:firstLine="0" w:firstLineChars="0"/>
        <w:jc w:val="center"/>
        <w:rPr>
          <w:rFonts w:hint="eastAsia"/>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cols w:space="425" w:num="1"/>
          <w:rtlGutter w:val="0"/>
          <w:docGrid w:type="lines" w:linePitch="312" w:charSpace="0"/>
        </w:sectPr>
      </w:pPr>
      <w:r>
        <w:rPr>
          <w:rFonts w:hint="eastAsia" w:ascii="宋体" w:hAnsi="宋体" w:eastAsia="宋体" w:cs="宋体"/>
          <w:b/>
          <w:bCs/>
          <w:color w:val="auto"/>
          <w:sz w:val="32"/>
          <w:szCs w:val="32"/>
          <w:highlight w:val="none"/>
          <w:lang w:eastAsia="zh-CN"/>
        </w:rPr>
        <w:t>编制日期：202</w:t>
      </w:r>
      <w:r>
        <w:rPr>
          <w:rFonts w:hint="eastAsia" w:cs="宋体"/>
          <w:b/>
          <w:bCs/>
          <w:color w:val="auto"/>
          <w:sz w:val="32"/>
          <w:szCs w:val="32"/>
          <w:highlight w:val="none"/>
          <w:lang w:val="en-US" w:eastAsia="zh-CN"/>
        </w:rPr>
        <w:t>5</w:t>
      </w:r>
      <w:r>
        <w:rPr>
          <w:rFonts w:hint="eastAsia" w:ascii="宋体" w:hAnsi="宋体" w:eastAsia="宋体" w:cs="宋体"/>
          <w:b/>
          <w:bCs/>
          <w:color w:val="auto"/>
          <w:sz w:val="32"/>
          <w:szCs w:val="32"/>
          <w:highlight w:val="none"/>
          <w:lang w:eastAsia="zh-CN"/>
        </w:rPr>
        <w:t>年</w:t>
      </w:r>
      <w:r>
        <w:rPr>
          <w:rFonts w:hint="eastAsia" w:cs="宋体"/>
          <w:b/>
          <w:bCs/>
          <w:color w:val="auto"/>
          <w:sz w:val="32"/>
          <w:szCs w:val="32"/>
          <w:highlight w:val="none"/>
          <w:lang w:val="en-US" w:eastAsia="zh-CN"/>
        </w:rPr>
        <w:t>5</w:t>
      </w:r>
      <w:r>
        <w:rPr>
          <w:rFonts w:hint="eastAsia" w:ascii="宋体" w:hAnsi="宋体" w:eastAsia="宋体" w:cs="宋体"/>
          <w:b/>
          <w:bCs/>
          <w:color w:val="auto"/>
          <w:sz w:val="32"/>
          <w:szCs w:val="32"/>
          <w:highlight w:val="none"/>
          <w:lang w:eastAsia="zh-CN"/>
        </w:rPr>
        <w:t>月</w:t>
      </w:r>
    </w:p>
    <w:sdt>
      <w:sdtPr>
        <w:rPr>
          <w:rFonts w:ascii="宋体" w:hAnsi="宋体" w:eastAsia="宋体" w:cs="Times New Roman"/>
          <w:b/>
          <w:bCs/>
          <w:color w:val="auto"/>
          <w:kern w:val="2"/>
          <w:sz w:val="28"/>
          <w:szCs w:val="28"/>
          <w:highlight w:val="none"/>
          <w:lang w:val="en-US" w:eastAsia="zh-CN" w:bidi="ar-SA"/>
        </w:rPr>
        <w:id w:val="147465573"/>
        <w15:color w:val="DBDBDB"/>
        <w:docPartObj>
          <w:docPartGallery w:val="Table of Contents"/>
          <w:docPartUnique/>
        </w:docPartObj>
      </w:sdtPr>
      <w:sdtEndPr>
        <w:rPr>
          <w:rFonts w:hint="default" w:ascii="宋体" w:hAnsi="宋体" w:eastAsia="宋体" w:cs="Times New Roman"/>
          <w:b/>
          <w:bCs/>
          <w:color w:val="auto"/>
          <w:kern w:val="2"/>
          <w:sz w:val="28"/>
          <w:szCs w:val="28"/>
          <w:highlight w:val="none"/>
          <w:lang w:val="en-US" w:eastAsia="zh-CN" w:bidi="ar-SA"/>
        </w:rPr>
      </w:sdtEndPr>
      <w:sdtContent>
        <w:p w14:paraId="157302E7">
          <w:pPr>
            <w:spacing w:before="0" w:beforeLines="0" w:after="0" w:afterLines="0" w:line="240" w:lineRule="auto"/>
            <w:ind w:left="0" w:leftChars="0" w:right="0" w:rightChars="0" w:firstLine="0" w:firstLineChars="0"/>
            <w:jc w:val="center"/>
            <w:rPr>
              <w:rFonts w:ascii="宋体" w:hAnsi="宋体" w:eastAsia="宋体" w:cs="Times New Roman"/>
              <w:b/>
              <w:bCs/>
              <w:color w:val="auto"/>
              <w:kern w:val="2"/>
              <w:sz w:val="28"/>
              <w:szCs w:val="28"/>
              <w:highlight w:val="none"/>
              <w:lang w:val="en-US" w:eastAsia="zh-CN" w:bidi="ar-SA"/>
            </w:rPr>
          </w:pPr>
        </w:p>
        <w:p w14:paraId="1E0C2349">
          <w:pPr>
            <w:spacing w:before="0" w:beforeLines="0" w:after="0" w:afterLines="0" w:line="240" w:lineRule="auto"/>
            <w:ind w:left="0" w:leftChars="0" w:right="0" w:rightChars="0" w:firstLine="0" w:firstLineChars="0"/>
            <w:jc w:val="center"/>
            <w:rPr>
              <w:rFonts w:ascii="宋体" w:hAnsi="宋体" w:eastAsia="宋体" w:cs="Times New Roman"/>
              <w:b/>
              <w:bCs/>
              <w:color w:val="auto"/>
              <w:kern w:val="2"/>
              <w:sz w:val="28"/>
              <w:szCs w:val="28"/>
              <w:highlight w:val="none"/>
              <w:lang w:val="en-US" w:eastAsia="zh-CN" w:bidi="ar-SA"/>
            </w:rPr>
          </w:pPr>
        </w:p>
        <w:p w14:paraId="2B9C9850">
          <w:pPr>
            <w:spacing w:before="0" w:beforeLines="0" w:after="0" w:afterLines="0" w:line="240" w:lineRule="auto"/>
            <w:ind w:left="0" w:leftChars="0" w:right="0" w:rightChars="0" w:firstLine="0" w:firstLineChars="0"/>
            <w:jc w:val="center"/>
            <w:rPr>
              <w:rFonts w:ascii="宋体" w:hAnsi="宋体" w:eastAsia="宋体"/>
              <w:b/>
              <w:bCs/>
              <w:color w:val="auto"/>
              <w:sz w:val="36"/>
              <w:szCs w:val="36"/>
              <w:highlight w:val="none"/>
            </w:rPr>
          </w:pPr>
          <w:r>
            <w:rPr>
              <w:rFonts w:ascii="宋体" w:hAnsi="宋体" w:eastAsia="宋体"/>
              <w:b/>
              <w:bCs/>
              <w:color w:val="auto"/>
              <w:sz w:val="36"/>
              <w:szCs w:val="36"/>
              <w:highlight w:val="none"/>
            </w:rPr>
            <w:t>目录</w:t>
          </w:r>
        </w:p>
        <w:p w14:paraId="336B3106">
          <w:pPr>
            <w:spacing w:before="0" w:beforeLines="0" w:after="0" w:afterLines="0" w:line="240" w:lineRule="auto"/>
            <w:ind w:left="0" w:leftChars="0" w:right="0" w:rightChars="0" w:firstLine="0" w:firstLineChars="0"/>
            <w:jc w:val="center"/>
            <w:rPr>
              <w:rFonts w:ascii="宋体" w:hAnsi="宋体" w:eastAsia="宋体"/>
              <w:b/>
              <w:bCs/>
              <w:color w:val="auto"/>
              <w:sz w:val="36"/>
              <w:szCs w:val="36"/>
              <w:highlight w:val="none"/>
            </w:rPr>
          </w:pPr>
        </w:p>
        <w:p w14:paraId="7AEC5EA0">
          <w:pPr>
            <w:pStyle w:val="12"/>
            <w:tabs>
              <w:tab w:val="right" w:leader="dot" w:pos="8300"/>
            </w:tabs>
            <w:rPr>
              <w:color w:val="auto"/>
              <w:highlight w:val="none"/>
            </w:rPr>
          </w:pPr>
          <w:r>
            <w:rPr>
              <w:rFonts w:hint="default"/>
              <w:color w:val="auto"/>
              <w:highlight w:val="none"/>
              <w:lang w:val="en-US" w:eastAsia="zh-CN"/>
            </w:rPr>
            <w:fldChar w:fldCharType="begin"/>
          </w:r>
          <w:r>
            <w:rPr>
              <w:rFonts w:hint="default"/>
              <w:color w:val="auto"/>
              <w:highlight w:val="none"/>
              <w:lang w:val="en-US" w:eastAsia="zh-CN"/>
            </w:rPr>
            <w:instrText xml:space="preserve">TOC \o "1-2" \h \u </w:instrText>
          </w:r>
          <w:r>
            <w:rPr>
              <w:rFonts w:hint="default"/>
              <w:color w:val="auto"/>
              <w:highlight w:val="none"/>
              <w:lang w:val="en-US" w:eastAsia="zh-CN"/>
            </w:rPr>
            <w:fldChar w:fldCharType="separate"/>
          </w:r>
          <w:r>
            <w:rPr>
              <w:rFonts w:hint="default"/>
              <w:color w:val="auto"/>
              <w:highlight w:val="none"/>
              <w:lang w:val="en-US" w:eastAsia="zh-CN"/>
            </w:rPr>
            <w:fldChar w:fldCharType="begin"/>
          </w:r>
          <w:r>
            <w:rPr>
              <w:rFonts w:hint="default"/>
              <w:color w:val="auto"/>
              <w:highlight w:val="none"/>
              <w:lang w:val="en-US" w:eastAsia="zh-CN"/>
            </w:rPr>
            <w:instrText xml:space="preserve"> HYPERLINK \l _Toc17974 </w:instrText>
          </w:r>
          <w:r>
            <w:rPr>
              <w:rFonts w:hint="default"/>
              <w:color w:val="auto"/>
              <w:highlight w:val="none"/>
              <w:lang w:val="en-US" w:eastAsia="zh-CN"/>
            </w:rPr>
            <w:fldChar w:fldCharType="separate"/>
          </w:r>
          <w:r>
            <w:rPr>
              <w:rFonts w:hint="eastAsia"/>
              <w:color w:val="auto"/>
              <w:highlight w:val="none"/>
              <w:lang w:eastAsia="zh-CN"/>
            </w:rPr>
            <w:t xml:space="preserve">第一章 </w:t>
          </w:r>
          <w:r>
            <w:rPr>
              <w:color w:val="auto"/>
              <w:highlight w:val="none"/>
              <w:lang w:eastAsia="zh-CN"/>
            </w:rPr>
            <w:t>项目概况</w:t>
          </w:r>
          <w:r>
            <w:rPr>
              <w:rFonts w:hint="eastAsia"/>
              <w:color w:val="auto"/>
              <w:highlight w:val="none"/>
              <w:lang w:eastAsia="zh-CN"/>
            </w:rPr>
            <w:t>及设计要求</w:t>
          </w:r>
          <w:r>
            <w:rPr>
              <w:color w:val="auto"/>
              <w:highlight w:val="none"/>
            </w:rPr>
            <w:tab/>
          </w:r>
          <w:r>
            <w:rPr>
              <w:color w:val="auto"/>
              <w:highlight w:val="none"/>
            </w:rPr>
            <w:fldChar w:fldCharType="begin"/>
          </w:r>
          <w:r>
            <w:rPr>
              <w:color w:val="auto"/>
              <w:highlight w:val="none"/>
            </w:rPr>
            <w:instrText xml:space="preserve"> PAGEREF _Toc17974 \h </w:instrText>
          </w:r>
          <w:r>
            <w:rPr>
              <w:color w:val="auto"/>
              <w:highlight w:val="none"/>
            </w:rPr>
            <w:fldChar w:fldCharType="separate"/>
          </w:r>
          <w:r>
            <w:rPr>
              <w:color w:val="auto"/>
              <w:highlight w:val="none"/>
            </w:rPr>
            <w:t>1</w:t>
          </w:r>
          <w:r>
            <w:rPr>
              <w:color w:val="auto"/>
              <w:highlight w:val="none"/>
            </w:rPr>
            <w:fldChar w:fldCharType="end"/>
          </w:r>
          <w:r>
            <w:rPr>
              <w:rFonts w:hint="default"/>
              <w:color w:val="auto"/>
              <w:highlight w:val="none"/>
              <w:lang w:val="en-US" w:eastAsia="zh-CN"/>
            </w:rPr>
            <w:fldChar w:fldCharType="end"/>
          </w:r>
        </w:p>
        <w:p w14:paraId="72591509">
          <w:pPr>
            <w:pStyle w:val="13"/>
            <w:tabs>
              <w:tab w:val="right" w:leader="dot" w:pos="8300"/>
            </w:tabs>
            <w:rPr>
              <w:color w:val="auto"/>
              <w:highlight w:val="none"/>
            </w:rPr>
          </w:pPr>
          <w:r>
            <w:rPr>
              <w:rFonts w:hint="default"/>
              <w:color w:val="auto"/>
              <w:highlight w:val="none"/>
              <w:lang w:val="en-US" w:eastAsia="zh-CN"/>
            </w:rPr>
            <w:fldChar w:fldCharType="begin"/>
          </w:r>
          <w:r>
            <w:rPr>
              <w:rFonts w:hint="default"/>
              <w:color w:val="auto"/>
              <w:highlight w:val="none"/>
              <w:lang w:val="en-US" w:eastAsia="zh-CN"/>
            </w:rPr>
            <w:instrText xml:space="preserve"> HYPERLINK \l _Toc2601 </w:instrText>
          </w:r>
          <w:r>
            <w:rPr>
              <w:rFonts w:hint="default"/>
              <w:color w:val="auto"/>
              <w:highlight w:val="none"/>
              <w:lang w:val="en-US" w:eastAsia="zh-CN"/>
            </w:rPr>
            <w:fldChar w:fldCharType="separate"/>
          </w:r>
          <w:r>
            <w:rPr>
              <w:rFonts w:hint="eastAsia" w:ascii="宋体" w:hAnsi="宋体" w:cs="仿宋"/>
              <w:color w:val="auto"/>
              <w:szCs w:val="30"/>
              <w:highlight w:val="none"/>
              <w:lang w:val="en-US"/>
            </w:rPr>
            <w:t xml:space="preserve">1.1. </w:t>
          </w:r>
          <w:r>
            <w:rPr>
              <w:rFonts w:hint="eastAsia"/>
              <w:color w:val="auto"/>
              <w:highlight w:val="none"/>
              <w:lang w:val="en-US" w:eastAsia="zh-CN"/>
            </w:rPr>
            <w:t>项目</w:t>
          </w:r>
          <w:r>
            <w:rPr>
              <w:rFonts w:hint="eastAsia"/>
              <w:color w:val="auto"/>
              <w:highlight w:val="none"/>
              <w:lang w:val="en-US"/>
            </w:rPr>
            <w:t>概况</w:t>
          </w:r>
          <w:r>
            <w:rPr>
              <w:color w:val="auto"/>
              <w:highlight w:val="none"/>
            </w:rPr>
            <w:tab/>
          </w:r>
          <w:r>
            <w:rPr>
              <w:color w:val="auto"/>
              <w:highlight w:val="none"/>
            </w:rPr>
            <w:fldChar w:fldCharType="begin"/>
          </w:r>
          <w:r>
            <w:rPr>
              <w:color w:val="auto"/>
              <w:highlight w:val="none"/>
            </w:rPr>
            <w:instrText xml:space="preserve"> PAGEREF _Toc2601 \h </w:instrText>
          </w:r>
          <w:r>
            <w:rPr>
              <w:color w:val="auto"/>
              <w:highlight w:val="none"/>
            </w:rPr>
            <w:fldChar w:fldCharType="separate"/>
          </w:r>
          <w:r>
            <w:rPr>
              <w:color w:val="auto"/>
              <w:highlight w:val="none"/>
            </w:rPr>
            <w:t>1</w:t>
          </w:r>
          <w:r>
            <w:rPr>
              <w:color w:val="auto"/>
              <w:highlight w:val="none"/>
            </w:rPr>
            <w:fldChar w:fldCharType="end"/>
          </w:r>
          <w:r>
            <w:rPr>
              <w:rFonts w:hint="default"/>
              <w:color w:val="auto"/>
              <w:highlight w:val="none"/>
              <w:lang w:val="en-US" w:eastAsia="zh-CN"/>
            </w:rPr>
            <w:fldChar w:fldCharType="end"/>
          </w:r>
        </w:p>
        <w:p w14:paraId="1E224690">
          <w:pPr>
            <w:pStyle w:val="13"/>
            <w:tabs>
              <w:tab w:val="right" w:leader="dot" w:pos="8300"/>
            </w:tabs>
            <w:rPr>
              <w:color w:val="auto"/>
              <w:highlight w:val="none"/>
            </w:rPr>
          </w:pPr>
          <w:r>
            <w:rPr>
              <w:rFonts w:hint="default"/>
              <w:color w:val="auto"/>
              <w:highlight w:val="none"/>
              <w:lang w:val="en-US" w:eastAsia="zh-CN"/>
            </w:rPr>
            <w:fldChar w:fldCharType="begin"/>
          </w:r>
          <w:r>
            <w:rPr>
              <w:rFonts w:hint="default"/>
              <w:color w:val="auto"/>
              <w:highlight w:val="none"/>
              <w:lang w:val="en-US" w:eastAsia="zh-CN"/>
            </w:rPr>
            <w:instrText xml:space="preserve"> HYPERLINK \l _Toc20646 </w:instrText>
          </w:r>
          <w:r>
            <w:rPr>
              <w:rFonts w:hint="default"/>
              <w:color w:val="auto"/>
              <w:highlight w:val="none"/>
              <w:lang w:val="en-US" w:eastAsia="zh-CN"/>
            </w:rPr>
            <w:fldChar w:fldCharType="separate"/>
          </w:r>
          <w:r>
            <w:rPr>
              <w:rFonts w:hint="eastAsia" w:ascii="宋体" w:hAnsi="宋体" w:cs="仿宋"/>
              <w:color w:val="auto"/>
              <w:szCs w:val="30"/>
              <w:highlight w:val="none"/>
              <w:lang w:val="en-US" w:eastAsia="zh-CN"/>
            </w:rPr>
            <w:t xml:space="preserve">1.2. </w:t>
          </w:r>
          <w:r>
            <w:rPr>
              <w:color w:val="auto"/>
              <w:highlight w:val="none"/>
              <w:lang w:eastAsia="zh-CN"/>
            </w:rPr>
            <w:t>设计要求</w:t>
          </w:r>
          <w:r>
            <w:rPr>
              <w:color w:val="auto"/>
              <w:highlight w:val="none"/>
            </w:rPr>
            <w:tab/>
          </w:r>
          <w:r>
            <w:rPr>
              <w:color w:val="auto"/>
              <w:highlight w:val="none"/>
            </w:rPr>
            <w:fldChar w:fldCharType="begin"/>
          </w:r>
          <w:r>
            <w:rPr>
              <w:color w:val="auto"/>
              <w:highlight w:val="none"/>
            </w:rPr>
            <w:instrText xml:space="preserve"> PAGEREF _Toc20646 \h </w:instrText>
          </w:r>
          <w:r>
            <w:rPr>
              <w:color w:val="auto"/>
              <w:highlight w:val="none"/>
            </w:rPr>
            <w:fldChar w:fldCharType="separate"/>
          </w:r>
          <w:r>
            <w:rPr>
              <w:color w:val="auto"/>
              <w:highlight w:val="none"/>
            </w:rPr>
            <w:t>4</w:t>
          </w:r>
          <w:r>
            <w:rPr>
              <w:color w:val="auto"/>
              <w:highlight w:val="none"/>
            </w:rPr>
            <w:fldChar w:fldCharType="end"/>
          </w:r>
          <w:r>
            <w:rPr>
              <w:rFonts w:hint="default"/>
              <w:color w:val="auto"/>
              <w:highlight w:val="none"/>
              <w:lang w:val="en-US" w:eastAsia="zh-CN"/>
            </w:rPr>
            <w:fldChar w:fldCharType="end"/>
          </w:r>
        </w:p>
        <w:p w14:paraId="230AD9F6">
          <w:pPr>
            <w:pStyle w:val="12"/>
            <w:tabs>
              <w:tab w:val="right" w:leader="dot" w:pos="8300"/>
            </w:tabs>
            <w:rPr>
              <w:color w:val="auto"/>
              <w:highlight w:val="none"/>
            </w:rPr>
          </w:pPr>
          <w:r>
            <w:rPr>
              <w:rFonts w:hint="default"/>
              <w:color w:val="auto"/>
              <w:highlight w:val="none"/>
              <w:lang w:val="en-US" w:eastAsia="zh-CN"/>
            </w:rPr>
            <w:fldChar w:fldCharType="begin"/>
          </w:r>
          <w:r>
            <w:rPr>
              <w:rFonts w:hint="default"/>
              <w:color w:val="auto"/>
              <w:highlight w:val="none"/>
              <w:lang w:val="en-US" w:eastAsia="zh-CN"/>
            </w:rPr>
            <w:instrText xml:space="preserve"> HYPERLINK \l _Toc5725 </w:instrText>
          </w:r>
          <w:r>
            <w:rPr>
              <w:rFonts w:hint="default"/>
              <w:color w:val="auto"/>
              <w:highlight w:val="none"/>
              <w:lang w:val="en-US" w:eastAsia="zh-CN"/>
            </w:rPr>
            <w:fldChar w:fldCharType="separate"/>
          </w:r>
          <w:r>
            <w:rPr>
              <w:rFonts w:hint="eastAsia"/>
              <w:color w:val="auto"/>
              <w:highlight w:val="none"/>
              <w:lang w:eastAsia="zh-CN"/>
            </w:rPr>
            <w:t xml:space="preserve">第二章 </w:t>
          </w:r>
          <w:r>
            <w:rPr>
              <w:color w:val="auto"/>
              <w:highlight w:val="none"/>
              <w:lang w:eastAsia="zh-CN"/>
            </w:rPr>
            <w:t>设计依据</w:t>
          </w:r>
          <w:r>
            <w:rPr>
              <w:color w:val="auto"/>
              <w:highlight w:val="none"/>
            </w:rPr>
            <w:tab/>
          </w:r>
          <w:r>
            <w:rPr>
              <w:color w:val="auto"/>
              <w:highlight w:val="none"/>
            </w:rPr>
            <w:fldChar w:fldCharType="begin"/>
          </w:r>
          <w:r>
            <w:rPr>
              <w:color w:val="auto"/>
              <w:highlight w:val="none"/>
            </w:rPr>
            <w:instrText xml:space="preserve"> PAGEREF _Toc5725 \h </w:instrText>
          </w:r>
          <w:r>
            <w:rPr>
              <w:color w:val="auto"/>
              <w:highlight w:val="none"/>
            </w:rPr>
            <w:fldChar w:fldCharType="separate"/>
          </w:r>
          <w:r>
            <w:rPr>
              <w:color w:val="auto"/>
              <w:highlight w:val="none"/>
            </w:rPr>
            <w:t>12</w:t>
          </w:r>
          <w:r>
            <w:rPr>
              <w:color w:val="auto"/>
              <w:highlight w:val="none"/>
            </w:rPr>
            <w:fldChar w:fldCharType="end"/>
          </w:r>
          <w:r>
            <w:rPr>
              <w:rFonts w:hint="default"/>
              <w:color w:val="auto"/>
              <w:highlight w:val="none"/>
              <w:lang w:val="en-US" w:eastAsia="zh-CN"/>
            </w:rPr>
            <w:fldChar w:fldCharType="end"/>
          </w:r>
        </w:p>
        <w:p w14:paraId="29CDD56B">
          <w:pPr>
            <w:pStyle w:val="13"/>
            <w:tabs>
              <w:tab w:val="right" w:leader="dot" w:pos="8300"/>
            </w:tabs>
            <w:rPr>
              <w:color w:val="auto"/>
              <w:highlight w:val="none"/>
            </w:rPr>
          </w:pPr>
          <w:r>
            <w:rPr>
              <w:rFonts w:hint="default"/>
              <w:color w:val="auto"/>
              <w:highlight w:val="none"/>
              <w:lang w:val="en-US" w:eastAsia="zh-CN"/>
            </w:rPr>
            <w:fldChar w:fldCharType="begin"/>
          </w:r>
          <w:r>
            <w:rPr>
              <w:rFonts w:hint="default"/>
              <w:color w:val="auto"/>
              <w:highlight w:val="none"/>
              <w:lang w:val="en-US" w:eastAsia="zh-CN"/>
            </w:rPr>
            <w:instrText xml:space="preserve"> HYPERLINK \l _Toc18722 </w:instrText>
          </w:r>
          <w:r>
            <w:rPr>
              <w:rFonts w:hint="default"/>
              <w:color w:val="auto"/>
              <w:highlight w:val="none"/>
              <w:lang w:val="en-US" w:eastAsia="zh-CN"/>
            </w:rPr>
            <w:fldChar w:fldCharType="separate"/>
          </w:r>
          <w:r>
            <w:rPr>
              <w:rFonts w:hint="eastAsia" w:ascii="宋体" w:hAnsi="宋体" w:cs="仿宋"/>
              <w:color w:val="auto"/>
              <w:szCs w:val="30"/>
              <w:highlight w:val="none"/>
            </w:rPr>
            <w:t xml:space="preserve">2.1. </w:t>
          </w:r>
          <w:r>
            <w:rPr>
              <w:rFonts w:hint="eastAsia"/>
              <w:color w:val="auto"/>
              <w:highlight w:val="none"/>
            </w:rPr>
            <w:t>现行法律法规</w:t>
          </w:r>
          <w:r>
            <w:rPr>
              <w:color w:val="auto"/>
              <w:highlight w:val="none"/>
            </w:rPr>
            <w:tab/>
          </w:r>
          <w:r>
            <w:rPr>
              <w:color w:val="auto"/>
              <w:highlight w:val="none"/>
            </w:rPr>
            <w:fldChar w:fldCharType="begin"/>
          </w:r>
          <w:r>
            <w:rPr>
              <w:color w:val="auto"/>
              <w:highlight w:val="none"/>
            </w:rPr>
            <w:instrText xml:space="preserve"> PAGEREF _Toc18722 \h </w:instrText>
          </w:r>
          <w:r>
            <w:rPr>
              <w:color w:val="auto"/>
              <w:highlight w:val="none"/>
            </w:rPr>
            <w:fldChar w:fldCharType="separate"/>
          </w:r>
          <w:r>
            <w:rPr>
              <w:color w:val="auto"/>
              <w:highlight w:val="none"/>
            </w:rPr>
            <w:t>12</w:t>
          </w:r>
          <w:r>
            <w:rPr>
              <w:color w:val="auto"/>
              <w:highlight w:val="none"/>
            </w:rPr>
            <w:fldChar w:fldCharType="end"/>
          </w:r>
          <w:r>
            <w:rPr>
              <w:rFonts w:hint="default"/>
              <w:color w:val="auto"/>
              <w:highlight w:val="none"/>
              <w:lang w:val="en-US" w:eastAsia="zh-CN"/>
            </w:rPr>
            <w:fldChar w:fldCharType="end"/>
          </w:r>
        </w:p>
        <w:p w14:paraId="42ADF065">
          <w:pPr>
            <w:pStyle w:val="13"/>
            <w:tabs>
              <w:tab w:val="right" w:leader="dot" w:pos="8300"/>
            </w:tabs>
            <w:rPr>
              <w:color w:val="auto"/>
              <w:highlight w:val="none"/>
            </w:rPr>
          </w:pPr>
          <w:r>
            <w:rPr>
              <w:rFonts w:hint="default"/>
              <w:color w:val="auto"/>
              <w:highlight w:val="none"/>
              <w:lang w:val="en-US" w:eastAsia="zh-CN"/>
            </w:rPr>
            <w:fldChar w:fldCharType="begin"/>
          </w:r>
          <w:r>
            <w:rPr>
              <w:rFonts w:hint="default"/>
              <w:color w:val="auto"/>
              <w:highlight w:val="none"/>
              <w:lang w:val="en-US" w:eastAsia="zh-CN"/>
            </w:rPr>
            <w:instrText xml:space="preserve"> HYPERLINK \l _Toc30410 </w:instrText>
          </w:r>
          <w:r>
            <w:rPr>
              <w:rFonts w:hint="default"/>
              <w:color w:val="auto"/>
              <w:highlight w:val="none"/>
              <w:lang w:val="en-US" w:eastAsia="zh-CN"/>
            </w:rPr>
            <w:fldChar w:fldCharType="separate"/>
          </w:r>
          <w:r>
            <w:rPr>
              <w:rFonts w:hint="eastAsia" w:ascii="宋体" w:hAnsi="宋体" w:cs="仿宋"/>
              <w:color w:val="auto"/>
              <w:szCs w:val="30"/>
              <w:highlight w:val="none"/>
              <w:lang w:eastAsia="zh-CN"/>
            </w:rPr>
            <w:t xml:space="preserve">2.2. </w:t>
          </w:r>
          <w:r>
            <w:rPr>
              <w:color w:val="auto"/>
              <w:highlight w:val="none"/>
              <w:lang w:eastAsia="zh-CN"/>
            </w:rPr>
            <w:t>建设单位提供的有关资料</w:t>
          </w:r>
          <w:r>
            <w:rPr>
              <w:color w:val="auto"/>
              <w:highlight w:val="none"/>
            </w:rPr>
            <w:tab/>
          </w:r>
          <w:r>
            <w:rPr>
              <w:color w:val="auto"/>
              <w:highlight w:val="none"/>
            </w:rPr>
            <w:fldChar w:fldCharType="begin"/>
          </w:r>
          <w:r>
            <w:rPr>
              <w:color w:val="auto"/>
              <w:highlight w:val="none"/>
            </w:rPr>
            <w:instrText xml:space="preserve"> PAGEREF _Toc30410 \h </w:instrText>
          </w:r>
          <w:r>
            <w:rPr>
              <w:color w:val="auto"/>
              <w:highlight w:val="none"/>
            </w:rPr>
            <w:fldChar w:fldCharType="separate"/>
          </w:r>
          <w:r>
            <w:rPr>
              <w:color w:val="auto"/>
              <w:highlight w:val="none"/>
            </w:rPr>
            <w:t>12</w:t>
          </w:r>
          <w:r>
            <w:rPr>
              <w:color w:val="auto"/>
              <w:highlight w:val="none"/>
            </w:rPr>
            <w:fldChar w:fldCharType="end"/>
          </w:r>
          <w:r>
            <w:rPr>
              <w:rFonts w:hint="default"/>
              <w:color w:val="auto"/>
              <w:highlight w:val="none"/>
              <w:lang w:val="en-US" w:eastAsia="zh-CN"/>
            </w:rPr>
            <w:fldChar w:fldCharType="end"/>
          </w:r>
        </w:p>
        <w:p w14:paraId="25A4DFE5">
          <w:pPr>
            <w:pStyle w:val="13"/>
            <w:tabs>
              <w:tab w:val="right" w:leader="dot" w:pos="8300"/>
            </w:tabs>
            <w:rPr>
              <w:color w:val="auto"/>
              <w:highlight w:val="none"/>
            </w:rPr>
          </w:pPr>
          <w:r>
            <w:rPr>
              <w:rFonts w:hint="default"/>
              <w:color w:val="auto"/>
              <w:highlight w:val="none"/>
              <w:lang w:val="en-US" w:eastAsia="zh-CN"/>
            </w:rPr>
            <w:fldChar w:fldCharType="begin"/>
          </w:r>
          <w:r>
            <w:rPr>
              <w:rFonts w:hint="default"/>
              <w:color w:val="auto"/>
              <w:highlight w:val="none"/>
              <w:lang w:val="en-US" w:eastAsia="zh-CN"/>
            </w:rPr>
            <w:instrText xml:space="preserve"> HYPERLINK \l _Toc26336 </w:instrText>
          </w:r>
          <w:r>
            <w:rPr>
              <w:rFonts w:hint="default"/>
              <w:color w:val="auto"/>
              <w:highlight w:val="none"/>
              <w:lang w:val="en-US" w:eastAsia="zh-CN"/>
            </w:rPr>
            <w:fldChar w:fldCharType="separate"/>
          </w:r>
          <w:r>
            <w:rPr>
              <w:rFonts w:hint="eastAsia" w:ascii="宋体" w:hAnsi="宋体" w:cs="仿宋"/>
              <w:color w:val="auto"/>
              <w:szCs w:val="30"/>
              <w:highlight w:val="none"/>
              <w:lang w:val="en-US" w:eastAsia="zh-CN"/>
            </w:rPr>
            <w:t xml:space="preserve">2.3. </w:t>
          </w:r>
          <w:r>
            <w:rPr>
              <w:rFonts w:hint="eastAsia"/>
              <w:color w:val="auto"/>
              <w:highlight w:val="none"/>
              <w:lang w:val="en-US" w:eastAsia="zh-CN"/>
            </w:rPr>
            <w:t>现行技术标准及规范</w:t>
          </w:r>
          <w:r>
            <w:rPr>
              <w:color w:val="auto"/>
              <w:highlight w:val="none"/>
            </w:rPr>
            <w:tab/>
          </w:r>
          <w:r>
            <w:rPr>
              <w:color w:val="auto"/>
              <w:highlight w:val="none"/>
            </w:rPr>
            <w:fldChar w:fldCharType="begin"/>
          </w:r>
          <w:r>
            <w:rPr>
              <w:color w:val="auto"/>
              <w:highlight w:val="none"/>
            </w:rPr>
            <w:instrText xml:space="preserve"> PAGEREF _Toc26336 \h </w:instrText>
          </w:r>
          <w:r>
            <w:rPr>
              <w:color w:val="auto"/>
              <w:highlight w:val="none"/>
            </w:rPr>
            <w:fldChar w:fldCharType="separate"/>
          </w:r>
          <w:r>
            <w:rPr>
              <w:color w:val="auto"/>
              <w:highlight w:val="none"/>
            </w:rPr>
            <w:t>12</w:t>
          </w:r>
          <w:r>
            <w:rPr>
              <w:color w:val="auto"/>
              <w:highlight w:val="none"/>
            </w:rPr>
            <w:fldChar w:fldCharType="end"/>
          </w:r>
          <w:r>
            <w:rPr>
              <w:rFonts w:hint="default"/>
              <w:color w:val="auto"/>
              <w:highlight w:val="none"/>
              <w:lang w:val="en-US" w:eastAsia="zh-CN"/>
            </w:rPr>
            <w:fldChar w:fldCharType="end"/>
          </w:r>
        </w:p>
        <w:p w14:paraId="1A921C7D">
          <w:pPr>
            <w:pStyle w:val="12"/>
            <w:tabs>
              <w:tab w:val="right" w:leader="dot" w:pos="8300"/>
            </w:tabs>
            <w:rPr>
              <w:color w:val="auto"/>
              <w:highlight w:val="none"/>
            </w:rPr>
          </w:pPr>
          <w:r>
            <w:rPr>
              <w:rFonts w:hint="default"/>
              <w:color w:val="auto"/>
              <w:highlight w:val="none"/>
              <w:lang w:val="en-US" w:eastAsia="zh-CN"/>
            </w:rPr>
            <w:fldChar w:fldCharType="begin"/>
          </w:r>
          <w:r>
            <w:rPr>
              <w:rFonts w:hint="default"/>
              <w:color w:val="auto"/>
              <w:highlight w:val="none"/>
              <w:lang w:val="en-US" w:eastAsia="zh-CN"/>
            </w:rPr>
            <w:instrText xml:space="preserve"> HYPERLINK \l _Toc2723 </w:instrText>
          </w:r>
          <w:r>
            <w:rPr>
              <w:rFonts w:hint="default"/>
              <w:color w:val="auto"/>
              <w:highlight w:val="none"/>
              <w:lang w:val="en-US" w:eastAsia="zh-CN"/>
            </w:rPr>
            <w:fldChar w:fldCharType="separate"/>
          </w:r>
          <w:r>
            <w:rPr>
              <w:rFonts w:hint="eastAsia"/>
              <w:color w:val="auto"/>
              <w:highlight w:val="none"/>
              <w:lang w:eastAsia="zh-CN"/>
            </w:rPr>
            <w:t xml:space="preserve">第三章 </w:t>
          </w:r>
          <w:r>
            <w:rPr>
              <w:color w:val="auto"/>
              <w:highlight w:val="none"/>
              <w:lang w:eastAsia="zh-CN"/>
            </w:rPr>
            <w:t>设计</w:t>
          </w:r>
          <w:r>
            <w:rPr>
              <w:rFonts w:hint="eastAsia"/>
              <w:color w:val="auto"/>
              <w:highlight w:val="none"/>
              <w:lang w:eastAsia="zh-CN"/>
            </w:rPr>
            <w:t>服务</w:t>
          </w:r>
          <w:r>
            <w:rPr>
              <w:color w:val="auto"/>
              <w:highlight w:val="none"/>
              <w:lang w:eastAsia="zh-CN"/>
            </w:rPr>
            <w:t>范围和内容</w:t>
          </w:r>
          <w:r>
            <w:rPr>
              <w:color w:val="auto"/>
              <w:highlight w:val="none"/>
            </w:rPr>
            <w:tab/>
          </w:r>
          <w:r>
            <w:rPr>
              <w:color w:val="auto"/>
              <w:highlight w:val="none"/>
            </w:rPr>
            <w:fldChar w:fldCharType="begin"/>
          </w:r>
          <w:r>
            <w:rPr>
              <w:color w:val="auto"/>
              <w:highlight w:val="none"/>
            </w:rPr>
            <w:instrText xml:space="preserve"> PAGEREF _Toc2723 \h </w:instrText>
          </w:r>
          <w:r>
            <w:rPr>
              <w:color w:val="auto"/>
              <w:highlight w:val="none"/>
            </w:rPr>
            <w:fldChar w:fldCharType="separate"/>
          </w:r>
          <w:r>
            <w:rPr>
              <w:color w:val="auto"/>
              <w:highlight w:val="none"/>
            </w:rPr>
            <w:t>15</w:t>
          </w:r>
          <w:r>
            <w:rPr>
              <w:color w:val="auto"/>
              <w:highlight w:val="none"/>
            </w:rPr>
            <w:fldChar w:fldCharType="end"/>
          </w:r>
          <w:r>
            <w:rPr>
              <w:rFonts w:hint="default"/>
              <w:color w:val="auto"/>
              <w:highlight w:val="none"/>
              <w:lang w:val="en-US" w:eastAsia="zh-CN"/>
            </w:rPr>
            <w:fldChar w:fldCharType="end"/>
          </w:r>
        </w:p>
        <w:p w14:paraId="5C65AFEB">
          <w:pPr>
            <w:pStyle w:val="13"/>
            <w:tabs>
              <w:tab w:val="right" w:leader="dot" w:pos="8300"/>
            </w:tabs>
            <w:rPr>
              <w:color w:val="auto"/>
              <w:highlight w:val="none"/>
            </w:rPr>
          </w:pPr>
          <w:r>
            <w:rPr>
              <w:rFonts w:hint="default"/>
              <w:color w:val="auto"/>
              <w:highlight w:val="none"/>
              <w:lang w:val="en-US" w:eastAsia="zh-CN"/>
            </w:rPr>
            <w:fldChar w:fldCharType="begin"/>
          </w:r>
          <w:r>
            <w:rPr>
              <w:rFonts w:hint="default"/>
              <w:color w:val="auto"/>
              <w:highlight w:val="none"/>
              <w:lang w:val="en-US" w:eastAsia="zh-CN"/>
            </w:rPr>
            <w:instrText xml:space="preserve"> HYPERLINK \l _Toc26040 </w:instrText>
          </w:r>
          <w:r>
            <w:rPr>
              <w:rFonts w:hint="default"/>
              <w:color w:val="auto"/>
              <w:highlight w:val="none"/>
              <w:lang w:val="en-US" w:eastAsia="zh-CN"/>
            </w:rPr>
            <w:fldChar w:fldCharType="separate"/>
          </w:r>
          <w:r>
            <w:rPr>
              <w:rFonts w:hint="eastAsia" w:ascii="宋体" w:hAnsi="宋体" w:cs="仿宋"/>
              <w:color w:val="auto"/>
              <w:szCs w:val="30"/>
              <w:highlight w:val="none"/>
              <w:lang w:eastAsia="zh-CN"/>
            </w:rPr>
            <w:t xml:space="preserve">3.1. </w:t>
          </w:r>
          <w:r>
            <w:rPr>
              <w:color w:val="auto"/>
              <w:highlight w:val="none"/>
              <w:lang w:eastAsia="zh-CN"/>
            </w:rPr>
            <w:t>设计</w:t>
          </w:r>
          <w:r>
            <w:rPr>
              <w:rFonts w:hint="eastAsia"/>
              <w:color w:val="auto"/>
              <w:highlight w:val="none"/>
              <w:lang w:eastAsia="zh-CN"/>
            </w:rPr>
            <w:t>服务</w:t>
          </w:r>
          <w:r>
            <w:rPr>
              <w:color w:val="auto"/>
              <w:highlight w:val="none"/>
              <w:lang w:eastAsia="zh-CN"/>
            </w:rPr>
            <w:t>范围</w:t>
          </w:r>
          <w:r>
            <w:rPr>
              <w:color w:val="auto"/>
              <w:highlight w:val="none"/>
            </w:rPr>
            <w:tab/>
          </w:r>
          <w:r>
            <w:rPr>
              <w:color w:val="auto"/>
              <w:highlight w:val="none"/>
            </w:rPr>
            <w:fldChar w:fldCharType="begin"/>
          </w:r>
          <w:r>
            <w:rPr>
              <w:color w:val="auto"/>
              <w:highlight w:val="none"/>
            </w:rPr>
            <w:instrText xml:space="preserve"> PAGEREF _Toc26040 \h </w:instrText>
          </w:r>
          <w:r>
            <w:rPr>
              <w:color w:val="auto"/>
              <w:highlight w:val="none"/>
            </w:rPr>
            <w:fldChar w:fldCharType="separate"/>
          </w:r>
          <w:r>
            <w:rPr>
              <w:color w:val="auto"/>
              <w:highlight w:val="none"/>
            </w:rPr>
            <w:t>15</w:t>
          </w:r>
          <w:r>
            <w:rPr>
              <w:color w:val="auto"/>
              <w:highlight w:val="none"/>
            </w:rPr>
            <w:fldChar w:fldCharType="end"/>
          </w:r>
          <w:r>
            <w:rPr>
              <w:rFonts w:hint="default"/>
              <w:color w:val="auto"/>
              <w:highlight w:val="none"/>
              <w:lang w:val="en-US" w:eastAsia="zh-CN"/>
            </w:rPr>
            <w:fldChar w:fldCharType="end"/>
          </w:r>
        </w:p>
        <w:p w14:paraId="138BFB5D">
          <w:pPr>
            <w:pStyle w:val="13"/>
            <w:tabs>
              <w:tab w:val="right" w:leader="dot" w:pos="8300"/>
            </w:tabs>
            <w:rPr>
              <w:color w:val="auto"/>
              <w:highlight w:val="none"/>
            </w:rPr>
          </w:pPr>
          <w:r>
            <w:rPr>
              <w:rFonts w:hint="default"/>
              <w:color w:val="auto"/>
              <w:highlight w:val="none"/>
              <w:lang w:val="en-US" w:eastAsia="zh-CN"/>
            </w:rPr>
            <w:fldChar w:fldCharType="begin"/>
          </w:r>
          <w:r>
            <w:rPr>
              <w:rFonts w:hint="default"/>
              <w:color w:val="auto"/>
              <w:highlight w:val="none"/>
              <w:lang w:val="en-US" w:eastAsia="zh-CN"/>
            </w:rPr>
            <w:instrText xml:space="preserve"> HYPERLINK \l _Toc23055 </w:instrText>
          </w:r>
          <w:r>
            <w:rPr>
              <w:rFonts w:hint="default"/>
              <w:color w:val="auto"/>
              <w:highlight w:val="none"/>
              <w:lang w:val="en-US" w:eastAsia="zh-CN"/>
            </w:rPr>
            <w:fldChar w:fldCharType="separate"/>
          </w:r>
          <w:r>
            <w:rPr>
              <w:rFonts w:hint="eastAsia" w:ascii="宋体" w:hAnsi="宋体" w:cs="仿宋"/>
              <w:color w:val="auto"/>
              <w:szCs w:val="30"/>
              <w:highlight w:val="none"/>
              <w:lang w:eastAsia="zh-CN"/>
            </w:rPr>
            <w:t xml:space="preserve">3.2. </w:t>
          </w:r>
          <w:r>
            <w:rPr>
              <w:color w:val="auto"/>
              <w:highlight w:val="none"/>
              <w:lang w:eastAsia="zh-CN"/>
            </w:rPr>
            <w:t>设计工作要求</w:t>
          </w:r>
          <w:r>
            <w:rPr>
              <w:color w:val="auto"/>
              <w:highlight w:val="none"/>
            </w:rPr>
            <w:tab/>
          </w:r>
          <w:r>
            <w:rPr>
              <w:color w:val="auto"/>
              <w:highlight w:val="none"/>
            </w:rPr>
            <w:fldChar w:fldCharType="begin"/>
          </w:r>
          <w:r>
            <w:rPr>
              <w:color w:val="auto"/>
              <w:highlight w:val="none"/>
            </w:rPr>
            <w:instrText xml:space="preserve"> PAGEREF _Toc23055 \h </w:instrText>
          </w:r>
          <w:r>
            <w:rPr>
              <w:color w:val="auto"/>
              <w:highlight w:val="none"/>
            </w:rPr>
            <w:fldChar w:fldCharType="separate"/>
          </w:r>
          <w:r>
            <w:rPr>
              <w:color w:val="auto"/>
              <w:highlight w:val="none"/>
            </w:rPr>
            <w:t>15</w:t>
          </w:r>
          <w:r>
            <w:rPr>
              <w:color w:val="auto"/>
              <w:highlight w:val="none"/>
            </w:rPr>
            <w:fldChar w:fldCharType="end"/>
          </w:r>
          <w:r>
            <w:rPr>
              <w:rFonts w:hint="default"/>
              <w:color w:val="auto"/>
              <w:highlight w:val="none"/>
              <w:lang w:val="en-US" w:eastAsia="zh-CN"/>
            </w:rPr>
            <w:fldChar w:fldCharType="end"/>
          </w:r>
        </w:p>
        <w:p w14:paraId="23F4077D">
          <w:pPr>
            <w:pStyle w:val="12"/>
            <w:tabs>
              <w:tab w:val="right" w:leader="dot" w:pos="8300"/>
            </w:tabs>
            <w:rPr>
              <w:color w:val="auto"/>
              <w:highlight w:val="none"/>
            </w:rPr>
          </w:pPr>
          <w:r>
            <w:rPr>
              <w:rFonts w:hint="default"/>
              <w:color w:val="auto"/>
              <w:highlight w:val="none"/>
              <w:lang w:val="en-US" w:eastAsia="zh-CN"/>
            </w:rPr>
            <w:fldChar w:fldCharType="begin"/>
          </w:r>
          <w:r>
            <w:rPr>
              <w:rFonts w:hint="default"/>
              <w:color w:val="auto"/>
              <w:highlight w:val="none"/>
              <w:lang w:val="en-US" w:eastAsia="zh-CN"/>
            </w:rPr>
            <w:instrText xml:space="preserve"> HYPERLINK \l _Toc8763 </w:instrText>
          </w:r>
          <w:r>
            <w:rPr>
              <w:rFonts w:hint="default"/>
              <w:color w:val="auto"/>
              <w:highlight w:val="none"/>
              <w:lang w:val="en-US" w:eastAsia="zh-CN"/>
            </w:rPr>
            <w:fldChar w:fldCharType="separate"/>
          </w:r>
          <w:r>
            <w:rPr>
              <w:rFonts w:hint="eastAsia"/>
              <w:color w:val="auto"/>
              <w:highlight w:val="none"/>
              <w:lang w:val="en-US" w:eastAsia="zh-CN"/>
            </w:rPr>
            <w:t xml:space="preserve">第四章 </w:t>
          </w:r>
          <w:r>
            <w:rPr>
              <w:color w:val="auto"/>
              <w:highlight w:val="none"/>
              <w:lang w:eastAsia="zh-CN"/>
            </w:rPr>
            <w:t>工程造价编制要求</w:t>
          </w:r>
          <w:r>
            <w:rPr>
              <w:color w:val="auto"/>
              <w:highlight w:val="none"/>
            </w:rPr>
            <w:tab/>
          </w:r>
          <w:r>
            <w:rPr>
              <w:color w:val="auto"/>
              <w:highlight w:val="none"/>
            </w:rPr>
            <w:fldChar w:fldCharType="begin"/>
          </w:r>
          <w:r>
            <w:rPr>
              <w:color w:val="auto"/>
              <w:highlight w:val="none"/>
            </w:rPr>
            <w:instrText xml:space="preserve"> PAGEREF _Toc8763 \h </w:instrText>
          </w:r>
          <w:r>
            <w:rPr>
              <w:color w:val="auto"/>
              <w:highlight w:val="none"/>
            </w:rPr>
            <w:fldChar w:fldCharType="separate"/>
          </w:r>
          <w:r>
            <w:rPr>
              <w:color w:val="auto"/>
              <w:highlight w:val="none"/>
            </w:rPr>
            <w:t>18</w:t>
          </w:r>
          <w:r>
            <w:rPr>
              <w:color w:val="auto"/>
              <w:highlight w:val="none"/>
            </w:rPr>
            <w:fldChar w:fldCharType="end"/>
          </w:r>
          <w:r>
            <w:rPr>
              <w:rFonts w:hint="default"/>
              <w:color w:val="auto"/>
              <w:highlight w:val="none"/>
              <w:lang w:val="en-US" w:eastAsia="zh-CN"/>
            </w:rPr>
            <w:fldChar w:fldCharType="end"/>
          </w:r>
        </w:p>
        <w:p w14:paraId="4EDCEDD9">
          <w:pPr>
            <w:pStyle w:val="13"/>
            <w:tabs>
              <w:tab w:val="right" w:leader="dot" w:pos="8300"/>
            </w:tabs>
            <w:rPr>
              <w:color w:val="auto"/>
              <w:highlight w:val="none"/>
            </w:rPr>
          </w:pPr>
          <w:r>
            <w:rPr>
              <w:rFonts w:hint="default"/>
              <w:color w:val="auto"/>
              <w:highlight w:val="none"/>
              <w:lang w:val="en-US" w:eastAsia="zh-CN"/>
            </w:rPr>
            <w:fldChar w:fldCharType="begin"/>
          </w:r>
          <w:r>
            <w:rPr>
              <w:rFonts w:hint="default"/>
              <w:color w:val="auto"/>
              <w:highlight w:val="none"/>
              <w:lang w:val="en-US" w:eastAsia="zh-CN"/>
            </w:rPr>
            <w:instrText xml:space="preserve"> HYPERLINK \l _Toc30801 </w:instrText>
          </w:r>
          <w:r>
            <w:rPr>
              <w:rFonts w:hint="default"/>
              <w:color w:val="auto"/>
              <w:highlight w:val="none"/>
              <w:lang w:val="en-US" w:eastAsia="zh-CN"/>
            </w:rPr>
            <w:fldChar w:fldCharType="separate"/>
          </w:r>
          <w:r>
            <w:rPr>
              <w:rFonts w:hint="eastAsia" w:ascii="宋体" w:hAnsi="宋体" w:cs="仿宋"/>
              <w:color w:val="auto"/>
              <w:szCs w:val="30"/>
              <w:highlight w:val="none"/>
              <w:lang w:val="en-US" w:eastAsia="zh-CN"/>
            </w:rPr>
            <w:t xml:space="preserve">4.1. </w:t>
          </w:r>
          <w:r>
            <w:rPr>
              <w:color w:val="auto"/>
              <w:highlight w:val="none"/>
              <w:lang w:eastAsia="zh-CN"/>
            </w:rPr>
            <w:t>造价文件编制及报审工作</w:t>
          </w:r>
          <w:r>
            <w:rPr>
              <w:color w:val="auto"/>
              <w:highlight w:val="none"/>
            </w:rPr>
            <w:tab/>
          </w:r>
          <w:r>
            <w:rPr>
              <w:color w:val="auto"/>
              <w:highlight w:val="none"/>
            </w:rPr>
            <w:fldChar w:fldCharType="begin"/>
          </w:r>
          <w:r>
            <w:rPr>
              <w:color w:val="auto"/>
              <w:highlight w:val="none"/>
            </w:rPr>
            <w:instrText xml:space="preserve"> PAGEREF _Toc30801 \h </w:instrText>
          </w:r>
          <w:r>
            <w:rPr>
              <w:color w:val="auto"/>
              <w:highlight w:val="none"/>
            </w:rPr>
            <w:fldChar w:fldCharType="separate"/>
          </w:r>
          <w:r>
            <w:rPr>
              <w:color w:val="auto"/>
              <w:highlight w:val="none"/>
            </w:rPr>
            <w:t>18</w:t>
          </w:r>
          <w:r>
            <w:rPr>
              <w:color w:val="auto"/>
              <w:highlight w:val="none"/>
            </w:rPr>
            <w:fldChar w:fldCharType="end"/>
          </w:r>
          <w:r>
            <w:rPr>
              <w:rFonts w:hint="default"/>
              <w:color w:val="auto"/>
              <w:highlight w:val="none"/>
              <w:lang w:val="en-US" w:eastAsia="zh-CN"/>
            </w:rPr>
            <w:fldChar w:fldCharType="end"/>
          </w:r>
        </w:p>
        <w:p w14:paraId="68B44370">
          <w:pPr>
            <w:pStyle w:val="13"/>
            <w:tabs>
              <w:tab w:val="right" w:leader="dot" w:pos="8300"/>
            </w:tabs>
            <w:rPr>
              <w:color w:val="auto"/>
              <w:highlight w:val="none"/>
            </w:rPr>
          </w:pPr>
          <w:r>
            <w:rPr>
              <w:rFonts w:hint="default"/>
              <w:color w:val="auto"/>
              <w:highlight w:val="none"/>
              <w:lang w:val="en-US" w:eastAsia="zh-CN"/>
            </w:rPr>
            <w:fldChar w:fldCharType="begin"/>
          </w:r>
          <w:r>
            <w:rPr>
              <w:rFonts w:hint="default"/>
              <w:color w:val="auto"/>
              <w:highlight w:val="none"/>
              <w:lang w:val="en-US" w:eastAsia="zh-CN"/>
            </w:rPr>
            <w:instrText xml:space="preserve"> HYPERLINK \l _Toc20400 </w:instrText>
          </w:r>
          <w:r>
            <w:rPr>
              <w:rFonts w:hint="default"/>
              <w:color w:val="auto"/>
              <w:highlight w:val="none"/>
              <w:lang w:val="en-US" w:eastAsia="zh-CN"/>
            </w:rPr>
            <w:fldChar w:fldCharType="separate"/>
          </w:r>
          <w:r>
            <w:rPr>
              <w:rFonts w:hint="eastAsia" w:ascii="宋体" w:hAnsi="宋体" w:cs="仿宋"/>
              <w:color w:val="auto"/>
              <w:szCs w:val="30"/>
              <w:highlight w:val="none"/>
              <w:lang w:val="en-US" w:eastAsia="zh-CN"/>
            </w:rPr>
            <w:t xml:space="preserve">4.2. </w:t>
          </w:r>
          <w:r>
            <w:rPr>
              <w:color w:val="auto"/>
              <w:highlight w:val="none"/>
            </w:rPr>
            <w:t>造价控制要求及工作要求</w:t>
          </w:r>
          <w:r>
            <w:rPr>
              <w:color w:val="auto"/>
              <w:highlight w:val="none"/>
            </w:rPr>
            <w:tab/>
          </w:r>
          <w:r>
            <w:rPr>
              <w:color w:val="auto"/>
              <w:highlight w:val="none"/>
            </w:rPr>
            <w:fldChar w:fldCharType="begin"/>
          </w:r>
          <w:r>
            <w:rPr>
              <w:color w:val="auto"/>
              <w:highlight w:val="none"/>
            </w:rPr>
            <w:instrText xml:space="preserve"> PAGEREF _Toc20400 \h </w:instrText>
          </w:r>
          <w:r>
            <w:rPr>
              <w:color w:val="auto"/>
              <w:highlight w:val="none"/>
            </w:rPr>
            <w:fldChar w:fldCharType="separate"/>
          </w:r>
          <w:r>
            <w:rPr>
              <w:color w:val="auto"/>
              <w:highlight w:val="none"/>
            </w:rPr>
            <w:t>18</w:t>
          </w:r>
          <w:r>
            <w:rPr>
              <w:color w:val="auto"/>
              <w:highlight w:val="none"/>
            </w:rPr>
            <w:fldChar w:fldCharType="end"/>
          </w:r>
          <w:r>
            <w:rPr>
              <w:rFonts w:hint="default"/>
              <w:color w:val="auto"/>
              <w:highlight w:val="none"/>
              <w:lang w:val="en-US" w:eastAsia="zh-CN"/>
            </w:rPr>
            <w:fldChar w:fldCharType="end"/>
          </w:r>
        </w:p>
        <w:p w14:paraId="1382507D">
          <w:pPr>
            <w:pStyle w:val="12"/>
            <w:tabs>
              <w:tab w:val="right" w:leader="dot" w:pos="8300"/>
            </w:tabs>
            <w:rPr>
              <w:color w:val="auto"/>
              <w:highlight w:val="none"/>
            </w:rPr>
          </w:pPr>
          <w:r>
            <w:rPr>
              <w:rFonts w:hint="default"/>
              <w:color w:val="auto"/>
              <w:highlight w:val="none"/>
              <w:lang w:val="en-US" w:eastAsia="zh-CN"/>
            </w:rPr>
            <w:fldChar w:fldCharType="begin"/>
          </w:r>
          <w:r>
            <w:rPr>
              <w:rFonts w:hint="default"/>
              <w:color w:val="auto"/>
              <w:highlight w:val="none"/>
              <w:lang w:val="en-US" w:eastAsia="zh-CN"/>
            </w:rPr>
            <w:instrText xml:space="preserve"> HYPERLINK \l _Toc19554 </w:instrText>
          </w:r>
          <w:r>
            <w:rPr>
              <w:rFonts w:hint="default"/>
              <w:color w:val="auto"/>
              <w:highlight w:val="none"/>
              <w:lang w:val="en-US" w:eastAsia="zh-CN"/>
            </w:rPr>
            <w:fldChar w:fldCharType="separate"/>
          </w:r>
          <w:r>
            <w:rPr>
              <w:rFonts w:hint="eastAsia"/>
              <w:color w:val="auto"/>
              <w:highlight w:val="none"/>
            </w:rPr>
            <w:t xml:space="preserve">第五章 </w:t>
          </w:r>
          <w:r>
            <w:rPr>
              <w:color w:val="auto"/>
              <w:highlight w:val="none"/>
            </w:rPr>
            <w:t>工程勘察</w:t>
          </w:r>
          <w:r>
            <w:rPr>
              <w:rFonts w:hint="eastAsia"/>
              <w:color w:val="auto"/>
              <w:highlight w:val="none"/>
            </w:rPr>
            <w:t>要求</w:t>
          </w:r>
          <w:r>
            <w:rPr>
              <w:color w:val="auto"/>
              <w:highlight w:val="none"/>
            </w:rPr>
            <w:tab/>
          </w:r>
          <w:r>
            <w:rPr>
              <w:color w:val="auto"/>
              <w:highlight w:val="none"/>
            </w:rPr>
            <w:fldChar w:fldCharType="begin"/>
          </w:r>
          <w:r>
            <w:rPr>
              <w:color w:val="auto"/>
              <w:highlight w:val="none"/>
            </w:rPr>
            <w:instrText xml:space="preserve"> PAGEREF _Toc19554 \h </w:instrText>
          </w:r>
          <w:r>
            <w:rPr>
              <w:color w:val="auto"/>
              <w:highlight w:val="none"/>
            </w:rPr>
            <w:fldChar w:fldCharType="separate"/>
          </w:r>
          <w:r>
            <w:rPr>
              <w:color w:val="auto"/>
              <w:highlight w:val="none"/>
            </w:rPr>
            <w:t>18</w:t>
          </w:r>
          <w:r>
            <w:rPr>
              <w:color w:val="auto"/>
              <w:highlight w:val="none"/>
            </w:rPr>
            <w:fldChar w:fldCharType="end"/>
          </w:r>
          <w:r>
            <w:rPr>
              <w:rFonts w:hint="default"/>
              <w:color w:val="auto"/>
              <w:highlight w:val="none"/>
              <w:lang w:val="en-US" w:eastAsia="zh-CN"/>
            </w:rPr>
            <w:fldChar w:fldCharType="end"/>
          </w:r>
        </w:p>
        <w:p w14:paraId="1AFD853A">
          <w:pPr>
            <w:pStyle w:val="13"/>
            <w:tabs>
              <w:tab w:val="right" w:leader="dot" w:pos="8300"/>
            </w:tabs>
            <w:rPr>
              <w:color w:val="auto"/>
              <w:highlight w:val="none"/>
            </w:rPr>
          </w:pPr>
          <w:r>
            <w:rPr>
              <w:rFonts w:hint="default"/>
              <w:color w:val="auto"/>
              <w:highlight w:val="none"/>
              <w:lang w:val="en-US" w:eastAsia="zh-CN"/>
            </w:rPr>
            <w:fldChar w:fldCharType="begin"/>
          </w:r>
          <w:r>
            <w:rPr>
              <w:rFonts w:hint="default"/>
              <w:color w:val="auto"/>
              <w:highlight w:val="none"/>
              <w:lang w:val="en-US" w:eastAsia="zh-CN"/>
            </w:rPr>
            <w:instrText xml:space="preserve"> HYPERLINK \l _Toc24269 </w:instrText>
          </w:r>
          <w:r>
            <w:rPr>
              <w:rFonts w:hint="default"/>
              <w:color w:val="auto"/>
              <w:highlight w:val="none"/>
              <w:lang w:val="en-US" w:eastAsia="zh-CN"/>
            </w:rPr>
            <w:fldChar w:fldCharType="separate"/>
          </w:r>
          <w:r>
            <w:rPr>
              <w:rFonts w:hint="eastAsia" w:ascii="宋体" w:hAnsi="宋体" w:cs="仿宋"/>
              <w:color w:val="auto"/>
              <w:szCs w:val="30"/>
              <w:highlight w:val="none"/>
            </w:rPr>
            <w:t xml:space="preserve">5.1. </w:t>
          </w:r>
          <w:r>
            <w:rPr>
              <w:color w:val="auto"/>
              <w:highlight w:val="none"/>
            </w:rPr>
            <w:t>勘察要求</w:t>
          </w:r>
          <w:r>
            <w:rPr>
              <w:color w:val="auto"/>
              <w:highlight w:val="none"/>
            </w:rPr>
            <w:tab/>
          </w:r>
          <w:r>
            <w:rPr>
              <w:color w:val="auto"/>
              <w:highlight w:val="none"/>
            </w:rPr>
            <w:fldChar w:fldCharType="begin"/>
          </w:r>
          <w:r>
            <w:rPr>
              <w:color w:val="auto"/>
              <w:highlight w:val="none"/>
            </w:rPr>
            <w:instrText xml:space="preserve"> PAGEREF _Toc24269 \h </w:instrText>
          </w:r>
          <w:r>
            <w:rPr>
              <w:color w:val="auto"/>
              <w:highlight w:val="none"/>
            </w:rPr>
            <w:fldChar w:fldCharType="separate"/>
          </w:r>
          <w:r>
            <w:rPr>
              <w:color w:val="auto"/>
              <w:highlight w:val="none"/>
            </w:rPr>
            <w:t>18</w:t>
          </w:r>
          <w:r>
            <w:rPr>
              <w:color w:val="auto"/>
              <w:highlight w:val="none"/>
            </w:rPr>
            <w:fldChar w:fldCharType="end"/>
          </w:r>
          <w:r>
            <w:rPr>
              <w:rFonts w:hint="default"/>
              <w:color w:val="auto"/>
              <w:highlight w:val="none"/>
              <w:lang w:val="en-US" w:eastAsia="zh-CN"/>
            </w:rPr>
            <w:fldChar w:fldCharType="end"/>
          </w:r>
        </w:p>
        <w:p w14:paraId="7A4E9B42">
          <w:pPr>
            <w:pStyle w:val="13"/>
            <w:tabs>
              <w:tab w:val="right" w:leader="dot" w:pos="8300"/>
            </w:tabs>
            <w:rPr>
              <w:color w:val="auto"/>
              <w:highlight w:val="none"/>
            </w:rPr>
          </w:pPr>
          <w:r>
            <w:rPr>
              <w:rFonts w:hint="default"/>
              <w:color w:val="auto"/>
              <w:highlight w:val="none"/>
              <w:lang w:val="en-US" w:eastAsia="zh-CN"/>
            </w:rPr>
            <w:fldChar w:fldCharType="begin"/>
          </w:r>
          <w:r>
            <w:rPr>
              <w:rFonts w:hint="default"/>
              <w:color w:val="auto"/>
              <w:highlight w:val="none"/>
              <w:lang w:val="en-US" w:eastAsia="zh-CN"/>
            </w:rPr>
            <w:instrText xml:space="preserve"> HYPERLINK \l _Toc6968 </w:instrText>
          </w:r>
          <w:r>
            <w:rPr>
              <w:rFonts w:hint="default"/>
              <w:color w:val="auto"/>
              <w:highlight w:val="none"/>
              <w:lang w:val="en-US" w:eastAsia="zh-CN"/>
            </w:rPr>
            <w:fldChar w:fldCharType="separate"/>
          </w:r>
          <w:r>
            <w:rPr>
              <w:rFonts w:hint="eastAsia" w:ascii="宋体" w:hAnsi="宋体" w:cs="仿宋"/>
              <w:color w:val="auto"/>
              <w:szCs w:val="30"/>
              <w:highlight w:val="none"/>
            </w:rPr>
            <w:t xml:space="preserve">5.2. </w:t>
          </w:r>
          <w:r>
            <w:rPr>
              <w:color w:val="auto"/>
              <w:highlight w:val="none"/>
            </w:rPr>
            <w:t>勘察成果文件要求</w:t>
          </w:r>
          <w:r>
            <w:rPr>
              <w:color w:val="auto"/>
              <w:highlight w:val="none"/>
            </w:rPr>
            <w:tab/>
          </w:r>
          <w:r>
            <w:rPr>
              <w:color w:val="auto"/>
              <w:highlight w:val="none"/>
            </w:rPr>
            <w:fldChar w:fldCharType="begin"/>
          </w:r>
          <w:r>
            <w:rPr>
              <w:color w:val="auto"/>
              <w:highlight w:val="none"/>
            </w:rPr>
            <w:instrText xml:space="preserve"> PAGEREF _Toc6968 \h </w:instrText>
          </w:r>
          <w:r>
            <w:rPr>
              <w:color w:val="auto"/>
              <w:highlight w:val="none"/>
            </w:rPr>
            <w:fldChar w:fldCharType="separate"/>
          </w:r>
          <w:r>
            <w:rPr>
              <w:color w:val="auto"/>
              <w:highlight w:val="none"/>
            </w:rPr>
            <w:t>24</w:t>
          </w:r>
          <w:r>
            <w:rPr>
              <w:color w:val="auto"/>
              <w:highlight w:val="none"/>
            </w:rPr>
            <w:fldChar w:fldCharType="end"/>
          </w:r>
          <w:r>
            <w:rPr>
              <w:rFonts w:hint="default"/>
              <w:color w:val="auto"/>
              <w:highlight w:val="none"/>
              <w:lang w:val="en-US" w:eastAsia="zh-CN"/>
            </w:rPr>
            <w:fldChar w:fldCharType="end"/>
          </w:r>
        </w:p>
        <w:p w14:paraId="462968B8">
          <w:pPr>
            <w:pStyle w:val="13"/>
            <w:tabs>
              <w:tab w:val="right" w:leader="dot" w:pos="8300"/>
            </w:tabs>
            <w:rPr>
              <w:color w:val="auto"/>
              <w:highlight w:val="none"/>
            </w:rPr>
          </w:pPr>
          <w:r>
            <w:rPr>
              <w:rFonts w:hint="default"/>
              <w:color w:val="auto"/>
              <w:highlight w:val="none"/>
              <w:lang w:val="en-US" w:eastAsia="zh-CN"/>
            </w:rPr>
            <w:fldChar w:fldCharType="begin"/>
          </w:r>
          <w:r>
            <w:rPr>
              <w:rFonts w:hint="default"/>
              <w:color w:val="auto"/>
              <w:highlight w:val="none"/>
              <w:lang w:val="en-US" w:eastAsia="zh-CN"/>
            </w:rPr>
            <w:instrText xml:space="preserve"> HYPERLINK \l _Toc9061 </w:instrText>
          </w:r>
          <w:r>
            <w:rPr>
              <w:rFonts w:hint="default"/>
              <w:color w:val="auto"/>
              <w:highlight w:val="none"/>
              <w:lang w:val="en-US" w:eastAsia="zh-CN"/>
            </w:rPr>
            <w:fldChar w:fldCharType="separate"/>
          </w:r>
          <w:r>
            <w:rPr>
              <w:rFonts w:hint="eastAsia" w:ascii="宋体" w:hAnsi="宋体" w:cs="仿宋"/>
              <w:color w:val="auto"/>
              <w:szCs w:val="30"/>
              <w:highlight w:val="none"/>
            </w:rPr>
            <w:t xml:space="preserve">5.3. </w:t>
          </w:r>
          <w:r>
            <w:rPr>
              <w:rFonts w:hint="eastAsia"/>
              <w:color w:val="auto"/>
              <w:highlight w:val="none"/>
            </w:rPr>
            <w:t>工期及人员驻场要求</w:t>
          </w:r>
          <w:r>
            <w:rPr>
              <w:color w:val="auto"/>
              <w:highlight w:val="none"/>
            </w:rPr>
            <w:tab/>
          </w:r>
          <w:r>
            <w:rPr>
              <w:color w:val="auto"/>
              <w:highlight w:val="none"/>
            </w:rPr>
            <w:fldChar w:fldCharType="begin"/>
          </w:r>
          <w:r>
            <w:rPr>
              <w:color w:val="auto"/>
              <w:highlight w:val="none"/>
            </w:rPr>
            <w:instrText xml:space="preserve"> PAGEREF _Toc9061 \h </w:instrText>
          </w:r>
          <w:r>
            <w:rPr>
              <w:color w:val="auto"/>
              <w:highlight w:val="none"/>
            </w:rPr>
            <w:fldChar w:fldCharType="separate"/>
          </w:r>
          <w:r>
            <w:rPr>
              <w:color w:val="auto"/>
              <w:highlight w:val="none"/>
            </w:rPr>
            <w:t>25</w:t>
          </w:r>
          <w:r>
            <w:rPr>
              <w:color w:val="auto"/>
              <w:highlight w:val="none"/>
            </w:rPr>
            <w:fldChar w:fldCharType="end"/>
          </w:r>
          <w:r>
            <w:rPr>
              <w:rFonts w:hint="default"/>
              <w:color w:val="auto"/>
              <w:highlight w:val="none"/>
              <w:lang w:val="en-US" w:eastAsia="zh-CN"/>
            </w:rPr>
            <w:fldChar w:fldCharType="end"/>
          </w:r>
        </w:p>
        <w:p w14:paraId="0D1D8038">
          <w:pPr>
            <w:pStyle w:val="12"/>
            <w:bidi w:val="0"/>
            <w:rPr>
              <w:rFonts w:hint="default"/>
              <w:color w:val="auto"/>
              <w:highlight w:val="none"/>
              <w:lang w:val="en-US" w:eastAsia="zh-CN"/>
            </w:rPr>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425" w:num="1"/>
              <w:rtlGutter w:val="0"/>
              <w:docGrid w:type="lines" w:linePitch="312" w:charSpace="0"/>
            </w:sectPr>
          </w:pPr>
          <w:r>
            <w:rPr>
              <w:rFonts w:hint="default"/>
              <w:color w:val="auto"/>
              <w:highlight w:val="none"/>
              <w:lang w:val="en-US" w:eastAsia="zh-CN"/>
            </w:rPr>
            <w:fldChar w:fldCharType="end"/>
          </w:r>
        </w:p>
      </w:sdtContent>
    </w:sdt>
    <w:p w14:paraId="74B6B945">
      <w:pPr>
        <w:pStyle w:val="2"/>
        <w:bidi w:val="0"/>
        <w:rPr>
          <w:color w:val="auto"/>
          <w:highlight w:val="none"/>
          <w:lang w:eastAsia="zh-CN"/>
        </w:rPr>
      </w:pPr>
      <w:bookmarkStart w:id="0" w:name="_Toc17974"/>
      <w:r>
        <w:rPr>
          <w:color w:val="auto"/>
          <w:highlight w:val="none"/>
          <w:lang w:eastAsia="zh-CN"/>
        </w:rPr>
        <w:t>项目概况</w:t>
      </w:r>
      <w:r>
        <w:rPr>
          <w:rFonts w:hint="eastAsia"/>
          <w:color w:val="auto"/>
          <w:highlight w:val="none"/>
          <w:lang w:eastAsia="zh-CN"/>
        </w:rPr>
        <w:t>及设计要求</w:t>
      </w:r>
      <w:bookmarkEnd w:id="0"/>
    </w:p>
    <w:p w14:paraId="7C589478">
      <w:pPr>
        <w:pStyle w:val="3"/>
        <w:bidi w:val="0"/>
        <w:rPr>
          <w:rFonts w:hint="eastAsia"/>
          <w:color w:val="auto"/>
          <w:highlight w:val="none"/>
          <w:lang w:val="en-US"/>
        </w:rPr>
      </w:pPr>
      <w:bookmarkStart w:id="1" w:name="1.1_项目基本信息"/>
      <w:bookmarkEnd w:id="1"/>
      <w:bookmarkStart w:id="2" w:name="_Toc2601"/>
      <w:r>
        <w:rPr>
          <w:rFonts w:hint="eastAsia"/>
          <w:color w:val="auto"/>
          <w:highlight w:val="none"/>
          <w:lang w:val="en-US" w:eastAsia="zh-CN"/>
        </w:rPr>
        <w:t>项目</w:t>
      </w:r>
      <w:r>
        <w:rPr>
          <w:rFonts w:hint="eastAsia"/>
          <w:color w:val="auto"/>
          <w:highlight w:val="none"/>
          <w:lang w:val="en-US"/>
        </w:rPr>
        <w:t>概况</w:t>
      </w:r>
      <w:bookmarkEnd w:id="2"/>
    </w:p>
    <w:p w14:paraId="0BB35E4D">
      <w:pPr>
        <w:pStyle w:val="4"/>
        <w:bidi w:val="0"/>
        <w:rPr>
          <w:rFonts w:hint="eastAsia"/>
          <w:color w:val="auto"/>
          <w:highlight w:val="none"/>
          <w:lang w:val="en-US"/>
        </w:rPr>
      </w:pPr>
      <w:r>
        <w:rPr>
          <w:rFonts w:hint="eastAsia"/>
          <w:color w:val="auto"/>
          <w:highlight w:val="none"/>
          <w:lang w:val="en-US" w:eastAsia="zh-CN"/>
        </w:rPr>
        <w:t>项目</w:t>
      </w:r>
      <w:r>
        <w:rPr>
          <w:rFonts w:hint="eastAsia"/>
          <w:color w:val="auto"/>
          <w:highlight w:val="none"/>
          <w:lang w:val="en-US"/>
        </w:rPr>
        <w:t>名称</w:t>
      </w:r>
    </w:p>
    <w:p w14:paraId="7084C7D1">
      <w:pPr>
        <w:bidi w:val="0"/>
        <w:rPr>
          <w:rFonts w:hint="eastAsia" w:eastAsia="宋体"/>
          <w:color w:val="auto"/>
          <w:highlight w:val="none"/>
          <w:lang w:val="en-US" w:eastAsia="zh-CN"/>
        </w:rPr>
      </w:pPr>
      <w:r>
        <w:rPr>
          <w:rFonts w:hint="eastAsia"/>
          <w:color w:val="auto"/>
          <w:highlight w:val="none"/>
          <w:lang w:val="en-US" w:eastAsia="zh-CN"/>
        </w:rPr>
        <w:t>项目名称：</w:t>
      </w:r>
      <w:r>
        <w:rPr>
          <w:rFonts w:hint="eastAsia"/>
          <w:color w:val="auto"/>
          <w:highlight w:val="none"/>
          <w:lang w:val="en-US"/>
        </w:rPr>
        <w:t>番禺区市桥医院改造项目勘察设计</w:t>
      </w:r>
      <w:r>
        <w:rPr>
          <w:rFonts w:hint="eastAsia"/>
          <w:color w:val="auto"/>
          <w:highlight w:val="none"/>
          <w:lang w:val="en-US" w:eastAsia="zh-CN"/>
        </w:rPr>
        <w:t>。</w:t>
      </w:r>
    </w:p>
    <w:p w14:paraId="623779F6">
      <w:pPr>
        <w:pStyle w:val="4"/>
        <w:bidi w:val="0"/>
        <w:rPr>
          <w:rFonts w:hint="eastAsia"/>
          <w:color w:val="auto"/>
          <w:highlight w:val="none"/>
          <w:lang w:val="en-US"/>
        </w:rPr>
      </w:pPr>
      <w:r>
        <w:rPr>
          <w:rFonts w:hint="eastAsia"/>
          <w:color w:val="auto"/>
          <w:highlight w:val="none"/>
          <w:lang w:val="en-US" w:eastAsia="zh-CN"/>
        </w:rPr>
        <w:t>建设地点</w:t>
      </w:r>
    </w:p>
    <w:p w14:paraId="152095BE">
      <w:pPr>
        <w:keepNext w:val="0"/>
        <w:keepLines w:val="0"/>
        <w:widowControl/>
        <w:suppressLineNumbers w:val="0"/>
        <w:jc w:val="left"/>
        <w:rPr>
          <w:rFonts w:hint="eastAsia"/>
          <w:color w:val="auto"/>
          <w:highlight w:val="none"/>
          <w:lang w:val="en-US" w:eastAsia="zh-CN"/>
        </w:rPr>
      </w:pPr>
      <w:r>
        <w:rPr>
          <w:rFonts w:hint="eastAsia"/>
          <w:color w:val="auto"/>
          <w:highlight w:val="none"/>
          <w:lang w:val="en-US" w:eastAsia="zh-CN"/>
        </w:rPr>
        <w:t>项目建设地点位于位于番禺区市桥街道捷进中路 114 号，市桥医院院内。地块北侧为北正大街，南侧为捷进中路，西侧为西环路。周边有市桥医院（西环路）和市桥医院（捷进中路）公交站。</w:t>
      </w:r>
    </w:p>
    <w:p w14:paraId="5F1A6555">
      <w:pPr>
        <w:keepNext w:val="0"/>
        <w:keepLines w:val="0"/>
        <w:widowControl/>
        <w:suppressLineNumbers w:val="0"/>
        <w:jc w:val="left"/>
        <w:rPr>
          <w:rFonts w:hint="eastAsia"/>
          <w:color w:val="auto"/>
          <w:highlight w:val="none"/>
          <w:lang w:val="en-US" w:eastAsia="zh-CN"/>
        </w:rPr>
      </w:pPr>
      <w:r>
        <w:rPr>
          <w:rFonts w:hint="eastAsia"/>
          <w:color w:val="auto"/>
          <w:highlight w:val="none"/>
          <w:lang w:val="en-US" w:eastAsia="zh-CN"/>
        </w:rPr>
        <w:t>市桥医院服务市桥街西北面和沙头街、东环街约 35 平方公里，服务人口约 42 万，承担医疗服务任务，协助落实区域卫生事业发展规划。项目地理位置见下图。</w:t>
      </w:r>
    </w:p>
    <w:p w14:paraId="2462CB66">
      <w:pPr>
        <w:bidi w:val="0"/>
        <w:ind w:left="0" w:leftChars="0" w:firstLine="0" w:firstLineChars="0"/>
        <w:rPr>
          <w:color w:val="auto"/>
          <w:highlight w:val="none"/>
        </w:rPr>
      </w:pPr>
      <w:r>
        <w:rPr>
          <w:color w:val="auto"/>
          <w:highlight w:val="none"/>
        </w:rPr>
        <w:drawing>
          <wp:inline distT="0" distB="0" distL="114300" distR="114300">
            <wp:extent cx="5114925" cy="3958590"/>
            <wp:effectExtent l="0" t="0" r="952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114925" cy="3958590"/>
                    </a:xfrm>
                    <a:prstGeom prst="rect">
                      <a:avLst/>
                    </a:prstGeom>
                    <a:noFill/>
                    <a:ln>
                      <a:noFill/>
                    </a:ln>
                  </pic:spPr>
                </pic:pic>
              </a:graphicData>
            </a:graphic>
          </wp:inline>
        </w:drawing>
      </w:r>
    </w:p>
    <w:p w14:paraId="4797C3E7">
      <w:pPr>
        <w:pStyle w:val="4"/>
        <w:bidi w:val="0"/>
        <w:rPr>
          <w:rFonts w:hint="eastAsia"/>
          <w:color w:val="auto"/>
          <w:highlight w:val="none"/>
          <w:lang w:val="en-US"/>
        </w:rPr>
      </w:pPr>
      <w:r>
        <w:rPr>
          <w:rFonts w:hint="eastAsia"/>
          <w:color w:val="auto"/>
          <w:highlight w:val="none"/>
          <w:lang w:val="en-US" w:eastAsia="zh-CN"/>
        </w:rPr>
        <w:t>规划现状</w:t>
      </w:r>
    </w:p>
    <w:p w14:paraId="257F15C0">
      <w:pPr>
        <w:bidi w:val="0"/>
        <w:rPr>
          <w:rFonts w:hint="default"/>
          <w:color w:val="auto"/>
          <w:highlight w:val="none"/>
          <w:lang w:val="en-US" w:eastAsia="zh-CN"/>
        </w:rPr>
      </w:pPr>
      <w:r>
        <w:rPr>
          <w:rFonts w:hint="eastAsia"/>
          <w:color w:val="auto"/>
          <w:highlight w:val="none"/>
          <w:lang w:val="en-US" w:eastAsia="zh-CN"/>
        </w:rPr>
        <w:t xml:space="preserve">项目总用地面积约4300平方米，用地性质为医疗卫生用地（C5）。 </w:t>
      </w:r>
      <w:r>
        <w:rPr>
          <w:rFonts w:hint="eastAsia"/>
          <w:color w:val="auto"/>
          <w:highlight w:val="none"/>
          <w:lang w:val="en-US" w:eastAsia="zh-CN"/>
        </w:rPr>
        <w:t>现状为</w:t>
      </w:r>
      <w:r>
        <w:rPr>
          <w:rFonts w:hint="eastAsia"/>
          <w:color w:val="auto"/>
          <w:highlight w:val="none"/>
          <w:lang w:val="en-US" w:eastAsia="zh-CN"/>
        </w:rPr>
        <w:t>1、2号楼楼均已投入使用。医院定位为二级医院。</w:t>
      </w:r>
    </w:p>
    <w:p w14:paraId="3C2E5449">
      <w:pPr>
        <w:pStyle w:val="4"/>
        <w:bidi w:val="0"/>
        <w:rPr>
          <w:rFonts w:hint="eastAsia"/>
          <w:color w:val="auto"/>
          <w:highlight w:val="none"/>
          <w:lang w:val="en-US"/>
        </w:rPr>
      </w:pPr>
      <w:r>
        <w:rPr>
          <w:rFonts w:hint="eastAsia"/>
          <w:color w:val="auto"/>
          <w:highlight w:val="none"/>
          <w:lang w:val="en-US"/>
        </w:rPr>
        <w:t>建设类型</w:t>
      </w:r>
    </w:p>
    <w:p w14:paraId="3FEBBCB4">
      <w:pPr>
        <w:bidi w:val="0"/>
        <w:rPr>
          <w:rFonts w:hint="eastAsia"/>
          <w:color w:val="auto"/>
          <w:highlight w:val="none"/>
          <w:lang w:val="en-US" w:eastAsia="zh-CN"/>
        </w:rPr>
      </w:pPr>
      <w:r>
        <w:rPr>
          <w:rFonts w:hint="eastAsia"/>
          <w:color w:val="auto"/>
          <w:highlight w:val="none"/>
          <w:lang w:val="en-US" w:eastAsia="zh-CN"/>
        </w:rPr>
        <w:t>本项目为改造工程。</w:t>
      </w:r>
    </w:p>
    <w:p w14:paraId="5039B077">
      <w:pPr>
        <w:pStyle w:val="4"/>
        <w:bidi w:val="0"/>
        <w:rPr>
          <w:rFonts w:hint="eastAsia"/>
          <w:color w:val="auto"/>
          <w:highlight w:val="none"/>
          <w:lang w:val="en-US"/>
        </w:rPr>
      </w:pPr>
      <w:r>
        <w:rPr>
          <w:rFonts w:hint="eastAsia"/>
          <w:color w:val="auto"/>
          <w:highlight w:val="none"/>
          <w:lang w:val="en-US"/>
        </w:rPr>
        <w:t>项目</w:t>
      </w:r>
      <w:r>
        <w:rPr>
          <w:rFonts w:hint="eastAsia"/>
          <w:color w:val="auto"/>
          <w:highlight w:val="none"/>
          <w:lang w:val="en-US" w:eastAsia="zh-CN"/>
        </w:rPr>
        <w:t>建设</w:t>
      </w:r>
      <w:r>
        <w:rPr>
          <w:rFonts w:hint="eastAsia"/>
          <w:color w:val="auto"/>
          <w:highlight w:val="none"/>
          <w:lang w:val="en-US"/>
        </w:rPr>
        <w:t>单位</w:t>
      </w:r>
    </w:p>
    <w:p w14:paraId="13887E8B">
      <w:pPr>
        <w:bidi w:val="0"/>
        <w:rPr>
          <w:rFonts w:hint="eastAsia"/>
          <w:color w:val="auto"/>
          <w:highlight w:val="none"/>
          <w:lang w:val="en-US" w:eastAsia="zh-CN"/>
        </w:rPr>
      </w:pPr>
      <w:r>
        <w:rPr>
          <w:rFonts w:hint="eastAsia"/>
          <w:color w:val="auto"/>
          <w:highlight w:val="none"/>
          <w:lang w:val="en-US" w:eastAsia="zh-CN"/>
        </w:rPr>
        <w:t>项目建设单位为市桥医院，医院于1958年5月建院，1992 年 1 月易名市桥医院，1996 年通过一级甲等医院评审，1997 年通过爱婴医院评审。2018 年 8 月，市桥医院与广州医科大学附属第一医院建立紧密型医疗联合体：广州医科大学附属第一医院市桥医院。2020 年 1 月正式确定为二级甲等医院。</w:t>
      </w:r>
    </w:p>
    <w:p w14:paraId="55B2F15F">
      <w:pPr>
        <w:bidi w:val="0"/>
        <w:rPr>
          <w:rFonts w:hint="eastAsia"/>
          <w:color w:val="auto"/>
          <w:highlight w:val="none"/>
          <w:lang w:val="en-US" w:eastAsia="zh-CN"/>
        </w:rPr>
      </w:pPr>
      <w:r>
        <w:rPr>
          <w:rFonts w:hint="eastAsia"/>
          <w:color w:val="auto"/>
          <w:highlight w:val="none"/>
          <w:lang w:val="en-US" w:eastAsia="zh-CN"/>
        </w:rPr>
        <w:t>市桥医院服务市桥街西北面和沙头街、东环街约 35 平方公里，服务人口约 42 万。在 60 多年的发展中，市桥医院秉承“廉价、优质”可持续发展的服务理念，坚持以病人为中心，把方便病人放在首位坚持社会效益优先的原则，为群众提供质优、安全、可及、连续、全程的医疗健康服务。市桥医院占地面积 4300 平方米，建筑面积16573.2 平方米；现有职员工 378 人，其中高级职称 40 人、中级职称 71 人；编制床位 243 张。医院配备了腹腔镜、支纤镜、支气管镜、 睡眠检测仪、有创及无创呼吸机、16 排全身螺旋 CT、方舱 CT、DR、全套泌尿外科微创手术设备、彩色多普勒超声诊断系统、四维彩超、全自动化学发光免疫分析仪、梅里埃 VIDAS 全自动免疫分析系统、实时荧光定量 PCR 扩增仪、普通 PCR 扩增仪、全自动基因提取仪等一批大型医疗设备。医院科室设置有内科、外科、妇科、产科、儿科、眼科、耳鼻咽喉科、口腔科、传染科、急诊医学科、全科医学科、临终关怀科（康宁科）、麻醉科、医学检验科、医学影像科、中医科、中西医结合科，并提供门诊 24 种特定疾病的医保记账服务。医学影像、超声、检验科均设有 24 小时值班人员，为群众提供全天候诊疗服务。</w:t>
      </w:r>
    </w:p>
    <w:p w14:paraId="06E096BC">
      <w:pPr>
        <w:bidi w:val="0"/>
        <w:rPr>
          <w:rFonts w:hint="eastAsia"/>
          <w:color w:val="auto"/>
          <w:highlight w:val="none"/>
          <w:lang w:val="en-US" w:eastAsia="zh-CN"/>
        </w:rPr>
      </w:pPr>
    </w:p>
    <w:p w14:paraId="1C37B6AF">
      <w:pPr>
        <w:pStyle w:val="4"/>
        <w:bidi w:val="0"/>
        <w:rPr>
          <w:rFonts w:hint="eastAsia"/>
          <w:color w:val="auto"/>
          <w:highlight w:val="none"/>
          <w:lang w:val="en-US"/>
        </w:rPr>
      </w:pPr>
      <w:r>
        <w:rPr>
          <w:rFonts w:hint="eastAsia"/>
          <w:color w:val="auto"/>
          <w:highlight w:val="none"/>
          <w:lang w:val="en-US" w:eastAsia="zh-CN"/>
        </w:rPr>
        <w:t>建设目标及任务</w:t>
      </w:r>
    </w:p>
    <w:p w14:paraId="0BAABBBD">
      <w:pPr>
        <w:spacing w:after="0"/>
        <w:ind w:firstLine="480" w:firstLineChars="200"/>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番禺区市桥医院是区属二级甲等综合医院，</w:t>
      </w:r>
      <w:r>
        <w:rPr>
          <w:rFonts w:hint="eastAsia" w:ascii="宋体" w:hAnsi="宋体" w:eastAsia="宋体" w:cs="宋体"/>
          <w:color w:val="auto"/>
          <w:highlight w:val="none"/>
          <w:lang w:val="en-US" w:eastAsia="zh-CN"/>
        </w:rPr>
        <w:t>2023年4月，番禺区人民政府办公室印发《番禺区卫生健康事业发展“十四五”规划》，提出市桥医院加挂“广州医科大学附属第一医院市桥医院”牌子，继续深化广州医科大学附属第一医院紧密型医联体合作，筑牢二甲医院基础，积极探讨国家呼吸中心基层版建设，并建立全科医学培训基地和临终关怀示范服务中心。</w:t>
      </w:r>
      <w:r>
        <w:rPr>
          <w:rFonts w:hint="eastAsia" w:ascii="宋体" w:hAnsi="宋体" w:eastAsia="宋体" w:cs="宋体"/>
          <w:color w:val="auto"/>
          <w:highlight w:val="none"/>
          <w:lang w:val="en-US" w:eastAsia="zh-CN"/>
        </w:rPr>
        <w:t>本次项目重点对医院现有门诊、住院楼进行改造，优化患者就医环境，提升医院服务水平。</w:t>
      </w:r>
    </w:p>
    <w:p w14:paraId="56FC4310">
      <w:pPr>
        <w:pStyle w:val="4"/>
        <w:bidi w:val="0"/>
        <w:rPr>
          <w:rFonts w:hint="eastAsia"/>
          <w:color w:val="auto"/>
          <w:highlight w:val="none"/>
          <w:lang w:val="en-US"/>
        </w:rPr>
      </w:pPr>
      <w:r>
        <w:rPr>
          <w:rFonts w:hint="eastAsia"/>
          <w:color w:val="auto"/>
          <w:highlight w:val="none"/>
          <w:lang w:val="en-US" w:eastAsia="zh-CN"/>
        </w:rPr>
        <w:t>项目定位与建设目标</w:t>
      </w:r>
    </w:p>
    <w:p w14:paraId="010C43C8">
      <w:pPr>
        <w:bidi w:val="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市桥医院立足发展实际，持续强化学科建设工作，围绕“大专科+小综合”的学科发展方针，为开展适宜技术的科室配置专业医疗设备，同时深化“一科一技”规划，增强科室新技术、新项目开展；充分利用医联体合作优势，推进专科建设工作，推进康宁科建设番禺区临床特色专科；推动相关学科分科建设。持续推进新冠救治工作，不断加强重症救治能力建设，为人民群众提供更安全优质的服务。</w:t>
      </w:r>
    </w:p>
    <w:p w14:paraId="70FF7F07">
      <w:pPr>
        <w:bidi w:val="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建成后，医院功能设置将更加合理，流程更加规范，设备更为先进、群众就医更加便捷，就医环境将得到极大的改善，为周边居民群众看病就医提供更大便利，有力推动医院诊疗服务进一步扩容、提质、增效，成为医院高质量发展的崭新起点。</w:t>
      </w:r>
    </w:p>
    <w:p w14:paraId="738663AD">
      <w:pPr>
        <w:bidi w:val="0"/>
        <w:jc w:val="left"/>
        <w:rPr>
          <w:color w:val="auto"/>
          <w:highlight w:val="none"/>
        </w:rPr>
      </w:pPr>
      <w:r>
        <w:rPr>
          <w:color w:val="auto"/>
          <w:highlight w:val="none"/>
        </w:rPr>
        <w:drawing>
          <wp:inline distT="0" distB="0" distL="114300" distR="114300">
            <wp:extent cx="4775835" cy="3388360"/>
            <wp:effectExtent l="0" t="0" r="571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775835" cy="3388360"/>
                    </a:xfrm>
                    <a:prstGeom prst="rect">
                      <a:avLst/>
                    </a:prstGeom>
                    <a:noFill/>
                    <a:ln>
                      <a:noFill/>
                    </a:ln>
                  </pic:spPr>
                </pic:pic>
              </a:graphicData>
            </a:graphic>
          </wp:inline>
        </w:drawing>
      </w:r>
    </w:p>
    <w:p w14:paraId="1EA26A00">
      <w:pPr>
        <w:pStyle w:val="3"/>
        <w:rPr>
          <w:rFonts w:hint="eastAsia"/>
          <w:color w:val="auto"/>
          <w:highlight w:val="none"/>
          <w:lang w:val="en-US" w:eastAsia="zh-CN"/>
        </w:rPr>
      </w:pPr>
      <w:bookmarkStart w:id="3" w:name="_Toc20646"/>
      <w:r>
        <w:rPr>
          <w:color w:val="auto"/>
          <w:highlight w:val="none"/>
          <w:lang w:eastAsia="zh-CN"/>
        </w:rPr>
        <w:t>设计要求</w:t>
      </w:r>
      <w:bookmarkEnd w:id="3"/>
    </w:p>
    <w:p w14:paraId="0689E9E4">
      <w:pPr>
        <w:pStyle w:val="4"/>
        <w:bidi w:val="0"/>
        <w:rPr>
          <w:rFonts w:hint="eastAsia"/>
          <w:color w:val="auto"/>
          <w:highlight w:val="none"/>
          <w:lang w:val="en-US" w:eastAsia="zh-CN"/>
        </w:rPr>
      </w:pPr>
      <w:r>
        <w:rPr>
          <w:rFonts w:hint="eastAsia"/>
          <w:color w:val="auto"/>
          <w:highlight w:val="none"/>
          <w:lang w:val="en-US" w:eastAsia="zh-CN"/>
        </w:rPr>
        <w:t>现状问题分析</w:t>
      </w:r>
    </w:p>
    <w:p w14:paraId="356DF53C">
      <w:pPr>
        <w:numPr>
          <w:ilvl w:val="0"/>
          <w:numId w:val="2"/>
        </w:numPr>
        <w:bidi w:val="0"/>
        <w:ind w:left="425" w:leftChars="0" w:hanging="425" w:firstLineChars="0"/>
        <w:rPr>
          <w:rFonts w:hint="eastAsia"/>
          <w:color w:val="auto"/>
          <w:highlight w:val="none"/>
          <w:lang w:val="en-US" w:eastAsia="zh-CN"/>
        </w:rPr>
      </w:pPr>
      <w:r>
        <w:rPr>
          <w:rFonts w:hint="eastAsia"/>
          <w:color w:val="auto"/>
          <w:highlight w:val="none"/>
          <w:lang w:val="en-US" w:eastAsia="zh-CN"/>
        </w:rPr>
        <w:t>院内安全问题：</w:t>
      </w:r>
    </w:p>
    <w:p w14:paraId="65E53C2C">
      <w:pPr>
        <w:numPr>
          <w:ilvl w:val="0"/>
          <w:numId w:val="3"/>
        </w:numPr>
        <w:bidi w:val="0"/>
        <w:ind w:left="845" w:leftChars="0" w:hanging="425" w:firstLineChars="0"/>
        <w:rPr>
          <w:rFonts w:hint="eastAsia"/>
          <w:color w:val="auto"/>
          <w:highlight w:val="none"/>
          <w:lang w:val="en-US" w:eastAsia="zh-CN"/>
        </w:rPr>
      </w:pPr>
      <w:r>
        <w:rPr>
          <w:rFonts w:hint="eastAsia"/>
          <w:color w:val="auto"/>
          <w:highlight w:val="none"/>
          <w:lang w:val="en-US" w:eastAsia="zh-CN"/>
        </w:rPr>
        <w:t>安全结构问题，房屋抗震鉴定结论为不满足七度重点设防类(乙类)建筑的抗震设防要求，存在一定安全隐患；</w:t>
      </w:r>
    </w:p>
    <w:p w14:paraId="49112E64">
      <w:pPr>
        <w:numPr>
          <w:ilvl w:val="0"/>
          <w:numId w:val="3"/>
        </w:numPr>
        <w:bidi w:val="0"/>
        <w:ind w:left="845" w:leftChars="0" w:hanging="425" w:firstLineChars="0"/>
        <w:rPr>
          <w:rFonts w:hint="eastAsia"/>
          <w:color w:val="auto"/>
          <w:highlight w:val="none"/>
          <w:lang w:val="en-US" w:eastAsia="zh-CN"/>
        </w:rPr>
      </w:pPr>
      <w:r>
        <w:rPr>
          <w:rFonts w:hint="eastAsia"/>
          <w:color w:val="auto"/>
          <w:highlight w:val="none"/>
          <w:lang w:val="en-US" w:eastAsia="zh-CN"/>
        </w:rPr>
        <w:t>消防安全问题多次消防安全检查提出的隐患问题，由于现状使用的原因未能得到根本整治；</w:t>
      </w:r>
    </w:p>
    <w:p w14:paraId="6FE8CB69">
      <w:pPr>
        <w:numPr>
          <w:ilvl w:val="0"/>
          <w:numId w:val="3"/>
        </w:numPr>
        <w:bidi w:val="0"/>
        <w:ind w:left="845" w:leftChars="0" w:hanging="425" w:firstLineChars="0"/>
        <w:rPr>
          <w:rFonts w:hint="eastAsia"/>
          <w:color w:val="auto"/>
          <w:highlight w:val="none"/>
          <w:lang w:val="en-US" w:eastAsia="zh-CN"/>
        </w:rPr>
      </w:pPr>
      <w:r>
        <w:rPr>
          <w:rFonts w:hint="eastAsia"/>
          <w:color w:val="auto"/>
          <w:highlight w:val="none"/>
          <w:lang w:val="en-US" w:eastAsia="zh-CN"/>
        </w:rPr>
        <w:t>停电安全问题缺少紧急发电装置，一旦遭遇自然灾害、电网故障或人为事故导致的停电，医院将面临全面断电风险；</w:t>
      </w:r>
    </w:p>
    <w:p w14:paraId="3FCCA2C4">
      <w:pPr>
        <w:numPr>
          <w:ilvl w:val="0"/>
          <w:numId w:val="2"/>
        </w:numPr>
        <w:bidi w:val="0"/>
        <w:ind w:left="425" w:leftChars="0" w:hanging="425" w:firstLineChars="0"/>
        <w:rPr>
          <w:rFonts w:hint="eastAsia"/>
          <w:color w:val="auto"/>
          <w:highlight w:val="none"/>
          <w:lang w:val="en-US" w:eastAsia="zh-CN"/>
        </w:rPr>
      </w:pPr>
      <w:r>
        <w:rPr>
          <w:rFonts w:hint="eastAsia"/>
          <w:color w:val="auto"/>
          <w:highlight w:val="none"/>
          <w:lang w:val="en-US" w:eastAsia="zh-CN"/>
        </w:rPr>
        <w:t>医院环境问题：</w:t>
      </w:r>
    </w:p>
    <w:p w14:paraId="0A04D1A4">
      <w:pPr>
        <w:numPr>
          <w:ilvl w:val="0"/>
          <w:numId w:val="4"/>
        </w:numPr>
        <w:bidi w:val="0"/>
        <w:ind w:left="845" w:leftChars="0" w:hanging="425" w:firstLineChars="0"/>
        <w:rPr>
          <w:rFonts w:hint="eastAsia"/>
          <w:color w:val="auto"/>
          <w:highlight w:val="none"/>
          <w:lang w:val="en-US" w:eastAsia="zh-CN"/>
        </w:rPr>
      </w:pPr>
      <w:r>
        <w:rPr>
          <w:rFonts w:hint="eastAsia"/>
          <w:color w:val="auto"/>
          <w:highlight w:val="none"/>
          <w:lang w:val="en-US" w:eastAsia="zh-CN"/>
        </w:rPr>
        <w:t>内外饰面问题，医院 1 号楼和 2 号楼使用近 30 年，存在外墙饰面脱落、墙体黑化、室外金属结构锈蚀等问题。室内存在墙体漏水发霉、墙皮脱落、墙面开裂、天花变形等问题；</w:t>
      </w:r>
    </w:p>
    <w:p w14:paraId="67C313F3">
      <w:pPr>
        <w:numPr>
          <w:ilvl w:val="0"/>
          <w:numId w:val="4"/>
        </w:numPr>
        <w:bidi w:val="0"/>
        <w:ind w:left="845" w:leftChars="0" w:hanging="425" w:firstLineChars="0"/>
        <w:rPr>
          <w:rFonts w:hint="eastAsia"/>
          <w:color w:val="auto"/>
          <w:highlight w:val="none"/>
          <w:lang w:val="en-US" w:eastAsia="zh-CN"/>
        </w:rPr>
      </w:pPr>
      <w:r>
        <w:rPr>
          <w:rFonts w:hint="eastAsia"/>
          <w:color w:val="auto"/>
          <w:highlight w:val="none"/>
          <w:lang w:val="en-US" w:eastAsia="zh-CN"/>
        </w:rPr>
        <w:t>公用设备问题，经过多年的发展，业务用房不断改造，水、电、通讯管线规划无序，老化严重；</w:t>
      </w:r>
    </w:p>
    <w:p w14:paraId="32FD946C">
      <w:pPr>
        <w:numPr>
          <w:ilvl w:val="0"/>
          <w:numId w:val="4"/>
        </w:numPr>
        <w:bidi w:val="0"/>
        <w:ind w:left="845" w:leftChars="0" w:hanging="425" w:firstLineChars="0"/>
        <w:rPr>
          <w:rFonts w:hint="eastAsia"/>
          <w:color w:val="auto"/>
          <w:highlight w:val="none"/>
          <w:lang w:val="en-US" w:eastAsia="zh-CN"/>
        </w:rPr>
      </w:pPr>
      <w:r>
        <w:rPr>
          <w:rFonts w:hint="eastAsia"/>
          <w:color w:val="auto"/>
          <w:highlight w:val="none"/>
          <w:lang w:val="en-US" w:eastAsia="zh-CN"/>
        </w:rPr>
        <w:t>医疗布局问题，受原有建筑功能影响，医疗流程较为混乱：门诊、急诊、检验等区域交叉，导致院内感染风险增加；</w:t>
      </w:r>
    </w:p>
    <w:p w14:paraId="110CB558">
      <w:pPr>
        <w:numPr>
          <w:ilvl w:val="0"/>
          <w:numId w:val="2"/>
        </w:numPr>
        <w:bidi w:val="0"/>
        <w:ind w:left="425" w:leftChars="0" w:hanging="425" w:firstLineChars="0"/>
        <w:rPr>
          <w:rFonts w:hint="eastAsia"/>
          <w:color w:val="auto"/>
          <w:highlight w:val="none"/>
          <w:lang w:val="en-US" w:eastAsia="zh-CN"/>
        </w:rPr>
      </w:pPr>
      <w:r>
        <w:rPr>
          <w:rFonts w:hint="eastAsia"/>
          <w:color w:val="auto"/>
          <w:highlight w:val="none"/>
          <w:lang w:val="en-US" w:eastAsia="zh-CN"/>
        </w:rPr>
        <w:t>就医群众停车问题：</w:t>
      </w:r>
    </w:p>
    <w:p w14:paraId="3C840352">
      <w:pPr>
        <w:numPr>
          <w:ilvl w:val="0"/>
          <w:numId w:val="0"/>
        </w:numPr>
        <w:bidi w:val="0"/>
        <w:ind w:left="420" w:leftChars="0"/>
        <w:rPr>
          <w:rFonts w:hint="eastAsia"/>
          <w:color w:val="auto"/>
          <w:highlight w:val="none"/>
          <w:lang w:val="en-US" w:eastAsia="zh-CN"/>
        </w:rPr>
      </w:pPr>
      <w:r>
        <w:rPr>
          <w:rFonts w:hint="eastAsia"/>
          <w:color w:val="auto"/>
          <w:highlight w:val="none"/>
          <w:lang w:val="en-US" w:eastAsia="zh-CN"/>
        </w:rPr>
        <w:t>随着群众健康需求的不断增高，就诊群众车辆的不断增加，导致市桥医院院内停车位紧张的局面更为紧张，目前院区内仅 10 个停车位，“停车难”成了来院就诊群众的“烦心事”。</w:t>
      </w:r>
    </w:p>
    <w:p w14:paraId="3778A00E">
      <w:pPr>
        <w:numPr>
          <w:ilvl w:val="0"/>
          <w:numId w:val="2"/>
        </w:numPr>
        <w:bidi w:val="0"/>
        <w:ind w:left="425" w:leftChars="0" w:hanging="425" w:firstLineChars="0"/>
        <w:rPr>
          <w:rFonts w:hint="eastAsia"/>
          <w:color w:val="auto"/>
          <w:highlight w:val="none"/>
          <w:lang w:val="en-US"/>
        </w:rPr>
      </w:pPr>
      <w:r>
        <w:rPr>
          <w:rFonts w:hint="eastAsia"/>
          <w:color w:val="auto"/>
          <w:highlight w:val="none"/>
          <w:lang w:val="en-US" w:eastAsia="zh-CN"/>
        </w:rPr>
        <w:t>病房条件问题：</w:t>
      </w:r>
    </w:p>
    <w:p w14:paraId="22B9D42B">
      <w:pPr>
        <w:numPr>
          <w:ilvl w:val="0"/>
          <w:numId w:val="5"/>
        </w:numPr>
        <w:bidi w:val="0"/>
        <w:ind w:left="845" w:leftChars="0" w:hanging="425" w:firstLineChars="0"/>
        <w:rPr>
          <w:rFonts w:hint="eastAsia"/>
          <w:color w:val="auto"/>
          <w:highlight w:val="none"/>
          <w:lang w:val="en-US" w:eastAsia="zh-CN"/>
        </w:rPr>
      </w:pPr>
      <w:r>
        <w:rPr>
          <w:rFonts w:hint="eastAsia"/>
          <w:color w:val="auto"/>
          <w:highlight w:val="none"/>
          <w:lang w:val="en-US" w:eastAsia="zh-CN"/>
        </w:rPr>
        <w:t>病房数量分布问题，医院病房现状不满足《广东省推进卫生健康领域设备设施迭代升级工作方案》中“二级及以上公立医疗机构（实现二、三人间病房占比 80%以上”的要求。</w:t>
      </w:r>
    </w:p>
    <w:p w14:paraId="5D94B022">
      <w:pPr>
        <w:numPr>
          <w:ilvl w:val="0"/>
          <w:numId w:val="5"/>
        </w:numPr>
        <w:bidi w:val="0"/>
        <w:ind w:left="845" w:leftChars="0" w:hanging="425" w:firstLineChars="0"/>
        <w:rPr>
          <w:rFonts w:hint="eastAsia"/>
          <w:color w:val="auto"/>
          <w:highlight w:val="none"/>
          <w:lang w:val="en-US" w:eastAsia="zh-CN"/>
        </w:rPr>
      </w:pPr>
      <w:r>
        <w:rPr>
          <w:rFonts w:hint="eastAsia"/>
          <w:color w:val="auto"/>
          <w:highlight w:val="none"/>
          <w:lang w:val="en-US" w:eastAsia="zh-CN"/>
        </w:rPr>
        <w:t>病房厕所环境问题，现状病房厕所设施老旧，大部分厕所未配备无障碍、适老化设施，厕所内部管线裸露、天花板发霉、墙面脱落，且厕所地面与室外地面水平面接近，淋浴时厕所内部水易溢出。</w:t>
      </w:r>
    </w:p>
    <w:p w14:paraId="6A96A1CA">
      <w:pPr>
        <w:numPr>
          <w:ilvl w:val="0"/>
          <w:numId w:val="2"/>
        </w:numPr>
        <w:bidi w:val="0"/>
        <w:ind w:left="425" w:leftChars="0" w:hanging="425" w:firstLineChars="0"/>
        <w:rPr>
          <w:rFonts w:hint="eastAsia"/>
          <w:color w:val="auto"/>
          <w:highlight w:val="none"/>
          <w:lang w:val="en-US" w:eastAsia="zh-CN"/>
        </w:rPr>
      </w:pPr>
      <w:r>
        <w:rPr>
          <w:rFonts w:hint="eastAsia"/>
          <w:color w:val="auto"/>
          <w:highlight w:val="none"/>
          <w:lang w:val="en-US" w:eastAsia="zh-CN"/>
        </w:rPr>
        <w:t>无障碍设施问题：</w:t>
      </w:r>
    </w:p>
    <w:p w14:paraId="0E150BAE">
      <w:pPr>
        <w:numPr>
          <w:ilvl w:val="0"/>
          <w:numId w:val="6"/>
        </w:numPr>
        <w:bidi w:val="0"/>
        <w:ind w:left="845" w:leftChars="0" w:hanging="425" w:firstLineChars="0"/>
        <w:rPr>
          <w:rFonts w:hint="eastAsia"/>
          <w:color w:val="auto"/>
          <w:highlight w:val="none"/>
          <w:lang w:val="en-US" w:eastAsia="zh-CN"/>
        </w:rPr>
      </w:pPr>
      <w:r>
        <w:rPr>
          <w:rFonts w:hint="eastAsia"/>
          <w:color w:val="auto"/>
          <w:highlight w:val="none"/>
          <w:lang w:val="en-US" w:eastAsia="zh-CN"/>
        </w:rPr>
        <w:t>目前，医院内缺少必要的无障碍设施和适老化、适儿化设施。医院缺少无障碍通道、电梯、坡道、扶手等设施，老年人行动起来较为困难，容易摔倒受伤；医院内的家具、设备等没有进行防撞处理，儿童在医院内容易碰撞受伤。</w:t>
      </w:r>
    </w:p>
    <w:p w14:paraId="097B433B">
      <w:pPr>
        <w:pStyle w:val="4"/>
        <w:bidi w:val="0"/>
        <w:rPr>
          <w:rFonts w:hint="eastAsia"/>
          <w:color w:val="auto"/>
          <w:highlight w:val="none"/>
          <w:lang w:val="en-US" w:eastAsia="zh-CN"/>
        </w:rPr>
      </w:pPr>
      <w:r>
        <w:rPr>
          <w:rFonts w:hint="eastAsia"/>
          <w:color w:val="auto"/>
          <w:highlight w:val="none"/>
          <w:lang w:val="en-US" w:eastAsia="zh-CN"/>
        </w:rPr>
        <w:t>功能改造需求</w:t>
      </w:r>
    </w:p>
    <w:p w14:paraId="3B5AA1DA">
      <w:pPr>
        <w:bidi w:val="0"/>
        <w:rPr>
          <w:rFonts w:hint="eastAsia"/>
          <w:color w:val="auto"/>
          <w:highlight w:val="none"/>
          <w:lang w:val="en-US" w:eastAsia="zh-CN"/>
        </w:rPr>
      </w:pPr>
      <w:r>
        <w:rPr>
          <w:rFonts w:hint="eastAsia"/>
          <w:color w:val="auto"/>
          <w:highlight w:val="none"/>
          <w:lang w:val="en-US" w:eastAsia="zh-CN"/>
        </w:rPr>
        <w:t>下方的功能改造需求表供参考，如有其它更优方案也可按需调整：</w:t>
      </w:r>
    </w:p>
    <w:p w14:paraId="103868E5">
      <w:pPr>
        <w:bidi w:val="0"/>
        <w:rPr>
          <w:rFonts w:hint="eastAsia"/>
          <w:color w:val="auto"/>
          <w:highlight w:val="none"/>
          <w:lang w:val="en-US" w:eastAsia="zh-CN"/>
        </w:rPr>
      </w:pPr>
    </w:p>
    <w:p w14:paraId="06130F77">
      <w:pPr>
        <w:bidi w:val="0"/>
        <w:rPr>
          <w:rFonts w:hint="eastAsia"/>
          <w:color w:val="auto"/>
          <w:highlight w:val="none"/>
          <w:lang w:val="en-US" w:eastAsia="zh-CN"/>
        </w:rPr>
      </w:pPr>
    </w:p>
    <w:p w14:paraId="774111CD">
      <w:pPr>
        <w:bidi w:val="0"/>
        <w:rPr>
          <w:rFonts w:hint="eastAsia"/>
          <w:color w:val="auto"/>
          <w:highlight w:val="none"/>
          <w:lang w:val="en-US" w:eastAsia="zh-CN"/>
        </w:rPr>
      </w:pPr>
    </w:p>
    <w:p w14:paraId="622B2C32">
      <w:pPr>
        <w:bidi w:val="0"/>
        <w:rPr>
          <w:rFonts w:hint="eastAsia"/>
          <w:color w:val="auto"/>
          <w:highlight w:val="none"/>
          <w:lang w:val="en-US" w:eastAsia="zh-CN"/>
        </w:rPr>
      </w:pPr>
    </w:p>
    <w:p w14:paraId="715BF24A">
      <w:pPr>
        <w:bidi w:val="0"/>
        <w:rPr>
          <w:rFonts w:hint="eastAsia"/>
          <w:color w:val="auto"/>
          <w:highlight w:val="none"/>
          <w:lang w:val="en-US" w:eastAsia="zh-CN"/>
        </w:rPr>
      </w:pPr>
    </w:p>
    <w:p w14:paraId="15272A9B">
      <w:pPr>
        <w:bidi w:val="0"/>
        <w:rPr>
          <w:rFonts w:hint="eastAsia"/>
          <w:color w:val="auto"/>
          <w:highlight w:val="none"/>
          <w:lang w:val="en-US" w:eastAsia="zh-CN"/>
        </w:rPr>
      </w:pPr>
    </w:p>
    <w:p w14:paraId="68B0C0D7">
      <w:pPr>
        <w:bidi w:val="0"/>
        <w:rPr>
          <w:rFonts w:hint="eastAsia"/>
          <w:color w:val="auto"/>
          <w:highlight w:val="none"/>
          <w:lang w:val="en-US" w:eastAsia="zh-CN"/>
        </w:rPr>
      </w:pPr>
    </w:p>
    <w:p w14:paraId="64D711E3">
      <w:pPr>
        <w:bidi w:val="0"/>
        <w:rPr>
          <w:rFonts w:hint="eastAsia"/>
          <w:color w:val="auto"/>
          <w:highlight w:val="none"/>
          <w:lang w:val="en-US" w:eastAsia="zh-CN"/>
        </w:rPr>
      </w:pPr>
    </w:p>
    <w:p w14:paraId="6BD13933">
      <w:pPr>
        <w:kinsoku w:val="0"/>
        <w:ind w:firstLine="0" w:firstLineChars="0"/>
        <w:jc w:val="center"/>
        <w:rPr>
          <w:color w:val="auto"/>
          <w:highlight w:val="none"/>
        </w:rPr>
      </w:pPr>
      <w:r>
        <w:rPr>
          <w:rFonts w:hint="eastAsia" w:ascii="黑体" w:hAnsi="Times New Roman" w:eastAsia="黑体"/>
          <w:color w:val="auto"/>
          <w:spacing w:val="-4"/>
          <w:highlight w:val="none"/>
        </w:rPr>
        <w:t>建筑平面功能设置表</w:t>
      </w:r>
    </w:p>
    <w:tbl>
      <w:tblPr>
        <w:tblStyle w:val="15"/>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998"/>
        <w:gridCol w:w="1318"/>
        <w:gridCol w:w="6200"/>
      </w:tblGrid>
      <w:tr w14:paraId="0387D3E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29" w:hRule="atLeast"/>
          <w:tblHeader/>
        </w:trPr>
        <w:tc>
          <w:tcPr>
            <w:tcW w:w="586" w:type="pct"/>
            <w:tcBorders>
              <w:tl2br w:val="nil"/>
              <w:tr2bl w:val="nil"/>
            </w:tcBorders>
            <w:noWrap/>
            <w:vAlign w:val="center"/>
          </w:tcPr>
          <w:p w14:paraId="59389531">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黑体" w:hAnsi="黑体" w:eastAsia="黑体" w:cs="黑体"/>
                <w:color w:val="auto"/>
                <w:sz w:val="21"/>
                <w:szCs w:val="21"/>
                <w:highlight w:val="none"/>
              </w:rPr>
            </w:pPr>
            <w:r>
              <w:rPr>
                <w:rFonts w:hint="eastAsia" w:ascii="黑体" w:hAnsi="黑体" w:eastAsia="黑体" w:cs="黑体"/>
                <w:color w:val="auto"/>
                <w:kern w:val="0"/>
                <w:sz w:val="21"/>
                <w:szCs w:val="21"/>
                <w:highlight w:val="none"/>
                <w:lang w:bidi="ar"/>
              </w:rPr>
              <w:t>层数</w:t>
            </w:r>
          </w:p>
        </w:tc>
        <w:tc>
          <w:tcPr>
            <w:tcW w:w="774" w:type="pct"/>
            <w:tcBorders>
              <w:tl2br w:val="nil"/>
              <w:tr2bl w:val="nil"/>
            </w:tcBorders>
            <w:noWrap/>
            <w:vAlign w:val="center"/>
          </w:tcPr>
          <w:p w14:paraId="6B24A1D5">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黑体" w:hAnsi="黑体" w:eastAsia="黑体" w:cs="黑体"/>
                <w:color w:val="auto"/>
                <w:sz w:val="21"/>
                <w:szCs w:val="21"/>
                <w:highlight w:val="none"/>
              </w:rPr>
            </w:pPr>
            <w:r>
              <w:rPr>
                <w:rFonts w:hint="eastAsia" w:ascii="黑体" w:hAnsi="黑体" w:eastAsia="黑体" w:cs="黑体"/>
                <w:color w:val="auto"/>
                <w:kern w:val="0"/>
                <w:sz w:val="21"/>
                <w:szCs w:val="21"/>
                <w:highlight w:val="none"/>
                <w:lang w:bidi="ar"/>
              </w:rPr>
              <w:t>主要功能</w:t>
            </w:r>
          </w:p>
        </w:tc>
        <w:tc>
          <w:tcPr>
            <w:tcW w:w="3639" w:type="pct"/>
            <w:tcBorders>
              <w:tl2br w:val="nil"/>
              <w:tr2bl w:val="nil"/>
            </w:tcBorders>
            <w:noWrap/>
            <w:vAlign w:val="center"/>
          </w:tcPr>
          <w:p w14:paraId="1A2AF407">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黑体" w:hAnsi="黑体" w:eastAsia="黑体" w:cs="黑体"/>
                <w:color w:val="auto"/>
                <w:sz w:val="21"/>
                <w:szCs w:val="21"/>
                <w:highlight w:val="none"/>
              </w:rPr>
            </w:pPr>
            <w:r>
              <w:rPr>
                <w:rFonts w:hint="eastAsia" w:ascii="黑体" w:hAnsi="黑体" w:eastAsia="黑体" w:cs="黑体"/>
                <w:color w:val="auto"/>
                <w:kern w:val="0"/>
                <w:sz w:val="21"/>
                <w:szCs w:val="21"/>
                <w:highlight w:val="none"/>
                <w:lang w:bidi="ar"/>
              </w:rPr>
              <w:t>功能布局</w:t>
            </w:r>
          </w:p>
        </w:tc>
      </w:tr>
      <w:tr w14:paraId="09E9993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0" w:hRule="atLeast"/>
        </w:trPr>
        <w:tc>
          <w:tcPr>
            <w:tcW w:w="586" w:type="pct"/>
            <w:vMerge w:val="restart"/>
            <w:tcBorders>
              <w:tl2br w:val="nil"/>
              <w:tr2bl w:val="nil"/>
            </w:tcBorders>
            <w:noWrap/>
            <w:vAlign w:val="center"/>
          </w:tcPr>
          <w:p w14:paraId="7E610B28">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1号楼</w:t>
            </w:r>
          </w:p>
        </w:tc>
        <w:tc>
          <w:tcPr>
            <w:tcW w:w="774" w:type="pct"/>
            <w:tcBorders>
              <w:tl2br w:val="nil"/>
              <w:tr2bl w:val="nil"/>
            </w:tcBorders>
            <w:noWrap/>
            <w:vAlign w:val="center"/>
          </w:tcPr>
          <w:p w14:paraId="2B539450">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首层</w:t>
            </w:r>
          </w:p>
        </w:tc>
        <w:tc>
          <w:tcPr>
            <w:tcW w:w="3639" w:type="pct"/>
            <w:tcBorders>
              <w:tl2br w:val="nil"/>
              <w:tr2bl w:val="nil"/>
            </w:tcBorders>
            <w:noWrap/>
            <w:vAlign w:val="center"/>
          </w:tcPr>
          <w:p w14:paraId="46DC47A1">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中心供氧室、</w:t>
            </w:r>
            <w:r>
              <w:rPr>
                <w:rFonts w:hint="eastAsia" w:ascii="仿宋" w:hAnsi="仿宋" w:eastAsia="仿宋" w:cs="仿宋"/>
                <w:color w:val="auto"/>
                <w:sz w:val="21"/>
                <w:szCs w:val="21"/>
                <w:highlight w:val="none"/>
              </w:rPr>
              <w:t>外科</w:t>
            </w:r>
            <w:r>
              <w:rPr>
                <w:rFonts w:hint="eastAsia" w:ascii="仿宋" w:hAnsi="仿宋" w:eastAsia="仿宋" w:cs="仿宋"/>
                <w:color w:val="auto"/>
                <w:sz w:val="21"/>
                <w:szCs w:val="21"/>
                <w:highlight w:val="none"/>
                <w:lang w:val="en-US" w:eastAsia="zh-CN"/>
              </w:rPr>
              <w:t>诊室</w:t>
            </w:r>
            <w:r>
              <w:rPr>
                <w:rFonts w:hint="eastAsia" w:ascii="仿宋" w:hAnsi="仿宋" w:eastAsia="仿宋" w:cs="仿宋"/>
                <w:color w:val="auto"/>
                <w:sz w:val="21"/>
                <w:szCs w:val="21"/>
                <w:highlight w:val="none"/>
              </w:rPr>
              <w:t>、中医骨科诊室、中药房、发热门诊、收费挂号室</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客服中心、消防控制室、设备间等</w:t>
            </w:r>
          </w:p>
        </w:tc>
      </w:tr>
      <w:tr w14:paraId="21A2D6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0" w:hRule="atLeast"/>
        </w:trPr>
        <w:tc>
          <w:tcPr>
            <w:tcW w:w="586" w:type="pct"/>
            <w:vMerge w:val="continue"/>
            <w:tcBorders>
              <w:tl2br w:val="nil"/>
              <w:tr2bl w:val="nil"/>
            </w:tcBorders>
            <w:noWrap/>
            <w:vAlign w:val="center"/>
          </w:tcPr>
          <w:p w14:paraId="320755EA">
            <w:pPr>
              <w:keepNext w:val="0"/>
              <w:keepLines w:val="0"/>
              <w:suppressLineNumbers w:val="0"/>
              <w:snapToGrid w:val="0"/>
              <w:spacing w:before="0" w:beforeAutospacing="0" w:after="0" w:afterAutospacing="0" w:line="240" w:lineRule="atLeast"/>
              <w:ind w:left="0" w:right="0" w:firstLine="0" w:firstLineChars="0"/>
              <w:jc w:val="center"/>
              <w:rPr>
                <w:rFonts w:hint="default" w:ascii="仿宋" w:hAnsi="仿宋" w:eastAsia="仿宋" w:cs="仿宋"/>
                <w:color w:val="auto"/>
                <w:sz w:val="21"/>
                <w:szCs w:val="21"/>
                <w:highlight w:val="none"/>
              </w:rPr>
            </w:pPr>
          </w:p>
        </w:tc>
        <w:tc>
          <w:tcPr>
            <w:tcW w:w="774" w:type="pct"/>
            <w:tcBorders>
              <w:tl2br w:val="nil"/>
              <w:tr2bl w:val="nil"/>
            </w:tcBorders>
            <w:noWrap/>
            <w:vAlign w:val="center"/>
          </w:tcPr>
          <w:p w14:paraId="3B59BB50">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二层</w:t>
            </w:r>
          </w:p>
        </w:tc>
        <w:tc>
          <w:tcPr>
            <w:tcW w:w="3639" w:type="pct"/>
            <w:tcBorders>
              <w:tl2br w:val="nil"/>
              <w:tr2bl w:val="nil"/>
            </w:tcBorders>
            <w:noWrap/>
            <w:vAlign w:val="center"/>
          </w:tcPr>
          <w:p w14:paraId="04F1B247">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门诊区域</w:t>
            </w:r>
            <w:r>
              <w:rPr>
                <w:rFonts w:hint="eastAsia" w:ascii="仿宋" w:hAnsi="仿宋" w:eastAsia="仿宋" w:cs="仿宋"/>
                <w:color w:val="auto"/>
                <w:sz w:val="21"/>
                <w:szCs w:val="21"/>
                <w:highlight w:val="none"/>
              </w:rPr>
              <w:t>、会议室</w:t>
            </w:r>
          </w:p>
        </w:tc>
      </w:tr>
      <w:tr w14:paraId="6162BD3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0" w:hRule="atLeast"/>
        </w:trPr>
        <w:tc>
          <w:tcPr>
            <w:tcW w:w="586" w:type="pct"/>
            <w:vMerge w:val="continue"/>
            <w:tcBorders>
              <w:tl2br w:val="nil"/>
              <w:tr2bl w:val="nil"/>
            </w:tcBorders>
            <w:noWrap/>
            <w:vAlign w:val="center"/>
          </w:tcPr>
          <w:p w14:paraId="1BFFFC2C">
            <w:pPr>
              <w:keepNext w:val="0"/>
              <w:keepLines w:val="0"/>
              <w:suppressLineNumbers w:val="0"/>
              <w:snapToGrid w:val="0"/>
              <w:spacing w:before="0" w:beforeAutospacing="0" w:after="0" w:afterAutospacing="0" w:line="240" w:lineRule="atLeast"/>
              <w:ind w:left="0" w:right="0" w:firstLine="0" w:firstLineChars="0"/>
              <w:jc w:val="center"/>
              <w:rPr>
                <w:rFonts w:hint="default" w:ascii="仿宋" w:hAnsi="仿宋" w:eastAsia="仿宋" w:cs="仿宋"/>
                <w:color w:val="auto"/>
                <w:sz w:val="21"/>
                <w:szCs w:val="21"/>
                <w:highlight w:val="none"/>
              </w:rPr>
            </w:pPr>
          </w:p>
        </w:tc>
        <w:tc>
          <w:tcPr>
            <w:tcW w:w="774" w:type="pct"/>
            <w:tcBorders>
              <w:tl2br w:val="nil"/>
              <w:tr2bl w:val="nil"/>
            </w:tcBorders>
            <w:noWrap/>
            <w:vAlign w:val="center"/>
          </w:tcPr>
          <w:p w14:paraId="4E06E600">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三层</w:t>
            </w:r>
          </w:p>
        </w:tc>
        <w:tc>
          <w:tcPr>
            <w:tcW w:w="3639" w:type="pct"/>
            <w:tcBorders>
              <w:tl2br w:val="nil"/>
              <w:tr2bl w:val="nil"/>
            </w:tcBorders>
            <w:noWrap/>
            <w:vAlign w:val="center"/>
          </w:tcPr>
          <w:p w14:paraId="43610095">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内镜</w:t>
            </w:r>
            <w:r>
              <w:rPr>
                <w:rFonts w:hint="eastAsia" w:ascii="仿宋" w:hAnsi="仿宋" w:eastAsia="仿宋" w:cs="仿宋"/>
                <w:color w:val="auto"/>
                <w:sz w:val="21"/>
                <w:szCs w:val="21"/>
                <w:highlight w:val="none"/>
              </w:rPr>
              <w:t>中心</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弱电机房</w:t>
            </w:r>
          </w:p>
        </w:tc>
      </w:tr>
      <w:tr w14:paraId="7B9802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0" w:hRule="atLeast"/>
        </w:trPr>
        <w:tc>
          <w:tcPr>
            <w:tcW w:w="586" w:type="pct"/>
            <w:vMerge w:val="continue"/>
            <w:tcBorders>
              <w:tl2br w:val="nil"/>
              <w:tr2bl w:val="nil"/>
            </w:tcBorders>
            <w:noWrap/>
            <w:vAlign w:val="center"/>
          </w:tcPr>
          <w:p w14:paraId="75BF93A9">
            <w:pPr>
              <w:keepNext w:val="0"/>
              <w:keepLines w:val="0"/>
              <w:suppressLineNumbers w:val="0"/>
              <w:snapToGrid w:val="0"/>
              <w:spacing w:before="0" w:beforeAutospacing="0" w:after="0" w:afterAutospacing="0" w:line="240" w:lineRule="atLeast"/>
              <w:ind w:left="0" w:right="0" w:firstLine="0" w:firstLineChars="0"/>
              <w:jc w:val="center"/>
              <w:rPr>
                <w:rFonts w:hint="default" w:ascii="仿宋" w:hAnsi="仿宋" w:eastAsia="仿宋" w:cs="仿宋"/>
                <w:color w:val="auto"/>
                <w:sz w:val="21"/>
                <w:szCs w:val="21"/>
                <w:highlight w:val="none"/>
              </w:rPr>
            </w:pPr>
          </w:p>
        </w:tc>
        <w:tc>
          <w:tcPr>
            <w:tcW w:w="774" w:type="pct"/>
            <w:tcBorders>
              <w:tl2br w:val="nil"/>
              <w:tr2bl w:val="nil"/>
            </w:tcBorders>
            <w:noWrap/>
            <w:vAlign w:val="center"/>
          </w:tcPr>
          <w:p w14:paraId="454CE505">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四层</w:t>
            </w:r>
          </w:p>
        </w:tc>
        <w:tc>
          <w:tcPr>
            <w:tcW w:w="3639" w:type="pct"/>
            <w:tcBorders>
              <w:tl2br w:val="nil"/>
              <w:tr2bl w:val="nil"/>
            </w:tcBorders>
            <w:noWrap/>
            <w:vAlign w:val="center"/>
          </w:tcPr>
          <w:p w14:paraId="6A06DD2B">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外</w:t>
            </w:r>
            <w:r>
              <w:rPr>
                <w:rFonts w:hint="eastAsia" w:ascii="仿宋" w:hAnsi="仿宋" w:eastAsia="仿宋" w:cs="仿宋"/>
                <w:color w:val="auto"/>
                <w:sz w:val="21"/>
                <w:szCs w:val="21"/>
                <w:highlight w:val="none"/>
              </w:rPr>
              <w:t>科住院部</w:t>
            </w:r>
          </w:p>
        </w:tc>
      </w:tr>
      <w:tr w14:paraId="17CB5E6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0" w:hRule="atLeast"/>
        </w:trPr>
        <w:tc>
          <w:tcPr>
            <w:tcW w:w="586" w:type="pct"/>
            <w:vMerge w:val="continue"/>
            <w:tcBorders>
              <w:tl2br w:val="nil"/>
              <w:tr2bl w:val="nil"/>
            </w:tcBorders>
            <w:noWrap/>
            <w:vAlign w:val="center"/>
          </w:tcPr>
          <w:p w14:paraId="6D112F9E">
            <w:pPr>
              <w:keepNext w:val="0"/>
              <w:keepLines w:val="0"/>
              <w:suppressLineNumbers w:val="0"/>
              <w:snapToGrid w:val="0"/>
              <w:spacing w:before="0" w:beforeAutospacing="0" w:after="0" w:afterAutospacing="0" w:line="240" w:lineRule="atLeast"/>
              <w:ind w:left="0" w:right="0" w:firstLine="0" w:firstLineChars="0"/>
              <w:jc w:val="center"/>
              <w:rPr>
                <w:rFonts w:hint="default" w:ascii="仿宋" w:hAnsi="仿宋" w:eastAsia="仿宋" w:cs="仿宋"/>
                <w:color w:val="auto"/>
                <w:sz w:val="21"/>
                <w:szCs w:val="21"/>
                <w:highlight w:val="none"/>
              </w:rPr>
            </w:pPr>
          </w:p>
        </w:tc>
        <w:tc>
          <w:tcPr>
            <w:tcW w:w="774" w:type="pct"/>
            <w:tcBorders>
              <w:tl2br w:val="nil"/>
              <w:tr2bl w:val="nil"/>
            </w:tcBorders>
            <w:noWrap/>
            <w:vAlign w:val="center"/>
          </w:tcPr>
          <w:p w14:paraId="0A12DC90">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五层</w:t>
            </w:r>
          </w:p>
        </w:tc>
        <w:tc>
          <w:tcPr>
            <w:tcW w:w="3639" w:type="pct"/>
            <w:tcBorders>
              <w:tl2br w:val="nil"/>
              <w:tr2bl w:val="nil"/>
            </w:tcBorders>
            <w:noWrap/>
            <w:vAlign w:val="center"/>
          </w:tcPr>
          <w:p w14:paraId="2E6E2592">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100级层流手术室</w:t>
            </w:r>
          </w:p>
        </w:tc>
      </w:tr>
      <w:tr w14:paraId="507C0E2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0" w:hRule="atLeast"/>
        </w:trPr>
        <w:tc>
          <w:tcPr>
            <w:tcW w:w="586" w:type="pct"/>
            <w:vMerge w:val="continue"/>
            <w:tcBorders>
              <w:tl2br w:val="nil"/>
              <w:tr2bl w:val="nil"/>
            </w:tcBorders>
            <w:noWrap/>
            <w:vAlign w:val="center"/>
          </w:tcPr>
          <w:p w14:paraId="41966DFF">
            <w:pPr>
              <w:keepNext w:val="0"/>
              <w:keepLines w:val="0"/>
              <w:suppressLineNumbers w:val="0"/>
              <w:snapToGrid w:val="0"/>
              <w:spacing w:before="0" w:beforeAutospacing="0" w:after="0" w:afterAutospacing="0" w:line="240" w:lineRule="atLeast"/>
              <w:ind w:left="0" w:right="0" w:firstLine="0" w:firstLineChars="0"/>
              <w:jc w:val="center"/>
              <w:rPr>
                <w:rFonts w:hint="default" w:ascii="仿宋" w:hAnsi="仿宋" w:eastAsia="仿宋" w:cs="仿宋"/>
                <w:color w:val="auto"/>
                <w:sz w:val="21"/>
                <w:szCs w:val="21"/>
                <w:highlight w:val="none"/>
              </w:rPr>
            </w:pPr>
          </w:p>
        </w:tc>
        <w:tc>
          <w:tcPr>
            <w:tcW w:w="774" w:type="pct"/>
            <w:tcBorders>
              <w:tl2br w:val="nil"/>
              <w:tr2bl w:val="nil"/>
            </w:tcBorders>
            <w:noWrap/>
            <w:vAlign w:val="center"/>
          </w:tcPr>
          <w:p w14:paraId="68EB0407">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六层</w:t>
            </w:r>
          </w:p>
        </w:tc>
        <w:tc>
          <w:tcPr>
            <w:tcW w:w="3639" w:type="pct"/>
            <w:tcBorders>
              <w:tl2br w:val="nil"/>
              <w:tr2bl w:val="nil"/>
            </w:tcBorders>
            <w:noWrap/>
            <w:vAlign w:val="center"/>
          </w:tcPr>
          <w:p w14:paraId="7DC1BD76">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质控/医保科、病案室、设备机房</w:t>
            </w:r>
          </w:p>
        </w:tc>
      </w:tr>
      <w:tr w14:paraId="6A2EBAD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0" w:hRule="atLeast"/>
        </w:trPr>
        <w:tc>
          <w:tcPr>
            <w:tcW w:w="586" w:type="pct"/>
            <w:vMerge w:val="continue"/>
            <w:tcBorders>
              <w:tl2br w:val="nil"/>
              <w:tr2bl w:val="nil"/>
            </w:tcBorders>
            <w:noWrap/>
            <w:vAlign w:val="center"/>
          </w:tcPr>
          <w:p w14:paraId="4763CE09">
            <w:pPr>
              <w:keepNext w:val="0"/>
              <w:keepLines w:val="0"/>
              <w:suppressLineNumbers w:val="0"/>
              <w:snapToGrid w:val="0"/>
              <w:spacing w:before="0" w:beforeAutospacing="0" w:after="0" w:afterAutospacing="0" w:line="240" w:lineRule="atLeast"/>
              <w:ind w:left="0" w:right="0" w:firstLine="0" w:firstLineChars="0"/>
              <w:jc w:val="center"/>
              <w:rPr>
                <w:rFonts w:hint="default" w:ascii="仿宋" w:hAnsi="仿宋" w:eastAsia="仿宋" w:cs="仿宋"/>
                <w:color w:val="auto"/>
                <w:sz w:val="21"/>
                <w:szCs w:val="21"/>
                <w:highlight w:val="none"/>
              </w:rPr>
            </w:pPr>
          </w:p>
        </w:tc>
        <w:tc>
          <w:tcPr>
            <w:tcW w:w="774" w:type="pct"/>
            <w:tcBorders>
              <w:tl2br w:val="nil"/>
              <w:tr2bl w:val="nil"/>
            </w:tcBorders>
            <w:noWrap/>
            <w:vAlign w:val="center"/>
          </w:tcPr>
          <w:p w14:paraId="79643C5F">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七层</w:t>
            </w:r>
          </w:p>
        </w:tc>
        <w:tc>
          <w:tcPr>
            <w:tcW w:w="3639" w:type="pct"/>
            <w:tcBorders>
              <w:tl2br w:val="nil"/>
              <w:tr2bl w:val="nil"/>
            </w:tcBorders>
            <w:noWrap/>
            <w:vAlign w:val="center"/>
          </w:tcPr>
          <w:p w14:paraId="037B5374">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病案室</w:t>
            </w:r>
          </w:p>
        </w:tc>
      </w:tr>
      <w:tr w14:paraId="73A7D8B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05" w:hRule="atLeast"/>
        </w:trPr>
        <w:tc>
          <w:tcPr>
            <w:tcW w:w="586" w:type="pct"/>
            <w:vMerge w:val="restart"/>
            <w:tcBorders>
              <w:tl2br w:val="nil"/>
              <w:tr2bl w:val="nil"/>
            </w:tcBorders>
            <w:noWrap/>
            <w:vAlign w:val="center"/>
          </w:tcPr>
          <w:p w14:paraId="6398B943">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2号楼</w:t>
            </w:r>
          </w:p>
        </w:tc>
        <w:tc>
          <w:tcPr>
            <w:tcW w:w="774" w:type="pct"/>
            <w:tcBorders>
              <w:tl2br w:val="nil"/>
              <w:tr2bl w:val="nil"/>
            </w:tcBorders>
            <w:noWrap/>
            <w:vAlign w:val="center"/>
          </w:tcPr>
          <w:p w14:paraId="599AAD2F">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首层</w:t>
            </w:r>
          </w:p>
        </w:tc>
        <w:tc>
          <w:tcPr>
            <w:tcW w:w="3639" w:type="pct"/>
            <w:tcBorders>
              <w:tl2br w:val="nil"/>
              <w:tr2bl w:val="nil"/>
            </w:tcBorders>
            <w:noWrap/>
            <w:vAlign w:val="center"/>
          </w:tcPr>
          <w:p w14:paraId="519A7755">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放射科、ICU重症监护科、西药房、儿科门诊、设备用房、遗体暂存间、客服中心办公室</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纯水间</w:t>
            </w:r>
          </w:p>
        </w:tc>
      </w:tr>
      <w:tr w14:paraId="6EA068F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0" w:hRule="atLeast"/>
        </w:trPr>
        <w:tc>
          <w:tcPr>
            <w:tcW w:w="586" w:type="pct"/>
            <w:vMerge w:val="continue"/>
            <w:tcBorders>
              <w:tl2br w:val="nil"/>
              <w:tr2bl w:val="nil"/>
            </w:tcBorders>
            <w:noWrap/>
            <w:vAlign w:val="center"/>
          </w:tcPr>
          <w:p w14:paraId="1977B700">
            <w:pPr>
              <w:keepNext w:val="0"/>
              <w:keepLines w:val="0"/>
              <w:suppressLineNumbers w:val="0"/>
              <w:snapToGrid w:val="0"/>
              <w:spacing w:before="0" w:beforeAutospacing="0" w:after="0" w:afterAutospacing="0" w:line="240" w:lineRule="atLeast"/>
              <w:ind w:left="0" w:right="0" w:firstLine="0" w:firstLineChars="0"/>
              <w:jc w:val="center"/>
              <w:rPr>
                <w:rFonts w:hint="default" w:ascii="仿宋" w:hAnsi="仿宋" w:eastAsia="仿宋" w:cs="仿宋"/>
                <w:color w:val="auto"/>
                <w:sz w:val="21"/>
                <w:szCs w:val="21"/>
                <w:highlight w:val="none"/>
              </w:rPr>
            </w:pPr>
          </w:p>
        </w:tc>
        <w:tc>
          <w:tcPr>
            <w:tcW w:w="774" w:type="pct"/>
            <w:tcBorders>
              <w:tl2br w:val="nil"/>
              <w:tr2bl w:val="nil"/>
            </w:tcBorders>
            <w:noWrap/>
            <w:vAlign w:val="center"/>
          </w:tcPr>
          <w:p w14:paraId="5B09AB8A">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二层</w:t>
            </w:r>
          </w:p>
        </w:tc>
        <w:tc>
          <w:tcPr>
            <w:tcW w:w="3639" w:type="pct"/>
            <w:tcBorders>
              <w:tl2br w:val="nil"/>
              <w:tr2bl w:val="nil"/>
            </w:tcBorders>
            <w:noWrap/>
            <w:vAlign w:val="center"/>
          </w:tcPr>
          <w:p w14:paraId="36D74E7D">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检验科、超声科、PCR实验室</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餐厅、供应室</w:t>
            </w:r>
          </w:p>
        </w:tc>
      </w:tr>
      <w:tr w14:paraId="597EAC5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0" w:hRule="atLeast"/>
        </w:trPr>
        <w:tc>
          <w:tcPr>
            <w:tcW w:w="586" w:type="pct"/>
            <w:vMerge w:val="continue"/>
            <w:tcBorders>
              <w:tl2br w:val="nil"/>
              <w:tr2bl w:val="nil"/>
            </w:tcBorders>
            <w:noWrap/>
            <w:vAlign w:val="center"/>
          </w:tcPr>
          <w:p w14:paraId="03C9572E">
            <w:pPr>
              <w:keepNext w:val="0"/>
              <w:keepLines w:val="0"/>
              <w:suppressLineNumbers w:val="0"/>
              <w:snapToGrid w:val="0"/>
              <w:spacing w:before="0" w:beforeAutospacing="0" w:after="0" w:afterAutospacing="0" w:line="240" w:lineRule="atLeast"/>
              <w:ind w:left="0" w:right="0" w:firstLine="0" w:firstLineChars="0"/>
              <w:jc w:val="center"/>
              <w:rPr>
                <w:rFonts w:hint="default" w:ascii="仿宋" w:hAnsi="仿宋" w:eastAsia="仿宋" w:cs="仿宋"/>
                <w:color w:val="auto"/>
                <w:sz w:val="21"/>
                <w:szCs w:val="21"/>
                <w:highlight w:val="none"/>
              </w:rPr>
            </w:pPr>
          </w:p>
        </w:tc>
        <w:tc>
          <w:tcPr>
            <w:tcW w:w="774" w:type="pct"/>
            <w:tcBorders>
              <w:tl2br w:val="nil"/>
              <w:tr2bl w:val="nil"/>
            </w:tcBorders>
            <w:noWrap/>
            <w:vAlign w:val="center"/>
          </w:tcPr>
          <w:p w14:paraId="3572B7E4">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三层</w:t>
            </w:r>
          </w:p>
        </w:tc>
        <w:tc>
          <w:tcPr>
            <w:tcW w:w="3639" w:type="pct"/>
            <w:tcBorders>
              <w:tl2br w:val="nil"/>
              <w:tr2bl w:val="nil"/>
            </w:tcBorders>
            <w:noWrap/>
            <w:vAlign w:val="center"/>
          </w:tcPr>
          <w:p w14:paraId="71D4418A">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妇产科住院部、计划生育治疗区、妇产科门诊</w:t>
            </w:r>
          </w:p>
        </w:tc>
      </w:tr>
      <w:tr w14:paraId="49AD337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0" w:hRule="atLeast"/>
        </w:trPr>
        <w:tc>
          <w:tcPr>
            <w:tcW w:w="586" w:type="pct"/>
            <w:vMerge w:val="continue"/>
            <w:tcBorders>
              <w:tl2br w:val="nil"/>
              <w:tr2bl w:val="nil"/>
            </w:tcBorders>
            <w:noWrap/>
            <w:vAlign w:val="center"/>
          </w:tcPr>
          <w:p w14:paraId="135DE9F6">
            <w:pPr>
              <w:keepNext w:val="0"/>
              <w:keepLines w:val="0"/>
              <w:suppressLineNumbers w:val="0"/>
              <w:snapToGrid w:val="0"/>
              <w:spacing w:before="0" w:beforeAutospacing="0" w:after="0" w:afterAutospacing="0" w:line="240" w:lineRule="atLeast"/>
              <w:ind w:left="0" w:right="0" w:firstLine="0" w:firstLineChars="0"/>
              <w:jc w:val="center"/>
              <w:rPr>
                <w:rFonts w:hint="default" w:ascii="仿宋" w:hAnsi="仿宋" w:eastAsia="仿宋" w:cs="仿宋"/>
                <w:color w:val="auto"/>
                <w:sz w:val="21"/>
                <w:szCs w:val="21"/>
                <w:highlight w:val="none"/>
              </w:rPr>
            </w:pPr>
          </w:p>
        </w:tc>
        <w:tc>
          <w:tcPr>
            <w:tcW w:w="774" w:type="pct"/>
            <w:tcBorders>
              <w:tl2br w:val="nil"/>
              <w:tr2bl w:val="nil"/>
            </w:tcBorders>
            <w:noWrap/>
            <w:vAlign w:val="center"/>
          </w:tcPr>
          <w:p w14:paraId="6B84B4F3">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四层</w:t>
            </w:r>
          </w:p>
        </w:tc>
        <w:tc>
          <w:tcPr>
            <w:tcW w:w="3639" w:type="pct"/>
            <w:tcBorders>
              <w:tl2br w:val="nil"/>
              <w:tr2bl w:val="nil"/>
            </w:tcBorders>
            <w:noWrap/>
            <w:vAlign w:val="center"/>
          </w:tcPr>
          <w:p w14:paraId="3BEEA3A3">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外科</w:t>
            </w:r>
            <w:r>
              <w:rPr>
                <w:rFonts w:hint="eastAsia" w:ascii="仿宋" w:hAnsi="仿宋" w:eastAsia="仿宋" w:cs="仿宋"/>
                <w:color w:val="auto"/>
                <w:sz w:val="21"/>
                <w:szCs w:val="21"/>
                <w:highlight w:val="none"/>
              </w:rPr>
              <w:t>住院部、办公室</w:t>
            </w:r>
          </w:p>
        </w:tc>
      </w:tr>
      <w:tr w14:paraId="4E43BCA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0" w:hRule="atLeast"/>
        </w:trPr>
        <w:tc>
          <w:tcPr>
            <w:tcW w:w="586" w:type="pct"/>
            <w:vMerge w:val="continue"/>
            <w:tcBorders>
              <w:tl2br w:val="nil"/>
              <w:tr2bl w:val="nil"/>
            </w:tcBorders>
            <w:noWrap/>
            <w:vAlign w:val="center"/>
          </w:tcPr>
          <w:p w14:paraId="0DB9D44E">
            <w:pPr>
              <w:keepNext w:val="0"/>
              <w:keepLines w:val="0"/>
              <w:suppressLineNumbers w:val="0"/>
              <w:snapToGrid w:val="0"/>
              <w:spacing w:before="0" w:beforeAutospacing="0" w:after="0" w:afterAutospacing="0" w:line="240" w:lineRule="atLeast"/>
              <w:ind w:left="0" w:right="0" w:firstLine="0" w:firstLineChars="0"/>
              <w:jc w:val="center"/>
              <w:rPr>
                <w:rFonts w:hint="default" w:ascii="仿宋" w:hAnsi="仿宋" w:eastAsia="仿宋" w:cs="仿宋"/>
                <w:color w:val="auto"/>
                <w:sz w:val="21"/>
                <w:szCs w:val="21"/>
                <w:highlight w:val="none"/>
              </w:rPr>
            </w:pPr>
          </w:p>
        </w:tc>
        <w:tc>
          <w:tcPr>
            <w:tcW w:w="774" w:type="pct"/>
            <w:tcBorders>
              <w:tl2br w:val="nil"/>
              <w:tr2bl w:val="nil"/>
            </w:tcBorders>
            <w:noWrap/>
            <w:vAlign w:val="center"/>
          </w:tcPr>
          <w:p w14:paraId="5B8877B4">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五层</w:t>
            </w:r>
          </w:p>
        </w:tc>
        <w:tc>
          <w:tcPr>
            <w:tcW w:w="3639" w:type="pct"/>
            <w:tcBorders>
              <w:tl2br w:val="nil"/>
              <w:tr2bl w:val="nil"/>
            </w:tcBorders>
            <w:noWrap/>
            <w:vAlign w:val="center"/>
          </w:tcPr>
          <w:p w14:paraId="65F889E5">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儿</w:t>
            </w:r>
            <w:r>
              <w:rPr>
                <w:rFonts w:hint="eastAsia" w:ascii="仿宋" w:hAnsi="仿宋" w:eastAsia="仿宋" w:cs="仿宋"/>
                <w:color w:val="auto"/>
                <w:sz w:val="21"/>
                <w:szCs w:val="21"/>
                <w:highlight w:val="none"/>
              </w:rPr>
              <w:t>科住院部</w:t>
            </w:r>
          </w:p>
        </w:tc>
      </w:tr>
      <w:tr w14:paraId="6B13982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0" w:hRule="atLeast"/>
        </w:trPr>
        <w:tc>
          <w:tcPr>
            <w:tcW w:w="586" w:type="pct"/>
            <w:vMerge w:val="continue"/>
            <w:tcBorders>
              <w:tl2br w:val="nil"/>
              <w:tr2bl w:val="nil"/>
            </w:tcBorders>
            <w:noWrap/>
            <w:vAlign w:val="center"/>
          </w:tcPr>
          <w:p w14:paraId="011B3F98">
            <w:pPr>
              <w:keepNext w:val="0"/>
              <w:keepLines w:val="0"/>
              <w:suppressLineNumbers w:val="0"/>
              <w:snapToGrid w:val="0"/>
              <w:spacing w:before="0" w:beforeAutospacing="0" w:after="0" w:afterAutospacing="0" w:line="240" w:lineRule="atLeast"/>
              <w:ind w:left="0" w:right="0" w:firstLine="0" w:firstLineChars="0"/>
              <w:jc w:val="center"/>
              <w:rPr>
                <w:rFonts w:hint="default" w:ascii="仿宋" w:hAnsi="仿宋" w:eastAsia="仿宋" w:cs="仿宋"/>
                <w:color w:val="auto"/>
                <w:sz w:val="21"/>
                <w:szCs w:val="21"/>
                <w:highlight w:val="none"/>
              </w:rPr>
            </w:pPr>
          </w:p>
        </w:tc>
        <w:tc>
          <w:tcPr>
            <w:tcW w:w="774" w:type="pct"/>
            <w:tcBorders>
              <w:tl2br w:val="nil"/>
              <w:tr2bl w:val="nil"/>
            </w:tcBorders>
            <w:noWrap/>
            <w:vAlign w:val="center"/>
          </w:tcPr>
          <w:p w14:paraId="3103C708">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六层-八层</w:t>
            </w:r>
          </w:p>
        </w:tc>
        <w:tc>
          <w:tcPr>
            <w:tcW w:w="3639" w:type="pct"/>
            <w:tcBorders>
              <w:tl2br w:val="nil"/>
              <w:tr2bl w:val="nil"/>
            </w:tcBorders>
            <w:noWrap/>
            <w:vAlign w:val="center"/>
          </w:tcPr>
          <w:p w14:paraId="09156D77">
            <w:pPr>
              <w:keepNext w:val="0"/>
              <w:keepLines w:val="0"/>
              <w:widowControl/>
              <w:suppressLineNumbers w:val="0"/>
              <w:snapToGrid w:val="0"/>
              <w:spacing w:before="0" w:beforeAutospacing="0" w:after="0" w:afterAutospacing="0" w:line="240" w:lineRule="atLeast"/>
              <w:ind w:left="0" w:right="0" w:firstLine="0" w:firstLineChars="0"/>
              <w:jc w:val="center"/>
              <w:textAlignment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儿童舒缓疗护病区、</w:t>
            </w:r>
            <w:r>
              <w:rPr>
                <w:rFonts w:hint="eastAsia" w:ascii="仿宋" w:hAnsi="仿宋" w:eastAsia="仿宋" w:cs="仿宋"/>
                <w:color w:val="auto"/>
                <w:sz w:val="21"/>
                <w:szCs w:val="21"/>
                <w:highlight w:val="none"/>
                <w:lang w:val="en-US" w:eastAsia="zh-CN"/>
              </w:rPr>
              <w:t>康宁科</w:t>
            </w:r>
            <w:r>
              <w:rPr>
                <w:rFonts w:hint="eastAsia" w:ascii="仿宋" w:hAnsi="仿宋" w:eastAsia="仿宋" w:cs="仿宋"/>
                <w:color w:val="auto"/>
                <w:sz w:val="21"/>
                <w:szCs w:val="21"/>
                <w:highlight w:val="none"/>
              </w:rPr>
              <w:t>住院部</w:t>
            </w:r>
          </w:p>
        </w:tc>
      </w:tr>
    </w:tbl>
    <w:p w14:paraId="3BC3A2A2">
      <w:pPr>
        <w:bidi w:val="0"/>
        <w:rPr>
          <w:rFonts w:hint="eastAsia"/>
          <w:color w:val="auto"/>
          <w:highlight w:val="none"/>
          <w:lang w:val="en-US" w:eastAsia="zh-CN"/>
        </w:rPr>
      </w:pPr>
    </w:p>
    <w:p w14:paraId="565DD336">
      <w:pPr>
        <w:ind w:left="0" w:leftChars="0" w:firstLine="0" w:firstLineChars="0"/>
        <w:rPr>
          <w:rFonts w:hint="eastAsia"/>
          <w:color w:val="auto"/>
          <w:highlight w:val="none"/>
          <w:lang w:val="en-US" w:eastAsia="zh-CN"/>
        </w:rPr>
      </w:pPr>
    </w:p>
    <w:p w14:paraId="4033A61E">
      <w:pPr>
        <w:ind w:left="0" w:leftChars="0" w:firstLine="0" w:firstLineChars="0"/>
        <w:rPr>
          <w:rFonts w:hint="eastAsia"/>
          <w:color w:val="auto"/>
          <w:highlight w:val="none"/>
          <w:lang w:val="en-US" w:eastAsia="zh-CN"/>
        </w:rPr>
      </w:pPr>
    </w:p>
    <w:p w14:paraId="6787F22D">
      <w:pPr>
        <w:pStyle w:val="4"/>
        <w:bidi w:val="0"/>
        <w:rPr>
          <w:rFonts w:hint="eastAsia"/>
          <w:color w:val="auto"/>
          <w:highlight w:val="none"/>
          <w:lang w:eastAsia="zh-CN"/>
        </w:rPr>
      </w:pPr>
      <w:r>
        <w:rPr>
          <w:rFonts w:hint="eastAsia"/>
          <w:color w:val="auto"/>
          <w:highlight w:val="none"/>
          <w:lang w:eastAsia="zh-CN"/>
        </w:rPr>
        <w:t>规划与场地设计</w:t>
      </w:r>
    </w:p>
    <w:p w14:paraId="46D33427">
      <w:pPr>
        <w:numPr>
          <w:ilvl w:val="0"/>
          <w:numId w:val="7"/>
        </w:numPr>
        <w:bidi w:val="0"/>
        <w:ind w:left="425" w:leftChars="0" w:hanging="425" w:firstLineChars="0"/>
        <w:rPr>
          <w:rFonts w:hint="eastAsia" w:ascii="宋体" w:hAnsi="宋体" w:eastAsia="宋体"/>
          <w:color w:val="auto"/>
          <w:highlight w:val="none"/>
          <w:lang w:eastAsia="zh-CN"/>
        </w:rPr>
      </w:pPr>
      <w:r>
        <w:rPr>
          <w:rFonts w:hint="eastAsia" w:ascii="宋体" w:hAnsi="宋体" w:eastAsia="宋体"/>
          <w:color w:val="auto"/>
          <w:highlight w:val="none"/>
          <w:lang w:val="en-US" w:eastAsia="zh-CN"/>
        </w:rPr>
        <w:t xml:space="preserve">项目建设应符合广州市和番禺区城市总体规划的要求，与周边社会环境相衔接，满足经济社会可持续性发展的需要，协调好城市经济、社会发展、城市环境之间的关系。 </w:t>
      </w:r>
    </w:p>
    <w:p w14:paraId="3106346C">
      <w:pPr>
        <w:numPr>
          <w:ilvl w:val="0"/>
          <w:numId w:val="7"/>
        </w:numPr>
        <w:bidi w:val="0"/>
        <w:ind w:left="425" w:leftChars="0" w:hanging="425" w:firstLineChars="0"/>
        <w:rPr>
          <w:rFonts w:hint="eastAsia" w:ascii="宋体" w:hAnsi="宋体" w:eastAsia="宋体"/>
          <w:color w:val="auto"/>
          <w:highlight w:val="none"/>
          <w:lang w:eastAsia="zh-CN"/>
        </w:rPr>
      </w:pPr>
      <w:r>
        <w:rPr>
          <w:rFonts w:hint="eastAsia" w:ascii="宋体" w:hAnsi="宋体" w:eastAsia="宋体"/>
          <w:color w:val="auto"/>
          <w:highlight w:val="none"/>
          <w:lang w:val="en-US" w:eastAsia="zh-CN"/>
        </w:rPr>
        <w:t xml:space="preserve">项目建设应符合国家颁布的相关标准及规范。 </w:t>
      </w:r>
    </w:p>
    <w:p w14:paraId="34647700">
      <w:pPr>
        <w:numPr>
          <w:ilvl w:val="0"/>
          <w:numId w:val="7"/>
        </w:numPr>
        <w:bidi w:val="0"/>
        <w:ind w:left="425" w:leftChars="0" w:hanging="425" w:firstLineChars="0"/>
        <w:rPr>
          <w:rFonts w:hint="eastAsia" w:ascii="宋体" w:hAnsi="宋体" w:eastAsia="宋体"/>
          <w:color w:val="auto"/>
          <w:highlight w:val="none"/>
          <w:lang w:eastAsia="zh-CN"/>
        </w:rPr>
      </w:pPr>
      <w:r>
        <w:rPr>
          <w:rFonts w:hint="eastAsia" w:ascii="宋体" w:hAnsi="宋体" w:eastAsia="宋体"/>
          <w:color w:val="auto"/>
          <w:highlight w:val="none"/>
          <w:lang w:val="en-US" w:eastAsia="zh-CN"/>
        </w:rPr>
        <w:t xml:space="preserve">项目建设应满足医疗业务用房所需要的功能使用要求，应充分利用现有大楼的建筑格局和自然环境，合理规划，装修风格应遵循简朴庄重、经济适用原则。 </w:t>
      </w:r>
    </w:p>
    <w:p w14:paraId="4867A604">
      <w:pPr>
        <w:numPr>
          <w:ilvl w:val="0"/>
          <w:numId w:val="7"/>
        </w:numPr>
        <w:bidi w:val="0"/>
        <w:ind w:left="425" w:leftChars="0" w:hanging="425" w:firstLineChars="0"/>
        <w:rPr>
          <w:rFonts w:hint="eastAsia" w:ascii="宋体" w:hAnsi="宋体" w:eastAsia="宋体"/>
          <w:color w:val="auto"/>
          <w:highlight w:val="none"/>
          <w:lang w:eastAsia="zh-CN"/>
        </w:rPr>
      </w:pPr>
      <w:r>
        <w:rPr>
          <w:rFonts w:hint="eastAsia" w:ascii="宋体" w:hAnsi="宋体" w:eastAsia="宋体"/>
          <w:color w:val="auto"/>
          <w:highlight w:val="none"/>
          <w:lang w:val="en-US" w:eastAsia="zh-CN"/>
        </w:rPr>
        <w:t xml:space="preserve">4．体现“以人为本”的设计原则，平面布局、装修风格、细部处理、装修色彩、材料选择等方面应体现地方特色，妥善解决采光、通风等问题，大方得体，为医疗服务人群提供安全舒适及方便的就诊环境。 </w:t>
      </w:r>
    </w:p>
    <w:p w14:paraId="2CC8D72C">
      <w:pPr>
        <w:numPr>
          <w:ilvl w:val="0"/>
          <w:numId w:val="7"/>
        </w:numPr>
        <w:bidi w:val="0"/>
        <w:ind w:left="425" w:leftChars="0" w:hanging="425" w:firstLineChars="0"/>
        <w:rPr>
          <w:rFonts w:hint="eastAsia" w:ascii="宋体" w:hAnsi="宋体" w:eastAsia="宋体"/>
          <w:color w:val="auto"/>
          <w:highlight w:val="none"/>
          <w:lang w:eastAsia="zh-CN"/>
        </w:rPr>
      </w:pPr>
      <w:r>
        <w:rPr>
          <w:rFonts w:hint="eastAsia" w:ascii="宋体" w:hAnsi="宋体" w:eastAsia="宋体"/>
          <w:color w:val="auto"/>
          <w:highlight w:val="none"/>
          <w:lang w:val="en-US" w:eastAsia="zh-CN"/>
        </w:rPr>
        <w:t xml:space="preserve">按迁移进入的不同科室的不同使用功能进行合理布局，力求分区明确、联系方便和互不干扰。 </w:t>
      </w:r>
    </w:p>
    <w:p w14:paraId="433AA59C">
      <w:pPr>
        <w:numPr>
          <w:ilvl w:val="0"/>
          <w:numId w:val="7"/>
        </w:numPr>
        <w:bidi w:val="0"/>
        <w:ind w:left="425" w:leftChars="0" w:hanging="425" w:firstLineChars="0"/>
        <w:rPr>
          <w:rFonts w:hint="eastAsia" w:ascii="宋体" w:hAnsi="宋体" w:eastAsia="宋体"/>
          <w:color w:val="auto"/>
          <w:highlight w:val="none"/>
          <w:lang w:eastAsia="zh-CN"/>
        </w:rPr>
      </w:pPr>
      <w:r>
        <w:rPr>
          <w:rFonts w:hint="eastAsia" w:ascii="宋体" w:hAnsi="宋体" w:eastAsia="宋体"/>
          <w:color w:val="auto"/>
          <w:highlight w:val="none"/>
          <w:lang w:val="en-US" w:eastAsia="zh-CN"/>
        </w:rPr>
        <w:t xml:space="preserve">项目建设应充分考虑场址现有的建设条件，因地制宜地进行各平面布置与立面设计，体现节约用地、绿色低碳、节能环保等理念。 </w:t>
      </w:r>
    </w:p>
    <w:p w14:paraId="3B19F531">
      <w:pPr>
        <w:numPr>
          <w:ilvl w:val="0"/>
          <w:numId w:val="7"/>
        </w:numPr>
        <w:bidi w:val="0"/>
        <w:ind w:left="425" w:leftChars="0" w:hanging="425" w:firstLineChars="0"/>
        <w:rPr>
          <w:rFonts w:hint="eastAsia" w:ascii="宋体" w:hAnsi="宋体" w:eastAsia="宋体"/>
          <w:color w:val="auto"/>
          <w:highlight w:val="none"/>
          <w:lang w:eastAsia="zh-CN"/>
        </w:rPr>
      </w:pPr>
      <w:r>
        <w:rPr>
          <w:rFonts w:hint="eastAsia" w:ascii="宋体" w:hAnsi="宋体" w:eastAsia="宋体"/>
          <w:color w:val="auto"/>
          <w:highlight w:val="none"/>
          <w:lang w:val="en-US" w:eastAsia="zh-CN"/>
        </w:rPr>
        <w:t xml:space="preserve">根据医疗卫生的特点，遵照国家规范，妥善处理好防火、防潮、防噪声、防尘、保温等问题。 </w:t>
      </w:r>
    </w:p>
    <w:p w14:paraId="02AAE4EA">
      <w:pPr>
        <w:numPr>
          <w:ilvl w:val="0"/>
          <w:numId w:val="7"/>
        </w:numPr>
        <w:bidi w:val="0"/>
        <w:ind w:left="425" w:leftChars="0" w:hanging="425" w:firstLineChars="0"/>
        <w:rPr>
          <w:rFonts w:hint="eastAsia" w:ascii="宋体" w:hAnsi="宋体" w:eastAsia="宋体"/>
          <w:color w:val="auto"/>
          <w:highlight w:val="none"/>
          <w:lang w:eastAsia="zh-CN"/>
        </w:rPr>
      </w:pPr>
      <w:r>
        <w:rPr>
          <w:rFonts w:hint="eastAsia" w:ascii="宋体" w:hAnsi="宋体" w:eastAsia="宋体"/>
          <w:color w:val="auto"/>
          <w:highlight w:val="none"/>
          <w:lang w:val="en-US" w:eastAsia="zh-CN"/>
        </w:rPr>
        <w:t>坚持可持续发展原则，注意建筑的生态化设计和节能设计，合理利用环境和资源。</w:t>
      </w:r>
    </w:p>
    <w:p w14:paraId="07470E97">
      <w:pPr>
        <w:numPr>
          <w:ilvl w:val="0"/>
          <w:numId w:val="7"/>
        </w:numPr>
        <w:bidi w:val="0"/>
        <w:ind w:left="425" w:leftChars="0" w:hanging="425" w:firstLineChars="0"/>
        <w:rPr>
          <w:rFonts w:hint="eastAsia" w:ascii="宋体" w:hAnsi="宋体" w:eastAsia="宋体"/>
          <w:color w:val="auto"/>
          <w:highlight w:val="none"/>
          <w:lang w:eastAsia="zh-CN"/>
        </w:rPr>
      </w:pPr>
      <w:r>
        <w:rPr>
          <w:rFonts w:hint="eastAsia" w:ascii="宋体" w:hAnsi="宋体" w:eastAsia="宋体"/>
          <w:color w:val="auto"/>
          <w:highlight w:val="none"/>
          <w:lang w:val="en-US" w:eastAsia="zh-CN"/>
        </w:rPr>
        <w:t>本次改造对院区进行整体设计，在建筑现有条件中，尽可能的布置流线合理、功能分布合理、资源分配合理、挖掘空间面积的价值最大化。</w:t>
      </w:r>
    </w:p>
    <w:p w14:paraId="71DA7BE8">
      <w:pPr>
        <w:pStyle w:val="4"/>
        <w:rPr>
          <w:color w:val="auto"/>
          <w:highlight w:val="none"/>
          <w:lang w:eastAsia="zh-CN"/>
        </w:rPr>
      </w:pPr>
      <w:r>
        <w:rPr>
          <w:rFonts w:hint="eastAsia"/>
          <w:color w:val="auto"/>
          <w:highlight w:val="none"/>
          <w:lang w:eastAsia="zh-CN"/>
        </w:rPr>
        <w:t>建筑装修设计</w:t>
      </w:r>
    </w:p>
    <w:p w14:paraId="48E9E641">
      <w:pPr>
        <w:numPr>
          <w:ilvl w:val="0"/>
          <w:numId w:val="0"/>
        </w:numPr>
        <w:bidi w:val="0"/>
        <w:ind w:leftChars="0" w:firstLine="480" w:firstLineChars="200"/>
        <w:rPr>
          <w:rFonts w:hint="eastAsia"/>
          <w:color w:val="auto"/>
          <w:highlight w:val="none"/>
          <w:lang w:val="en-US" w:eastAsia="zh-CN"/>
        </w:rPr>
      </w:pPr>
      <w:r>
        <w:rPr>
          <w:rFonts w:hint="eastAsia"/>
          <w:color w:val="auto"/>
          <w:highlight w:val="none"/>
          <w:lang w:val="en-US" w:eastAsia="zh-CN"/>
        </w:rPr>
        <w:t>室内平面设计主要根据建筑的空间结构和使用范围进行设计，在建筑的格局要求下划分功能项目，力求合理而且功能多元化，满足规划的实用要求。</w:t>
      </w:r>
    </w:p>
    <w:p w14:paraId="6BE16579">
      <w:pPr>
        <w:numPr>
          <w:ilvl w:val="0"/>
          <w:numId w:val="0"/>
        </w:numPr>
        <w:bidi w:val="0"/>
        <w:ind w:leftChars="0" w:firstLine="480" w:firstLineChars="200"/>
        <w:rPr>
          <w:rFonts w:hint="eastAsia"/>
          <w:color w:val="auto"/>
          <w:highlight w:val="none"/>
          <w:lang w:val="en-US" w:eastAsia="zh-CN"/>
        </w:rPr>
      </w:pPr>
      <w:r>
        <w:rPr>
          <w:rFonts w:hint="eastAsia"/>
          <w:color w:val="auto"/>
          <w:highlight w:val="none"/>
          <w:lang w:val="en-US" w:eastAsia="zh-CN"/>
        </w:rPr>
        <w:t>工程范围包括室内的改造，包括放射科、体检中心、内镜中心等区域功能改造。对院内室内环境进行装修、外立面墙体进行改造、对消防设施、照明设备、通风空调设备、弱电设备、医用管道、给水排水排污管道等改造和安装工程，专用设备和病房配套设施的升级改造。</w:t>
      </w:r>
    </w:p>
    <w:p w14:paraId="06CBEE6F">
      <w:pPr>
        <w:numPr>
          <w:ilvl w:val="0"/>
          <w:numId w:val="0"/>
        </w:numPr>
        <w:bidi w:val="0"/>
        <w:ind w:leftChars="0" w:firstLine="480" w:firstLineChars="200"/>
        <w:rPr>
          <w:rFonts w:hint="eastAsia"/>
          <w:color w:val="auto"/>
          <w:highlight w:val="none"/>
          <w:lang w:eastAsia="zh-CN"/>
        </w:rPr>
      </w:pPr>
      <w:r>
        <w:rPr>
          <w:rFonts w:hint="eastAsia"/>
          <w:color w:val="auto"/>
          <w:highlight w:val="none"/>
          <w:lang w:val="en-US" w:eastAsia="zh-CN"/>
        </w:rPr>
        <w:t xml:space="preserve">各科室诊室、病房、手术室等的装修标准参照《综合医院建设标准》《建筑内部装修设计防火规范》等相关规定，对候诊大厅、公共通道、公共卫生间等采用二级装修标准。 </w:t>
      </w:r>
    </w:p>
    <w:p w14:paraId="5E228FF6">
      <w:pPr>
        <w:numPr>
          <w:ilvl w:val="0"/>
          <w:numId w:val="8"/>
        </w:numPr>
        <w:bidi w:val="0"/>
        <w:ind w:left="425" w:leftChars="0" w:hanging="425" w:firstLineChars="0"/>
        <w:rPr>
          <w:rFonts w:hint="eastAsia"/>
          <w:color w:val="auto"/>
          <w:highlight w:val="none"/>
          <w:lang w:eastAsia="zh-CN"/>
        </w:rPr>
      </w:pPr>
      <w:r>
        <w:rPr>
          <w:rFonts w:hint="eastAsia"/>
          <w:color w:val="auto"/>
          <w:highlight w:val="none"/>
          <w:lang w:val="en-US" w:eastAsia="zh-CN"/>
        </w:rPr>
        <w:t xml:space="preserve">住院部、医疗室和医疗业务用房的室内改造，应符合下列规定： </w:t>
      </w:r>
    </w:p>
    <w:p w14:paraId="33A17674">
      <w:pPr>
        <w:numPr>
          <w:ilvl w:val="0"/>
          <w:numId w:val="0"/>
        </w:numPr>
        <w:bidi w:val="0"/>
        <w:ind w:leftChars="0" w:firstLine="480" w:firstLineChars="200"/>
        <w:rPr>
          <w:rFonts w:hint="eastAsia"/>
          <w:color w:val="auto"/>
          <w:highlight w:val="none"/>
          <w:lang w:eastAsia="zh-CN"/>
        </w:rPr>
      </w:pPr>
      <w:r>
        <w:rPr>
          <w:rFonts w:hint="eastAsia"/>
          <w:color w:val="auto"/>
          <w:highlight w:val="none"/>
          <w:lang w:val="en-US" w:eastAsia="zh-CN"/>
        </w:rPr>
        <w:t xml:space="preserve">顶棚应便于清扫、防积尘；照明宜采用吸顶灯具； </w:t>
      </w:r>
    </w:p>
    <w:p w14:paraId="100524A9">
      <w:pPr>
        <w:numPr>
          <w:ilvl w:val="0"/>
          <w:numId w:val="0"/>
        </w:numPr>
        <w:bidi w:val="0"/>
        <w:ind w:leftChars="0" w:firstLine="480" w:firstLineChars="200"/>
        <w:rPr>
          <w:rFonts w:hint="eastAsia"/>
          <w:color w:val="auto"/>
          <w:highlight w:val="none"/>
          <w:lang w:eastAsia="zh-CN"/>
        </w:rPr>
      </w:pPr>
      <w:r>
        <w:rPr>
          <w:rFonts w:hint="eastAsia"/>
          <w:color w:val="auto"/>
          <w:highlight w:val="none"/>
          <w:lang w:val="en-US" w:eastAsia="zh-CN"/>
        </w:rPr>
        <w:t xml:space="preserve">内墙墙体不应使用易裂、易燃、易潮湿、易腐蚀、不耐碰撞、不易吊挂的材料；有推床（车）通过的门和墙面，应采取防碰撞措施； </w:t>
      </w:r>
    </w:p>
    <w:p w14:paraId="5E09F4B0">
      <w:pPr>
        <w:numPr>
          <w:ilvl w:val="0"/>
          <w:numId w:val="0"/>
        </w:numPr>
        <w:bidi w:val="0"/>
        <w:ind w:leftChars="0" w:firstLine="480" w:firstLineChars="200"/>
        <w:rPr>
          <w:rFonts w:hint="eastAsia"/>
          <w:color w:val="auto"/>
          <w:highlight w:val="none"/>
          <w:lang w:eastAsia="zh-CN"/>
        </w:rPr>
      </w:pPr>
      <w:r>
        <w:rPr>
          <w:rFonts w:hint="eastAsia"/>
          <w:color w:val="auto"/>
          <w:highlight w:val="none"/>
          <w:lang w:val="en-US" w:eastAsia="zh-CN"/>
        </w:rPr>
        <w:t xml:space="preserve">除特殊要求外，有患者通行的楼地面应采用防滑材料铺装； </w:t>
      </w:r>
    </w:p>
    <w:p w14:paraId="2A495E0F">
      <w:pPr>
        <w:numPr>
          <w:ilvl w:val="0"/>
          <w:numId w:val="0"/>
        </w:numPr>
        <w:bidi w:val="0"/>
        <w:ind w:leftChars="0" w:firstLine="480" w:firstLineChars="200"/>
        <w:rPr>
          <w:rFonts w:hint="eastAsia"/>
          <w:color w:val="auto"/>
          <w:highlight w:val="none"/>
          <w:lang w:eastAsia="zh-CN"/>
        </w:rPr>
      </w:pPr>
      <w:r>
        <w:rPr>
          <w:rFonts w:hint="eastAsia"/>
          <w:color w:val="auto"/>
          <w:highlight w:val="none"/>
          <w:lang w:val="en-US" w:eastAsia="zh-CN"/>
        </w:rPr>
        <w:t xml:space="preserve">所有卫生洁具、洗涤池，应采用耐腐蚀、难玷污、易清洁的建筑配件； </w:t>
      </w:r>
    </w:p>
    <w:p w14:paraId="5E1FA131">
      <w:pPr>
        <w:numPr>
          <w:ilvl w:val="0"/>
          <w:numId w:val="0"/>
        </w:numPr>
        <w:bidi w:val="0"/>
        <w:ind w:leftChars="0" w:firstLine="480" w:firstLineChars="200"/>
        <w:rPr>
          <w:rFonts w:hint="eastAsia"/>
          <w:color w:val="auto"/>
          <w:highlight w:val="none"/>
          <w:lang w:eastAsia="zh-CN"/>
        </w:rPr>
      </w:pPr>
      <w:r>
        <w:rPr>
          <w:rFonts w:hint="eastAsia"/>
          <w:color w:val="auto"/>
          <w:highlight w:val="none"/>
          <w:lang w:val="en-US" w:eastAsia="zh-CN"/>
        </w:rPr>
        <w:t xml:space="preserve">不应使用易产生粉尘、微粒、纤维性物质的材料。 </w:t>
      </w:r>
    </w:p>
    <w:p w14:paraId="04495641">
      <w:pPr>
        <w:numPr>
          <w:ilvl w:val="0"/>
          <w:numId w:val="8"/>
        </w:numPr>
        <w:bidi w:val="0"/>
        <w:ind w:left="425" w:leftChars="0" w:hanging="425" w:firstLineChars="0"/>
        <w:rPr>
          <w:rFonts w:hint="eastAsia"/>
          <w:color w:val="auto"/>
          <w:highlight w:val="none"/>
          <w:lang w:eastAsia="zh-CN"/>
        </w:rPr>
      </w:pPr>
      <w:r>
        <w:rPr>
          <w:rFonts w:hint="eastAsia"/>
          <w:color w:val="auto"/>
          <w:highlight w:val="none"/>
          <w:lang w:val="en-US" w:eastAsia="zh-CN"/>
        </w:rPr>
        <w:t>配餐、消毒、厕浴、污洗等有蒸汽溢出和结露的房间，应采用牢固、耐用、难玷污、易清洁的材料。</w:t>
      </w:r>
    </w:p>
    <w:p w14:paraId="5C5C78D3">
      <w:pPr>
        <w:numPr>
          <w:ilvl w:val="0"/>
          <w:numId w:val="8"/>
        </w:numPr>
        <w:bidi w:val="0"/>
        <w:ind w:left="425" w:leftChars="0" w:hanging="425" w:firstLineChars="0"/>
        <w:rPr>
          <w:rFonts w:hint="eastAsia"/>
          <w:color w:val="auto"/>
          <w:highlight w:val="none"/>
          <w:lang w:eastAsia="zh-CN"/>
        </w:rPr>
      </w:pPr>
      <w:r>
        <w:rPr>
          <w:rFonts w:hint="eastAsia"/>
          <w:color w:val="auto"/>
          <w:highlight w:val="none"/>
          <w:lang w:val="en-US" w:eastAsia="zh-CN"/>
        </w:rPr>
        <w:t xml:space="preserve">医院的建筑耐火等级应不低于二级，消防设施的配置应遵守国家有关建筑防火设计规范的规定。 </w:t>
      </w:r>
    </w:p>
    <w:p w14:paraId="496E8F03">
      <w:pPr>
        <w:numPr>
          <w:ilvl w:val="0"/>
          <w:numId w:val="8"/>
        </w:numPr>
        <w:bidi w:val="0"/>
        <w:ind w:left="425" w:leftChars="0" w:hanging="425" w:firstLineChars="0"/>
        <w:rPr>
          <w:rFonts w:hint="eastAsia"/>
          <w:color w:val="auto"/>
          <w:highlight w:val="none"/>
          <w:lang w:eastAsia="zh-CN"/>
        </w:rPr>
      </w:pPr>
      <w:r>
        <w:rPr>
          <w:rFonts w:hint="eastAsia"/>
          <w:color w:val="auto"/>
          <w:highlight w:val="none"/>
          <w:lang w:val="en-US" w:eastAsia="zh-CN"/>
        </w:rPr>
        <w:t xml:space="preserve">医院的手术室、有关实验室等用房应设置空调和通风设施。洁净手术室空气净化设施应符合《医院洁净手术部建设标准》。 </w:t>
      </w:r>
    </w:p>
    <w:p w14:paraId="69168BC8">
      <w:pPr>
        <w:numPr>
          <w:ilvl w:val="0"/>
          <w:numId w:val="8"/>
        </w:numPr>
        <w:bidi w:val="0"/>
        <w:ind w:left="425" w:leftChars="0" w:hanging="425" w:firstLineChars="0"/>
        <w:rPr>
          <w:rFonts w:hint="eastAsia"/>
          <w:color w:val="auto"/>
          <w:highlight w:val="none"/>
          <w:lang w:eastAsia="zh-CN"/>
        </w:rPr>
      </w:pPr>
      <w:r>
        <w:rPr>
          <w:rFonts w:hint="eastAsia"/>
          <w:color w:val="auto"/>
          <w:highlight w:val="none"/>
          <w:lang w:val="en-US" w:eastAsia="zh-CN"/>
        </w:rPr>
        <w:t xml:space="preserve">医院应配置与其建设规模相适应的电话通信系统。 </w:t>
      </w:r>
    </w:p>
    <w:p w14:paraId="517265EB">
      <w:pPr>
        <w:numPr>
          <w:ilvl w:val="0"/>
          <w:numId w:val="8"/>
        </w:numPr>
        <w:bidi w:val="0"/>
        <w:ind w:left="425" w:leftChars="0" w:hanging="425" w:firstLineChars="0"/>
        <w:rPr>
          <w:rFonts w:hint="eastAsia"/>
          <w:color w:val="auto"/>
          <w:highlight w:val="none"/>
          <w:lang w:eastAsia="zh-CN"/>
        </w:rPr>
      </w:pPr>
      <w:r>
        <w:rPr>
          <w:rFonts w:hint="eastAsia"/>
          <w:color w:val="auto"/>
          <w:highlight w:val="none"/>
          <w:lang w:val="en-US" w:eastAsia="zh-CN"/>
        </w:rPr>
        <w:t xml:space="preserve">医院应配置与其建设规模和业务技术、行政管理工作相适应的计算机系统、医用对讲系统、闭路电视系统和安全技术防范体系。 </w:t>
      </w:r>
    </w:p>
    <w:p w14:paraId="2A09693A">
      <w:pPr>
        <w:numPr>
          <w:ilvl w:val="0"/>
          <w:numId w:val="8"/>
        </w:numPr>
        <w:bidi w:val="0"/>
        <w:ind w:left="425" w:leftChars="0" w:hanging="425" w:firstLineChars="0"/>
        <w:rPr>
          <w:rFonts w:hint="eastAsia"/>
          <w:color w:val="auto"/>
          <w:highlight w:val="none"/>
          <w:lang w:eastAsia="zh-CN"/>
        </w:rPr>
      </w:pPr>
      <w:r>
        <w:rPr>
          <w:rFonts w:hint="eastAsia"/>
          <w:color w:val="auto"/>
          <w:highlight w:val="none"/>
          <w:lang w:val="en-US" w:eastAsia="zh-CN"/>
        </w:rPr>
        <w:t xml:space="preserve">医院应配置完善、清晰、醒目的标识系统。 </w:t>
      </w:r>
    </w:p>
    <w:p w14:paraId="6F7E68AA">
      <w:pPr>
        <w:numPr>
          <w:ilvl w:val="0"/>
          <w:numId w:val="8"/>
        </w:numPr>
        <w:bidi w:val="0"/>
        <w:ind w:left="425" w:leftChars="0" w:hanging="425" w:firstLineChars="0"/>
        <w:rPr>
          <w:rFonts w:hint="eastAsia"/>
          <w:color w:val="auto"/>
          <w:highlight w:val="none"/>
          <w:lang w:eastAsia="zh-CN"/>
        </w:rPr>
      </w:pPr>
      <w:r>
        <w:rPr>
          <w:rFonts w:hint="eastAsia"/>
          <w:color w:val="auto"/>
          <w:highlight w:val="none"/>
          <w:lang w:val="en-US" w:eastAsia="zh-CN"/>
        </w:rPr>
        <w:t xml:space="preserve">医院应建设满足业务工作需要的医用气体供应设施。 </w:t>
      </w:r>
    </w:p>
    <w:p w14:paraId="6CB63AF7">
      <w:pPr>
        <w:numPr>
          <w:ilvl w:val="0"/>
          <w:numId w:val="8"/>
        </w:numPr>
        <w:bidi w:val="0"/>
        <w:ind w:left="425" w:leftChars="0" w:hanging="425" w:firstLineChars="0"/>
        <w:rPr>
          <w:rFonts w:hint="eastAsia"/>
          <w:color w:val="auto"/>
          <w:highlight w:val="none"/>
          <w:lang w:eastAsia="zh-CN"/>
        </w:rPr>
      </w:pPr>
      <w:r>
        <w:rPr>
          <w:rFonts w:hint="eastAsia"/>
          <w:color w:val="auto"/>
          <w:highlight w:val="none"/>
          <w:lang w:val="en-US" w:eastAsia="zh-CN"/>
        </w:rPr>
        <w:t>医院的医疗废物和生活垃圾的分类、归集、存放与处置应遵守国家有关环境保护的规定。</w:t>
      </w:r>
    </w:p>
    <w:p w14:paraId="077685B7">
      <w:pPr>
        <w:pStyle w:val="4"/>
        <w:rPr>
          <w:rFonts w:hint="eastAsia"/>
          <w:color w:val="auto"/>
          <w:highlight w:val="none"/>
          <w:lang w:val="en-US" w:eastAsia="zh-CN"/>
        </w:rPr>
      </w:pPr>
      <w:r>
        <w:rPr>
          <w:rFonts w:hint="eastAsia"/>
          <w:color w:val="auto"/>
          <w:highlight w:val="none"/>
          <w:lang w:eastAsia="zh-CN"/>
        </w:rPr>
        <w:t>外立面改造设计</w:t>
      </w:r>
    </w:p>
    <w:p w14:paraId="760F0970">
      <w:pPr>
        <w:numPr>
          <w:ilvl w:val="0"/>
          <w:numId w:val="0"/>
        </w:numPr>
        <w:bidi w:val="0"/>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外立面改造设计原则</w:t>
      </w:r>
    </w:p>
    <w:p w14:paraId="484633E1">
      <w:pPr>
        <w:numPr>
          <w:ilvl w:val="0"/>
          <w:numId w:val="0"/>
        </w:numPr>
        <w:bidi w:val="0"/>
        <w:ind w:leftChars="0"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以现代技术手段采用新材料，提升耐久性、节能性，对外立面进行精细化、功能化设计，以适应新时代，焕发新的光彩。</w:t>
      </w:r>
    </w:p>
    <w:p w14:paraId="3C93E45B">
      <w:pPr>
        <w:numPr>
          <w:ilvl w:val="0"/>
          <w:numId w:val="0"/>
        </w:numPr>
        <w:bidi w:val="0"/>
        <w:ind w:leftChars="0"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在创造良好的医疗环境，令人耳目一新的同时，建筑风格在外饰面材料和颜色上协调统一，充分尊重现有环境，但又不失现代医疗建筑特色。运用清晰有力的竖向立面效果，给人以积极和乐观的生命观，赋予现代医疗建筑新形象，突出其本身的特色和内涵。</w:t>
      </w:r>
    </w:p>
    <w:p w14:paraId="29A9A16A">
      <w:pPr>
        <w:pStyle w:val="4"/>
        <w:rPr>
          <w:rFonts w:hint="eastAsia"/>
          <w:color w:val="auto"/>
          <w:highlight w:val="none"/>
          <w:lang w:val="en-US" w:eastAsia="zh-CN"/>
        </w:rPr>
      </w:pPr>
      <w:r>
        <w:rPr>
          <w:rFonts w:hint="eastAsia"/>
          <w:color w:val="auto"/>
          <w:highlight w:val="none"/>
          <w:lang w:val="en-US" w:eastAsia="zh-CN"/>
        </w:rPr>
        <w:t>多层停车设施</w:t>
      </w:r>
    </w:p>
    <w:p w14:paraId="2A8504D0">
      <w:pPr>
        <w:numPr>
          <w:ilvl w:val="0"/>
          <w:numId w:val="0"/>
        </w:numPr>
        <w:bidi w:val="0"/>
        <w:ind w:leftChars="0" w:firstLine="480" w:firstLineChars="200"/>
        <w:rPr>
          <w:rFonts w:hint="eastAsia"/>
          <w:color w:val="auto"/>
          <w:highlight w:val="none"/>
          <w:lang w:eastAsia="zh-CN"/>
        </w:rPr>
      </w:pPr>
      <w:r>
        <w:rPr>
          <w:rFonts w:hint="eastAsia"/>
          <w:color w:val="auto"/>
          <w:highlight w:val="none"/>
          <w:lang w:val="en-US" w:eastAsia="zh-CN"/>
        </w:rPr>
        <w:t xml:space="preserve">本项目建设 2 栋多层停车设施，共增加 76 个停车位。 </w:t>
      </w:r>
    </w:p>
    <w:p w14:paraId="7A04059B">
      <w:pPr>
        <w:numPr>
          <w:ilvl w:val="0"/>
          <w:numId w:val="9"/>
        </w:numPr>
        <w:bidi w:val="0"/>
        <w:ind w:left="425" w:leftChars="0" w:hanging="425" w:firstLineChars="0"/>
        <w:rPr>
          <w:rFonts w:hint="eastAsia"/>
          <w:color w:val="auto"/>
          <w:highlight w:val="none"/>
          <w:lang w:eastAsia="zh-CN"/>
        </w:rPr>
      </w:pPr>
      <w:r>
        <w:rPr>
          <w:rFonts w:hint="eastAsia"/>
          <w:color w:val="auto"/>
          <w:highlight w:val="none"/>
          <w:lang w:val="en-US" w:eastAsia="zh-CN"/>
        </w:rPr>
        <w:t xml:space="preserve">采用 20 层全智能搬运立体停车设备，共可提供 76 个机械车位：其中 40 个 SUV 车位，36 个轿车车位； </w:t>
      </w:r>
    </w:p>
    <w:p w14:paraId="06D7029E">
      <w:pPr>
        <w:numPr>
          <w:ilvl w:val="0"/>
          <w:numId w:val="9"/>
        </w:numPr>
        <w:bidi w:val="0"/>
        <w:ind w:left="425" w:leftChars="0" w:hanging="425" w:firstLineChars="0"/>
        <w:rPr>
          <w:rFonts w:hint="eastAsia"/>
          <w:color w:val="auto"/>
          <w:highlight w:val="none"/>
          <w:lang w:eastAsia="zh-CN"/>
        </w:rPr>
      </w:pPr>
      <w:r>
        <w:rPr>
          <w:rFonts w:hint="eastAsia"/>
          <w:color w:val="auto"/>
          <w:highlight w:val="none"/>
          <w:lang w:val="en-US" w:eastAsia="zh-CN"/>
        </w:rPr>
        <w:t xml:space="preserve">车库有 2 个控制组，配置车辆智能配送系统； </w:t>
      </w:r>
    </w:p>
    <w:p w14:paraId="17C4E603">
      <w:pPr>
        <w:numPr>
          <w:ilvl w:val="0"/>
          <w:numId w:val="9"/>
        </w:numPr>
        <w:bidi w:val="0"/>
        <w:ind w:left="425" w:leftChars="0" w:hanging="425" w:firstLineChars="0"/>
        <w:rPr>
          <w:rFonts w:hint="eastAsia"/>
          <w:color w:val="auto"/>
          <w:highlight w:val="none"/>
          <w:lang w:eastAsia="zh-CN"/>
        </w:rPr>
      </w:pPr>
      <w:r>
        <w:rPr>
          <w:rFonts w:hint="eastAsia"/>
          <w:color w:val="auto"/>
          <w:highlight w:val="none"/>
          <w:lang w:val="en-US" w:eastAsia="zh-CN"/>
        </w:rPr>
        <w:t xml:space="preserve">停车规格:长5300×宽1900×高1550/2050mm×重2350KG； </w:t>
      </w:r>
    </w:p>
    <w:p w14:paraId="42E76D3A">
      <w:pPr>
        <w:numPr>
          <w:ilvl w:val="0"/>
          <w:numId w:val="9"/>
        </w:numPr>
        <w:bidi w:val="0"/>
        <w:ind w:left="425" w:leftChars="0" w:hanging="425" w:firstLineChars="0"/>
        <w:rPr>
          <w:rFonts w:hint="eastAsia"/>
          <w:color w:val="auto"/>
          <w:highlight w:val="none"/>
          <w:lang w:eastAsia="zh-CN"/>
        </w:rPr>
      </w:pPr>
      <w:r>
        <w:rPr>
          <w:rFonts w:hint="eastAsia"/>
          <w:color w:val="auto"/>
          <w:highlight w:val="none"/>
          <w:lang w:val="en-US" w:eastAsia="zh-CN"/>
        </w:rPr>
        <w:t xml:space="preserve">车库存取车辆可使用车牌识别，人脸识别； </w:t>
      </w:r>
    </w:p>
    <w:p w14:paraId="4CE5EE6E">
      <w:pPr>
        <w:numPr>
          <w:ilvl w:val="0"/>
          <w:numId w:val="9"/>
        </w:numPr>
        <w:bidi w:val="0"/>
        <w:ind w:left="425" w:leftChars="0" w:hanging="425" w:firstLineChars="0"/>
        <w:rPr>
          <w:rFonts w:hint="eastAsia" w:ascii="宋体" w:hAnsi="宋体" w:eastAsia="宋体"/>
          <w:color w:val="auto"/>
          <w:highlight w:val="none"/>
          <w:lang w:eastAsia="zh-CN"/>
        </w:rPr>
      </w:pPr>
      <w:r>
        <w:rPr>
          <w:rFonts w:hint="eastAsia"/>
          <w:color w:val="auto"/>
          <w:highlight w:val="none"/>
          <w:lang w:val="en-US" w:eastAsia="zh-CN"/>
        </w:rPr>
        <w:t>建设高度为 44m。</w:t>
      </w:r>
    </w:p>
    <w:p w14:paraId="015304AC">
      <w:pPr>
        <w:pStyle w:val="4"/>
        <w:rPr>
          <w:rFonts w:hint="eastAsia"/>
          <w:color w:val="auto"/>
          <w:highlight w:val="none"/>
          <w:lang w:val="en-US" w:eastAsia="zh-CN"/>
        </w:rPr>
      </w:pPr>
      <w:r>
        <w:rPr>
          <w:rFonts w:hint="eastAsia"/>
          <w:color w:val="auto"/>
          <w:highlight w:val="none"/>
          <w:lang w:eastAsia="zh-CN"/>
        </w:rPr>
        <w:t>给排水</w:t>
      </w:r>
      <w:r>
        <w:rPr>
          <w:color w:val="auto"/>
          <w:highlight w:val="none"/>
        </w:rPr>
        <w:t>设计</w:t>
      </w:r>
    </w:p>
    <w:p w14:paraId="7979C561">
      <w:pPr>
        <w:numPr>
          <w:ilvl w:val="0"/>
          <w:numId w:val="10"/>
        </w:numPr>
        <w:bidi w:val="0"/>
        <w:ind w:left="425" w:leftChars="0" w:hanging="425" w:firstLineChars="0"/>
        <w:rPr>
          <w:color w:val="auto"/>
          <w:highlight w:val="none"/>
        </w:rPr>
      </w:pPr>
      <w:r>
        <w:rPr>
          <w:rFonts w:hint="eastAsia"/>
          <w:color w:val="auto"/>
          <w:highlight w:val="none"/>
          <w:lang w:eastAsia="zh-CN"/>
        </w:rPr>
        <w:t>给水系统：</w:t>
      </w:r>
      <w:r>
        <w:rPr>
          <w:rFonts w:hint="eastAsia"/>
          <w:color w:val="auto"/>
          <w:highlight w:val="none"/>
          <w:lang w:val="en-US" w:eastAsia="zh-CN"/>
        </w:rPr>
        <w:t>医院用水取自院外市政管网，院内给水管网环状敷设，且沿区内道路平行于建筑物敷设，宜敷设在人行道或绿化带下；分别供消防用水、绿化用水和广场、道路浇洒用水等。</w:t>
      </w:r>
    </w:p>
    <w:p w14:paraId="4A422A8B">
      <w:pPr>
        <w:numPr>
          <w:ilvl w:val="0"/>
          <w:numId w:val="10"/>
        </w:numPr>
        <w:bidi w:val="0"/>
        <w:ind w:left="425" w:leftChars="0" w:hanging="425" w:firstLineChars="0"/>
        <w:rPr>
          <w:color w:val="auto"/>
          <w:highlight w:val="none"/>
        </w:rPr>
      </w:pPr>
      <w:r>
        <w:rPr>
          <w:rFonts w:hint="eastAsia"/>
          <w:color w:val="auto"/>
          <w:highlight w:val="none"/>
          <w:lang w:eastAsia="zh-CN"/>
        </w:rPr>
        <w:t>热水系统：</w:t>
      </w:r>
      <w:r>
        <w:rPr>
          <w:rFonts w:hint="eastAsia"/>
          <w:color w:val="auto"/>
          <w:highlight w:val="none"/>
          <w:lang w:val="en-US" w:eastAsia="zh-CN"/>
        </w:rPr>
        <w:t>根据广州市人民政府关于加快发展绿色建筑的通告（穗府〔2012〕1 号）要求，绿色建筑建设范畴的十二层以下(含十二层)居住建筑和实行集中供应热水的医院、学校、宾馆等公共建筑应当安装太阳能热水系统。本项目太阳能加热设备和热泵机组均设置位于楼层天面。</w:t>
      </w:r>
    </w:p>
    <w:p w14:paraId="5CE1666F">
      <w:pPr>
        <w:numPr>
          <w:ilvl w:val="0"/>
          <w:numId w:val="10"/>
        </w:numPr>
        <w:bidi w:val="0"/>
        <w:ind w:left="425" w:leftChars="0" w:hanging="425" w:firstLineChars="0"/>
        <w:rPr>
          <w:color w:val="auto"/>
          <w:highlight w:val="none"/>
          <w:lang w:eastAsia="zh-CN"/>
        </w:rPr>
      </w:pPr>
      <w:r>
        <w:rPr>
          <w:color w:val="auto"/>
          <w:highlight w:val="none"/>
        </w:rPr>
        <w:t>排水系统</w:t>
      </w:r>
      <w:r>
        <w:rPr>
          <w:rFonts w:hint="eastAsia"/>
          <w:color w:val="auto"/>
          <w:highlight w:val="none"/>
          <w:lang w:eastAsia="zh-CN"/>
        </w:rPr>
        <w:t>：</w:t>
      </w:r>
      <w:r>
        <w:rPr>
          <w:color w:val="auto"/>
          <w:highlight w:val="none"/>
          <w:lang w:val="en-US" w:eastAsia="zh-CN"/>
        </w:rPr>
        <w:t>本项目雨、污、废分流，生活污水经化粪池处理后排入院区室外废水管网，污水量按照生活用水的 90%计算为 246.83m³/天，废水管网接入院区污水处理设备（埋地设置于院区内）处理后排入市政污水管网。目前，医院污水处理站处理量为 100m</w:t>
      </w:r>
      <w:r>
        <w:rPr>
          <w:rFonts w:hint="default"/>
          <w:color w:val="auto"/>
          <w:highlight w:val="none"/>
          <w:lang w:val="en-US" w:eastAsia="zh-CN"/>
        </w:rPr>
        <w:t>³</w:t>
      </w:r>
      <w:r>
        <w:rPr>
          <w:color w:val="auto"/>
          <w:highlight w:val="none"/>
          <w:lang w:val="en-US" w:eastAsia="zh-CN"/>
        </w:rPr>
        <w:t>/d，无法满足项目实际使用需求，因此，本项目拟新增 250m</w:t>
      </w:r>
      <w:r>
        <w:rPr>
          <w:rFonts w:hint="default"/>
          <w:color w:val="auto"/>
          <w:highlight w:val="none"/>
          <w:lang w:val="en-US" w:eastAsia="zh-CN"/>
        </w:rPr>
        <w:t>³</w:t>
      </w:r>
      <w:r>
        <w:rPr>
          <w:color w:val="auto"/>
          <w:highlight w:val="none"/>
          <w:lang w:val="en-US" w:eastAsia="zh-CN"/>
        </w:rPr>
        <w:t>/d 一座。新污水处理站建设期间，保留原污水处理站正常使用，待建设完成后再停用旧站，重新接入新的污水处理站。项目建成后委托具有相关资质和能力的施工图单位帮助完成验收。</w:t>
      </w:r>
    </w:p>
    <w:p w14:paraId="7F8A5724">
      <w:pPr>
        <w:numPr>
          <w:ilvl w:val="0"/>
          <w:numId w:val="10"/>
        </w:numPr>
        <w:bidi w:val="0"/>
        <w:ind w:left="425" w:leftChars="0" w:hanging="425" w:firstLineChars="0"/>
        <w:rPr>
          <w:rFonts w:hint="eastAsia"/>
          <w:color w:val="auto"/>
          <w:highlight w:val="none"/>
          <w:lang w:val="en-US" w:eastAsia="zh-CN"/>
        </w:rPr>
      </w:pPr>
      <w:r>
        <w:rPr>
          <w:color w:val="auto"/>
          <w:highlight w:val="none"/>
          <w:lang w:eastAsia="zh-CN"/>
        </w:rPr>
        <w:t>雨水系统</w:t>
      </w:r>
      <w:r>
        <w:rPr>
          <w:rFonts w:hint="eastAsia"/>
          <w:color w:val="auto"/>
          <w:highlight w:val="none"/>
          <w:lang w:eastAsia="zh-CN"/>
        </w:rPr>
        <w:t>：</w:t>
      </w:r>
      <w:r>
        <w:rPr>
          <w:color w:val="auto"/>
          <w:highlight w:val="none"/>
          <w:lang w:val="en-US" w:eastAsia="zh-CN"/>
        </w:rPr>
        <w:t>屋面雨水采用重力流雨水排水系统，屋面雨水由重力雨水斗。雨水收集经雨水管道排至室外雨水管井。</w:t>
      </w:r>
    </w:p>
    <w:p w14:paraId="617F2EAC">
      <w:pPr>
        <w:pStyle w:val="4"/>
        <w:rPr>
          <w:rFonts w:hint="eastAsia"/>
          <w:color w:val="auto"/>
          <w:highlight w:val="none"/>
          <w:lang w:val="en-US" w:eastAsia="zh-CN"/>
        </w:rPr>
      </w:pPr>
      <w:r>
        <w:rPr>
          <w:color w:val="auto"/>
          <w:highlight w:val="none"/>
        </w:rPr>
        <w:t>电气设计</w:t>
      </w:r>
    </w:p>
    <w:p w14:paraId="643BF0AC">
      <w:pPr>
        <w:numPr>
          <w:ilvl w:val="0"/>
          <w:numId w:val="11"/>
        </w:numPr>
        <w:bidi w:val="0"/>
        <w:ind w:left="425" w:leftChars="0" w:hanging="425" w:firstLineChars="0"/>
        <w:rPr>
          <w:color w:val="auto"/>
          <w:highlight w:val="none"/>
          <w:lang w:eastAsia="zh-CN"/>
        </w:rPr>
      </w:pPr>
      <w:r>
        <w:rPr>
          <w:color w:val="auto"/>
          <w:highlight w:val="none"/>
          <w:lang w:eastAsia="zh-CN"/>
        </w:rPr>
        <w:t>认真贯彻执行国家和行业规范，根据本工程用电特点，因地制宜地搞好服务区配电系统的规划，确保服务区供配电网架安全可靠、经济合理。</w:t>
      </w:r>
    </w:p>
    <w:p w14:paraId="7FB500F6">
      <w:pPr>
        <w:numPr>
          <w:ilvl w:val="0"/>
          <w:numId w:val="11"/>
        </w:numPr>
        <w:bidi w:val="0"/>
        <w:ind w:left="425" w:leftChars="0" w:hanging="425" w:firstLineChars="0"/>
        <w:rPr>
          <w:color w:val="auto"/>
          <w:highlight w:val="none"/>
          <w:lang w:eastAsia="zh-CN"/>
        </w:rPr>
      </w:pPr>
      <w:r>
        <w:rPr>
          <w:color w:val="auto"/>
          <w:highlight w:val="none"/>
          <w:lang w:eastAsia="zh-CN"/>
        </w:rPr>
        <w:t>变配电所选址按照接近负荷中心、允许供电半径、进出线方便的原则进行布置，降低电能损耗，节约有色金属，减少电压损失，提高供电质量。</w:t>
      </w:r>
    </w:p>
    <w:p w14:paraId="6226A34C">
      <w:pPr>
        <w:numPr>
          <w:ilvl w:val="0"/>
          <w:numId w:val="11"/>
        </w:numPr>
        <w:bidi w:val="0"/>
        <w:ind w:left="425" w:leftChars="0" w:hanging="425" w:firstLineChars="0"/>
        <w:rPr>
          <w:color w:val="auto"/>
          <w:highlight w:val="none"/>
          <w:lang w:eastAsia="zh-CN"/>
        </w:rPr>
      </w:pPr>
      <w:r>
        <w:rPr>
          <w:color w:val="auto"/>
          <w:highlight w:val="none"/>
          <w:lang w:eastAsia="zh-CN"/>
        </w:rPr>
        <w:t>负荷预测采用单位建筑面积负荷指标法，定性、定量地预测合理的用电负荷。</w:t>
      </w:r>
    </w:p>
    <w:p w14:paraId="5E06D871">
      <w:pPr>
        <w:numPr>
          <w:ilvl w:val="0"/>
          <w:numId w:val="11"/>
        </w:numPr>
        <w:bidi w:val="0"/>
        <w:ind w:left="425" w:leftChars="0" w:hanging="425" w:firstLineChars="0"/>
        <w:rPr>
          <w:color w:val="auto"/>
          <w:highlight w:val="none"/>
          <w:lang w:eastAsia="zh-CN"/>
        </w:rPr>
      </w:pPr>
      <w:r>
        <w:rPr>
          <w:color w:val="auto"/>
          <w:highlight w:val="none"/>
          <w:lang w:eastAsia="zh-CN"/>
        </w:rPr>
        <w:t>合理布局，减少迂回和交错，系统设置满足分期实施、逐步发展，远近结合， 灵活多变的要求。</w:t>
      </w:r>
    </w:p>
    <w:p w14:paraId="58B3103B">
      <w:pPr>
        <w:numPr>
          <w:ilvl w:val="0"/>
          <w:numId w:val="11"/>
        </w:numPr>
        <w:bidi w:val="0"/>
        <w:ind w:left="425" w:leftChars="0" w:hanging="425" w:firstLineChars="0"/>
        <w:rPr>
          <w:color w:val="auto"/>
          <w:highlight w:val="none"/>
          <w:lang w:eastAsia="zh-CN"/>
        </w:rPr>
      </w:pPr>
      <w:r>
        <w:rPr>
          <w:rFonts w:hint="eastAsia"/>
          <w:color w:val="auto"/>
          <w:highlight w:val="none"/>
          <w:lang w:val="en-US" w:eastAsia="zh-CN"/>
        </w:rPr>
        <w:t>新增加发电机设备及相应用电线路，发电机房设置及装修设计。</w:t>
      </w:r>
    </w:p>
    <w:p w14:paraId="6BA0AC73">
      <w:pPr>
        <w:pStyle w:val="4"/>
        <w:rPr>
          <w:rFonts w:hint="eastAsia"/>
          <w:color w:val="auto"/>
          <w:highlight w:val="none"/>
          <w:lang w:eastAsia="zh-CN"/>
        </w:rPr>
      </w:pPr>
      <w:r>
        <w:rPr>
          <w:rFonts w:hint="eastAsia"/>
          <w:color w:val="auto"/>
          <w:highlight w:val="none"/>
          <w:lang w:eastAsia="zh-CN"/>
        </w:rPr>
        <w:t>智能化</w:t>
      </w:r>
      <w:r>
        <w:rPr>
          <w:color w:val="auto"/>
          <w:highlight w:val="none"/>
        </w:rPr>
        <w:t>设计</w:t>
      </w:r>
    </w:p>
    <w:p w14:paraId="75D2D001">
      <w:pPr>
        <w:numPr>
          <w:ilvl w:val="0"/>
          <w:numId w:val="0"/>
        </w:numPr>
        <w:bidi w:val="0"/>
        <w:ind w:leftChars="0" w:firstLine="480" w:firstLineChars="200"/>
        <w:rPr>
          <w:rFonts w:hint="eastAsia"/>
          <w:color w:val="auto"/>
          <w:highlight w:val="none"/>
          <w:lang w:eastAsia="zh-CN"/>
        </w:rPr>
      </w:pPr>
      <w:r>
        <w:rPr>
          <w:rFonts w:hint="eastAsia"/>
          <w:color w:val="auto"/>
          <w:highlight w:val="none"/>
          <w:lang w:val="en-US" w:eastAsia="zh-CN"/>
        </w:rPr>
        <w:t>本项目致力于将市桥医院建设成为高水平综合性医院、智慧化医院。智慧化医院包括智能建筑、数字医疗、智慧医院等三个方面的内容，建筑工程仅考虑围绕智能建筑配置相应综合布线及与建筑使用、管理相关的建筑智能化系统建设内容，为医院数字化、智慧化发展提供基础条件。数字医疗及智慧医院建设内容需考虑由专业公司进行专项设计和建设。</w:t>
      </w:r>
    </w:p>
    <w:p w14:paraId="43AA57CC">
      <w:pPr>
        <w:pStyle w:val="4"/>
        <w:rPr>
          <w:rFonts w:hint="eastAsia"/>
          <w:color w:val="auto"/>
          <w:highlight w:val="none"/>
          <w:lang w:val="en-US" w:eastAsia="zh-CN"/>
        </w:rPr>
      </w:pPr>
      <w:r>
        <w:rPr>
          <w:color w:val="auto"/>
          <w:highlight w:val="none"/>
        </w:rPr>
        <w:t>通风空调设计</w:t>
      </w:r>
    </w:p>
    <w:p w14:paraId="04B90DB9">
      <w:pPr>
        <w:numPr>
          <w:ilvl w:val="0"/>
          <w:numId w:val="12"/>
        </w:numPr>
        <w:bidi w:val="0"/>
        <w:ind w:left="425" w:leftChars="0" w:hanging="425" w:firstLineChars="0"/>
        <w:rPr>
          <w:color w:val="auto"/>
          <w:highlight w:val="none"/>
          <w:lang w:eastAsia="zh-CN"/>
        </w:rPr>
      </w:pPr>
      <w:r>
        <w:rPr>
          <w:color w:val="auto"/>
          <w:highlight w:val="none"/>
          <w:lang w:eastAsia="zh-CN"/>
        </w:rPr>
        <w:t>通风、空调、防排烟系统按相关规范要求设置，结合绿色建筑要求，充分利用自然通风，并充分考虑平时利用，以求得到最佳设计方案。</w:t>
      </w:r>
    </w:p>
    <w:p w14:paraId="151FC9EA">
      <w:pPr>
        <w:numPr>
          <w:ilvl w:val="0"/>
          <w:numId w:val="12"/>
        </w:numPr>
        <w:bidi w:val="0"/>
        <w:ind w:left="425" w:leftChars="0" w:hanging="425" w:firstLineChars="0"/>
        <w:rPr>
          <w:color w:val="auto"/>
          <w:highlight w:val="none"/>
          <w:lang w:eastAsia="zh-CN"/>
        </w:rPr>
      </w:pPr>
      <w:r>
        <w:rPr>
          <w:rFonts w:hint="eastAsia"/>
          <w:color w:val="auto"/>
          <w:highlight w:val="none"/>
          <w:lang w:eastAsia="zh-CN"/>
        </w:rPr>
        <w:t>根据各功能区使用要求的不同分别采用不同的空调系统。同时对不同使用要求的区域采取相应的空调形式，避免产生不必要的交叉污染。在强调人员舒适性的同时，确保人员的新风卫生要求，在末端系统设置上充分考虑过渡季节及非常时期采用全面新风通风。</w:t>
      </w:r>
      <w:r>
        <w:rPr>
          <w:color w:val="auto"/>
          <w:highlight w:val="none"/>
          <w:lang w:eastAsia="zh-CN"/>
        </w:rPr>
        <w:t>应保持空调室外机的通风顺畅，空调冷凝水应集中排放。空调室外机搁板的位置应考虑尺寸合适和安装方便。</w:t>
      </w:r>
    </w:p>
    <w:p w14:paraId="54D43E62">
      <w:pPr>
        <w:pStyle w:val="4"/>
        <w:rPr>
          <w:rFonts w:hint="eastAsia"/>
          <w:color w:val="auto"/>
          <w:highlight w:val="none"/>
          <w:lang w:val="en-US" w:eastAsia="zh-CN"/>
        </w:rPr>
      </w:pPr>
      <w:r>
        <w:rPr>
          <w:color w:val="auto"/>
          <w:highlight w:val="none"/>
        </w:rPr>
        <w:t>消防工程设计</w:t>
      </w:r>
    </w:p>
    <w:p w14:paraId="3FE6B30C">
      <w:pPr>
        <w:numPr>
          <w:ilvl w:val="0"/>
          <w:numId w:val="13"/>
        </w:numPr>
        <w:bidi w:val="0"/>
        <w:ind w:left="425" w:leftChars="0" w:hanging="425" w:firstLineChars="0"/>
        <w:rPr>
          <w:color w:val="auto"/>
          <w:highlight w:val="none"/>
          <w:lang w:eastAsia="zh-CN"/>
        </w:rPr>
      </w:pPr>
      <w:r>
        <w:rPr>
          <w:color w:val="auto"/>
          <w:highlight w:val="none"/>
          <w:lang w:eastAsia="zh-CN"/>
        </w:rPr>
        <w:t>必须按照《建筑设计防火规范》GB50016-2014（2018版）的要求配置和完善有关消防设施。</w:t>
      </w:r>
    </w:p>
    <w:p w14:paraId="31A5F937">
      <w:pPr>
        <w:numPr>
          <w:ilvl w:val="0"/>
          <w:numId w:val="13"/>
        </w:numPr>
        <w:bidi w:val="0"/>
        <w:ind w:left="425" w:leftChars="0" w:hanging="425" w:firstLineChars="0"/>
        <w:rPr>
          <w:color w:val="auto"/>
          <w:highlight w:val="none"/>
          <w:lang w:eastAsia="zh-CN"/>
        </w:rPr>
      </w:pPr>
      <w:r>
        <w:rPr>
          <w:color w:val="auto"/>
          <w:highlight w:val="none"/>
          <w:lang w:eastAsia="zh-CN"/>
        </w:rPr>
        <w:t>各建筑物布置间距应满足国家消防规范要求，合理布置消防通道，合理进行规划，组织人员流向，主要通道宽敞，留有足够的安全距离，从规划上防止不必要的机械伤害；在平面布置中尽可能做到人车分流，互不干扰。</w:t>
      </w:r>
    </w:p>
    <w:p w14:paraId="56089CD0">
      <w:pPr>
        <w:numPr>
          <w:ilvl w:val="0"/>
          <w:numId w:val="13"/>
        </w:numPr>
        <w:bidi w:val="0"/>
        <w:ind w:left="425" w:leftChars="0" w:hanging="425" w:firstLineChars="0"/>
        <w:rPr>
          <w:color w:val="auto"/>
          <w:highlight w:val="none"/>
          <w:lang w:eastAsia="zh-CN"/>
        </w:rPr>
      </w:pPr>
      <w:r>
        <w:rPr>
          <w:color w:val="auto"/>
          <w:highlight w:val="none"/>
          <w:lang w:eastAsia="zh-CN"/>
        </w:rPr>
        <w:t>总图中应做好消防车道及消防登高面设计，在满足消防规范的同时，尽量减少对环境的影响。</w:t>
      </w:r>
    </w:p>
    <w:p w14:paraId="5D2A6332">
      <w:pPr>
        <w:numPr>
          <w:ilvl w:val="0"/>
          <w:numId w:val="13"/>
        </w:numPr>
        <w:bidi w:val="0"/>
        <w:ind w:left="425" w:leftChars="0" w:hanging="425" w:firstLineChars="0"/>
        <w:rPr>
          <w:color w:val="auto"/>
          <w:highlight w:val="none"/>
          <w:lang w:eastAsia="zh-CN"/>
        </w:rPr>
      </w:pPr>
      <w:r>
        <w:rPr>
          <w:rFonts w:hint="eastAsia"/>
          <w:color w:val="auto"/>
          <w:highlight w:val="none"/>
          <w:lang w:val="en-US" w:eastAsia="zh-CN"/>
        </w:rPr>
        <w:t>基于既有建筑现状，参照现行消防法律法规和技术规范，对建筑防火、消防设备设施进行消防安全综合评估，提出可行的消防安全改造措施和建议。</w:t>
      </w:r>
    </w:p>
    <w:p w14:paraId="375A5E4C">
      <w:pPr>
        <w:pStyle w:val="4"/>
        <w:rPr>
          <w:rFonts w:hint="eastAsia"/>
          <w:color w:val="auto"/>
          <w:highlight w:val="none"/>
          <w:lang w:val="en-US" w:eastAsia="zh-CN"/>
        </w:rPr>
      </w:pPr>
      <w:r>
        <w:rPr>
          <w:rFonts w:hint="eastAsia"/>
          <w:color w:val="auto"/>
          <w:highlight w:val="none"/>
          <w:lang w:eastAsia="zh-CN"/>
        </w:rPr>
        <w:t>人防</w:t>
      </w:r>
      <w:r>
        <w:rPr>
          <w:color w:val="auto"/>
          <w:highlight w:val="none"/>
        </w:rPr>
        <w:t>工程设计</w:t>
      </w:r>
    </w:p>
    <w:p w14:paraId="0F202E0F">
      <w:pPr>
        <w:bidi w:val="0"/>
        <w:rPr>
          <w:color w:val="auto"/>
          <w:highlight w:val="none"/>
          <w:lang w:eastAsia="zh-CN"/>
        </w:rPr>
      </w:pPr>
      <w:r>
        <w:rPr>
          <w:rFonts w:hint="eastAsia"/>
          <w:color w:val="auto"/>
          <w:highlight w:val="none"/>
          <w:lang w:eastAsia="zh-CN"/>
        </w:rPr>
        <w:t>按照《广东省人民政府办公厅转发省人防办 省发展改革委 省财政厅 省自然资源厅 省住房城乡建设厅关于规范城市新建民用建筑修建防空地下室意见的通知》 （粤府办(2020) 27号）落实相关要求。</w:t>
      </w:r>
    </w:p>
    <w:p w14:paraId="0A904BDA">
      <w:pPr>
        <w:pStyle w:val="4"/>
        <w:rPr>
          <w:rFonts w:hint="eastAsia"/>
          <w:color w:val="auto"/>
          <w:highlight w:val="none"/>
          <w:lang w:val="en-US" w:eastAsia="zh-CN"/>
        </w:rPr>
      </w:pPr>
      <w:r>
        <w:rPr>
          <w:color w:val="auto"/>
          <w:highlight w:val="none"/>
        </w:rPr>
        <w:t>室外工程设计</w:t>
      </w:r>
    </w:p>
    <w:p w14:paraId="6282CD94">
      <w:pPr>
        <w:numPr>
          <w:ilvl w:val="0"/>
          <w:numId w:val="14"/>
        </w:numPr>
        <w:bidi w:val="0"/>
        <w:ind w:left="425" w:leftChars="0" w:hanging="425" w:firstLineChars="0"/>
        <w:rPr>
          <w:color w:val="auto"/>
          <w:highlight w:val="none"/>
          <w:lang w:eastAsia="zh-CN"/>
        </w:rPr>
      </w:pPr>
      <w:r>
        <w:rPr>
          <w:color w:val="auto"/>
          <w:highlight w:val="none"/>
          <w:lang w:eastAsia="zh-CN"/>
        </w:rPr>
        <w:t>植物配置应充分考虑当地的地理气候特点，尽量选用本土植物，与具有一定适应性和观赏价值且易成活的外地植物品种，有机组合，合理搭配，形成错落有致、季相变化丰富的植物景观。拟建地块内需移除或项目建成后回植的方案，最终以与相关主管部门沟通确定的移植方案为准。</w:t>
      </w:r>
    </w:p>
    <w:p w14:paraId="1D54885D">
      <w:pPr>
        <w:numPr>
          <w:ilvl w:val="0"/>
          <w:numId w:val="14"/>
        </w:numPr>
        <w:bidi w:val="0"/>
        <w:ind w:left="425" w:leftChars="0" w:hanging="425" w:firstLineChars="0"/>
        <w:rPr>
          <w:color w:val="auto"/>
          <w:highlight w:val="none"/>
          <w:lang w:eastAsia="zh-CN"/>
        </w:rPr>
      </w:pPr>
      <w:r>
        <w:rPr>
          <w:color w:val="auto"/>
          <w:highlight w:val="none"/>
          <w:lang w:eastAsia="zh-CN"/>
        </w:rPr>
        <w:t>道路照明按《广州市城市道路照明设施移交管理办法》和《广州市照明建设管理中心关于拟移交中心管养道路的照明项目有关要求的函</w:t>
      </w:r>
      <w:r>
        <w:rPr>
          <w:rFonts w:hint="eastAsia"/>
          <w:color w:val="auto"/>
          <w:highlight w:val="none"/>
          <w:lang w:eastAsia="zh-CN"/>
        </w:rPr>
        <w:t>(</w:t>
      </w:r>
      <w:r>
        <w:rPr>
          <w:color w:val="auto"/>
          <w:highlight w:val="none"/>
          <w:lang w:eastAsia="zh-CN"/>
        </w:rPr>
        <w:t>穗照明函</w:t>
      </w:r>
      <w:r>
        <w:rPr>
          <w:rFonts w:hint="eastAsia"/>
          <w:color w:val="auto"/>
          <w:highlight w:val="none"/>
          <w:lang w:eastAsia="zh-CN"/>
        </w:rPr>
        <w:t xml:space="preserve">[2015]44 </w:t>
      </w:r>
      <w:r>
        <w:rPr>
          <w:color w:val="auto"/>
          <w:highlight w:val="none"/>
          <w:lang w:eastAsia="zh-CN"/>
        </w:rPr>
        <w:t>号</w:t>
      </w:r>
      <w:r>
        <w:rPr>
          <w:rFonts w:hint="eastAsia"/>
          <w:color w:val="auto"/>
          <w:highlight w:val="none"/>
          <w:lang w:eastAsia="zh-CN"/>
        </w:rPr>
        <w:t>)</w:t>
      </w:r>
      <w:r>
        <w:rPr>
          <w:color w:val="auto"/>
          <w:highlight w:val="none"/>
          <w:lang w:eastAsia="zh-CN"/>
        </w:rPr>
        <w:t>》的要求进行设计。</w:t>
      </w:r>
    </w:p>
    <w:p w14:paraId="43EF6DE7">
      <w:pPr>
        <w:numPr>
          <w:ilvl w:val="0"/>
          <w:numId w:val="14"/>
        </w:numPr>
        <w:bidi w:val="0"/>
        <w:ind w:left="425" w:leftChars="0" w:hanging="425" w:firstLineChars="0"/>
        <w:rPr>
          <w:color w:val="auto"/>
          <w:highlight w:val="none"/>
          <w:lang w:eastAsia="zh-CN"/>
        </w:rPr>
      </w:pPr>
      <w:r>
        <w:rPr>
          <w:color w:val="auto"/>
          <w:highlight w:val="none"/>
          <w:lang w:eastAsia="zh-CN"/>
        </w:rPr>
        <w:t>竖向设计应结合建筑设计标高及市政道路标高进行设计，坡度符合国家相关设计规范。给排水总图设计中合理布置雨污水、给水、雨水口位置，避免与景观的绿化、铺装发生冲突，原则上要求雨污水、给水井口结合绿化就近设置，不应设置在铺装内。</w:t>
      </w:r>
    </w:p>
    <w:p w14:paraId="06CCEAF6">
      <w:pPr>
        <w:numPr>
          <w:ilvl w:val="0"/>
          <w:numId w:val="14"/>
        </w:numPr>
        <w:bidi w:val="0"/>
        <w:ind w:left="425" w:leftChars="0" w:hanging="425" w:firstLineChars="0"/>
        <w:rPr>
          <w:color w:val="auto"/>
          <w:highlight w:val="none"/>
          <w:lang w:eastAsia="zh-CN"/>
        </w:rPr>
      </w:pPr>
      <w:r>
        <w:rPr>
          <w:color w:val="auto"/>
          <w:highlight w:val="none"/>
          <w:lang w:eastAsia="zh-CN"/>
        </w:rPr>
        <w:t>合理组织</w:t>
      </w:r>
      <w:r>
        <w:rPr>
          <w:rFonts w:hint="eastAsia"/>
          <w:color w:val="auto"/>
          <w:highlight w:val="none"/>
          <w:lang w:eastAsia="zh-CN"/>
        </w:rPr>
        <w:t>本项目</w:t>
      </w:r>
      <w:r>
        <w:rPr>
          <w:color w:val="auto"/>
          <w:highlight w:val="none"/>
          <w:lang w:eastAsia="zh-CN"/>
        </w:rPr>
        <w:t>对外交通关系：</w:t>
      </w:r>
    </w:p>
    <w:p w14:paraId="45FEE159">
      <w:pPr>
        <w:numPr>
          <w:ilvl w:val="0"/>
          <w:numId w:val="14"/>
        </w:numPr>
        <w:bidi w:val="0"/>
        <w:ind w:left="425" w:leftChars="0" w:hanging="425" w:firstLineChars="0"/>
        <w:rPr>
          <w:color w:val="auto"/>
          <w:highlight w:val="none"/>
          <w:lang w:eastAsia="zh-CN"/>
        </w:rPr>
      </w:pPr>
      <w:r>
        <w:rPr>
          <w:color w:val="auto"/>
          <w:highlight w:val="none"/>
          <w:lang w:eastAsia="zh-CN"/>
        </w:rPr>
        <w:t>注意协调地块及周边道路的标高关系，处理好各类车流的出入口与城市道路的关系。</w:t>
      </w:r>
    </w:p>
    <w:p w14:paraId="4D34E19C">
      <w:pPr>
        <w:pStyle w:val="4"/>
        <w:rPr>
          <w:rFonts w:hint="eastAsia"/>
          <w:color w:val="auto"/>
          <w:highlight w:val="none"/>
          <w:lang w:val="en-US" w:eastAsia="zh-CN"/>
        </w:rPr>
      </w:pPr>
      <w:r>
        <w:rPr>
          <w:color w:val="auto"/>
          <w:highlight w:val="none"/>
          <w:lang w:eastAsia="zh-CN"/>
        </w:rPr>
        <w:t>海绵城市设计</w:t>
      </w:r>
    </w:p>
    <w:p w14:paraId="5FF6058C">
      <w:pPr>
        <w:bidi w:val="0"/>
        <w:rPr>
          <w:rFonts w:hint="eastAsia"/>
          <w:color w:val="auto"/>
          <w:highlight w:val="none"/>
          <w:lang w:eastAsia="zh-CN"/>
        </w:rPr>
      </w:pPr>
      <w:r>
        <w:rPr>
          <w:rFonts w:hint="eastAsia"/>
          <w:color w:val="auto"/>
          <w:highlight w:val="none"/>
          <w:lang w:eastAsia="zh-CN"/>
        </w:rPr>
        <w:t>根据《广州市建设项目海绵城市建设管控指标分类指引（试行）》中第三条“广州市建设项目海绵城市建设管控清单”的要求，本项目属于豁免类中的综合性医院，不要求海绵城市设计。</w:t>
      </w:r>
    </w:p>
    <w:p w14:paraId="2C4DC0B7">
      <w:pPr>
        <w:pStyle w:val="4"/>
        <w:rPr>
          <w:rFonts w:hint="eastAsia"/>
          <w:color w:val="auto"/>
          <w:highlight w:val="none"/>
          <w:lang w:val="en-US" w:eastAsia="zh-CN"/>
        </w:rPr>
      </w:pPr>
      <w:r>
        <w:rPr>
          <w:color w:val="auto"/>
          <w:highlight w:val="none"/>
          <w:lang w:eastAsia="zh-CN"/>
        </w:rPr>
        <w:t>绿色建筑及建筑节能设计</w:t>
      </w:r>
    </w:p>
    <w:p w14:paraId="093338C7">
      <w:pPr>
        <w:keepNext w:val="0"/>
        <w:keepLines w:val="0"/>
        <w:widowControl/>
        <w:suppressLineNumbers w:val="0"/>
        <w:jc w:val="left"/>
        <w:rPr>
          <w:color w:val="auto"/>
          <w:highlight w:val="none"/>
          <w:lang w:val="en-US" w:eastAsia="zh-CN"/>
        </w:rPr>
      </w:pPr>
      <w:r>
        <w:rPr>
          <w:color w:val="auto"/>
          <w:highlight w:val="none"/>
          <w:lang w:val="en-US" w:eastAsia="zh-CN"/>
        </w:rPr>
        <w:t>绿色医院建筑要通过合理规划、精心设计、确保功能、遵守流程，安全配置各类设施，采取节能、节地、节水、节材等相关措施，最大限度地保护环境和减少污染，提供安全高效的使用空间，使医院与自然和谐共生;更好地体现医院作为城市生命线、确保人的生命安全和医院建筑全寿命期内最大限度地节约资源的理念。</w:t>
      </w:r>
    </w:p>
    <w:p w14:paraId="7D09FFA2">
      <w:pPr>
        <w:keepNext w:val="0"/>
        <w:keepLines w:val="0"/>
        <w:widowControl/>
        <w:suppressLineNumbers w:val="0"/>
        <w:jc w:val="left"/>
        <w:rPr>
          <w:color w:val="auto"/>
          <w:highlight w:val="none"/>
          <w:lang w:eastAsia="zh-CN"/>
        </w:rPr>
      </w:pPr>
      <w:r>
        <w:rPr>
          <w:color w:val="auto"/>
          <w:highlight w:val="none"/>
          <w:lang w:val="en-US" w:eastAsia="zh-CN"/>
        </w:rPr>
        <w:t>本项目属于装修改造建筑，项目拟按国家绿色建筑二星级标准进行探索性建设。</w:t>
      </w:r>
    </w:p>
    <w:p w14:paraId="550C1CCD">
      <w:pPr>
        <w:keepNext w:val="0"/>
        <w:keepLines w:val="0"/>
        <w:widowControl/>
        <w:suppressLineNumbers w:val="0"/>
        <w:jc w:val="left"/>
        <w:rPr>
          <w:rFonts w:hint="eastAsia" w:ascii="宋体" w:hAnsi="宋体" w:eastAsia="宋体" w:cs="宋体"/>
          <w:color w:val="auto"/>
          <w:highlight w:val="none"/>
          <w:lang w:eastAsia="zh-CN"/>
        </w:rPr>
      </w:pPr>
    </w:p>
    <w:p w14:paraId="22EFCDC5">
      <w:pPr>
        <w:pStyle w:val="4"/>
        <w:rPr>
          <w:rFonts w:hint="eastAsia"/>
          <w:color w:val="auto"/>
          <w:highlight w:val="none"/>
          <w:lang w:val="en-US" w:eastAsia="zh-CN"/>
        </w:rPr>
      </w:pPr>
      <w:r>
        <w:rPr>
          <w:rFonts w:hint="eastAsia"/>
          <w:color w:val="auto"/>
          <w:highlight w:val="none"/>
          <w:u w:val="none"/>
          <w:lang w:eastAsia="zh-CN"/>
        </w:rPr>
        <w:t>限额设计</w:t>
      </w:r>
    </w:p>
    <w:p w14:paraId="4ED8E229">
      <w:pPr>
        <w:bidi w:val="0"/>
        <w:rPr>
          <w:rFonts w:hint="eastAsia" w:ascii="宋体" w:hAnsi="宋体" w:eastAsia="宋体" w:cs="宋体"/>
          <w:color w:val="auto"/>
          <w:highlight w:val="none"/>
          <w:lang w:eastAsia="zh-CN"/>
        </w:rPr>
      </w:pPr>
      <w:r>
        <w:rPr>
          <w:color w:val="auto"/>
          <w:highlight w:val="none"/>
          <w:lang w:eastAsia="zh-CN"/>
        </w:rPr>
        <w:t>设计单位在保证设计质量的前提下，应遵循功能适用、标准合理、经济合理的原则开展设计工作，实行限额设计，在投资限额目标的基础上结合工程设计内容进一步分解投资，明确投资控制主要指标，从而合理有效地控制成本，确保工程概预算不突破限额目标。</w:t>
      </w:r>
    </w:p>
    <w:p w14:paraId="41B1FEA1">
      <w:pPr>
        <w:pStyle w:val="4"/>
        <w:rPr>
          <w:rFonts w:hint="eastAsia"/>
          <w:color w:val="auto"/>
          <w:highlight w:val="none"/>
          <w:lang w:val="en-US" w:eastAsia="zh-CN"/>
        </w:rPr>
      </w:pPr>
      <w:r>
        <w:rPr>
          <w:color w:val="auto"/>
          <w:highlight w:val="none"/>
        </w:rPr>
        <w:t>其它设计</w:t>
      </w:r>
    </w:p>
    <w:p w14:paraId="7AFCE87A">
      <w:pPr>
        <w:numPr>
          <w:ilvl w:val="0"/>
          <w:numId w:val="15"/>
        </w:numPr>
        <w:bidi w:val="0"/>
        <w:ind w:left="425" w:leftChars="0" w:hanging="425" w:firstLineChars="0"/>
        <w:rPr>
          <w:color w:val="auto"/>
          <w:highlight w:val="none"/>
          <w:lang w:eastAsia="zh-CN"/>
        </w:rPr>
      </w:pPr>
      <w:r>
        <w:rPr>
          <w:color w:val="auto"/>
          <w:highlight w:val="none"/>
          <w:lang w:eastAsia="zh-CN"/>
        </w:rPr>
        <w:t>幕墙设计。</w:t>
      </w:r>
    </w:p>
    <w:p w14:paraId="70DE3F8F">
      <w:pPr>
        <w:numPr>
          <w:ilvl w:val="0"/>
          <w:numId w:val="15"/>
        </w:numPr>
        <w:bidi w:val="0"/>
        <w:ind w:left="425" w:leftChars="0" w:hanging="425" w:firstLineChars="0"/>
        <w:rPr>
          <w:color w:val="auto"/>
          <w:highlight w:val="none"/>
          <w:lang w:eastAsia="zh-CN"/>
        </w:rPr>
      </w:pPr>
      <w:r>
        <w:rPr>
          <w:color w:val="auto"/>
          <w:highlight w:val="none"/>
          <w:lang w:eastAsia="zh-CN"/>
        </w:rPr>
        <w:t>防雷设计。</w:t>
      </w:r>
    </w:p>
    <w:p w14:paraId="2FEC57C2">
      <w:pPr>
        <w:numPr>
          <w:ilvl w:val="0"/>
          <w:numId w:val="15"/>
        </w:numPr>
        <w:bidi w:val="0"/>
        <w:ind w:left="425" w:leftChars="0" w:hanging="425" w:firstLineChars="0"/>
        <w:rPr>
          <w:color w:val="auto"/>
          <w:highlight w:val="none"/>
          <w:lang w:eastAsia="zh-CN"/>
        </w:rPr>
      </w:pPr>
      <w:r>
        <w:rPr>
          <w:rFonts w:hint="eastAsia"/>
          <w:color w:val="auto"/>
          <w:highlight w:val="none"/>
          <w:lang w:eastAsia="zh-CN"/>
        </w:rPr>
        <w:t>医疗专项设计：包括医用气体工程、医疗防护工程、污水处理及污物处理。</w:t>
      </w:r>
    </w:p>
    <w:p w14:paraId="1D33595B">
      <w:pPr>
        <w:numPr>
          <w:ilvl w:val="0"/>
          <w:numId w:val="15"/>
        </w:numPr>
        <w:bidi w:val="0"/>
        <w:ind w:left="425" w:leftChars="0" w:hanging="425" w:firstLineChars="0"/>
        <w:rPr>
          <w:color w:val="auto"/>
          <w:highlight w:val="none"/>
          <w:lang w:eastAsia="zh-CN"/>
        </w:rPr>
      </w:pPr>
      <w:r>
        <w:rPr>
          <w:color w:val="auto"/>
          <w:highlight w:val="none"/>
          <w:lang w:eastAsia="zh-CN"/>
        </w:rPr>
        <w:t>标识导引系统设计：</w:t>
      </w:r>
      <w:r>
        <w:rPr>
          <w:rFonts w:hint="eastAsia"/>
          <w:color w:val="auto"/>
          <w:highlight w:val="none"/>
          <w:lang w:eastAsia="zh-CN"/>
        </w:rPr>
        <w:t>项目拟对绿化、景观、建筑内外空间、环境和室内外标识导向系统等做综合性设计</w:t>
      </w:r>
      <w:r>
        <w:rPr>
          <w:color w:val="auto"/>
          <w:highlight w:val="none"/>
          <w:lang w:eastAsia="zh-CN"/>
        </w:rPr>
        <w:t>。</w:t>
      </w:r>
    </w:p>
    <w:p w14:paraId="2178493B">
      <w:pPr>
        <w:numPr>
          <w:ilvl w:val="0"/>
          <w:numId w:val="15"/>
        </w:numPr>
        <w:bidi w:val="0"/>
        <w:ind w:left="425" w:leftChars="0" w:hanging="425" w:firstLineChars="0"/>
        <w:rPr>
          <w:rFonts w:hint="eastAsia"/>
          <w:color w:val="auto"/>
          <w:highlight w:val="none"/>
          <w:lang w:val="en-US" w:eastAsia="zh-CN"/>
        </w:rPr>
      </w:pPr>
      <w:r>
        <w:rPr>
          <w:color w:val="auto"/>
          <w:highlight w:val="none"/>
          <w:lang w:eastAsia="zh-CN"/>
        </w:rPr>
        <w:t>管线综合平衡设计：各设备系统的管线在建筑物内、外的路由平衡设计。</w:t>
      </w:r>
    </w:p>
    <w:p w14:paraId="08160DE3">
      <w:pPr>
        <w:numPr>
          <w:ilvl w:val="0"/>
          <w:numId w:val="15"/>
        </w:numPr>
        <w:bidi w:val="0"/>
        <w:rPr>
          <w:rFonts w:hint="eastAsia"/>
          <w:color w:val="auto"/>
          <w:highlight w:val="none"/>
          <w:lang w:val="en-US" w:eastAsia="zh-CN"/>
        </w:rPr>
      </w:pPr>
      <w:r>
        <w:rPr>
          <w:color w:val="auto"/>
          <w:highlight w:val="none"/>
          <w:lang w:eastAsia="zh-CN"/>
        </w:rPr>
        <w:br w:type="page"/>
      </w:r>
    </w:p>
    <w:p w14:paraId="6BCE9FA6">
      <w:pPr>
        <w:pStyle w:val="2"/>
        <w:bidi w:val="0"/>
        <w:rPr>
          <w:color w:val="auto"/>
          <w:highlight w:val="none"/>
          <w:lang w:eastAsia="zh-CN"/>
        </w:rPr>
      </w:pPr>
      <w:r>
        <w:rPr>
          <w:color w:val="auto"/>
          <w:highlight w:val="none"/>
          <w:lang w:eastAsia="zh-CN"/>
        </w:rPr>
        <w:tab/>
      </w:r>
      <w:bookmarkStart w:id="4" w:name="_Toc11304"/>
      <w:bookmarkStart w:id="5" w:name="_Toc5725"/>
      <w:r>
        <w:rPr>
          <w:color w:val="auto"/>
          <w:highlight w:val="none"/>
          <w:lang w:eastAsia="zh-CN"/>
        </w:rPr>
        <w:t>设计依据</w:t>
      </w:r>
      <w:bookmarkEnd w:id="4"/>
      <w:bookmarkEnd w:id="5"/>
    </w:p>
    <w:p w14:paraId="4644B405">
      <w:pPr>
        <w:pStyle w:val="3"/>
        <w:bidi w:val="0"/>
        <w:rPr>
          <w:rFonts w:hint="eastAsia"/>
          <w:color w:val="auto"/>
          <w:highlight w:val="none"/>
        </w:rPr>
      </w:pPr>
      <w:bookmarkStart w:id="6" w:name="2.1.1现行法律法规"/>
      <w:bookmarkEnd w:id="6"/>
      <w:bookmarkStart w:id="7" w:name="2.1项目设计依据"/>
      <w:bookmarkEnd w:id="7"/>
      <w:bookmarkStart w:id="8" w:name="_Toc18722"/>
      <w:r>
        <w:rPr>
          <w:rFonts w:hint="eastAsia"/>
          <w:color w:val="auto"/>
          <w:highlight w:val="none"/>
        </w:rPr>
        <w:t>现行法律法规</w:t>
      </w:r>
      <w:bookmarkEnd w:id="8"/>
    </w:p>
    <w:p w14:paraId="1CB8A942">
      <w:pPr>
        <w:bidi w:val="0"/>
        <w:rPr>
          <w:rFonts w:hint="eastAsia"/>
          <w:color w:val="auto"/>
          <w:highlight w:val="none"/>
          <w:lang w:val="en-US" w:eastAsia="zh-CN"/>
        </w:rPr>
      </w:pPr>
      <w:r>
        <w:rPr>
          <w:rFonts w:hint="eastAsia"/>
          <w:color w:val="auto"/>
          <w:highlight w:val="none"/>
          <w:lang w:val="en-US" w:eastAsia="zh-CN"/>
        </w:rPr>
        <w:t>国家和广东省、广州市关于工程建设强制性标准、抗震防灾要求，及有关土地管理、水土保持、文物保护、地铁保护、消防安全、人防、卫生防疫、节能环保措施、防雷等法律、法规和行业相关的最新规定等。</w:t>
      </w:r>
    </w:p>
    <w:p w14:paraId="6773ECEE">
      <w:pPr>
        <w:pStyle w:val="3"/>
        <w:bidi w:val="0"/>
        <w:rPr>
          <w:color w:val="auto"/>
          <w:highlight w:val="none"/>
          <w:lang w:eastAsia="zh-CN"/>
        </w:rPr>
      </w:pPr>
      <w:bookmarkStart w:id="9" w:name="2.1.2现行技术标准与规范"/>
      <w:bookmarkEnd w:id="9"/>
      <w:bookmarkStart w:id="10" w:name="_Toc30410"/>
      <w:r>
        <w:rPr>
          <w:color w:val="auto"/>
          <w:highlight w:val="none"/>
          <w:lang w:eastAsia="zh-CN"/>
        </w:rPr>
        <w:t>建设单位提供的有关资料</w:t>
      </w:r>
      <w:bookmarkEnd w:id="10"/>
    </w:p>
    <w:p w14:paraId="6E7F3354">
      <w:pPr>
        <w:numPr>
          <w:ilvl w:val="0"/>
          <w:numId w:val="16"/>
        </w:numPr>
        <w:bidi w:val="0"/>
        <w:ind w:left="425" w:leftChars="0" w:hanging="425" w:firstLineChars="0"/>
        <w:rPr>
          <w:rFonts w:hint="eastAsia"/>
          <w:color w:val="auto"/>
          <w:highlight w:val="none"/>
          <w:lang w:val="en-US" w:eastAsia="zh-CN"/>
        </w:rPr>
      </w:pPr>
      <w:r>
        <w:rPr>
          <w:rFonts w:hint="eastAsia"/>
          <w:color w:val="auto"/>
          <w:highlight w:val="none"/>
          <w:lang w:val="en-US" w:eastAsia="zh-CN"/>
        </w:rPr>
        <w:t>项目立项文件、项目现状建筑设计图纸、相关楼栋的《安全性鉴定报告》。</w:t>
      </w:r>
    </w:p>
    <w:p w14:paraId="5F252E05">
      <w:pPr>
        <w:numPr>
          <w:ilvl w:val="0"/>
          <w:numId w:val="16"/>
        </w:numPr>
        <w:bidi w:val="0"/>
        <w:ind w:left="425" w:leftChars="0" w:hanging="425" w:firstLineChars="0"/>
        <w:rPr>
          <w:rFonts w:hint="eastAsia"/>
          <w:color w:val="auto"/>
          <w:highlight w:val="none"/>
          <w:lang w:val="en-US" w:eastAsia="zh-CN"/>
        </w:rPr>
      </w:pPr>
      <w:r>
        <w:rPr>
          <w:rFonts w:hint="eastAsia"/>
          <w:color w:val="auto"/>
          <w:highlight w:val="none"/>
          <w:lang w:val="en-US" w:eastAsia="zh-CN"/>
        </w:rPr>
        <w:t>相关部门的意见和要求。</w:t>
      </w:r>
    </w:p>
    <w:p w14:paraId="0A4DE114">
      <w:pPr>
        <w:numPr>
          <w:ilvl w:val="0"/>
          <w:numId w:val="16"/>
        </w:numPr>
        <w:bidi w:val="0"/>
        <w:ind w:left="425" w:leftChars="0" w:hanging="425" w:firstLineChars="0"/>
        <w:rPr>
          <w:rFonts w:hint="eastAsia"/>
          <w:color w:val="auto"/>
          <w:highlight w:val="none"/>
          <w:lang w:val="en-US" w:eastAsia="zh-CN"/>
        </w:rPr>
      </w:pPr>
      <w:r>
        <w:rPr>
          <w:rFonts w:hint="eastAsia"/>
          <w:color w:val="auto"/>
          <w:highlight w:val="none"/>
          <w:lang w:val="en-US" w:eastAsia="zh-CN"/>
        </w:rPr>
        <w:t>双方签定的设计合同内所包含的服务性条款及要求。</w:t>
      </w:r>
    </w:p>
    <w:p w14:paraId="3EAED235">
      <w:pPr>
        <w:pStyle w:val="3"/>
        <w:bidi w:val="0"/>
        <w:rPr>
          <w:rFonts w:hint="eastAsia"/>
          <w:color w:val="auto"/>
          <w:highlight w:val="none"/>
          <w:lang w:val="en-US" w:eastAsia="zh-CN"/>
        </w:rPr>
      </w:pPr>
      <w:bookmarkStart w:id="11" w:name="_Toc26336"/>
      <w:r>
        <w:rPr>
          <w:rFonts w:hint="eastAsia"/>
          <w:color w:val="auto"/>
          <w:highlight w:val="none"/>
          <w:lang w:val="en-US" w:eastAsia="zh-CN"/>
        </w:rPr>
        <w:t>现行技术标准及规范</w:t>
      </w:r>
      <w:bookmarkEnd w:id="11"/>
    </w:p>
    <w:p w14:paraId="2EF79D36">
      <w:pPr>
        <w:bidi w:val="0"/>
        <w:rPr>
          <w:rFonts w:hint="eastAsia"/>
          <w:color w:val="auto"/>
          <w:highlight w:val="none"/>
          <w:lang w:val="en-US" w:eastAsia="zh-CN"/>
        </w:rPr>
      </w:pPr>
      <w:r>
        <w:rPr>
          <w:rFonts w:hint="eastAsia"/>
          <w:color w:val="auto"/>
          <w:highlight w:val="none"/>
          <w:lang w:val="en-US" w:eastAsia="zh-CN"/>
        </w:rPr>
        <w:t>国家和广东省、广州市、番禺区现行的有关法律、条例、规范的规定（包括但不限于）：</w:t>
      </w:r>
    </w:p>
    <w:p w14:paraId="55FFC797">
      <w:pPr>
        <w:bidi w:val="0"/>
        <w:rPr>
          <w:rFonts w:hint="eastAsia"/>
          <w:color w:val="auto"/>
          <w:highlight w:val="none"/>
          <w:lang w:eastAsia="zh-CN"/>
        </w:rPr>
      </w:pPr>
      <w:r>
        <w:rPr>
          <w:rFonts w:hint="eastAsia"/>
          <w:color w:val="auto"/>
          <w:highlight w:val="none"/>
          <w:lang w:eastAsia="zh-CN"/>
        </w:rPr>
        <w:t>《中华人民共和国城市规划法》；</w:t>
      </w:r>
    </w:p>
    <w:p w14:paraId="6A008202">
      <w:pPr>
        <w:bidi w:val="0"/>
        <w:rPr>
          <w:rFonts w:hint="eastAsia"/>
          <w:color w:val="auto"/>
          <w:highlight w:val="none"/>
          <w:lang w:eastAsia="zh-CN"/>
        </w:rPr>
      </w:pPr>
      <w:r>
        <w:rPr>
          <w:rFonts w:hint="eastAsia"/>
          <w:color w:val="auto"/>
          <w:highlight w:val="none"/>
          <w:lang w:eastAsia="zh-CN"/>
        </w:rPr>
        <w:t>《既有建筑维护与改造通用规范》</w:t>
      </w:r>
      <w:r>
        <w:rPr>
          <w:rFonts w:hint="eastAsia"/>
          <w:color w:val="auto"/>
          <w:highlight w:val="none"/>
          <w:lang w:val="en-US" w:eastAsia="zh-CN"/>
        </w:rPr>
        <w:t xml:space="preserve"> </w:t>
      </w:r>
      <w:r>
        <w:rPr>
          <w:rFonts w:hint="eastAsia"/>
          <w:color w:val="auto"/>
          <w:highlight w:val="none"/>
          <w:lang w:eastAsia="zh-CN"/>
        </w:rPr>
        <w:t>（GB 55022-2021）</w:t>
      </w:r>
    </w:p>
    <w:p w14:paraId="7E51C495">
      <w:pPr>
        <w:bidi w:val="0"/>
        <w:rPr>
          <w:rFonts w:hint="eastAsia"/>
          <w:color w:val="auto"/>
          <w:highlight w:val="none"/>
          <w:lang w:eastAsia="zh-CN"/>
        </w:rPr>
      </w:pPr>
      <w:r>
        <w:rPr>
          <w:rFonts w:hint="eastAsia"/>
          <w:color w:val="auto"/>
          <w:highlight w:val="none"/>
          <w:lang w:val="en-US" w:eastAsia="zh-CN"/>
        </w:rPr>
        <w:t>《既有建筑混凝土结构改造设计规范》广东省标准 (DBJT 15-182-2020)</w:t>
      </w:r>
    </w:p>
    <w:p w14:paraId="5B3FB87C">
      <w:pPr>
        <w:numPr>
          <w:ilvl w:val="0"/>
          <w:numId w:val="0"/>
        </w:numPr>
        <w:bidi w:val="0"/>
        <w:ind w:leftChars="200"/>
        <w:rPr>
          <w:rFonts w:hint="eastAsia"/>
          <w:color w:val="auto"/>
          <w:highlight w:val="none"/>
          <w:lang w:eastAsia="zh-CN"/>
        </w:rPr>
      </w:pPr>
      <w:r>
        <w:rPr>
          <w:rFonts w:hint="eastAsia"/>
          <w:color w:val="auto"/>
          <w:highlight w:val="none"/>
        </w:rPr>
        <w:t>《建筑防火通用规范》</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GB 55037-2022</w:t>
      </w:r>
      <w:r>
        <w:rPr>
          <w:rFonts w:hint="eastAsia"/>
          <w:color w:val="auto"/>
          <w:highlight w:val="none"/>
          <w:lang w:eastAsia="zh-CN"/>
        </w:rPr>
        <w:t>）</w:t>
      </w:r>
    </w:p>
    <w:p w14:paraId="42A4F372">
      <w:pPr>
        <w:numPr>
          <w:ilvl w:val="0"/>
          <w:numId w:val="0"/>
        </w:numPr>
        <w:bidi w:val="0"/>
        <w:ind w:leftChars="200"/>
        <w:rPr>
          <w:rFonts w:hint="eastAsia"/>
          <w:color w:val="auto"/>
          <w:highlight w:val="none"/>
          <w:lang w:eastAsia="zh-CN"/>
        </w:rPr>
      </w:pPr>
      <w:r>
        <w:rPr>
          <w:rFonts w:hint="eastAsia"/>
          <w:color w:val="auto"/>
          <w:highlight w:val="none"/>
        </w:rPr>
        <w:t>《建筑设计防火规范》</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GB 50016-2014（2018年版）</w:t>
      </w:r>
      <w:r>
        <w:rPr>
          <w:rFonts w:hint="eastAsia"/>
          <w:color w:val="auto"/>
          <w:highlight w:val="none"/>
          <w:lang w:eastAsia="zh-CN"/>
        </w:rPr>
        <w:t>）</w:t>
      </w:r>
    </w:p>
    <w:p w14:paraId="7E0D32EA">
      <w:pPr>
        <w:numPr>
          <w:ilvl w:val="0"/>
          <w:numId w:val="0"/>
        </w:numPr>
        <w:bidi w:val="0"/>
        <w:ind w:leftChars="200"/>
        <w:rPr>
          <w:rFonts w:hint="eastAsia"/>
          <w:color w:val="auto"/>
          <w:highlight w:val="none"/>
          <w:lang w:eastAsia="zh-CN"/>
        </w:rPr>
      </w:pPr>
      <w:r>
        <w:rPr>
          <w:rFonts w:hint="eastAsia"/>
          <w:color w:val="auto"/>
          <w:highlight w:val="none"/>
        </w:rPr>
        <w:t>《建筑内部装修设计防火规范》</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GB 50222-2017</w:t>
      </w:r>
      <w:r>
        <w:rPr>
          <w:rFonts w:hint="eastAsia"/>
          <w:color w:val="auto"/>
          <w:highlight w:val="none"/>
          <w:lang w:eastAsia="zh-CN"/>
        </w:rPr>
        <w:t>）</w:t>
      </w:r>
    </w:p>
    <w:p w14:paraId="3E31424E">
      <w:pPr>
        <w:numPr>
          <w:ilvl w:val="0"/>
          <w:numId w:val="0"/>
        </w:numPr>
        <w:bidi w:val="0"/>
        <w:ind w:leftChars="200"/>
        <w:rPr>
          <w:rFonts w:hint="eastAsia"/>
          <w:color w:val="auto"/>
          <w:highlight w:val="none"/>
          <w:lang w:eastAsia="zh-CN"/>
        </w:rPr>
      </w:pPr>
      <w:r>
        <w:rPr>
          <w:rFonts w:hint="eastAsia"/>
          <w:color w:val="auto"/>
          <w:highlight w:val="none"/>
          <w:lang w:eastAsia="zh-CN"/>
        </w:rPr>
        <w:t>《既有建筑维护与改造通用规范》</w:t>
      </w:r>
      <w:r>
        <w:rPr>
          <w:rFonts w:hint="eastAsia"/>
          <w:color w:val="auto"/>
          <w:highlight w:val="none"/>
          <w:lang w:val="en-US" w:eastAsia="zh-CN"/>
        </w:rPr>
        <w:t xml:space="preserve"> </w:t>
      </w:r>
      <w:r>
        <w:rPr>
          <w:rFonts w:hint="eastAsia"/>
          <w:color w:val="auto"/>
          <w:highlight w:val="none"/>
          <w:lang w:eastAsia="zh-CN"/>
        </w:rPr>
        <w:t>（GB 55022-2021）</w:t>
      </w:r>
    </w:p>
    <w:p w14:paraId="4D77F88B">
      <w:pPr>
        <w:numPr>
          <w:ilvl w:val="0"/>
          <w:numId w:val="0"/>
        </w:numPr>
        <w:bidi w:val="0"/>
        <w:ind w:leftChars="200"/>
        <w:rPr>
          <w:rFonts w:hint="eastAsia"/>
          <w:color w:val="auto"/>
          <w:highlight w:val="none"/>
          <w:lang w:eastAsia="zh-CN"/>
        </w:rPr>
      </w:pPr>
      <w:r>
        <w:rPr>
          <w:rFonts w:hint="eastAsia"/>
          <w:color w:val="auto"/>
          <w:highlight w:val="none"/>
        </w:rPr>
        <w:t>《民用建筑通用规范》</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GB 55031-2022</w:t>
      </w:r>
      <w:r>
        <w:rPr>
          <w:rFonts w:hint="eastAsia"/>
          <w:color w:val="auto"/>
          <w:highlight w:val="none"/>
          <w:lang w:eastAsia="zh-CN"/>
        </w:rPr>
        <w:t>）</w:t>
      </w:r>
    </w:p>
    <w:p w14:paraId="51181E86">
      <w:pPr>
        <w:numPr>
          <w:ilvl w:val="0"/>
          <w:numId w:val="0"/>
        </w:numPr>
        <w:bidi w:val="0"/>
        <w:ind w:leftChars="200"/>
        <w:rPr>
          <w:rFonts w:hint="eastAsia"/>
          <w:color w:val="auto"/>
          <w:highlight w:val="none"/>
          <w:lang w:eastAsia="zh-CN"/>
        </w:rPr>
      </w:pPr>
      <w:r>
        <w:rPr>
          <w:rFonts w:hint="eastAsia"/>
          <w:color w:val="auto"/>
          <w:highlight w:val="none"/>
        </w:rPr>
        <w:t>《民用建筑设计统一标准》</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GB 50352-2019</w:t>
      </w:r>
      <w:r>
        <w:rPr>
          <w:rFonts w:hint="eastAsia"/>
          <w:color w:val="auto"/>
          <w:highlight w:val="none"/>
          <w:lang w:eastAsia="zh-CN"/>
        </w:rPr>
        <w:t>）</w:t>
      </w:r>
    </w:p>
    <w:p w14:paraId="64C757F3">
      <w:pPr>
        <w:numPr>
          <w:ilvl w:val="0"/>
          <w:numId w:val="0"/>
        </w:numPr>
        <w:bidi w:val="0"/>
        <w:ind w:leftChars="200"/>
        <w:rPr>
          <w:rFonts w:hint="eastAsia"/>
          <w:color w:val="auto"/>
          <w:highlight w:val="none"/>
          <w:lang w:eastAsia="zh-CN"/>
        </w:rPr>
      </w:pPr>
      <w:r>
        <w:rPr>
          <w:rFonts w:hint="eastAsia"/>
          <w:color w:val="auto"/>
          <w:highlight w:val="none"/>
        </w:rPr>
        <w:t>《建筑与市政工程无障碍通用规范》</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GB 55019-2021</w:t>
      </w:r>
      <w:r>
        <w:rPr>
          <w:rFonts w:hint="eastAsia"/>
          <w:color w:val="auto"/>
          <w:highlight w:val="none"/>
          <w:lang w:eastAsia="zh-CN"/>
        </w:rPr>
        <w:t>）</w:t>
      </w:r>
    </w:p>
    <w:p w14:paraId="19BD23D2">
      <w:pPr>
        <w:numPr>
          <w:ilvl w:val="0"/>
          <w:numId w:val="0"/>
        </w:numPr>
        <w:bidi w:val="0"/>
        <w:ind w:leftChars="200"/>
        <w:rPr>
          <w:rFonts w:hint="eastAsia"/>
          <w:color w:val="auto"/>
          <w:highlight w:val="none"/>
          <w:lang w:eastAsia="zh-CN"/>
        </w:rPr>
      </w:pPr>
      <w:r>
        <w:rPr>
          <w:rFonts w:hint="eastAsia"/>
          <w:color w:val="auto"/>
          <w:highlight w:val="none"/>
        </w:rPr>
        <w:t>《建筑环境通用规范》</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GB 55016-2021</w:t>
      </w:r>
      <w:r>
        <w:rPr>
          <w:rFonts w:hint="eastAsia"/>
          <w:color w:val="auto"/>
          <w:highlight w:val="none"/>
          <w:lang w:eastAsia="zh-CN"/>
        </w:rPr>
        <w:t>）</w:t>
      </w:r>
    </w:p>
    <w:p w14:paraId="5B12D4B8">
      <w:pPr>
        <w:numPr>
          <w:ilvl w:val="0"/>
          <w:numId w:val="0"/>
        </w:numPr>
        <w:bidi w:val="0"/>
        <w:ind w:leftChars="200"/>
        <w:rPr>
          <w:rFonts w:hint="eastAsia"/>
          <w:color w:val="auto"/>
          <w:highlight w:val="none"/>
        </w:rPr>
      </w:pPr>
      <w:r>
        <w:rPr>
          <w:rFonts w:hint="eastAsia"/>
          <w:color w:val="auto"/>
          <w:highlight w:val="none"/>
        </w:rPr>
        <w:t>《综合医院建设标准》</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建标110-2021</w:t>
      </w:r>
      <w:r>
        <w:rPr>
          <w:rFonts w:hint="eastAsia"/>
          <w:color w:val="auto"/>
          <w:highlight w:val="none"/>
          <w:lang w:eastAsia="zh-CN"/>
        </w:rPr>
        <w:t>）</w:t>
      </w:r>
    </w:p>
    <w:p w14:paraId="4EAB7AAA">
      <w:pPr>
        <w:numPr>
          <w:ilvl w:val="0"/>
          <w:numId w:val="0"/>
        </w:numPr>
        <w:bidi w:val="0"/>
        <w:ind w:leftChars="200"/>
        <w:rPr>
          <w:rFonts w:hint="eastAsia"/>
          <w:color w:val="auto"/>
          <w:highlight w:val="none"/>
        </w:rPr>
      </w:pPr>
      <w:r>
        <w:rPr>
          <w:rFonts w:hint="eastAsia"/>
          <w:color w:val="auto"/>
          <w:highlight w:val="none"/>
        </w:rPr>
        <w:t>《综合医院建筑设计规范》</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GB 51039-2014</w:t>
      </w:r>
      <w:r>
        <w:rPr>
          <w:rFonts w:hint="eastAsia"/>
          <w:color w:val="auto"/>
          <w:highlight w:val="none"/>
          <w:lang w:eastAsia="zh-CN"/>
        </w:rPr>
        <w:t>）</w:t>
      </w:r>
    </w:p>
    <w:p w14:paraId="28928E5B">
      <w:pPr>
        <w:numPr>
          <w:ilvl w:val="0"/>
          <w:numId w:val="0"/>
        </w:numPr>
        <w:bidi w:val="0"/>
        <w:ind w:leftChars="200"/>
        <w:rPr>
          <w:rFonts w:hint="eastAsia"/>
          <w:color w:val="auto"/>
          <w:highlight w:val="none"/>
          <w:lang w:eastAsia="zh-CN"/>
        </w:rPr>
      </w:pPr>
      <w:r>
        <w:rPr>
          <w:rFonts w:hint="eastAsia"/>
          <w:color w:val="auto"/>
          <w:highlight w:val="none"/>
        </w:rPr>
        <w:t>《医院洁净手术部建筑技术规范》</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GB 50333-2013</w:t>
      </w:r>
      <w:r>
        <w:rPr>
          <w:rFonts w:hint="eastAsia"/>
          <w:color w:val="auto"/>
          <w:highlight w:val="none"/>
          <w:lang w:eastAsia="zh-CN"/>
        </w:rPr>
        <w:t>）</w:t>
      </w:r>
    </w:p>
    <w:p w14:paraId="5C19D5CB">
      <w:pPr>
        <w:bidi w:val="0"/>
        <w:rPr>
          <w:rFonts w:hint="eastAsia"/>
          <w:color w:val="auto"/>
          <w:highlight w:val="none"/>
          <w:lang w:eastAsia="zh-CN"/>
        </w:rPr>
      </w:pPr>
      <w:r>
        <w:rPr>
          <w:rFonts w:hint="eastAsia"/>
          <w:color w:val="auto"/>
          <w:highlight w:val="none"/>
          <w:lang w:eastAsia="zh-CN"/>
        </w:rPr>
        <w:t>《办公建筑设计标准》</w:t>
      </w:r>
      <w:r>
        <w:rPr>
          <w:rFonts w:hint="eastAsia"/>
          <w:color w:val="auto"/>
          <w:highlight w:val="none"/>
          <w:lang w:val="en-US" w:eastAsia="zh-CN"/>
        </w:rPr>
        <w:t xml:space="preserve"> （</w:t>
      </w:r>
      <w:r>
        <w:rPr>
          <w:rFonts w:hint="eastAsia"/>
          <w:color w:val="auto"/>
          <w:highlight w:val="none"/>
          <w:lang w:eastAsia="zh-CN"/>
        </w:rPr>
        <w:t>JGJ /T</w:t>
      </w:r>
      <w:r>
        <w:rPr>
          <w:rFonts w:hint="eastAsia"/>
          <w:color w:val="auto"/>
          <w:highlight w:val="none"/>
          <w:lang w:val="en-US" w:eastAsia="zh-CN"/>
        </w:rPr>
        <w:t xml:space="preserve"> </w:t>
      </w:r>
      <w:r>
        <w:rPr>
          <w:rFonts w:hint="eastAsia"/>
          <w:color w:val="auto"/>
          <w:highlight w:val="none"/>
          <w:lang w:eastAsia="zh-CN"/>
        </w:rPr>
        <w:t>67-2019</w:t>
      </w:r>
      <w:r>
        <w:rPr>
          <w:rFonts w:hint="eastAsia"/>
          <w:color w:val="auto"/>
          <w:highlight w:val="none"/>
          <w:lang w:val="en-US" w:eastAsia="zh-CN"/>
        </w:rPr>
        <w:t>）</w:t>
      </w:r>
    </w:p>
    <w:p w14:paraId="12101D70">
      <w:pPr>
        <w:numPr>
          <w:ilvl w:val="0"/>
          <w:numId w:val="0"/>
        </w:numPr>
        <w:bidi w:val="0"/>
        <w:ind w:leftChars="200"/>
        <w:rPr>
          <w:rFonts w:hint="eastAsia"/>
          <w:color w:val="auto"/>
          <w:highlight w:val="none"/>
        </w:rPr>
      </w:pPr>
      <w:r>
        <w:rPr>
          <w:rFonts w:hint="eastAsia"/>
          <w:color w:val="auto"/>
          <w:highlight w:val="none"/>
        </w:rPr>
        <w:t>《饮食建筑设计标准》</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JGJ /T 64-2017</w:t>
      </w:r>
      <w:r>
        <w:rPr>
          <w:rFonts w:hint="eastAsia"/>
          <w:color w:val="auto"/>
          <w:highlight w:val="none"/>
          <w:lang w:eastAsia="zh-CN"/>
        </w:rPr>
        <w:t>）</w:t>
      </w:r>
    </w:p>
    <w:p w14:paraId="339ADAE3">
      <w:pPr>
        <w:bidi w:val="0"/>
        <w:rPr>
          <w:rFonts w:hint="eastAsia"/>
          <w:color w:val="auto"/>
          <w:highlight w:val="none"/>
          <w:lang w:eastAsia="zh-CN"/>
        </w:rPr>
      </w:pPr>
      <w:r>
        <w:rPr>
          <w:rFonts w:hint="eastAsia"/>
          <w:color w:val="auto"/>
          <w:highlight w:val="none"/>
          <w:lang w:eastAsia="zh-CN"/>
        </w:rPr>
        <w:t>《建筑工程抗震设防分类标准》</w:t>
      </w:r>
      <w:r>
        <w:rPr>
          <w:rFonts w:hint="eastAsia"/>
          <w:color w:val="auto"/>
          <w:highlight w:val="none"/>
          <w:lang w:val="en-US" w:eastAsia="zh-CN"/>
        </w:rPr>
        <w:t xml:space="preserve"> </w:t>
      </w:r>
      <w:r>
        <w:rPr>
          <w:rFonts w:hint="eastAsia"/>
          <w:color w:val="auto"/>
          <w:highlight w:val="none"/>
          <w:lang w:eastAsia="zh-CN"/>
        </w:rPr>
        <w:t>（GB50223-2008）</w:t>
      </w:r>
    </w:p>
    <w:p w14:paraId="5847F0E3">
      <w:pPr>
        <w:bidi w:val="0"/>
        <w:rPr>
          <w:rFonts w:hint="eastAsia"/>
          <w:color w:val="auto"/>
          <w:highlight w:val="none"/>
          <w:lang w:eastAsia="zh-CN"/>
        </w:rPr>
      </w:pPr>
      <w:r>
        <w:rPr>
          <w:rFonts w:hint="eastAsia"/>
          <w:color w:val="auto"/>
          <w:highlight w:val="none"/>
          <w:lang w:eastAsia="zh-CN"/>
        </w:rPr>
        <w:t>《建筑结构可靠性设计统一标准》</w:t>
      </w:r>
      <w:r>
        <w:rPr>
          <w:rFonts w:hint="eastAsia"/>
          <w:color w:val="auto"/>
          <w:highlight w:val="none"/>
          <w:lang w:val="en-US" w:eastAsia="zh-CN"/>
        </w:rPr>
        <w:t xml:space="preserve"> </w:t>
      </w:r>
      <w:r>
        <w:rPr>
          <w:rFonts w:hint="eastAsia"/>
          <w:color w:val="auto"/>
          <w:highlight w:val="none"/>
          <w:lang w:eastAsia="zh-CN"/>
        </w:rPr>
        <w:t>（GB50068-2018）</w:t>
      </w:r>
    </w:p>
    <w:p w14:paraId="0C0781B4">
      <w:pPr>
        <w:bidi w:val="0"/>
        <w:rPr>
          <w:rFonts w:hint="eastAsia"/>
          <w:color w:val="auto"/>
          <w:highlight w:val="none"/>
          <w:lang w:eastAsia="zh-CN"/>
        </w:rPr>
      </w:pPr>
      <w:r>
        <w:rPr>
          <w:rFonts w:hint="eastAsia"/>
          <w:color w:val="auto"/>
          <w:highlight w:val="none"/>
          <w:lang w:eastAsia="zh-CN"/>
        </w:rPr>
        <w:t>《建筑结构荷载规范》</w:t>
      </w:r>
      <w:r>
        <w:rPr>
          <w:rFonts w:hint="eastAsia"/>
          <w:color w:val="auto"/>
          <w:highlight w:val="none"/>
          <w:lang w:val="en-US" w:eastAsia="zh-CN"/>
        </w:rPr>
        <w:t xml:space="preserve"> </w:t>
      </w:r>
      <w:r>
        <w:rPr>
          <w:rFonts w:hint="eastAsia"/>
          <w:color w:val="auto"/>
          <w:highlight w:val="none"/>
          <w:lang w:eastAsia="zh-CN"/>
        </w:rPr>
        <w:t>（GB50009-2012）</w:t>
      </w:r>
    </w:p>
    <w:p w14:paraId="26604DEA">
      <w:pPr>
        <w:bidi w:val="0"/>
        <w:rPr>
          <w:rFonts w:hint="eastAsia"/>
          <w:color w:val="auto"/>
          <w:highlight w:val="none"/>
          <w:lang w:eastAsia="zh-CN"/>
        </w:rPr>
      </w:pPr>
      <w:r>
        <w:rPr>
          <w:rFonts w:hint="eastAsia"/>
          <w:color w:val="auto"/>
          <w:highlight w:val="none"/>
          <w:lang w:eastAsia="zh-CN"/>
        </w:rPr>
        <w:t>《混凝土结构设计规范》</w:t>
      </w:r>
      <w:r>
        <w:rPr>
          <w:rFonts w:hint="eastAsia"/>
          <w:color w:val="auto"/>
          <w:highlight w:val="none"/>
          <w:lang w:val="en-US" w:eastAsia="zh-CN"/>
        </w:rPr>
        <w:t xml:space="preserve"> </w:t>
      </w:r>
      <w:r>
        <w:rPr>
          <w:rFonts w:hint="eastAsia"/>
          <w:color w:val="auto"/>
          <w:highlight w:val="none"/>
          <w:lang w:eastAsia="zh-CN"/>
        </w:rPr>
        <w:t>（GB50010-2010（2015 年版））</w:t>
      </w:r>
    </w:p>
    <w:p w14:paraId="3D169E2C">
      <w:pPr>
        <w:bidi w:val="0"/>
        <w:rPr>
          <w:rFonts w:hint="eastAsia"/>
          <w:color w:val="auto"/>
          <w:highlight w:val="none"/>
          <w:lang w:eastAsia="zh-CN"/>
        </w:rPr>
      </w:pPr>
      <w:r>
        <w:rPr>
          <w:rFonts w:hint="eastAsia"/>
          <w:color w:val="auto"/>
          <w:highlight w:val="none"/>
          <w:lang w:eastAsia="zh-CN"/>
        </w:rPr>
        <w:t>《建筑抗震设计规范》</w:t>
      </w:r>
      <w:r>
        <w:rPr>
          <w:rFonts w:hint="eastAsia"/>
          <w:color w:val="auto"/>
          <w:highlight w:val="none"/>
          <w:lang w:val="en-US" w:eastAsia="zh-CN"/>
        </w:rPr>
        <w:t xml:space="preserve"> </w:t>
      </w:r>
      <w:r>
        <w:rPr>
          <w:rFonts w:hint="eastAsia"/>
          <w:color w:val="auto"/>
          <w:highlight w:val="none"/>
          <w:lang w:eastAsia="zh-CN"/>
        </w:rPr>
        <w:t>（GB50011-2010（2016年版））</w:t>
      </w:r>
    </w:p>
    <w:p w14:paraId="3282EFF3">
      <w:pPr>
        <w:bidi w:val="0"/>
        <w:rPr>
          <w:rFonts w:hint="eastAsia"/>
          <w:color w:val="auto"/>
          <w:highlight w:val="none"/>
          <w:lang w:eastAsia="zh-CN"/>
        </w:rPr>
      </w:pPr>
      <w:r>
        <w:rPr>
          <w:rFonts w:hint="eastAsia"/>
          <w:color w:val="auto"/>
          <w:highlight w:val="none"/>
          <w:lang w:eastAsia="zh-CN"/>
        </w:rPr>
        <w:t>《建筑地基基础设计规范》</w:t>
      </w:r>
      <w:r>
        <w:rPr>
          <w:rFonts w:hint="eastAsia"/>
          <w:color w:val="auto"/>
          <w:highlight w:val="none"/>
          <w:lang w:val="en-US" w:eastAsia="zh-CN"/>
        </w:rPr>
        <w:t xml:space="preserve"> </w:t>
      </w:r>
      <w:r>
        <w:rPr>
          <w:rFonts w:hint="eastAsia"/>
          <w:color w:val="auto"/>
          <w:highlight w:val="none"/>
          <w:lang w:eastAsia="zh-CN"/>
        </w:rPr>
        <w:t>（GB50007-2011）</w:t>
      </w:r>
    </w:p>
    <w:p w14:paraId="2A0A8DE4">
      <w:pPr>
        <w:bidi w:val="0"/>
        <w:rPr>
          <w:rFonts w:hint="eastAsia"/>
          <w:color w:val="auto"/>
          <w:highlight w:val="none"/>
          <w:lang w:eastAsia="zh-CN"/>
        </w:rPr>
      </w:pPr>
      <w:r>
        <w:rPr>
          <w:rFonts w:hint="eastAsia"/>
          <w:color w:val="auto"/>
          <w:highlight w:val="none"/>
          <w:lang w:eastAsia="zh-CN"/>
        </w:rPr>
        <w:t>《装配式建筑评价标准》</w:t>
      </w:r>
      <w:r>
        <w:rPr>
          <w:rFonts w:hint="eastAsia"/>
          <w:color w:val="auto"/>
          <w:highlight w:val="none"/>
          <w:lang w:val="en-US" w:eastAsia="zh-CN"/>
        </w:rPr>
        <w:t xml:space="preserve"> </w:t>
      </w:r>
      <w:r>
        <w:rPr>
          <w:rFonts w:hint="eastAsia"/>
          <w:color w:val="auto"/>
          <w:highlight w:val="none"/>
          <w:lang w:eastAsia="zh-CN"/>
        </w:rPr>
        <w:t>（DBJ/T 15-163-2019）</w:t>
      </w:r>
    </w:p>
    <w:p w14:paraId="4350E332">
      <w:pPr>
        <w:bidi w:val="0"/>
        <w:rPr>
          <w:rFonts w:hint="eastAsia"/>
          <w:color w:val="auto"/>
          <w:highlight w:val="none"/>
          <w:lang w:eastAsia="zh-CN"/>
        </w:rPr>
      </w:pPr>
      <w:r>
        <w:rPr>
          <w:rFonts w:hint="eastAsia"/>
          <w:color w:val="auto"/>
          <w:highlight w:val="none"/>
          <w:lang w:eastAsia="zh-CN"/>
        </w:rPr>
        <w:t>广东省标准《装配式建筑评价标准》</w:t>
      </w:r>
      <w:r>
        <w:rPr>
          <w:rFonts w:hint="eastAsia"/>
          <w:color w:val="auto"/>
          <w:highlight w:val="none"/>
          <w:lang w:val="en-US" w:eastAsia="zh-CN"/>
        </w:rPr>
        <w:t xml:space="preserve"> </w:t>
      </w:r>
      <w:r>
        <w:rPr>
          <w:rFonts w:hint="eastAsia"/>
          <w:color w:val="auto"/>
          <w:highlight w:val="none"/>
          <w:lang w:eastAsia="zh-CN"/>
        </w:rPr>
        <w:t>（DBJ/T15-163-2019）</w:t>
      </w:r>
    </w:p>
    <w:p w14:paraId="66FF187C">
      <w:pPr>
        <w:bidi w:val="0"/>
        <w:rPr>
          <w:rFonts w:hint="eastAsia"/>
          <w:color w:val="auto"/>
          <w:highlight w:val="none"/>
          <w:lang w:eastAsia="zh-CN"/>
        </w:rPr>
      </w:pPr>
      <w:r>
        <w:rPr>
          <w:rFonts w:hint="eastAsia"/>
          <w:color w:val="auto"/>
          <w:highlight w:val="none"/>
          <w:lang w:eastAsia="zh-CN"/>
        </w:rPr>
        <w:t>《建筑给水排水设计标准》</w:t>
      </w:r>
      <w:r>
        <w:rPr>
          <w:rFonts w:hint="eastAsia"/>
          <w:color w:val="auto"/>
          <w:highlight w:val="none"/>
          <w:lang w:val="en-US" w:eastAsia="zh-CN"/>
        </w:rPr>
        <w:t xml:space="preserve"> </w:t>
      </w:r>
      <w:r>
        <w:rPr>
          <w:rFonts w:hint="eastAsia"/>
          <w:color w:val="auto"/>
          <w:highlight w:val="none"/>
          <w:lang w:eastAsia="zh-CN"/>
        </w:rPr>
        <w:t>（GB50015-2019）</w:t>
      </w:r>
    </w:p>
    <w:p w14:paraId="581F85E3">
      <w:pPr>
        <w:bidi w:val="0"/>
        <w:rPr>
          <w:rFonts w:hint="eastAsia"/>
          <w:color w:val="auto"/>
          <w:highlight w:val="none"/>
          <w:lang w:eastAsia="zh-CN"/>
        </w:rPr>
      </w:pPr>
      <w:r>
        <w:rPr>
          <w:rFonts w:hint="eastAsia"/>
          <w:color w:val="auto"/>
          <w:highlight w:val="none"/>
          <w:lang w:eastAsia="zh-CN"/>
        </w:rPr>
        <w:t>《室外给水设计标准》</w:t>
      </w:r>
      <w:r>
        <w:rPr>
          <w:rFonts w:hint="eastAsia"/>
          <w:color w:val="auto"/>
          <w:highlight w:val="none"/>
          <w:lang w:val="en-US" w:eastAsia="zh-CN"/>
        </w:rPr>
        <w:t xml:space="preserve"> </w:t>
      </w:r>
      <w:r>
        <w:rPr>
          <w:rFonts w:hint="eastAsia"/>
          <w:color w:val="auto"/>
          <w:highlight w:val="none"/>
          <w:lang w:eastAsia="zh-CN"/>
        </w:rPr>
        <w:t>（GB50013-2018）</w:t>
      </w:r>
    </w:p>
    <w:p w14:paraId="6FE39BBA">
      <w:pPr>
        <w:bidi w:val="0"/>
        <w:rPr>
          <w:rFonts w:hint="eastAsia"/>
          <w:color w:val="auto"/>
          <w:highlight w:val="none"/>
          <w:lang w:eastAsia="zh-CN"/>
        </w:rPr>
      </w:pPr>
      <w:r>
        <w:rPr>
          <w:rFonts w:hint="eastAsia"/>
          <w:color w:val="auto"/>
          <w:highlight w:val="none"/>
          <w:lang w:eastAsia="zh-CN"/>
        </w:rPr>
        <w:t>《室外排水设计标准》</w:t>
      </w:r>
      <w:r>
        <w:rPr>
          <w:rFonts w:hint="eastAsia"/>
          <w:color w:val="auto"/>
          <w:highlight w:val="none"/>
          <w:lang w:val="en-US" w:eastAsia="zh-CN"/>
        </w:rPr>
        <w:t xml:space="preserve"> </w:t>
      </w:r>
      <w:r>
        <w:rPr>
          <w:rFonts w:hint="eastAsia"/>
          <w:color w:val="auto"/>
          <w:highlight w:val="none"/>
          <w:lang w:eastAsia="zh-CN"/>
        </w:rPr>
        <w:t>（GB50014-2021）</w:t>
      </w:r>
    </w:p>
    <w:p w14:paraId="4827F170">
      <w:pPr>
        <w:bidi w:val="0"/>
        <w:rPr>
          <w:rFonts w:hint="eastAsia"/>
          <w:color w:val="auto"/>
          <w:highlight w:val="none"/>
          <w:lang w:eastAsia="zh-CN"/>
        </w:rPr>
      </w:pPr>
      <w:r>
        <w:rPr>
          <w:rFonts w:hint="eastAsia"/>
          <w:color w:val="auto"/>
          <w:highlight w:val="none"/>
          <w:lang w:eastAsia="zh-CN"/>
        </w:rPr>
        <w:t>《民用建筑节水设计标准》</w:t>
      </w:r>
      <w:r>
        <w:rPr>
          <w:rFonts w:hint="eastAsia"/>
          <w:color w:val="auto"/>
          <w:highlight w:val="none"/>
          <w:lang w:val="en-US" w:eastAsia="zh-CN"/>
        </w:rPr>
        <w:t xml:space="preserve"> </w:t>
      </w:r>
      <w:r>
        <w:rPr>
          <w:rFonts w:hint="eastAsia"/>
          <w:color w:val="auto"/>
          <w:highlight w:val="none"/>
          <w:lang w:eastAsia="zh-CN"/>
        </w:rPr>
        <w:t>（GB50555-2010）</w:t>
      </w:r>
    </w:p>
    <w:p w14:paraId="32C181A3">
      <w:pPr>
        <w:bidi w:val="0"/>
        <w:rPr>
          <w:rFonts w:hint="eastAsia"/>
          <w:color w:val="auto"/>
          <w:highlight w:val="none"/>
          <w:lang w:eastAsia="zh-CN"/>
        </w:rPr>
      </w:pPr>
      <w:r>
        <w:rPr>
          <w:rFonts w:hint="eastAsia"/>
          <w:color w:val="auto"/>
          <w:highlight w:val="none"/>
          <w:lang w:eastAsia="zh-CN"/>
        </w:rPr>
        <w:t>《消防给水及消火栓系统技术规范》</w:t>
      </w:r>
      <w:r>
        <w:rPr>
          <w:rFonts w:hint="eastAsia"/>
          <w:color w:val="auto"/>
          <w:highlight w:val="none"/>
          <w:lang w:val="en-US" w:eastAsia="zh-CN"/>
        </w:rPr>
        <w:t xml:space="preserve"> </w:t>
      </w:r>
      <w:r>
        <w:rPr>
          <w:rFonts w:hint="eastAsia"/>
          <w:color w:val="auto"/>
          <w:highlight w:val="none"/>
          <w:lang w:eastAsia="zh-CN"/>
        </w:rPr>
        <w:t>（GB50974-2014）</w:t>
      </w:r>
    </w:p>
    <w:p w14:paraId="437567F3">
      <w:pPr>
        <w:bidi w:val="0"/>
        <w:rPr>
          <w:rFonts w:hint="eastAsia"/>
          <w:color w:val="auto"/>
          <w:highlight w:val="none"/>
          <w:lang w:eastAsia="zh-CN"/>
        </w:rPr>
      </w:pPr>
      <w:r>
        <w:rPr>
          <w:rFonts w:hint="eastAsia"/>
          <w:color w:val="auto"/>
          <w:highlight w:val="none"/>
          <w:lang w:eastAsia="zh-CN"/>
        </w:rPr>
        <w:t>《自动喷水灭火系统设计规范》</w:t>
      </w:r>
      <w:r>
        <w:rPr>
          <w:rFonts w:hint="eastAsia"/>
          <w:color w:val="auto"/>
          <w:highlight w:val="none"/>
          <w:lang w:val="en-US" w:eastAsia="zh-CN"/>
        </w:rPr>
        <w:t xml:space="preserve"> </w:t>
      </w:r>
      <w:r>
        <w:rPr>
          <w:rFonts w:hint="eastAsia"/>
          <w:color w:val="auto"/>
          <w:highlight w:val="none"/>
          <w:lang w:eastAsia="zh-CN"/>
        </w:rPr>
        <w:t>（GB50084-2017）</w:t>
      </w:r>
    </w:p>
    <w:p w14:paraId="3EF24C6C">
      <w:pPr>
        <w:bidi w:val="0"/>
        <w:rPr>
          <w:rFonts w:hint="eastAsia"/>
          <w:color w:val="auto"/>
          <w:highlight w:val="none"/>
          <w:lang w:eastAsia="zh-CN"/>
        </w:rPr>
      </w:pPr>
      <w:r>
        <w:rPr>
          <w:rFonts w:hint="eastAsia"/>
          <w:color w:val="auto"/>
          <w:highlight w:val="none"/>
          <w:lang w:eastAsia="zh-CN"/>
        </w:rPr>
        <w:t>《泡沫灭火系统技术标准》</w:t>
      </w:r>
      <w:r>
        <w:rPr>
          <w:rFonts w:hint="eastAsia"/>
          <w:color w:val="auto"/>
          <w:highlight w:val="none"/>
          <w:lang w:val="en-US" w:eastAsia="zh-CN"/>
        </w:rPr>
        <w:t xml:space="preserve"> </w:t>
      </w:r>
      <w:r>
        <w:rPr>
          <w:rFonts w:hint="eastAsia"/>
          <w:color w:val="auto"/>
          <w:highlight w:val="none"/>
          <w:lang w:eastAsia="zh-CN"/>
        </w:rPr>
        <w:t>（GB50151-2021）</w:t>
      </w:r>
    </w:p>
    <w:p w14:paraId="64A29679">
      <w:pPr>
        <w:bidi w:val="0"/>
        <w:rPr>
          <w:rFonts w:hint="eastAsia"/>
          <w:color w:val="auto"/>
          <w:highlight w:val="none"/>
          <w:lang w:eastAsia="zh-CN"/>
        </w:rPr>
      </w:pPr>
      <w:r>
        <w:rPr>
          <w:rFonts w:hint="eastAsia"/>
          <w:color w:val="auto"/>
          <w:highlight w:val="none"/>
          <w:lang w:eastAsia="zh-CN"/>
        </w:rPr>
        <w:t>《气体灭火系统设计规范》</w:t>
      </w:r>
      <w:r>
        <w:rPr>
          <w:rFonts w:hint="eastAsia"/>
          <w:color w:val="auto"/>
          <w:highlight w:val="none"/>
          <w:lang w:val="en-US" w:eastAsia="zh-CN"/>
        </w:rPr>
        <w:t xml:space="preserve"> </w:t>
      </w:r>
      <w:r>
        <w:rPr>
          <w:rFonts w:hint="eastAsia"/>
          <w:color w:val="auto"/>
          <w:highlight w:val="none"/>
          <w:lang w:eastAsia="zh-CN"/>
        </w:rPr>
        <w:t>（GB50370-2005）</w:t>
      </w:r>
    </w:p>
    <w:p w14:paraId="302DD138">
      <w:pPr>
        <w:bidi w:val="0"/>
        <w:rPr>
          <w:rFonts w:hint="eastAsia"/>
          <w:color w:val="auto"/>
          <w:highlight w:val="none"/>
          <w:lang w:eastAsia="zh-CN"/>
        </w:rPr>
      </w:pPr>
      <w:r>
        <w:rPr>
          <w:rFonts w:hint="eastAsia"/>
          <w:color w:val="auto"/>
          <w:highlight w:val="none"/>
          <w:lang w:eastAsia="zh-CN"/>
        </w:rPr>
        <w:t>《供配电系统设计规范》 （GB50052-2009）</w:t>
      </w:r>
    </w:p>
    <w:p w14:paraId="6CF732ED">
      <w:pPr>
        <w:bidi w:val="0"/>
        <w:rPr>
          <w:rFonts w:hint="eastAsia"/>
          <w:color w:val="auto"/>
          <w:highlight w:val="none"/>
          <w:lang w:eastAsia="zh-CN"/>
        </w:rPr>
      </w:pPr>
      <w:r>
        <w:rPr>
          <w:rFonts w:hint="eastAsia"/>
          <w:color w:val="auto"/>
          <w:highlight w:val="none"/>
          <w:lang w:eastAsia="zh-CN"/>
        </w:rPr>
        <w:t>《低压配电设计规范》 （GB50054-2011）</w:t>
      </w:r>
    </w:p>
    <w:p w14:paraId="26014C36">
      <w:pPr>
        <w:bidi w:val="0"/>
        <w:rPr>
          <w:rFonts w:hint="eastAsia"/>
          <w:color w:val="auto"/>
          <w:highlight w:val="none"/>
          <w:lang w:eastAsia="zh-CN"/>
        </w:rPr>
      </w:pPr>
      <w:r>
        <w:rPr>
          <w:rFonts w:hint="eastAsia"/>
          <w:color w:val="auto"/>
          <w:highlight w:val="none"/>
          <w:lang w:eastAsia="zh-CN"/>
        </w:rPr>
        <w:t>《建筑照明设计标准》</w:t>
      </w:r>
      <w:r>
        <w:rPr>
          <w:rFonts w:hint="eastAsia"/>
          <w:color w:val="auto"/>
          <w:highlight w:val="none"/>
          <w:lang w:val="en-US" w:eastAsia="zh-CN"/>
        </w:rPr>
        <w:t xml:space="preserve"> </w:t>
      </w:r>
      <w:r>
        <w:rPr>
          <w:rFonts w:hint="eastAsia"/>
          <w:color w:val="auto"/>
          <w:highlight w:val="none"/>
          <w:lang w:eastAsia="zh-CN"/>
        </w:rPr>
        <w:t>（GB50034-2013）</w:t>
      </w:r>
    </w:p>
    <w:p w14:paraId="0C64E609">
      <w:pPr>
        <w:bidi w:val="0"/>
        <w:rPr>
          <w:rFonts w:hint="eastAsia"/>
          <w:color w:val="auto"/>
          <w:highlight w:val="none"/>
          <w:lang w:eastAsia="zh-CN"/>
        </w:rPr>
      </w:pPr>
      <w:r>
        <w:rPr>
          <w:rFonts w:hint="eastAsia"/>
          <w:color w:val="auto"/>
          <w:highlight w:val="none"/>
          <w:lang w:eastAsia="zh-CN"/>
        </w:rPr>
        <w:t>《建筑物防雷设计规范》 （GB50057-2010）</w:t>
      </w:r>
    </w:p>
    <w:p w14:paraId="4CC08FD7">
      <w:pPr>
        <w:bidi w:val="0"/>
        <w:rPr>
          <w:rFonts w:hint="eastAsia"/>
          <w:color w:val="auto"/>
          <w:highlight w:val="none"/>
          <w:lang w:eastAsia="zh-CN"/>
        </w:rPr>
      </w:pPr>
      <w:r>
        <w:rPr>
          <w:rFonts w:hint="eastAsia"/>
          <w:color w:val="auto"/>
          <w:highlight w:val="none"/>
          <w:lang w:eastAsia="zh-CN"/>
        </w:rPr>
        <w:t>《火灾自动报警系统设计规范》 （GB50116-2013）</w:t>
      </w:r>
    </w:p>
    <w:p w14:paraId="114AA4EF">
      <w:pPr>
        <w:bidi w:val="0"/>
        <w:rPr>
          <w:rFonts w:hint="default"/>
          <w:color w:val="auto"/>
          <w:highlight w:val="none"/>
          <w:lang w:val="en-US" w:eastAsia="zh-CN"/>
        </w:rPr>
      </w:pPr>
      <w:r>
        <w:rPr>
          <w:rFonts w:hint="eastAsia"/>
          <w:color w:val="auto"/>
          <w:highlight w:val="none"/>
          <w:lang w:eastAsia="zh-CN"/>
        </w:rPr>
        <w:t>《智能建筑设计标准》</w:t>
      </w:r>
      <w:r>
        <w:rPr>
          <w:rFonts w:hint="eastAsia"/>
          <w:color w:val="auto"/>
          <w:highlight w:val="none"/>
          <w:lang w:val="en-US" w:eastAsia="zh-CN"/>
        </w:rPr>
        <w:t xml:space="preserve"> </w:t>
      </w:r>
      <w:r>
        <w:rPr>
          <w:rFonts w:hint="eastAsia"/>
          <w:color w:val="auto"/>
          <w:highlight w:val="none"/>
          <w:lang w:eastAsia="zh-CN"/>
        </w:rPr>
        <w:t>（GB50314-2015）；</w:t>
      </w:r>
      <w:r>
        <w:rPr>
          <w:rFonts w:hint="eastAsia"/>
          <w:color w:val="auto"/>
          <w:highlight w:val="none"/>
          <w:lang w:val="en-US" w:eastAsia="zh-CN"/>
        </w:rPr>
        <w:t xml:space="preserve"> </w:t>
      </w:r>
    </w:p>
    <w:p w14:paraId="34D5AAF6">
      <w:pPr>
        <w:bidi w:val="0"/>
        <w:rPr>
          <w:rFonts w:hint="default"/>
          <w:color w:val="auto"/>
          <w:highlight w:val="none"/>
          <w:lang w:val="en-US" w:eastAsia="zh-CN"/>
        </w:rPr>
      </w:pPr>
      <w:r>
        <w:rPr>
          <w:rFonts w:hint="eastAsia"/>
          <w:color w:val="auto"/>
          <w:highlight w:val="none"/>
          <w:lang w:eastAsia="zh-CN"/>
        </w:rPr>
        <w:t>《民用建筑供暖通风与空气调节设计规范》</w:t>
      </w:r>
      <w:r>
        <w:rPr>
          <w:rFonts w:hint="eastAsia"/>
          <w:color w:val="auto"/>
          <w:highlight w:val="none"/>
          <w:lang w:val="en-US" w:eastAsia="zh-CN"/>
        </w:rPr>
        <w:t xml:space="preserve"> （</w:t>
      </w:r>
      <w:r>
        <w:rPr>
          <w:rFonts w:hint="eastAsia"/>
          <w:color w:val="auto"/>
          <w:highlight w:val="none"/>
          <w:lang w:eastAsia="zh-CN"/>
        </w:rPr>
        <w:t>GB50736-2012</w:t>
      </w:r>
      <w:r>
        <w:rPr>
          <w:rFonts w:hint="eastAsia"/>
          <w:color w:val="auto"/>
          <w:highlight w:val="none"/>
          <w:lang w:val="en-US" w:eastAsia="zh-CN"/>
        </w:rPr>
        <w:t>）</w:t>
      </w:r>
    </w:p>
    <w:p w14:paraId="49F87DDA">
      <w:pPr>
        <w:bidi w:val="0"/>
        <w:rPr>
          <w:rFonts w:hint="default"/>
          <w:color w:val="auto"/>
          <w:highlight w:val="none"/>
          <w:lang w:val="en-US" w:eastAsia="zh-CN"/>
        </w:rPr>
      </w:pPr>
      <w:r>
        <w:rPr>
          <w:rFonts w:hint="eastAsia"/>
          <w:color w:val="auto"/>
          <w:highlight w:val="none"/>
          <w:lang w:eastAsia="zh-CN"/>
        </w:rPr>
        <w:t>《建筑防排烟系统技术标准》</w:t>
      </w:r>
      <w:r>
        <w:rPr>
          <w:rFonts w:hint="eastAsia"/>
          <w:color w:val="auto"/>
          <w:highlight w:val="none"/>
          <w:lang w:val="en-US" w:eastAsia="zh-CN"/>
        </w:rPr>
        <w:t xml:space="preserve"> （</w:t>
      </w:r>
      <w:r>
        <w:rPr>
          <w:rFonts w:hint="eastAsia"/>
          <w:color w:val="auto"/>
          <w:highlight w:val="none"/>
          <w:lang w:eastAsia="zh-CN"/>
        </w:rPr>
        <w:t xml:space="preserve">GB51251-2017 </w:t>
      </w:r>
      <w:r>
        <w:rPr>
          <w:rFonts w:hint="eastAsia"/>
          <w:color w:val="auto"/>
          <w:highlight w:val="none"/>
          <w:lang w:val="en-US" w:eastAsia="zh-CN"/>
        </w:rPr>
        <w:t>）</w:t>
      </w:r>
    </w:p>
    <w:p w14:paraId="42507DE6">
      <w:pPr>
        <w:bidi w:val="0"/>
        <w:rPr>
          <w:rFonts w:hint="default"/>
          <w:color w:val="auto"/>
          <w:highlight w:val="none"/>
          <w:lang w:val="en-US" w:eastAsia="zh-CN"/>
        </w:rPr>
      </w:pPr>
      <w:r>
        <w:rPr>
          <w:rFonts w:hint="eastAsia"/>
          <w:color w:val="auto"/>
          <w:highlight w:val="none"/>
          <w:lang w:eastAsia="zh-CN"/>
        </w:rPr>
        <w:t>《饮食业油烟排放标准》</w:t>
      </w:r>
      <w:r>
        <w:rPr>
          <w:rFonts w:hint="eastAsia"/>
          <w:color w:val="auto"/>
          <w:highlight w:val="none"/>
          <w:lang w:val="en-US" w:eastAsia="zh-CN"/>
        </w:rPr>
        <w:t xml:space="preserve"> （</w:t>
      </w:r>
      <w:r>
        <w:rPr>
          <w:rFonts w:hint="eastAsia"/>
          <w:color w:val="auto"/>
          <w:highlight w:val="none"/>
          <w:lang w:eastAsia="zh-CN"/>
        </w:rPr>
        <w:t>GB18483-2001</w:t>
      </w:r>
      <w:r>
        <w:rPr>
          <w:rFonts w:hint="eastAsia"/>
          <w:color w:val="auto"/>
          <w:highlight w:val="none"/>
          <w:lang w:val="en-US" w:eastAsia="zh-CN"/>
        </w:rPr>
        <w:t>）</w:t>
      </w:r>
    </w:p>
    <w:p w14:paraId="2027110E">
      <w:pPr>
        <w:bidi w:val="0"/>
        <w:rPr>
          <w:rFonts w:hint="eastAsia"/>
          <w:color w:val="auto"/>
          <w:highlight w:val="none"/>
          <w:lang w:eastAsia="zh-CN"/>
        </w:rPr>
      </w:pPr>
      <w:r>
        <w:rPr>
          <w:rFonts w:hint="eastAsia"/>
          <w:color w:val="auto"/>
          <w:highlight w:val="none"/>
          <w:lang w:eastAsia="zh-CN"/>
        </w:rPr>
        <w:t>《建筑采光设计标准》</w:t>
      </w:r>
      <w:r>
        <w:rPr>
          <w:rFonts w:hint="eastAsia"/>
          <w:color w:val="auto"/>
          <w:highlight w:val="none"/>
          <w:lang w:val="en-US" w:eastAsia="zh-CN"/>
        </w:rPr>
        <w:t xml:space="preserve"> </w:t>
      </w:r>
      <w:r>
        <w:rPr>
          <w:rFonts w:hint="eastAsia"/>
          <w:color w:val="auto"/>
          <w:highlight w:val="none"/>
          <w:lang w:eastAsia="zh-CN"/>
        </w:rPr>
        <w:t>（GB/T50033-2013）</w:t>
      </w:r>
    </w:p>
    <w:p w14:paraId="648C1675">
      <w:pPr>
        <w:bidi w:val="0"/>
        <w:rPr>
          <w:rFonts w:hint="eastAsia"/>
          <w:color w:val="auto"/>
          <w:highlight w:val="none"/>
          <w:lang w:eastAsia="zh-CN"/>
        </w:rPr>
      </w:pPr>
      <w:r>
        <w:rPr>
          <w:rFonts w:hint="eastAsia"/>
          <w:color w:val="auto"/>
          <w:highlight w:val="none"/>
          <w:lang w:eastAsia="zh-CN"/>
        </w:rPr>
        <w:t>《公共建筑节能设计标准》</w:t>
      </w:r>
      <w:r>
        <w:rPr>
          <w:rFonts w:hint="eastAsia"/>
          <w:color w:val="auto"/>
          <w:highlight w:val="none"/>
          <w:lang w:val="en-US" w:eastAsia="zh-CN"/>
        </w:rPr>
        <w:t xml:space="preserve"> </w:t>
      </w:r>
      <w:r>
        <w:rPr>
          <w:rFonts w:hint="eastAsia"/>
          <w:color w:val="auto"/>
          <w:highlight w:val="none"/>
          <w:lang w:eastAsia="zh-CN"/>
        </w:rPr>
        <w:t>（GB50189-2015）</w:t>
      </w:r>
    </w:p>
    <w:p w14:paraId="676845B8">
      <w:pPr>
        <w:bidi w:val="0"/>
        <w:rPr>
          <w:rFonts w:hint="eastAsia"/>
          <w:color w:val="auto"/>
          <w:highlight w:val="none"/>
          <w:lang w:eastAsia="zh-CN"/>
        </w:rPr>
      </w:pPr>
      <w:r>
        <w:rPr>
          <w:rFonts w:hint="eastAsia"/>
          <w:color w:val="auto"/>
          <w:highlight w:val="none"/>
          <w:lang w:eastAsia="zh-CN"/>
        </w:rPr>
        <w:t>《建筑节能与可再生能源利用通用规范》</w:t>
      </w:r>
      <w:r>
        <w:rPr>
          <w:rFonts w:hint="eastAsia"/>
          <w:color w:val="auto"/>
          <w:highlight w:val="none"/>
          <w:lang w:val="en-US" w:eastAsia="zh-CN"/>
        </w:rPr>
        <w:t xml:space="preserve"> </w:t>
      </w:r>
      <w:r>
        <w:rPr>
          <w:rFonts w:hint="eastAsia"/>
          <w:color w:val="auto"/>
          <w:highlight w:val="none"/>
          <w:lang w:eastAsia="zh-CN"/>
        </w:rPr>
        <w:t>（GB55015-2021）</w:t>
      </w:r>
    </w:p>
    <w:p w14:paraId="5D52E488">
      <w:pPr>
        <w:bidi w:val="0"/>
        <w:rPr>
          <w:rFonts w:hint="eastAsia"/>
          <w:color w:val="auto"/>
          <w:highlight w:val="none"/>
          <w:lang w:eastAsia="zh-CN"/>
        </w:rPr>
      </w:pPr>
      <w:r>
        <w:rPr>
          <w:rFonts w:hint="eastAsia"/>
          <w:color w:val="auto"/>
          <w:highlight w:val="none"/>
          <w:lang w:eastAsia="zh-CN"/>
        </w:rPr>
        <w:t>《绿色建筑评价标准》</w:t>
      </w:r>
      <w:r>
        <w:rPr>
          <w:rFonts w:hint="eastAsia"/>
          <w:color w:val="auto"/>
          <w:highlight w:val="none"/>
          <w:lang w:val="en-US" w:eastAsia="zh-CN"/>
        </w:rPr>
        <w:t xml:space="preserve"> </w:t>
      </w:r>
      <w:r>
        <w:rPr>
          <w:rFonts w:hint="eastAsia"/>
          <w:color w:val="auto"/>
          <w:highlight w:val="none"/>
          <w:lang w:eastAsia="zh-CN"/>
        </w:rPr>
        <w:t>（GB/T 50378-2019）</w:t>
      </w:r>
    </w:p>
    <w:p w14:paraId="537E0694">
      <w:pPr>
        <w:bidi w:val="0"/>
        <w:rPr>
          <w:rFonts w:hint="eastAsia"/>
          <w:color w:val="auto"/>
          <w:highlight w:val="none"/>
          <w:lang w:eastAsia="zh-CN"/>
        </w:rPr>
      </w:pPr>
      <w:r>
        <w:rPr>
          <w:rFonts w:hint="eastAsia"/>
          <w:color w:val="auto"/>
          <w:highlight w:val="none"/>
          <w:lang w:eastAsia="zh-CN"/>
        </w:rPr>
        <w:t>《广东省绿色建筑设计规范》</w:t>
      </w:r>
      <w:r>
        <w:rPr>
          <w:rFonts w:hint="eastAsia"/>
          <w:color w:val="auto"/>
          <w:highlight w:val="none"/>
          <w:lang w:val="en-US" w:eastAsia="zh-CN"/>
        </w:rPr>
        <w:t xml:space="preserve"> （</w:t>
      </w:r>
      <w:r>
        <w:rPr>
          <w:rFonts w:hint="eastAsia"/>
          <w:color w:val="auto"/>
          <w:highlight w:val="none"/>
          <w:lang w:eastAsia="zh-CN"/>
        </w:rPr>
        <w:t>DBJ/T 15-201-2020</w:t>
      </w:r>
      <w:r>
        <w:rPr>
          <w:rFonts w:hint="eastAsia"/>
          <w:color w:val="auto"/>
          <w:highlight w:val="none"/>
          <w:lang w:val="en-US" w:eastAsia="zh-CN"/>
        </w:rPr>
        <w:t>）</w:t>
      </w:r>
    </w:p>
    <w:p w14:paraId="455FB816">
      <w:pPr>
        <w:bidi w:val="0"/>
        <w:rPr>
          <w:rFonts w:hint="eastAsia"/>
          <w:color w:val="auto"/>
          <w:highlight w:val="none"/>
          <w:lang w:eastAsia="zh-CN"/>
        </w:rPr>
      </w:pPr>
      <w:r>
        <w:rPr>
          <w:rFonts w:hint="eastAsia"/>
          <w:color w:val="auto"/>
          <w:highlight w:val="none"/>
          <w:lang w:eastAsia="zh-CN"/>
        </w:rPr>
        <w:t>《广东省绿色建筑评价标准》</w:t>
      </w:r>
      <w:r>
        <w:rPr>
          <w:rFonts w:hint="eastAsia"/>
          <w:color w:val="auto"/>
          <w:highlight w:val="none"/>
          <w:lang w:val="en-US" w:eastAsia="zh-CN"/>
        </w:rPr>
        <w:t xml:space="preserve"> （</w:t>
      </w:r>
      <w:r>
        <w:rPr>
          <w:rFonts w:hint="eastAsia"/>
          <w:color w:val="auto"/>
          <w:highlight w:val="none"/>
          <w:lang w:eastAsia="zh-CN"/>
        </w:rPr>
        <w:t xml:space="preserve">DBJ/T 15-83-2017 </w:t>
      </w:r>
      <w:r>
        <w:rPr>
          <w:rFonts w:hint="eastAsia"/>
          <w:color w:val="auto"/>
          <w:highlight w:val="none"/>
          <w:lang w:val="en-US" w:eastAsia="zh-CN"/>
        </w:rPr>
        <w:t>）</w:t>
      </w:r>
    </w:p>
    <w:p w14:paraId="073AE1AB">
      <w:pPr>
        <w:bidi w:val="0"/>
        <w:rPr>
          <w:rFonts w:hint="eastAsia"/>
          <w:color w:val="auto"/>
          <w:highlight w:val="none"/>
          <w:lang w:eastAsia="zh-CN"/>
        </w:rPr>
      </w:pPr>
      <w:r>
        <w:rPr>
          <w:rFonts w:hint="eastAsia"/>
          <w:color w:val="auto"/>
          <w:highlight w:val="none"/>
          <w:lang w:eastAsia="zh-CN"/>
        </w:rPr>
        <w:t>《民用建筑绿色设计规范》</w:t>
      </w:r>
      <w:r>
        <w:rPr>
          <w:rFonts w:hint="eastAsia"/>
          <w:color w:val="auto"/>
          <w:highlight w:val="none"/>
          <w:lang w:val="en-US" w:eastAsia="zh-CN"/>
        </w:rPr>
        <w:t xml:space="preserve"> （</w:t>
      </w:r>
      <w:r>
        <w:rPr>
          <w:rFonts w:hint="eastAsia"/>
          <w:color w:val="auto"/>
          <w:highlight w:val="none"/>
          <w:lang w:eastAsia="zh-CN"/>
        </w:rPr>
        <w:t>JGJ/T 229-2010</w:t>
      </w:r>
      <w:r>
        <w:rPr>
          <w:rFonts w:hint="eastAsia"/>
          <w:color w:val="auto"/>
          <w:highlight w:val="none"/>
          <w:lang w:val="en-US" w:eastAsia="zh-CN"/>
        </w:rPr>
        <w:t>）</w:t>
      </w:r>
    </w:p>
    <w:p w14:paraId="51650769">
      <w:pPr>
        <w:bidi w:val="0"/>
        <w:rPr>
          <w:rFonts w:hint="eastAsia"/>
          <w:color w:val="auto"/>
          <w:highlight w:val="none"/>
          <w:lang w:eastAsia="zh-CN"/>
        </w:rPr>
      </w:pPr>
      <w:r>
        <w:rPr>
          <w:rFonts w:hint="eastAsia"/>
          <w:color w:val="auto"/>
          <w:highlight w:val="none"/>
          <w:lang w:eastAsia="zh-CN"/>
        </w:rPr>
        <w:t>《绿色医院建筑评价标准》</w:t>
      </w:r>
      <w:r>
        <w:rPr>
          <w:rFonts w:hint="eastAsia"/>
          <w:color w:val="auto"/>
          <w:highlight w:val="none"/>
          <w:lang w:val="en-US" w:eastAsia="zh-CN"/>
        </w:rPr>
        <w:t xml:space="preserve"> </w:t>
      </w:r>
      <w:r>
        <w:rPr>
          <w:rFonts w:hint="eastAsia"/>
          <w:color w:val="auto"/>
          <w:highlight w:val="none"/>
          <w:lang w:eastAsia="zh-CN"/>
        </w:rPr>
        <w:t>（GBT51153-2015）</w:t>
      </w:r>
    </w:p>
    <w:p w14:paraId="72FF5A9D">
      <w:pPr>
        <w:bidi w:val="0"/>
        <w:rPr>
          <w:rFonts w:hint="eastAsia"/>
          <w:color w:val="auto"/>
          <w:highlight w:val="none"/>
          <w:lang w:eastAsia="zh-CN"/>
        </w:rPr>
      </w:pPr>
      <w:r>
        <w:rPr>
          <w:rFonts w:hint="eastAsia"/>
          <w:color w:val="auto"/>
          <w:highlight w:val="none"/>
          <w:lang w:eastAsia="zh-CN"/>
        </w:rPr>
        <w:t>《广州市海绵城市规划设计导则》（试行）</w:t>
      </w:r>
    </w:p>
    <w:p w14:paraId="337C346C">
      <w:pPr>
        <w:bidi w:val="0"/>
        <w:rPr>
          <w:rFonts w:hint="eastAsia"/>
          <w:color w:val="auto"/>
          <w:highlight w:val="none"/>
          <w:lang w:eastAsia="zh-CN"/>
        </w:rPr>
      </w:pPr>
      <w:r>
        <w:rPr>
          <w:rFonts w:hint="eastAsia"/>
          <w:color w:val="auto"/>
          <w:highlight w:val="none"/>
          <w:lang w:eastAsia="zh-CN"/>
        </w:rPr>
        <w:t>《广州市建设项目海绵城市建设管控指标分类指引（试行）》</w:t>
      </w:r>
    </w:p>
    <w:p w14:paraId="7823E8CD">
      <w:pPr>
        <w:bidi w:val="0"/>
        <w:rPr>
          <w:rFonts w:hint="eastAsia"/>
          <w:color w:val="auto"/>
          <w:highlight w:val="none"/>
          <w:lang w:eastAsia="zh-CN"/>
        </w:rPr>
      </w:pPr>
      <w:r>
        <w:rPr>
          <w:rFonts w:hint="eastAsia"/>
          <w:color w:val="auto"/>
          <w:highlight w:val="none"/>
          <w:lang w:eastAsia="zh-CN"/>
        </w:rPr>
        <w:t>《广州市城乡规划技术规定》（2019修订版）</w:t>
      </w:r>
    </w:p>
    <w:p w14:paraId="1D5DAA11">
      <w:pPr>
        <w:bidi w:val="0"/>
        <w:rPr>
          <w:rFonts w:hint="eastAsia"/>
          <w:color w:val="auto"/>
          <w:highlight w:val="none"/>
          <w:lang w:eastAsia="zh-CN"/>
        </w:rPr>
      </w:pPr>
      <w:r>
        <w:rPr>
          <w:rFonts w:hint="eastAsia"/>
          <w:color w:val="auto"/>
          <w:highlight w:val="none"/>
          <w:lang w:eastAsia="zh-CN"/>
        </w:rPr>
        <w:t>《广州市建设项目停车泊位配建指标规定》</w:t>
      </w:r>
      <w:r>
        <w:rPr>
          <w:rFonts w:hint="eastAsia"/>
          <w:color w:val="auto"/>
          <w:highlight w:val="none"/>
          <w:lang w:val="en-US" w:eastAsia="zh-CN"/>
        </w:rPr>
        <w:t xml:space="preserve"> </w:t>
      </w:r>
      <w:r>
        <w:rPr>
          <w:rFonts w:hint="eastAsia"/>
          <w:color w:val="auto"/>
          <w:highlight w:val="none"/>
          <w:lang w:eastAsia="zh-CN"/>
        </w:rPr>
        <w:t>（穗规划资源规字〔2023〕5 号）</w:t>
      </w:r>
    </w:p>
    <w:p w14:paraId="33E81B28">
      <w:pPr>
        <w:bidi w:val="0"/>
        <w:rPr>
          <w:rFonts w:hint="eastAsia"/>
          <w:color w:val="auto"/>
          <w:highlight w:val="none"/>
          <w:lang w:eastAsia="zh-CN"/>
        </w:rPr>
      </w:pPr>
      <w:r>
        <w:rPr>
          <w:rFonts w:hint="eastAsia"/>
          <w:color w:val="auto"/>
          <w:highlight w:val="none"/>
          <w:lang w:eastAsia="zh-CN"/>
        </w:rPr>
        <w:t>《广东省城市新建民用建筑修建防空地下室审批工作指引》（粤人防办发〔2022〕1号）</w:t>
      </w:r>
    </w:p>
    <w:p w14:paraId="4A887DAA">
      <w:pPr>
        <w:bidi w:val="0"/>
        <w:rPr>
          <w:rFonts w:hint="eastAsia"/>
          <w:color w:val="auto"/>
          <w:highlight w:val="none"/>
          <w:lang w:eastAsia="zh-CN"/>
        </w:rPr>
      </w:pPr>
      <w:r>
        <w:rPr>
          <w:rFonts w:hint="eastAsia"/>
          <w:color w:val="auto"/>
          <w:highlight w:val="none"/>
          <w:lang w:eastAsia="zh-CN"/>
        </w:rPr>
        <w:t>《建筑工程设计文件编制深度的规定》（2016年版）；</w:t>
      </w:r>
    </w:p>
    <w:p w14:paraId="17F630B8">
      <w:pPr>
        <w:numPr>
          <w:ilvl w:val="0"/>
          <w:numId w:val="0"/>
        </w:numPr>
        <w:bidi w:val="0"/>
        <w:ind w:leftChars="200"/>
        <w:rPr>
          <w:rFonts w:hint="eastAsia"/>
          <w:color w:val="auto"/>
          <w:highlight w:val="none"/>
          <w:lang w:val="en-US" w:eastAsia="zh-CN"/>
        </w:rPr>
      </w:pPr>
      <w:r>
        <w:rPr>
          <w:rFonts w:hint="eastAsia"/>
          <w:color w:val="auto"/>
          <w:highlight w:val="none"/>
          <w:lang w:eastAsia="zh-CN"/>
        </w:rPr>
        <w:t>国家及省市有关环保、卫生、消防、防疫、交通、市政、绿化等部门的法规及规范。</w:t>
      </w:r>
      <w:r>
        <w:rPr>
          <w:color w:val="auto"/>
          <w:highlight w:val="none"/>
          <w:lang w:eastAsia="zh-CN"/>
        </w:rPr>
        <w:br w:type="page"/>
      </w:r>
    </w:p>
    <w:p w14:paraId="21BFBD16">
      <w:pPr>
        <w:pStyle w:val="2"/>
        <w:bidi w:val="0"/>
        <w:rPr>
          <w:color w:val="auto"/>
          <w:highlight w:val="none"/>
          <w:lang w:eastAsia="zh-CN"/>
        </w:rPr>
      </w:pPr>
      <w:bookmarkStart w:id="12" w:name="2.1.4建设单位提供的有关资料"/>
      <w:bookmarkEnd w:id="12"/>
      <w:bookmarkStart w:id="13" w:name="2.1.3行业标准"/>
      <w:bookmarkEnd w:id="13"/>
      <w:bookmarkStart w:id="14" w:name="_Toc2723"/>
      <w:r>
        <w:rPr>
          <w:color w:val="auto"/>
          <w:highlight w:val="none"/>
          <w:lang w:eastAsia="zh-CN"/>
        </w:rPr>
        <w:t>设计</w:t>
      </w:r>
      <w:r>
        <w:rPr>
          <w:rFonts w:hint="eastAsia"/>
          <w:color w:val="auto"/>
          <w:highlight w:val="none"/>
          <w:lang w:eastAsia="zh-CN"/>
        </w:rPr>
        <w:t>服务</w:t>
      </w:r>
      <w:r>
        <w:rPr>
          <w:color w:val="auto"/>
          <w:highlight w:val="none"/>
          <w:lang w:eastAsia="zh-CN"/>
        </w:rPr>
        <w:t>范围和内容</w:t>
      </w:r>
      <w:bookmarkEnd w:id="14"/>
    </w:p>
    <w:p w14:paraId="2833AABE">
      <w:pPr>
        <w:pStyle w:val="3"/>
        <w:bidi w:val="0"/>
        <w:rPr>
          <w:color w:val="auto"/>
          <w:highlight w:val="none"/>
          <w:lang w:eastAsia="zh-CN"/>
        </w:rPr>
      </w:pPr>
      <w:bookmarkStart w:id="15" w:name="4.1设计范围"/>
      <w:bookmarkEnd w:id="15"/>
      <w:bookmarkStart w:id="16" w:name="_Toc124079645"/>
      <w:bookmarkStart w:id="17" w:name="_Toc26040"/>
      <w:r>
        <w:rPr>
          <w:color w:val="auto"/>
          <w:highlight w:val="none"/>
          <w:lang w:eastAsia="zh-CN"/>
        </w:rPr>
        <w:t>设计</w:t>
      </w:r>
      <w:r>
        <w:rPr>
          <w:rFonts w:hint="eastAsia"/>
          <w:color w:val="auto"/>
          <w:highlight w:val="none"/>
          <w:lang w:eastAsia="zh-CN"/>
        </w:rPr>
        <w:t>服务</w:t>
      </w:r>
      <w:r>
        <w:rPr>
          <w:color w:val="auto"/>
          <w:highlight w:val="none"/>
          <w:lang w:eastAsia="zh-CN"/>
        </w:rPr>
        <w:t>范围</w:t>
      </w:r>
      <w:bookmarkEnd w:id="16"/>
      <w:bookmarkEnd w:id="17"/>
    </w:p>
    <w:p w14:paraId="651BCF50">
      <w:pPr>
        <w:bidi w:val="0"/>
        <w:rPr>
          <w:rFonts w:hint="eastAsia"/>
          <w:color w:val="auto"/>
          <w:highlight w:val="none"/>
          <w:lang w:val="en-US" w:eastAsia="zh-CN"/>
        </w:rPr>
      </w:pPr>
      <w:r>
        <w:rPr>
          <w:rFonts w:hint="eastAsia"/>
          <w:color w:val="auto"/>
          <w:highlight w:val="none"/>
          <w:lang w:val="en-US" w:eastAsia="zh-CN"/>
        </w:rPr>
        <w:t>本项目设计服务范围为方案设计、初步设计、施工图编制及施工配合等工作。</w:t>
      </w:r>
    </w:p>
    <w:p w14:paraId="12BE2A20">
      <w:pPr>
        <w:pStyle w:val="3"/>
        <w:bidi w:val="0"/>
        <w:rPr>
          <w:color w:val="auto"/>
          <w:highlight w:val="none"/>
          <w:lang w:eastAsia="zh-CN"/>
        </w:rPr>
      </w:pPr>
      <w:bookmarkStart w:id="18" w:name="4.2设计工作要求"/>
      <w:bookmarkEnd w:id="18"/>
      <w:bookmarkStart w:id="19" w:name="_Toc23055"/>
      <w:bookmarkStart w:id="20" w:name="_Toc124079646"/>
      <w:r>
        <w:rPr>
          <w:color w:val="auto"/>
          <w:highlight w:val="none"/>
          <w:lang w:eastAsia="zh-CN"/>
        </w:rPr>
        <w:t>设计工作要求</w:t>
      </w:r>
      <w:bookmarkEnd w:id="19"/>
      <w:bookmarkEnd w:id="20"/>
    </w:p>
    <w:p w14:paraId="20300C09">
      <w:pPr>
        <w:bidi w:val="0"/>
        <w:rPr>
          <w:color w:val="auto"/>
          <w:highlight w:val="none"/>
          <w:lang w:val="en-US"/>
        </w:rPr>
      </w:pPr>
      <w:r>
        <w:rPr>
          <w:rFonts w:hint="eastAsia"/>
          <w:color w:val="auto"/>
          <w:highlight w:val="none"/>
          <w:lang w:val="en-US" w:eastAsia="zh-CN"/>
        </w:rPr>
        <w:t>中标的设计单位将承担本项目的全部设计工作，包括但不限于：</w:t>
      </w:r>
      <w:r>
        <w:rPr>
          <w:rFonts w:hint="eastAsia"/>
          <w:color w:val="auto"/>
          <w:sz w:val="24"/>
          <w:highlight w:val="none"/>
          <w:lang w:val="en-US" w:eastAsia="zh-CN"/>
        </w:rPr>
        <w:t>项目规划报建及建筑测量工作</w:t>
      </w:r>
      <w:r>
        <w:rPr>
          <w:rFonts w:hint="eastAsia"/>
          <w:color w:val="auto"/>
          <w:highlight w:val="none"/>
          <w:lang w:val="en-US" w:eastAsia="zh-CN"/>
        </w:rPr>
        <w:t>方案设计、修详通及报建通（如有必要）、部分建筑拆除、改造实施过程业务用房腾挪设计及室内装修方案的优化设计、</w:t>
      </w:r>
      <w:r>
        <w:rPr>
          <w:rFonts w:hint="eastAsia"/>
          <w:color w:val="auto"/>
          <w:sz w:val="24"/>
          <w:highlight w:val="none"/>
        </w:rPr>
        <w:t>改造实施</w:t>
      </w:r>
      <w:r>
        <w:rPr>
          <w:color w:val="auto"/>
          <w:sz w:val="24"/>
          <w:highlight w:val="none"/>
        </w:rPr>
        <w:t>过程</w:t>
      </w:r>
      <w:r>
        <w:rPr>
          <w:rFonts w:hint="eastAsia"/>
          <w:color w:val="auto"/>
          <w:sz w:val="24"/>
          <w:highlight w:val="none"/>
        </w:rPr>
        <w:t>业务用房</w:t>
      </w:r>
      <w:r>
        <w:rPr>
          <w:color w:val="auto"/>
          <w:sz w:val="24"/>
          <w:highlight w:val="none"/>
        </w:rPr>
        <w:t>腾挪</w:t>
      </w:r>
      <w:r>
        <w:rPr>
          <w:rFonts w:hint="eastAsia"/>
          <w:color w:val="auto"/>
          <w:sz w:val="24"/>
          <w:highlight w:val="none"/>
          <w:lang w:val="en-US" w:eastAsia="zh-CN"/>
        </w:rPr>
        <w:t>保障性水、电、医气设计、</w:t>
      </w:r>
      <w:r>
        <w:rPr>
          <w:rFonts w:hint="eastAsia"/>
          <w:color w:val="auto"/>
          <w:highlight w:val="none"/>
          <w:lang w:val="en-US" w:eastAsia="zh-CN"/>
        </w:rPr>
        <w:t>初步设计和施工图设计（含设计交底、工程设计变更处理及项目施工过程中的设计配合与指导工作）等项目全生命周期设计服务工作。各阶段设计的内容和标准，必须符合国家现行各项设计规范；初步设计和施工图设计深度必须达到国家现行的民用建筑设计深度的要求。</w:t>
      </w:r>
    </w:p>
    <w:p w14:paraId="4F190C99">
      <w:pPr>
        <w:bidi w:val="0"/>
        <w:rPr>
          <w:color w:val="auto"/>
          <w:highlight w:val="none"/>
          <w:lang w:val="en-US"/>
        </w:rPr>
      </w:pPr>
      <w:r>
        <w:rPr>
          <w:rFonts w:hint="eastAsia"/>
          <w:color w:val="auto"/>
          <w:highlight w:val="none"/>
          <w:lang w:val="en-US" w:eastAsia="zh-CN"/>
        </w:rPr>
        <w:t>此部分内容设选项按标准化模式设置，标注“☑”的选项即为本项目采用，标注“□”的选项为本项目不采用。包括但不限于以下内容：</w:t>
      </w:r>
    </w:p>
    <w:p w14:paraId="44B6BA33">
      <w:pPr>
        <w:bidi w:val="0"/>
        <w:rPr>
          <w:color w:val="auto"/>
          <w:highlight w:val="none"/>
          <w:lang w:val="en-US"/>
        </w:rPr>
      </w:pPr>
      <w:r>
        <w:rPr>
          <w:rFonts w:hint="eastAsia"/>
          <w:color w:val="auto"/>
          <w:highlight w:val="none"/>
          <w:lang w:val="en-US" w:eastAsia="zh-CN"/>
        </w:rPr>
        <w:t>☑（</w:t>
      </w:r>
      <w:r>
        <w:rPr>
          <w:rFonts w:hint="default"/>
          <w:color w:val="auto"/>
          <w:highlight w:val="none"/>
          <w:lang w:val="en-US" w:eastAsia="zh-CN"/>
        </w:rPr>
        <w:t>1</w:t>
      </w:r>
      <w:r>
        <w:rPr>
          <w:rFonts w:hint="eastAsia"/>
          <w:color w:val="auto"/>
          <w:highlight w:val="none"/>
          <w:lang w:val="en-US" w:eastAsia="zh-CN"/>
        </w:rPr>
        <w:t>）方案修改及完善：根据现行《建筑工程设计文件编制深度规定》中关于方案设计应达到的设计深度要求，同时根据专家评审意见及有关职能部门提出的修改意见，对甲方选定的设计方案进行修改和完善。</w:t>
      </w:r>
    </w:p>
    <w:p w14:paraId="7C1E0E37">
      <w:pPr>
        <w:bidi w:val="0"/>
        <w:rPr>
          <w:color w:val="auto"/>
          <w:highlight w:val="none"/>
          <w:lang w:val="en-US"/>
        </w:rPr>
      </w:pPr>
      <w:r>
        <w:rPr>
          <w:rFonts w:hint="eastAsia"/>
          <w:color w:val="auto"/>
          <w:highlight w:val="none"/>
          <w:lang w:val="en-US" w:eastAsia="zh-CN"/>
        </w:rPr>
        <w:t>☑（</w:t>
      </w:r>
      <w:r>
        <w:rPr>
          <w:rFonts w:hint="default"/>
          <w:color w:val="auto"/>
          <w:highlight w:val="none"/>
          <w:lang w:val="en-US" w:eastAsia="zh-CN"/>
        </w:rPr>
        <w:t>2</w:t>
      </w:r>
      <w:r>
        <w:rPr>
          <w:rFonts w:hint="eastAsia"/>
          <w:color w:val="auto"/>
          <w:highlight w:val="none"/>
          <w:lang w:val="en-US" w:eastAsia="zh-CN"/>
        </w:rPr>
        <w:t>）建筑设计：包括但不限于院区规划设计、拆除、建筑外立面改造。</w:t>
      </w:r>
    </w:p>
    <w:p w14:paraId="057BBE91">
      <w:pPr>
        <w:bidi w:val="0"/>
        <w:rPr>
          <w:color w:val="auto"/>
          <w:highlight w:val="none"/>
          <w:lang w:val="en-US"/>
        </w:rPr>
      </w:pPr>
      <w:r>
        <w:rPr>
          <w:rFonts w:hint="eastAsia"/>
          <w:color w:val="auto"/>
          <w:highlight w:val="none"/>
          <w:lang w:val="en-US" w:eastAsia="zh-CN"/>
        </w:rPr>
        <w:t>☑（</w:t>
      </w:r>
      <w:r>
        <w:rPr>
          <w:rFonts w:hint="default"/>
          <w:color w:val="auto"/>
          <w:highlight w:val="none"/>
          <w:lang w:val="en-US" w:eastAsia="zh-CN"/>
        </w:rPr>
        <w:t>3</w:t>
      </w:r>
      <w:r>
        <w:rPr>
          <w:rFonts w:hint="eastAsia"/>
          <w:color w:val="auto"/>
          <w:highlight w:val="none"/>
          <w:lang w:val="en-US" w:eastAsia="zh-CN"/>
        </w:rPr>
        <w:t>）室外市政、园林工程设计：包括但不限于项目范围内的道路、园林景观绿化、供电系统、照明系统、广播音响系统、安全防范监视系统、大屏幕显示系统、标识系统、室外给排水系统、自动喷淋系统、消防系统等的设计，以及室外各种管线综合平衡设计。</w:t>
      </w:r>
    </w:p>
    <w:p w14:paraId="655CE422">
      <w:pPr>
        <w:bidi w:val="0"/>
        <w:rPr>
          <w:color w:val="auto"/>
          <w:highlight w:val="none"/>
          <w:lang w:val="en-US"/>
        </w:rPr>
      </w:pPr>
      <w:r>
        <w:rPr>
          <w:rFonts w:hint="eastAsia"/>
          <w:color w:val="auto"/>
          <w:highlight w:val="none"/>
          <w:lang w:val="en-US" w:eastAsia="zh-CN"/>
        </w:rPr>
        <w:t>☑（</w:t>
      </w:r>
      <w:r>
        <w:rPr>
          <w:rFonts w:hint="default"/>
          <w:color w:val="auto"/>
          <w:highlight w:val="none"/>
          <w:lang w:val="en-US" w:eastAsia="zh-CN"/>
        </w:rPr>
        <w:t>4</w:t>
      </w:r>
      <w:r>
        <w:rPr>
          <w:rFonts w:hint="eastAsia"/>
          <w:color w:val="auto"/>
          <w:highlight w:val="none"/>
          <w:lang w:val="en-US" w:eastAsia="zh-CN"/>
        </w:rPr>
        <w:t>）装修工程：包括但不限于建筑内装修、特殊建筑装修装饰以及装修节点详图、家具、室内标识导引系统设计。</w:t>
      </w:r>
    </w:p>
    <w:p w14:paraId="20352F53">
      <w:pPr>
        <w:bidi w:val="0"/>
        <w:rPr>
          <w:color w:val="auto"/>
          <w:highlight w:val="none"/>
          <w:lang w:val="en-US"/>
        </w:rPr>
      </w:pPr>
      <w:r>
        <w:rPr>
          <w:rFonts w:hint="eastAsia"/>
          <w:color w:val="auto"/>
          <w:highlight w:val="none"/>
          <w:lang w:val="en-US" w:eastAsia="zh-CN"/>
        </w:rPr>
        <w:t>☑（</w:t>
      </w:r>
      <w:r>
        <w:rPr>
          <w:rFonts w:hint="default"/>
          <w:color w:val="auto"/>
          <w:highlight w:val="none"/>
          <w:lang w:val="en-US" w:eastAsia="zh-CN"/>
        </w:rPr>
        <w:t>5</w:t>
      </w:r>
      <w:r>
        <w:rPr>
          <w:rFonts w:hint="eastAsia"/>
          <w:color w:val="auto"/>
          <w:highlight w:val="none"/>
          <w:lang w:val="en-US" w:eastAsia="zh-CN"/>
        </w:rPr>
        <w:t>）结构设计：包括但不限于本项目范围内建筑体的结构设计、拆除、扩建建筑及装修工程的结构设计。</w:t>
      </w:r>
    </w:p>
    <w:p w14:paraId="6D55EE67">
      <w:pPr>
        <w:bidi w:val="0"/>
        <w:rPr>
          <w:rFonts w:hint="eastAsia"/>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6</w:t>
      </w:r>
      <w:r>
        <w:rPr>
          <w:rFonts w:hint="eastAsia"/>
          <w:color w:val="auto"/>
          <w:highlight w:val="none"/>
          <w:lang w:val="en-US" w:eastAsia="zh-CN"/>
        </w:rPr>
        <w:t>）强电设计：高低压变配电系统（不含由当地供电部门提供部分）、备用电源系统、动力供电系统、室内外照明系统（含夜景设计）、防雷接地系统等。</w:t>
      </w:r>
    </w:p>
    <w:p w14:paraId="108F58CB">
      <w:pPr>
        <w:bidi w:val="0"/>
        <w:rPr>
          <w:color w:val="auto"/>
          <w:highlight w:val="none"/>
          <w:lang w:val="en-US"/>
        </w:rPr>
      </w:pPr>
      <w:r>
        <w:rPr>
          <w:rFonts w:hint="eastAsia"/>
          <w:color w:val="auto"/>
          <w:highlight w:val="none"/>
          <w:lang w:val="en-US" w:eastAsia="zh-CN"/>
        </w:rPr>
        <w:t>☑（</w:t>
      </w:r>
      <w:r>
        <w:rPr>
          <w:rFonts w:hint="default"/>
          <w:color w:val="auto"/>
          <w:highlight w:val="none"/>
          <w:lang w:val="en-US" w:eastAsia="zh-CN"/>
        </w:rPr>
        <w:t>7</w:t>
      </w:r>
      <w:r>
        <w:rPr>
          <w:rFonts w:hint="eastAsia"/>
          <w:color w:val="auto"/>
          <w:highlight w:val="none"/>
          <w:lang w:val="en-US" w:eastAsia="zh-CN"/>
        </w:rPr>
        <w:t>）弱电部分的电视、电话、网络和对讲设计，弱电防雷系统。</w:t>
      </w:r>
    </w:p>
    <w:p w14:paraId="00FB57E7">
      <w:pPr>
        <w:bidi w:val="0"/>
        <w:rPr>
          <w:color w:val="auto"/>
          <w:highlight w:val="none"/>
          <w:lang w:val="en-US"/>
        </w:rPr>
      </w:pPr>
      <w:r>
        <w:rPr>
          <w:rFonts w:hint="eastAsia"/>
          <w:color w:val="auto"/>
          <w:highlight w:val="none"/>
          <w:lang w:val="en-US" w:eastAsia="zh-CN"/>
        </w:rPr>
        <w:t>☑（8）给排水设计：建筑给水、排水系统设计（包含直饮水供水系统）、集中热水供应系统、用地内外与市政管线接驳等设计。</w:t>
      </w:r>
    </w:p>
    <w:p w14:paraId="4C9E2217">
      <w:pPr>
        <w:bidi w:val="0"/>
        <w:rPr>
          <w:color w:val="auto"/>
          <w:highlight w:val="none"/>
          <w:lang w:val="en-US"/>
        </w:rPr>
      </w:pPr>
      <w:r>
        <w:rPr>
          <w:rFonts w:hint="eastAsia"/>
          <w:color w:val="auto"/>
          <w:highlight w:val="none"/>
          <w:lang w:val="en-US" w:eastAsia="zh-CN"/>
        </w:rPr>
        <w:t>☑（9）空调通风设计：包括不限于建筑物内部通风系统、建筑物内部空气调节系统、集中供热系统等的设计。</w:t>
      </w:r>
    </w:p>
    <w:p w14:paraId="69ADFFDD">
      <w:pPr>
        <w:bidi w:val="0"/>
        <w:rPr>
          <w:color w:val="auto"/>
          <w:highlight w:val="none"/>
          <w:lang w:val="en-US"/>
        </w:rPr>
      </w:pPr>
      <w:r>
        <w:rPr>
          <w:rFonts w:hint="eastAsia"/>
          <w:color w:val="auto"/>
          <w:highlight w:val="none"/>
          <w:lang w:val="en-US" w:eastAsia="zh-CN"/>
        </w:rPr>
        <w:t>☑（</w:t>
      </w:r>
      <w:r>
        <w:rPr>
          <w:rFonts w:hint="default"/>
          <w:color w:val="auto"/>
          <w:highlight w:val="none"/>
          <w:lang w:val="en-US" w:eastAsia="zh-CN"/>
        </w:rPr>
        <w:t>1</w:t>
      </w:r>
      <w:r>
        <w:rPr>
          <w:rFonts w:hint="eastAsia"/>
          <w:color w:val="auto"/>
          <w:highlight w:val="none"/>
          <w:lang w:val="en-US" w:eastAsia="zh-CN"/>
        </w:rPr>
        <w:t>0）消防设计：消火栓系统、自动喷淋系统、气体灭火系统、防排烟系统、火灾自动报警及联动控制系统。</w:t>
      </w:r>
    </w:p>
    <w:p w14:paraId="08CF1455">
      <w:pPr>
        <w:bidi w:val="0"/>
        <w:rPr>
          <w:rFonts w:hint="eastAsia"/>
          <w:color w:val="auto"/>
          <w:highlight w:val="none"/>
          <w:lang w:val="en-US" w:eastAsia="zh-CN"/>
        </w:rPr>
      </w:pPr>
      <w:r>
        <w:rPr>
          <w:rFonts w:hint="eastAsia"/>
          <w:color w:val="auto"/>
          <w:highlight w:val="none"/>
          <w:lang w:val="en-US" w:eastAsia="zh-CN"/>
        </w:rPr>
        <w:t>☑（11）电梯工程设计与相关配合。</w:t>
      </w:r>
    </w:p>
    <w:p w14:paraId="58F9F628">
      <w:pPr>
        <w:bidi w:val="0"/>
        <w:rPr>
          <w:rFonts w:hint="eastAsia"/>
          <w:color w:val="auto"/>
          <w:highlight w:val="none"/>
          <w:lang w:val="en-US" w:eastAsia="zh-CN"/>
        </w:rPr>
      </w:pPr>
      <w:r>
        <w:rPr>
          <w:rFonts w:hint="eastAsia"/>
          <w:color w:val="auto"/>
          <w:highlight w:val="none"/>
          <w:lang w:val="en-US" w:eastAsia="zh-CN"/>
        </w:rPr>
        <w:t>☑（12）燃气工程设计。</w:t>
      </w:r>
    </w:p>
    <w:p w14:paraId="6FD69506">
      <w:pPr>
        <w:bidi w:val="0"/>
        <w:rPr>
          <w:rFonts w:hint="eastAsia"/>
          <w:color w:val="auto"/>
          <w:highlight w:val="none"/>
          <w:lang w:val="en-US" w:eastAsia="zh-CN"/>
        </w:rPr>
      </w:pPr>
      <w:r>
        <w:rPr>
          <w:rFonts w:hint="eastAsia"/>
          <w:color w:val="auto"/>
          <w:highlight w:val="none"/>
          <w:lang w:val="en-US" w:eastAsia="zh-CN"/>
        </w:rPr>
        <w:t>□（13）外电工程设计。</w:t>
      </w:r>
    </w:p>
    <w:p w14:paraId="57D6DDE4">
      <w:pPr>
        <w:bidi w:val="0"/>
        <w:rPr>
          <w:rFonts w:hint="eastAsia"/>
          <w:color w:val="auto"/>
          <w:highlight w:val="none"/>
          <w:lang w:val="en-US" w:eastAsia="zh-CN"/>
        </w:rPr>
      </w:pPr>
      <w:r>
        <w:rPr>
          <w:rFonts w:hint="eastAsia"/>
          <w:color w:val="auto"/>
          <w:highlight w:val="none"/>
          <w:lang w:val="en-US" w:eastAsia="zh-CN"/>
        </w:rPr>
        <w:t>□（14）外水工程设计。</w:t>
      </w:r>
    </w:p>
    <w:p w14:paraId="2E6AE0EF">
      <w:pPr>
        <w:bidi w:val="0"/>
        <w:rPr>
          <w:rFonts w:hint="eastAsia"/>
          <w:color w:val="auto"/>
          <w:highlight w:val="none"/>
          <w:lang w:val="en-US" w:eastAsia="zh-CN"/>
        </w:rPr>
      </w:pPr>
      <w:r>
        <w:rPr>
          <w:rFonts w:hint="eastAsia"/>
          <w:color w:val="auto"/>
          <w:highlight w:val="none"/>
          <w:lang w:val="en-US" w:eastAsia="zh-CN"/>
        </w:rPr>
        <w:t>☑（15）核辐射防护设计：具有放射设备的功能用房及病房，</w:t>
      </w:r>
      <w:r>
        <w:rPr>
          <w:rFonts w:hint="default"/>
          <w:color w:val="auto"/>
          <w:highlight w:val="none"/>
          <w:lang w:val="en-US" w:eastAsia="zh-CN"/>
        </w:rPr>
        <w:t xml:space="preserve"> </w:t>
      </w:r>
      <w:r>
        <w:rPr>
          <w:rFonts w:hint="eastAsia"/>
          <w:color w:val="auto"/>
          <w:highlight w:val="none"/>
          <w:lang w:val="en-US" w:eastAsia="zh-CN"/>
        </w:rPr>
        <w:t>应根据《电离辐射防护与辐射源安全基本标准》、《医用</w:t>
      </w:r>
      <w:r>
        <w:rPr>
          <w:rFonts w:hint="default"/>
          <w:color w:val="auto"/>
          <w:highlight w:val="none"/>
          <w:lang w:val="en-US" w:eastAsia="zh-CN"/>
        </w:rPr>
        <w:t xml:space="preserve"> X </w:t>
      </w:r>
      <w:r>
        <w:rPr>
          <w:rFonts w:hint="eastAsia"/>
          <w:color w:val="auto"/>
          <w:highlight w:val="none"/>
          <w:lang w:val="en-US" w:eastAsia="zh-CN"/>
        </w:rPr>
        <w:t>射线诊断放</w:t>
      </w:r>
      <w:r>
        <w:rPr>
          <w:rFonts w:hint="default"/>
          <w:color w:val="auto"/>
          <w:highlight w:val="none"/>
          <w:lang w:val="en-US" w:eastAsia="zh-CN"/>
        </w:rPr>
        <w:t xml:space="preserve"> </w:t>
      </w:r>
      <w:r>
        <w:rPr>
          <w:rFonts w:hint="eastAsia"/>
          <w:color w:val="auto"/>
          <w:highlight w:val="none"/>
          <w:lang w:val="en-US" w:eastAsia="zh-CN"/>
        </w:rPr>
        <w:t>射防护要求》、《放射性同位素与射线装置放射防护条例》、《放射卫</w:t>
      </w:r>
      <w:r>
        <w:rPr>
          <w:rFonts w:hint="default"/>
          <w:color w:val="auto"/>
          <w:highlight w:val="none"/>
          <w:lang w:val="en-US" w:eastAsia="zh-CN"/>
        </w:rPr>
        <w:t xml:space="preserve"> </w:t>
      </w:r>
      <w:r>
        <w:rPr>
          <w:rFonts w:hint="eastAsia"/>
          <w:color w:val="auto"/>
          <w:highlight w:val="none"/>
          <w:lang w:val="en-US" w:eastAsia="zh-CN"/>
        </w:rPr>
        <w:t>生防护标准应用指南》以及卫生监测部门要求，做好防辐射处理。</w:t>
      </w:r>
    </w:p>
    <w:p w14:paraId="27003E0A">
      <w:pPr>
        <w:bidi w:val="0"/>
        <w:rPr>
          <w:rFonts w:hint="eastAsia"/>
          <w:color w:val="auto"/>
          <w:highlight w:val="none"/>
          <w:lang w:val="en-US" w:eastAsia="zh-CN"/>
        </w:rPr>
      </w:pPr>
      <w:r>
        <w:rPr>
          <w:rFonts w:hint="eastAsia"/>
          <w:color w:val="auto"/>
          <w:highlight w:val="none"/>
          <w:lang w:val="en-US" w:eastAsia="zh-CN"/>
        </w:rPr>
        <w:t>☑（16）绿色建筑二星设计、海绵城市等专项工程设计。</w:t>
      </w:r>
    </w:p>
    <w:p w14:paraId="5575CF91">
      <w:pPr>
        <w:bidi w:val="0"/>
        <w:rPr>
          <w:color w:val="auto"/>
          <w:highlight w:val="none"/>
          <w:lang w:val="en-US"/>
        </w:rPr>
      </w:pPr>
      <w:r>
        <w:rPr>
          <w:rFonts w:hint="eastAsia"/>
          <w:color w:val="auto"/>
          <w:highlight w:val="none"/>
          <w:lang w:val="en-US" w:eastAsia="zh-CN"/>
        </w:rPr>
        <w:t>☑（17）管线综合平衡设计：各种专业设备、系统的管线在建筑物内、外的路由平衡设计。建筑物内、外的管线综合平衡设计以专篇形式提交。</w:t>
      </w:r>
    </w:p>
    <w:p w14:paraId="4F584E18">
      <w:pPr>
        <w:bidi w:val="0"/>
        <w:rPr>
          <w:color w:val="auto"/>
          <w:highlight w:val="none"/>
          <w:lang w:val="en-US"/>
        </w:rPr>
      </w:pPr>
      <w:r>
        <w:rPr>
          <w:rFonts w:hint="eastAsia"/>
          <w:color w:val="auto"/>
          <w:highlight w:val="none"/>
          <w:lang w:val="en-US" w:eastAsia="zh-CN"/>
        </w:rPr>
        <w:t>☑（18）设备选型意见：就拟采用的通用机电设备、通用电子设备（如大屏幕显示系统、广播音响系统等）的选型于施工图设计开始前向甲方提出书面意见并提供相关设备的技术参数规格书，但不设计专用设备。</w:t>
      </w:r>
    </w:p>
    <w:p w14:paraId="47E6ED75">
      <w:pPr>
        <w:bidi w:val="0"/>
        <w:rPr>
          <w:rFonts w:hint="eastAsia"/>
          <w:color w:val="auto"/>
          <w:highlight w:val="none"/>
          <w:lang w:val="en-US" w:eastAsia="zh-CN"/>
        </w:rPr>
      </w:pPr>
      <w:r>
        <w:rPr>
          <w:rFonts w:hint="eastAsia"/>
          <w:color w:val="auto"/>
          <w:highlight w:val="none"/>
          <w:lang w:val="en-US" w:eastAsia="zh-CN"/>
        </w:rPr>
        <w:t>☑（19）编制方案设计投资估算。</w:t>
      </w:r>
    </w:p>
    <w:p w14:paraId="428A668A">
      <w:pPr>
        <w:bidi w:val="0"/>
        <w:rPr>
          <w:color w:val="auto"/>
          <w:highlight w:val="none"/>
          <w:lang w:val="en-US"/>
        </w:rPr>
      </w:pPr>
      <w:r>
        <w:rPr>
          <w:rFonts w:hint="eastAsia"/>
          <w:color w:val="auto"/>
          <w:highlight w:val="none"/>
          <w:lang w:val="en-US" w:eastAsia="zh-CN"/>
        </w:rPr>
        <w:t>□（20）编制初步设计概算。</w:t>
      </w:r>
    </w:p>
    <w:p w14:paraId="02D940E6">
      <w:pPr>
        <w:bidi w:val="0"/>
        <w:rPr>
          <w:rFonts w:hint="eastAsia"/>
          <w:color w:val="auto"/>
          <w:highlight w:val="none"/>
          <w:lang w:val="en-US" w:eastAsia="zh-CN"/>
        </w:rPr>
      </w:pPr>
      <w:r>
        <w:rPr>
          <w:rFonts w:hint="eastAsia"/>
          <w:color w:val="auto"/>
          <w:highlight w:val="none"/>
          <w:lang w:val="en-US" w:eastAsia="zh-CN"/>
        </w:rPr>
        <w:t>□（21）编制施工图工程量清单。</w:t>
      </w:r>
    </w:p>
    <w:p w14:paraId="37E4CB1C">
      <w:pPr>
        <w:bidi w:val="0"/>
        <w:rPr>
          <w:rFonts w:hint="eastAsia" w:eastAsia="宋体"/>
          <w:color w:val="auto"/>
          <w:highlight w:val="none"/>
          <w:lang w:val="en-US" w:eastAsia="zh-CN"/>
        </w:rPr>
      </w:pPr>
      <w:r>
        <w:rPr>
          <w:rFonts w:hint="eastAsia"/>
          <w:color w:val="auto"/>
          <w:highlight w:val="none"/>
          <w:lang w:val="en-US" w:eastAsia="zh-CN"/>
        </w:rPr>
        <w:t>☑（22）在规划红线范围内，承包人应保证按规划及建筑功能要求、配套设施要求完成本合同工程造价中包含的全部项目的专业专项设计。</w:t>
      </w:r>
    </w:p>
    <w:p w14:paraId="087E5B06">
      <w:pPr>
        <w:bidi w:val="0"/>
        <w:rPr>
          <w:rFonts w:hint="eastAsia"/>
          <w:color w:val="auto"/>
          <w:highlight w:val="none"/>
          <w:lang w:val="en-US" w:eastAsia="zh-CN"/>
        </w:rPr>
      </w:pPr>
      <w:r>
        <w:rPr>
          <w:rFonts w:hint="eastAsia"/>
          <w:color w:val="auto"/>
          <w:highlight w:val="none"/>
          <w:lang w:val="en-US" w:eastAsia="zh-CN"/>
        </w:rPr>
        <w:t>☑（23）提供设备材料的技术要求，配合发包人的招标工作。</w:t>
      </w:r>
    </w:p>
    <w:p w14:paraId="1658BE26">
      <w:pPr>
        <w:bidi w:val="0"/>
        <w:rPr>
          <w:rFonts w:hint="eastAsia"/>
          <w:color w:val="auto"/>
          <w:highlight w:val="none"/>
          <w:lang w:val="en-US" w:eastAsia="zh-CN"/>
        </w:rPr>
      </w:pPr>
      <w:r>
        <w:rPr>
          <w:rFonts w:hint="eastAsia"/>
          <w:color w:val="auto"/>
          <w:highlight w:val="none"/>
          <w:lang w:val="en-US" w:eastAsia="zh-CN"/>
        </w:rPr>
        <w:t>□（24）设计模型，按发包人要求提供，包括：户型（组合或单元）模型比例1：30；主体建筑模型比例1：100；总体沙盘模型1：200。</w:t>
      </w:r>
    </w:p>
    <w:p w14:paraId="3AD6B230">
      <w:pPr>
        <w:bidi w:val="0"/>
        <w:rPr>
          <w:rFonts w:hint="eastAsia"/>
          <w:color w:val="auto"/>
          <w:highlight w:val="none"/>
          <w:lang w:val="en-US" w:eastAsia="zh-CN"/>
        </w:rPr>
      </w:pPr>
      <w:r>
        <w:rPr>
          <w:rFonts w:hint="eastAsia"/>
          <w:color w:val="auto"/>
          <w:highlight w:val="none"/>
          <w:lang w:val="en-US" w:eastAsia="zh-CN"/>
        </w:rPr>
        <w:t>□（25）装配式建筑设计（如有），本项目根据关于优化装配式建筑实施范围的通知（穗建技[2020]125 号）及广州市有关装配式实施范围的有关规定要求实施装配式设计。</w:t>
      </w:r>
    </w:p>
    <w:p w14:paraId="12BA4C03">
      <w:pPr>
        <w:bidi w:val="0"/>
        <w:rPr>
          <w:color w:val="auto"/>
          <w:highlight w:val="none"/>
          <w:lang w:val="en-US"/>
        </w:rPr>
      </w:pPr>
      <w:r>
        <w:rPr>
          <w:rFonts w:hint="eastAsia"/>
          <w:color w:val="auto"/>
          <w:highlight w:val="none"/>
          <w:lang w:val="en-US" w:eastAsia="zh-CN"/>
        </w:rPr>
        <w:t>☑（29）本项目实施过程中所涉及的现有设施拆除、管线迁改等内容的设计。</w:t>
      </w:r>
    </w:p>
    <w:p w14:paraId="20EE28A5">
      <w:pPr>
        <w:bidi w:val="0"/>
        <w:rPr>
          <w:color w:val="auto"/>
          <w:highlight w:val="none"/>
          <w:lang w:val="en-US"/>
        </w:rPr>
      </w:pPr>
      <w:r>
        <w:rPr>
          <w:rFonts w:hint="eastAsia"/>
          <w:color w:val="auto"/>
          <w:highlight w:val="none"/>
          <w:lang w:val="en-US" w:eastAsia="zh-CN"/>
        </w:rPr>
        <w:t>☑（30）其他：负责网上填报各阶段报建相关资料，并负责纸质报送材料的整理组卷盖章工作。</w:t>
      </w:r>
    </w:p>
    <w:p w14:paraId="10652722">
      <w:pPr>
        <w:bidi w:val="0"/>
        <w:rPr>
          <w:color w:val="auto"/>
          <w:highlight w:val="none"/>
          <w:lang w:val="en-US"/>
        </w:rPr>
      </w:pPr>
    </w:p>
    <w:p w14:paraId="1DF5846A">
      <w:pPr>
        <w:bidi w:val="0"/>
        <w:rPr>
          <w:color w:val="auto"/>
          <w:highlight w:val="none"/>
          <w:lang w:val="en-US"/>
        </w:rPr>
      </w:pPr>
      <w:r>
        <w:rPr>
          <w:rFonts w:hint="eastAsia"/>
          <w:color w:val="auto"/>
          <w:highlight w:val="none"/>
          <w:lang w:val="en-US" w:eastAsia="zh-CN"/>
        </w:rPr>
        <w:t>地震评估、环境评估、防雷评估、风洞试验、振动台试验、点试验、消防性能化分析及有关专项试验、研究与论证不在乙方设计范畴内，但乙方应配合甲方工作。</w:t>
      </w:r>
    </w:p>
    <w:p w14:paraId="2FB4F645">
      <w:pPr>
        <w:numPr>
          <w:ilvl w:val="0"/>
          <w:numId w:val="15"/>
        </w:numPr>
        <w:bidi w:val="0"/>
        <w:rPr>
          <w:rFonts w:hint="eastAsia"/>
          <w:color w:val="auto"/>
          <w:highlight w:val="none"/>
          <w:lang w:val="en-US" w:eastAsia="zh-CN"/>
        </w:rPr>
      </w:pPr>
      <w:r>
        <w:rPr>
          <w:color w:val="auto"/>
          <w:highlight w:val="none"/>
          <w:lang w:eastAsia="zh-CN"/>
        </w:rPr>
        <w:br w:type="page"/>
      </w:r>
    </w:p>
    <w:p w14:paraId="09E8B4D6">
      <w:pPr>
        <w:pStyle w:val="2"/>
        <w:bidi w:val="0"/>
        <w:rPr>
          <w:rFonts w:hint="eastAsia"/>
          <w:color w:val="auto"/>
          <w:highlight w:val="none"/>
          <w:lang w:val="en-US" w:eastAsia="zh-CN"/>
        </w:rPr>
      </w:pPr>
      <w:bookmarkStart w:id="21" w:name="_Toc8763"/>
      <w:r>
        <w:rPr>
          <w:color w:val="auto"/>
          <w:highlight w:val="none"/>
          <w:lang w:eastAsia="zh-CN"/>
        </w:rPr>
        <w:t>工程造价编制要求</w:t>
      </w:r>
      <w:bookmarkEnd w:id="21"/>
    </w:p>
    <w:p w14:paraId="61A3063D">
      <w:pPr>
        <w:pStyle w:val="3"/>
        <w:bidi w:val="0"/>
        <w:rPr>
          <w:rFonts w:hint="eastAsia"/>
          <w:color w:val="auto"/>
          <w:highlight w:val="none"/>
          <w:lang w:val="en-US" w:eastAsia="zh-CN"/>
        </w:rPr>
      </w:pPr>
      <w:bookmarkStart w:id="22" w:name="_Toc30801"/>
      <w:r>
        <w:rPr>
          <w:color w:val="auto"/>
          <w:highlight w:val="none"/>
          <w:lang w:eastAsia="zh-CN"/>
        </w:rPr>
        <w:t>造价文件编制及报审工作</w:t>
      </w:r>
      <w:bookmarkEnd w:id="22"/>
    </w:p>
    <w:p w14:paraId="57470924">
      <w:pPr>
        <w:numPr>
          <w:ilvl w:val="0"/>
          <w:numId w:val="17"/>
        </w:numPr>
        <w:bidi w:val="0"/>
        <w:ind w:left="425" w:leftChars="0" w:hanging="425" w:firstLineChars="0"/>
        <w:rPr>
          <w:color w:val="auto"/>
          <w:highlight w:val="none"/>
          <w:lang w:eastAsia="zh-CN"/>
        </w:rPr>
      </w:pPr>
      <w:r>
        <w:rPr>
          <w:color w:val="auto"/>
          <w:highlight w:val="none"/>
          <w:lang w:eastAsia="zh-CN"/>
        </w:rPr>
        <w:t>编制合同设计范围内方案估算（按分布分项进行限额控制）、初步设计概算；</w:t>
      </w:r>
    </w:p>
    <w:p w14:paraId="18D4FF4C">
      <w:pPr>
        <w:numPr>
          <w:ilvl w:val="0"/>
          <w:numId w:val="17"/>
        </w:numPr>
        <w:bidi w:val="0"/>
        <w:ind w:left="425" w:leftChars="0" w:hanging="425" w:firstLineChars="0"/>
        <w:rPr>
          <w:color w:val="auto"/>
          <w:highlight w:val="none"/>
          <w:lang w:eastAsia="zh-CN"/>
        </w:rPr>
      </w:pPr>
      <w:r>
        <w:rPr>
          <w:color w:val="auto"/>
          <w:highlight w:val="none"/>
          <w:lang w:eastAsia="zh-CN"/>
        </w:rPr>
        <w:t>负责配合初步设计概算等报审工作；</w:t>
      </w:r>
    </w:p>
    <w:p w14:paraId="09D224D0">
      <w:pPr>
        <w:numPr>
          <w:ilvl w:val="0"/>
          <w:numId w:val="17"/>
        </w:numPr>
        <w:bidi w:val="0"/>
        <w:ind w:left="425" w:leftChars="0" w:hanging="425" w:firstLineChars="0"/>
        <w:rPr>
          <w:color w:val="auto"/>
          <w:highlight w:val="none"/>
          <w:lang w:eastAsia="zh-CN"/>
        </w:rPr>
      </w:pPr>
      <w:r>
        <w:rPr>
          <w:color w:val="auto"/>
          <w:highlight w:val="none"/>
          <w:lang w:eastAsia="zh-CN"/>
        </w:rPr>
        <w:t>各设计阶段进行各类方案比选时编制造价分析材料，给出造价分析结论。</w:t>
      </w:r>
    </w:p>
    <w:p w14:paraId="5C5231CD">
      <w:pPr>
        <w:pStyle w:val="3"/>
        <w:bidi w:val="0"/>
        <w:rPr>
          <w:color w:val="auto"/>
          <w:highlight w:val="none"/>
          <w:lang w:eastAsia="zh-CN"/>
        </w:rPr>
      </w:pPr>
      <w:bookmarkStart w:id="23" w:name="_Toc20400"/>
      <w:r>
        <w:rPr>
          <w:color w:val="auto"/>
          <w:highlight w:val="none"/>
        </w:rPr>
        <w:t>造价控制要求及工作要求</w:t>
      </w:r>
      <w:bookmarkEnd w:id="23"/>
    </w:p>
    <w:p w14:paraId="51F676F9">
      <w:pPr>
        <w:bidi w:val="0"/>
        <w:rPr>
          <w:color w:val="auto"/>
          <w:highlight w:val="none"/>
          <w:lang w:eastAsia="zh-CN"/>
        </w:rPr>
      </w:pPr>
      <w:r>
        <w:rPr>
          <w:color w:val="auto"/>
          <w:highlight w:val="none"/>
          <w:lang w:eastAsia="zh-CN"/>
        </w:rPr>
        <w:t>乙方除按合同要求做好工程投资控制外，还要做到以下要求：</w:t>
      </w:r>
    </w:p>
    <w:p w14:paraId="61DCF14D">
      <w:pPr>
        <w:numPr>
          <w:ilvl w:val="0"/>
          <w:numId w:val="18"/>
        </w:numPr>
        <w:bidi w:val="0"/>
        <w:ind w:left="425" w:leftChars="0" w:hanging="425" w:firstLineChars="0"/>
        <w:rPr>
          <w:color w:val="auto"/>
          <w:highlight w:val="none"/>
          <w:lang w:eastAsia="zh-CN"/>
        </w:rPr>
      </w:pPr>
      <w:r>
        <w:rPr>
          <w:color w:val="auto"/>
          <w:highlight w:val="none"/>
          <w:lang w:eastAsia="zh-CN"/>
        </w:rPr>
        <w:t>各阶段的造价文件编制需满足对应阶段造价文件深度要求。各阶段造价成果文件误差控制不超过±10%：设计方须保证概算文件与项目建设单位、设计咨询单位或项目建设单位委托的第三方的审核结果的误差不超过±10%，确保满足项目建设单位对工程投资控制的要求。</w:t>
      </w:r>
    </w:p>
    <w:p w14:paraId="030C834E">
      <w:pPr>
        <w:numPr>
          <w:ilvl w:val="0"/>
          <w:numId w:val="18"/>
        </w:numPr>
        <w:bidi w:val="0"/>
        <w:ind w:left="425" w:leftChars="0" w:hanging="425" w:firstLineChars="0"/>
        <w:rPr>
          <w:color w:val="auto"/>
          <w:highlight w:val="none"/>
          <w:lang w:eastAsia="zh-CN"/>
        </w:rPr>
      </w:pPr>
      <w:r>
        <w:rPr>
          <w:color w:val="auto"/>
          <w:highlight w:val="none"/>
          <w:lang w:eastAsia="zh-CN"/>
        </w:rPr>
        <w:t>乙方须根据甲方的相关规定和要求进行工程设计概算的编制，概算文件中的开项必须齐全完整，造价指标必须准确，须满足工程投资控制的要求。乙方编制的工程概算须同时满足甲方信息化管理的相关要求。</w:t>
      </w:r>
    </w:p>
    <w:p w14:paraId="74A59FA0">
      <w:pPr>
        <w:numPr>
          <w:ilvl w:val="0"/>
          <w:numId w:val="18"/>
        </w:numPr>
        <w:bidi w:val="0"/>
        <w:ind w:left="425" w:leftChars="0" w:hanging="425" w:firstLineChars="0"/>
        <w:rPr>
          <w:color w:val="auto"/>
          <w:highlight w:val="none"/>
          <w:lang w:eastAsia="zh-CN"/>
        </w:rPr>
      </w:pPr>
      <w:r>
        <w:rPr>
          <w:color w:val="auto"/>
          <w:highlight w:val="none"/>
          <w:lang w:eastAsia="zh-CN"/>
        </w:rPr>
        <w:t>设计方的概算编制质量和进度须满足本合同约定或建设单位要求，并通过建设单位委托的专业造价咨询单位审查，如果总承包方编制的概算文件不能满足合同约定及造价咨询单位审查要求，则建设单位可以委托造价咨询单位实施设计概算编制工作，所发生的费用根据《关于调整我省建设工程造价咨询服务收费的复函》（粤价函[2011]742 号）规定并结合专业造价咨询单位实际工作比例计取，由设计方负责支付。</w:t>
      </w:r>
    </w:p>
    <w:p w14:paraId="0249AE27">
      <w:pPr>
        <w:numPr>
          <w:ilvl w:val="0"/>
          <w:numId w:val="18"/>
        </w:numPr>
        <w:bidi w:val="0"/>
        <w:ind w:left="425" w:leftChars="0" w:hanging="425" w:firstLineChars="0"/>
        <w:rPr>
          <w:color w:val="auto"/>
          <w:highlight w:val="none"/>
          <w:lang w:eastAsia="zh-CN"/>
        </w:rPr>
      </w:pPr>
      <w:r>
        <w:rPr>
          <w:rFonts w:hint="eastAsia" w:ascii="Times New Roman" w:hAnsi="Times New Roman" w:eastAsia="宋体" w:cs="宋体"/>
          <w:color w:val="auto"/>
          <w:sz w:val="24"/>
          <w:szCs w:val="20"/>
          <w:highlight w:val="none"/>
          <w:lang w:val="en-US" w:eastAsia="zh-CN"/>
        </w:rPr>
        <w:t>完成并提交全项目的概算、预算结果，确保一并通过财政评审。</w:t>
      </w:r>
    </w:p>
    <w:p w14:paraId="08EDB44F">
      <w:pPr>
        <w:numPr>
          <w:ilvl w:val="0"/>
          <w:numId w:val="0"/>
        </w:numPr>
        <w:bidi w:val="0"/>
        <w:ind w:leftChars="0"/>
        <w:rPr>
          <w:color w:val="auto"/>
          <w:highlight w:val="none"/>
          <w:lang w:eastAsia="zh-CN"/>
        </w:rPr>
      </w:pPr>
    </w:p>
    <w:p w14:paraId="1ACDE1A5">
      <w:pPr>
        <w:pStyle w:val="2"/>
        <w:bidi w:val="0"/>
        <w:rPr>
          <w:color w:val="auto"/>
          <w:sz w:val="32"/>
          <w:szCs w:val="32"/>
          <w:highlight w:val="none"/>
          <w:lang w:eastAsia="zh-CN"/>
        </w:rPr>
      </w:pPr>
      <w:bookmarkStart w:id="24" w:name="_Toc19554"/>
      <w:bookmarkStart w:id="25" w:name="_Toc2884"/>
      <w:r>
        <w:rPr>
          <w:color w:val="auto"/>
          <w:highlight w:val="none"/>
          <w:lang w:eastAsia="zh-CN"/>
        </w:rPr>
        <w:t>工程勘察</w:t>
      </w:r>
      <w:r>
        <w:rPr>
          <w:rFonts w:hint="eastAsia"/>
          <w:color w:val="auto"/>
          <w:highlight w:val="none"/>
          <w:lang w:eastAsia="zh-CN"/>
        </w:rPr>
        <w:t>要求</w:t>
      </w:r>
      <w:bookmarkEnd w:id="24"/>
      <w:bookmarkEnd w:id="25"/>
      <w:r>
        <w:rPr>
          <w:rFonts w:hint="eastAsia"/>
          <w:color w:val="auto"/>
          <w:sz w:val="32"/>
          <w:szCs w:val="32"/>
          <w:highlight w:val="none"/>
          <w:lang w:eastAsia="zh-CN"/>
        </w:rPr>
        <w:t>（含建筑测量及规划咨询</w:t>
      </w:r>
      <w:r>
        <w:rPr>
          <w:rFonts w:hint="eastAsia"/>
          <w:color w:val="auto"/>
          <w:sz w:val="32"/>
          <w:szCs w:val="32"/>
          <w:highlight w:val="none"/>
          <w:lang w:val="en-US" w:eastAsia="zh-CN"/>
        </w:rPr>
        <w:t>)</w:t>
      </w:r>
    </w:p>
    <w:p w14:paraId="02CB40DF">
      <w:pPr>
        <w:pStyle w:val="3"/>
        <w:rPr>
          <w:color w:val="auto"/>
          <w:highlight w:val="none"/>
          <w:lang w:eastAsia="zh-CN"/>
        </w:rPr>
      </w:pPr>
      <w:bookmarkStart w:id="26" w:name="_Toc21042"/>
      <w:bookmarkStart w:id="27" w:name="_Toc24269"/>
      <w:r>
        <w:rPr>
          <w:color w:val="auto"/>
          <w:highlight w:val="none"/>
          <w:lang w:eastAsia="zh-CN"/>
        </w:rPr>
        <w:t>勘察要求</w:t>
      </w:r>
      <w:bookmarkEnd w:id="26"/>
      <w:bookmarkEnd w:id="27"/>
    </w:p>
    <w:p w14:paraId="424BA480">
      <w:pPr>
        <w:pStyle w:val="4"/>
        <w:spacing w:before="156" w:after="156"/>
        <w:rPr>
          <w:color w:val="auto"/>
          <w:highlight w:val="none"/>
        </w:rPr>
      </w:pPr>
      <w:r>
        <w:rPr>
          <w:color w:val="auto"/>
          <w:highlight w:val="none"/>
        </w:rPr>
        <w:t>勘察</w:t>
      </w:r>
      <w:r>
        <w:rPr>
          <w:rFonts w:hint="eastAsia"/>
          <w:color w:val="auto"/>
          <w:highlight w:val="none"/>
        </w:rPr>
        <w:t>内容</w:t>
      </w:r>
    </w:p>
    <w:p w14:paraId="13EE137D">
      <w:pPr>
        <w:ind w:firstLine="480" w:firstLineChars="200"/>
        <w:rPr>
          <w:color w:val="auto"/>
          <w:highlight w:val="none"/>
        </w:rPr>
      </w:pPr>
      <w:r>
        <w:rPr>
          <w:rFonts w:hint="eastAsia"/>
          <w:color w:val="auto"/>
          <w:highlight w:val="none"/>
        </w:rPr>
        <w:t>本项目的勘察工作，包括但不限于以下内容（具体以签订的合同为准）：</w:t>
      </w:r>
      <w:r>
        <w:rPr>
          <w:color w:val="auto"/>
          <w:highlight w:val="none"/>
        </w:rPr>
        <w:t>对拟建项目范围及各建（构）筑物采取地表地形测绘、</w:t>
      </w:r>
      <w:r>
        <w:rPr>
          <w:rFonts w:hint="eastAsia"/>
          <w:color w:val="auto"/>
          <w:highlight w:val="none"/>
          <w:lang w:eastAsia="zh-CN"/>
        </w:rPr>
        <w:t>现状建筑测绘、</w:t>
      </w:r>
      <w:r>
        <w:rPr>
          <w:color w:val="auto"/>
          <w:highlight w:val="none"/>
        </w:rPr>
        <w:t>标准贯入试验、静力触探、钻探取样以及室内试验等综合勘察等手段。</w:t>
      </w:r>
    </w:p>
    <w:p w14:paraId="6EFDE20A">
      <w:pPr>
        <w:numPr>
          <w:ilvl w:val="0"/>
          <w:numId w:val="19"/>
        </w:numPr>
        <w:rPr>
          <w:color w:val="auto"/>
          <w:highlight w:val="none"/>
        </w:rPr>
      </w:pPr>
      <w:r>
        <w:rPr>
          <w:rFonts w:hint="eastAsia"/>
          <w:color w:val="auto"/>
          <w:highlight w:val="none"/>
        </w:rPr>
        <w:t>岩土工程勘察，包括初步勘察、详细勘察及施工阶段勘察；</w:t>
      </w:r>
    </w:p>
    <w:p w14:paraId="5AB4F06E">
      <w:pPr>
        <w:numPr>
          <w:ilvl w:val="0"/>
          <w:numId w:val="19"/>
        </w:numPr>
        <w:rPr>
          <w:color w:val="auto"/>
          <w:highlight w:val="none"/>
        </w:rPr>
      </w:pPr>
      <w:r>
        <w:rPr>
          <w:rFonts w:hint="eastAsia"/>
          <w:color w:val="auto"/>
          <w:highlight w:val="none"/>
        </w:rPr>
        <w:t>地形</w:t>
      </w:r>
      <w:r>
        <w:rPr>
          <w:rFonts w:hint="eastAsia"/>
          <w:color w:val="auto"/>
          <w:highlight w:val="none"/>
          <w:lang w:eastAsia="zh-CN"/>
        </w:rPr>
        <w:t>、现状建筑</w:t>
      </w:r>
      <w:r>
        <w:rPr>
          <w:rFonts w:hint="eastAsia"/>
          <w:color w:val="auto"/>
          <w:highlight w:val="none"/>
        </w:rPr>
        <w:t>测绘；</w:t>
      </w:r>
    </w:p>
    <w:p w14:paraId="02D110D3">
      <w:pPr>
        <w:numPr>
          <w:ilvl w:val="0"/>
          <w:numId w:val="19"/>
        </w:numPr>
        <w:rPr>
          <w:color w:val="auto"/>
          <w:highlight w:val="none"/>
        </w:rPr>
      </w:pPr>
      <w:r>
        <w:rPr>
          <w:rFonts w:hint="eastAsia"/>
          <w:color w:val="auto"/>
          <w:highlight w:val="none"/>
          <w:lang w:eastAsia="zh-CN"/>
        </w:rPr>
        <w:t>规划咨询相关工作。</w:t>
      </w:r>
    </w:p>
    <w:p w14:paraId="7C79FFF2">
      <w:pPr>
        <w:pStyle w:val="4"/>
        <w:spacing w:before="156" w:after="156"/>
        <w:rPr>
          <w:color w:val="auto"/>
          <w:highlight w:val="none"/>
        </w:rPr>
      </w:pPr>
      <w:r>
        <w:rPr>
          <w:color w:val="auto"/>
          <w:highlight w:val="none"/>
        </w:rPr>
        <w:t>勘察依据标准规范</w:t>
      </w:r>
    </w:p>
    <w:p w14:paraId="3540D260">
      <w:pPr>
        <w:ind w:firstLine="480" w:firstLineChars="200"/>
        <w:rPr>
          <w:color w:val="auto"/>
          <w:highlight w:val="none"/>
        </w:rPr>
      </w:pPr>
      <w:r>
        <w:rPr>
          <w:rFonts w:hint="eastAsia"/>
          <w:color w:val="auto"/>
          <w:highlight w:val="none"/>
        </w:rPr>
        <w:t>所有勘察工作应按以下规定的有关技术要求执行。如勘察结果表明场地存在特殊问题，则在勘察过程中另行增补技术措施。</w:t>
      </w:r>
    </w:p>
    <w:p w14:paraId="4A82731E">
      <w:pPr>
        <w:numPr>
          <w:ilvl w:val="0"/>
          <w:numId w:val="20"/>
        </w:numPr>
        <w:rPr>
          <w:color w:val="auto"/>
          <w:highlight w:val="none"/>
        </w:rPr>
      </w:pPr>
      <w:r>
        <w:rPr>
          <w:color w:val="auto"/>
          <w:highlight w:val="none"/>
        </w:rPr>
        <w:t>《工程勘察通用规范》</w:t>
      </w:r>
      <w:r>
        <w:rPr>
          <w:rFonts w:hint="eastAsia"/>
          <w:color w:val="auto"/>
          <w:highlight w:val="none"/>
        </w:rPr>
        <w:t>（</w:t>
      </w:r>
      <w:r>
        <w:rPr>
          <w:color w:val="auto"/>
          <w:highlight w:val="none"/>
        </w:rPr>
        <w:t>GB 55017-2021）；</w:t>
      </w:r>
    </w:p>
    <w:p w14:paraId="35D50268">
      <w:pPr>
        <w:numPr>
          <w:ilvl w:val="0"/>
          <w:numId w:val="20"/>
        </w:numPr>
        <w:rPr>
          <w:color w:val="auto"/>
          <w:highlight w:val="none"/>
        </w:rPr>
      </w:pPr>
      <w:r>
        <w:rPr>
          <w:color w:val="auto"/>
          <w:highlight w:val="none"/>
        </w:rPr>
        <w:t>《岩土工程勘察规范》（GB50021-2001</w:t>
      </w:r>
      <w:r>
        <w:rPr>
          <w:rFonts w:hint="eastAsia"/>
          <w:color w:val="auto"/>
          <w:highlight w:val="none"/>
        </w:rPr>
        <w:t>，</w:t>
      </w:r>
      <w:r>
        <w:rPr>
          <w:color w:val="auto"/>
          <w:highlight w:val="none"/>
        </w:rPr>
        <w:t>2009年版）</w:t>
      </w:r>
      <w:r>
        <w:rPr>
          <w:rFonts w:hint="eastAsia"/>
          <w:color w:val="auto"/>
          <w:highlight w:val="none"/>
        </w:rPr>
        <w:t>；</w:t>
      </w:r>
    </w:p>
    <w:p w14:paraId="510631FB">
      <w:pPr>
        <w:numPr>
          <w:ilvl w:val="0"/>
          <w:numId w:val="20"/>
        </w:numPr>
        <w:rPr>
          <w:color w:val="auto"/>
          <w:highlight w:val="none"/>
        </w:rPr>
      </w:pPr>
      <w:r>
        <w:rPr>
          <w:color w:val="auto"/>
          <w:highlight w:val="none"/>
        </w:rPr>
        <w:t>《市政工程勘察规范》</w:t>
      </w:r>
      <w:r>
        <w:rPr>
          <w:rFonts w:hint="eastAsia"/>
          <w:color w:val="auto"/>
          <w:highlight w:val="none"/>
        </w:rPr>
        <w:t>（</w:t>
      </w:r>
      <w:r>
        <w:rPr>
          <w:color w:val="auto"/>
          <w:highlight w:val="none"/>
        </w:rPr>
        <w:t>GJJ 56-2012）；</w:t>
      </w:r>
    </w:p>
    <w:p w14:paraId="61225911">
      <w:pPr>
        <w:numPr>
          <w:ilvl w:val="0"/>
          <w:numId w:val="20"/>
        </w:numPr>
        <w:rPr>
          <w:color w:val="auto"/>
          <w:highlight w:val="none"/>
        </w:rPr>
      </w:pPr>
      <w:r>
        <w:rPr>
          <w:color w:val="auto"/>
          <w:highlight w:val="none"/>
        </w:rPr>
        <w:t>《岩土工程勘察安全标准》（GB</w:t>
      </w:r>
      <w:r>
        <w:rPr>
          <w:rFonts w:hint="eastAsia"/>
          <w:color w:val="auto"/>
          <w:highlight w:val="none"/>
        </w:rPr>
        <w:t>/</w:t>
      </w:r>
      <w:r>
        <w:rPr>
          <w:color w:val="auto"/>
          <w:highlight w:val="none"/>
        </w:rPr>
        <w:t>T50585-2019)</w:t>
      </w:r>
      <w:r>
        <w:rPr>
          <w:rFonts w:hint="eastAsia"/>
          <w:color w:val="auto"/>
          <w:highlight w:val="none"/>
        </w:rPr>
        <w:t>；</w:t>
      </w:r>
    </w:p>
    <w:p w14:paraId="7C2EBCA1">
      <w:pPr>
        <w:numPr>
          <w:ilvl w:val="0"/>
          <w:numId w:val="20"/>
        </w:numPr>
        <w:rPr>
          <w:color w:val="auto"/>
          <w:highlight w:val="none"/>
        </w:rPr>
      </w:pPr>
      <w:r>
        <w:rPr>
          <w:rFonts w:hint="eastAsia"/>
          <w:color w:val="auto"/>
          <w:highlight w:val="none"/>
        </w:rPr>
        <w:t>《软土地区岩土工程勘察规程》（JGJ 83-2011）；</w:t>
      </w:r>
    </w:p>
    <w:p w14:paraId="1744CDC0">
      <w:pPr>
        <w:numPr>
          <w:ilvl w:val="0"/>
          <w:numId w:val="20"/>
        </w:numPr>
        <w:rPr>
          <w:color w:val="auto"/>
          <w:highlight w:val="none"/>
        </w:rPr>
      </w:pPr>
      <w:r>
        <w:rPr>
          <w:color w:val="auto"/>
          <w:highlight w:val="none"/>
        </w:rPr>
        <w:t>《建筑抗震设计规范》</w:t>
      </w:r>
      <w:r>
        <w:rPr>
          <w:rFonts w:hint="eastAsia"/>
          <w:color w:val="auto"/>
          <w:highlight w:val="none"/>
        </w:rPr>
        <w:t>（</w:t>
      </w:r>
      <w:r>
        <w:rPr>
          <w:color w:val="auto"/>
          <w:highlight w:val="none"/>
        </w:rPr>
        <w:t>GB50011-2010，2016年版）；</w:t>
      </w:r>
    </w:p>
    <w:p w14:paraId="09E811F8">
      <w:pPr>
        <w:numPr>
          <w:ilvl w:val="0"/>
          <w:numId w:val="20"/>
        </w:numPr>
        <w:rPr>
          <w:color w:val="auto"/>
          <w:highlight w:val="none"/>
        </w:rPr>
      </w:pPr>
      <w:r>
        <w:rPr>
          <w:color w:val="auto"/>
          <w:highlight w:val="none"/>
        </w:rPr>
        <w:t>《土工试验方法标准》</w:t>
      </w:r>
      <w:r>
        <w:rPr>
          <w:rFonts w:hint="eastAsia"/>
          <w:color w:val="auto"/>
          <w:highlight w:val="none"/>
        </w:rPr>
        <w:t>（</w:t>
      </w:r>
      <w:r>
        <w:rPr>
          <w:color w:val="auto"/>
          <w:highlight w:val="none"/>
        </w:rPr>
        <w:t>GB/T50123-2019）；</w:t>
      </w:r>
    </w:p>
    <w:p w14:paraId="6DFE2F6F">
      <w:pPr>
        <w:numPr>
          <w:ilvl w:val="0"/>
          <w:numId w:val="20"/>
        </w:numPr>
        <w:rPr>
          <w:color w:val="auto"/>
          <w:highlight w:val="none"/>
        </w:rPr>
      </w:pPr>
      <w:r>
        <w:rPr>
          <w:color w:val="auto"/>
          <w:highlight w:val="none"/>
        </w:rPr>
        <w:t>《中国地震动参数区划图》</w:t>
      </w:r>
      <w:r>
        <w:rPr>
          <w:rFonts w:hint="eastAsia"/>
          <w:color w:val="auto"/>
          <w:highlight w:val="none"/>
        </w:rPr>
        <w:t>（</w:t>
      </w:r>
      <w:r>
        <w:rPr>
          <w:color w:val="auto"/>
          <w:highlight w:val="none"/>
        </w:rPr>
        <w:t>GB18306-2015）；</w:t>
      </w:r>
    </w:p>
    <w:p w14:paraId="71A3C710">
      <w:pPr>
        <w:numPr>
          <w:ilvl w:val="0"/>
          <w:numId w:val="20"/>
        </w:numPr>
        <w:rPr>
          <w:color w:val="auto"/>
          <w:highlight w:val="none"/>
        </w:rPr>
      </w:pPr>
      <w:r>
        <w:rPr>
          <w:color w:val="auto"/>
          <w:highlight w:val="none"/>
        </w:rPr>
        <w:t>《建筑与市政地基基础通用规范》（GB 55003-2021）；</w:t>
      </w:r>
    </w:p>
    <w:p w14:paraId="4215FB31">
      <w:pPr>
        <w:numPr>
          <w:ilvl w:val="0"/>
          <w:numId w:val="20"/>
        </w:numPr>
        <w:rPr>
          <w:color w:val="auto"/>
          <w:highlight w:val="none"/>
        </w:rPr>
      </w:pPr>
      <w:r>
        <w:rPr>
          <w:color w:val="auto"/>
          <w:highlight w:val="none"/>
        </w:rPr>
        <w:t>《建筑与市政工程抗震通用规范》（GB 55002-2021）；</w:t>
      </w:r>
    </w:p>
    <w:p w14:paraId="5E5D9324">
      <w:pPr>
        <w:numPr>
          <w:ilvl w:val="0"/>
          <w:numId w:val="20"/>
        </w:numPr>
        <w:rPr>
          <w:color w:val="auto"/>
          <w:highlight w:val="none"/>
        </w:rPr>
      </w:pPr>
      <w:r>
        <w:rPr>
          <w:color w:val="auto"/>
          <w:highlight w:val="none"/>
        </w:rPr>
        <w:t>《室外给水排水和燃气热力工程抗震设计规范》（GB 50032-2003）；</w:t>
      </w:r>
    </w:p>
    <w:p w14:paraId="49243010">
      <w:pPr>
        <w:numPr>
          <w:ilvl w:val="0"/>
          <w:numId w:val="20"/>
        </w:numPr>
        <w:rPr>
          <w:color w:val="auto"/>
          <w:highlight w:val="none"/>
        </w:rPr>
      </w:pPr>
      <w:r>
        <w:rPr>
          <w:color w:val="auto"/>
          <w:highlight w:val="none"/>
        </w:rPr>
        <w:t>《建筑地基处理技术规范》</w:t>
      </w:r>
      <w:r>
        <w:rPr>
          <w:rFonts w:hint="eastAsia"/>
          <w:color w:val="auto"/>
          <w:highlight w:val="none"/>
        </w:rPr>
        <w:t>（</w:t>
      </w:r>
      <w:r>
        <w:rPr>
          <w:color w:val="auto"/>
          <w:highlight w:val="none"/>
        </w:rPr>
        <w:t>JGJ 79-2012）；</w:t>
      </w:r>
    </w:p>
    <w:p w14:paraId="6F2B02DF">
      <w:pPr>
        <w:numPr>
          <w:ilvl w:val="0"/>
          <w:numId w:val="20"/>
        </w:numPr>
        <w:rPr>
          <w:color w:val="auto"/>
          <w:highlight w:val="none"/>
        </w:rPr>
      </w:pPr>
      <w:r>
        <w:rPr>
          <w:rFonts w:hint="eastAsia"/>
          <w:color w:val="auto"/>
          <w:highlight w:val="none"/>
        </w:rPr>
        <w:t>《城市测量规范》（CJJ/T 8-2011）；</w:t>
      </w:r>
    </w:p>
    <w:p w14:paraId="43D2454E">
      <w:pPr>
        <w:numPr>
          <w:ilvl w:val="0"/>
          <w:numId w:val="20"/>
        </w:numPr>
        <w:rPr>
          <w:color w:val="auto"/>
          <w:highlight w:val="none"/>
        </w:rPr>
      </w:pPr>
      <w:r>
        <w:rPr>
          <w:rFonts w:hint="eastAsia"/>
          <w:color w:val="auto"/>
          <w:highlight w:val="none"/>
        </w:rPr>
        <w:t>《工程测量</w:t>
      </w:r>
      <w:r>
        <w:rPr>
          <w:color w:val="auto"/>
          <w:highlight w:val="none"/>
        </w:rPr>
        <w:t>规范</w:t>
      </w:r>
      <w:r>
        <w:rPr>
          <w:rFonts w:hint="eastAsia"/>
          <w:color w:val="auto"/>
          <w:highlight w:val="none"/>
        </w:rPr>
        <w:t>》（GB 50026</w:t>
      </w:r>
      <w:r>
        <w:rPr>
          <w:color w:val="auto"/>
          <w:highlight w:val="none"/>
        </w:rPr>
        <w:t>—</w:t>
      </w:r>
      <w:r>
        <w:rPr>
          <w:rFonts w:hint="eastAsia"/>
          <w:color w:val="auto"/>
          <w:highlight w:val="none"/>
        </w:rPr>
        <w:t>2007</w:t>
      </w:r>
      <w:r>
        <w:rPr>
          <w:color w:val="auto"/>
          <w:highlight w:val="none"/>
        </w:rPr>
        <w:t>）</w:t>
      </w:r>
      <w:r>
        <w:rPr>
          <w:rFonts w:hint="eastAsia"/>
          <w:color w:val="auto"/>
          <w:highlight w:val="none"/>
        </w:rPr>
        <w:t>；</w:t>
      </w:r>
    </w:p>
    <w:p w14:paraId="555AD910">
      <w:pPr>
        <w:numPr>
          <w:ilvl w:val="0"/>
          <w:numId w:val="20"/>
        </w:numPr>
        <w:rPr>
          <w:color w:val="auto"/>
          <w:highlight w:val="none"/>
        </w:rPr>
      </w:pPr>
      <w:r>
        <w:rPr>
          <w:rFonts w:hint="eastAsia"/>
          <w:color w:val="auto"/>
          <w:highlight w:val="none"/>
        </w:rPr>
        <w:t>《国家三、四等水准测量规范》</w:t>
      </w:r>
      <w:r>
        <w:rPr>
          <w:color w:val="auto"/>
          <w:highlight w:val="none"/>
        </w:rPr>
        <w:t>（</w:t>
      </w:r>
      <w:r>
        <w:rPr>
          <w:rFonts w:hint="eastAsia"/>
          <w:color w:val="auto"/>
          <w:highlight w:val="none"/>
        </w:rPr>
        <w:t>GB/T 12898</w:t>
      </w:r>
      <w:r>
        <w:rPr>
          <w:color w:val="auto"/>
          <w:highlight w:val="none"/>
        </w:rPr>
        <w:t>—</w:t>
      </w:r>
      <w:r>
        <w:rPr>
          <w:rFonts w:hint="eastAsia"/>
          <w:color w:val="auto"/>
          <w:highlight w:val="none"/>
        </w:rPr>
        <w:t>2009</w:t>
      </w:r>
      <w:r>
        <w:rPr>
          <w:color w:val="auto"/>
          <w:highlight w:val="none"/>
        </w:rPr>
        <w:t>）</w:t>
      </w:r>
      <w:r>
        <w:rPr>
          <w:rFonts w:hint="eastAsia"/>
          <w:color w:val="auto"/>
          <w:highlight w:val="none"/>
        </w:rPr>
        <w:t>；</w:t>
      </w:r>
    </w:p>
    <w:p w14:paraId="4845FD5E">
      <w:pPr>
        <w:numPr>
          <w:ilvl w:val="0"/>
          <w:numId w:val="20"/>
        </w:numPr>
        <w:rPr>
          <w:color w:val="auto"/>
          <w:highlight w:val="none"/>
        </w:rPr>
      </w:pPr>
      <w:r>
        <w:rPr>
          <w:rFonts w:hint="eastAsia"/>
          <w:color w:val="auto"/>
          <w:highlight w:val="none"/>
        </w:rPr>
        <w:t>《</w:t>
      </w:r>
      <w:r>
        <w:rPr>
          <w:color w:val="auto"/>
          <w:highlight w:val="none"/>
        </w:rPr>
        <w:t>国家基本比例尺地图图式第1部分：1</w:t>
      </w:r>
      <w:r>
        <w:rPr>
          <w:rFonts w:hint="eastAsia"/>
          <w:color w:val="auto"/>
          <w:highlight w:val="none"/>
        </w:rPr>
        <w:t>:</w:t>
      </w:r>
      <w:r>
        <w:rPr>
          <w:color w:val="auto"/>
          <w:highlight w:val="none"/>
        </w:rPr>
        <w:t>5001</w:t>
      </w:r>
      <w:r>
        <w:rPr>
          <w:rFonts w:hint="eastAsia"/>
          <w:color w:val="auto"/>
          <w:highlight w:val="none"/>
        </w:rPr>
        <w:t>:</w:t>
      </w:r>
      <w:r>
        <w:rPr>
          <w:color w:val="auto"/>
          <w:highlight w:val="none"/>
        </w:rPr>
        <w:t>10001</w:t>
      </w:r>
      <w:r>
        <w:rPr>
          <w:rFonts w:hint="eastAsia"/>
          <w:color w:val="auto"/>
          <w:highlight w:val="none"/>
        </w:rPr>
        <w:t>:</w:t>
      </w:r>
      <w:r>
        <w:rPr>
          <w:color w:val="auto"/>
          <w:highlight w:val="none"/>
        </w:rPr>
        <w:t>2000地形图图式》</w:t>
      </w:r>
      <w:r>
        <w:rPr>
          <w:rFonts w:hint="eastAsia"/>
          <w:color w:val="auto"/>
          <w:highlight w:val="none"/>
        </w:rPr>
        <w:t>(</w:t>
      </w:r>
      <w:r>
        <w:rPr>
          <w:color w:val="auto"/>
          <w:highlight w:val="none"/>
        </w:rPr>
        <w:t>GB/T 20257</w:t>
      </w:r>
      <w:r>
        <w:rPr>
          <w:rFonts w:hint="eastAsia"/>
          <w:color w:val="auto"/>
          <w:highlight w:val="none"/>
        </w:rPr>
        <w:t>.</w:t>
      </w:r>
      <w:r>
        <w:rPr>
          <w:color w:val="auto"/>
          <w:highlight w:val="none"/>
        </w:rPr>
        <w:t>1-2007</w:t>
      </w:r>
      <w:r>
        <w:rPr>
          <w:rFonts w:hint="eastAsia"/>
          <w:color w:val="auto"/>
          <w:highlight w:val="none"/>
        </w:rPr>
        <w:t>)；</w:t>
      </w:r>
    </w:p>
    <w:p w14:paraId="04671AF9">
      <w:pPr>
        <w:numPr>
          <w:ilvl w:val="0"/>
          <w:numId w:val="20"/>
        </w:numPr>
        <w:rPr>
          <w:color w:val="auto"/>
          <w:highlight w:val="none"/>
        </w:rPr>
      </w:pPr>
      <w:r>
        <w:rPr>
          <w:color w:val="auto"/>
          <w:highlight w:val="none"/>
        </w:rPr>
        <w:t>《房屋建筑和市政基础设施工程勘察文件编制深度规定》（2020年版）；</w:t>
      </w:r>
    </w:p>
    <w:p w14:paraId="3116E162">
      <w:pPr>
        <w:numPr>
          <w:ilvl w:val="0"/>
          <w:numId w:val="20"/>
        </w:numPr>
        <w:rPr>
          <w:color w:val="auto"/>
          <w:highlight w:val="none"/>
        </w:rPr>
      </w:pPr>
      <w:r>
        <w:rPr>
          <w:color w:val="auto"/>
          <w:highlight w:val="none"/>
        </w:rPr>
        <w:t>《危险性较大的分部分项工程安全管理规定》（37号令）；</w:t>
      </w:r>
    </w:p>
    <w:p w14:paraId="761A0405">
      <w:pPr>
        <w:numPr>
          <w:ilvl w:val="0"/>
          <w:numId w:val="20"/>
        </w:numPr>
        <w:rPr>
          <w:color w:val="auto"/>
          <w:highlight w:val="none"/>
        </w:rPr>
      </w:pPr>
      <w:r>
        <w:rPr>
          <w:rFonts w:hint="eastAsia"/>
          <w:color w:val="auto"/>
          <w:highlight w:val="none"/>
        </w:rPr>
        <w:t>《城市地下管线探测技术规程》（CJJ61-2017）；</w:t>
      </w:r>
    </w:p>
    <w:p w14:paraId="06FA929D">
      <w:pPr>
        <w:numPr>
          <w:ilvl w:val="0"/>
          <w:numId w:val="20"/>
        </w:numPr>
        <w:rPr>
          <w:color w:val="auto"/>
          <w:highlight w:val="none"/>
        </w:rPr>
      </w:pPr>
      <w:r>
        <w:rPr>
          <w:color w:val="auto"/>
          <w:highlight w:val="none"/>
        </w:rPr>
        <w:t>广东省标准《建筑地基基础设计规范》（DBJ 15-31-2016）；</w:t>
      </w:r>
    </w:p>
    <w:p w14:paraId="365FA90A">
      <w:pPr>
        <w:numPr>
          <w:ilvl w:val="0"/>
          <w:numId w:val="20"/>
        </w:numPr>
        <w:rPr>
          <w:color w:val="auto"/>
          <w:highlight w:val="none"/>
        </w:rPr>
      </w:pPr>
      <w:r>
        <w:rPr>
          <w:color w:val="auto"/>
          <w:highlight w:val="none"/>
        </w:rPr>
        <w:t>广东省标准《建筑基坑工程技术规程》（DBJ/T 15-20-2016）；</w:t>
      </w:r>
    </w:p>
    <w:p w14:paraId="14636FBF">
      <w:pPr>
        <w:numPr>
          <w:ilvl w:val="0"/>
          <w:numId w:val="20"/>
        </w:numPr>
        <w:rPr>
          <w:color w:val="auto"/>
          <w:highlight w:val="none"/>
        </w:rPr>
      </w:pPr>
      <w:r>
        <w:rPr>
          <w:color w:val="auto"/>
          <w:highlight w:val="none"/>
        </w:rPr>
        <w:t>广东省标准《建筑地基处理技术规范》（DBJ/T 15-38-2019）；</w:t>
      </w:r>
    </w:p>
    <w:p w14:paraId="654F5A35">
      <w:pPr>
        <w:numPr>
          <w:ilvl w:val="0"/>
          <w:numId w:val="20"/>
        </w:numPr>
        <w:rPr>
          <w:color w:val="auto"/>
          <w:highlight w:val="none"/>
        </w:rPr>
      </w:pPr>
      <w:r>
        <w:rPr>
          <w:rFonts w:hint="eastAsia"/>
          <w:color w:val="auto"/>
          <w:highlight w:val="none"/>
        </w:rPr>
        <w:t>广州市标准《地下管线探测技术规程》（DB4401/T 66-2020</w:t>
      </w:r>
      <w:r>
        <w:rPr>
          <w:color w:val="auto"/>
          <w:highlight w:val="none"/>
        </w:rPr>
        <w:t>）</w:t>
      </w:r>
      <w:r>
        <w:rPr>
          <w:rFonts w:hint="eastAsia"/>
          <w:color w:val="auto"/>
          <w:highlight w:val="none"/>
        </w:rPr>
        <w:t>；</w:t>
      </w:r>
    </w:p>
    <w:p w14:paraId="725EDA63">
      <w:pPr>
        <w:numPr>
          <w:ilvl w:val="0"/>
          <w:numId w:val="20"/>
        </w:numPr>
        <w:rPr>
          <w:color w:val="auto"/>
          <w:highlight w:val="none"/>
        </w:rPr>
      </w:pPr>
      <w:r>
        <w:rPr>
          <w:color w:val="auto"/>
          <w:highlight w:val="none"/>
        </w:rPr>
        <w:t>现行国家或行业其它规范、规程和规定。</w:t>
      </w:r>
      <w:bookmarkStart w:id="28" w:name="3.1.3勘察工作总体要求"/>
      <w:bookmarkEnd w:id="28"/>
    </w:p>
    <w:p w14:paraId="7FB0F59B">
      <w:pPr>
        <w:numPr>
          <w:ilvl w:val="0"/>
          <w:numId w:val="20"/>
        </w:numPr>
        <w:rPr>
          <w:rFonts w:hint="eastAsia"/>
          <w:color w:val="auto"/>
          <w:highlight w:val="none"/>
          <w:lang w:eastAsia="zh-CN"/>
        </w:rPr>
      </w:pPr>
      <w:r>
        <w:rPr>
          <w:rFonts w:hint="eastAsia"/>
          <w:color w:val="auto"/>
          <w:highlight w:val="none"/>
          <w:lang w:eastAsia="zh-CN"/>
        </w:rPr>
        <w:t>《中华人民共和国城市规划法》；</w:t>
      </w:r>
    </w:p>
    <w:p w14:paraId="172755B9">
      <w:pPr>
        <w:numPr>
          <w:ilvl w:val="0"/>
          <w:numId w:val="20"/>
        </w:numPr>
        <w:rPr>
          <w:rFonts w:hint="eastAsia"/>
          <w:color w:val="auto"/>
          <w:highlight w:val="none"/>
          <w:lang w:eastAsia="zh-CN"/>
        </w:rPr>
      </w:pPr>
      <w:r>
        <w:rPr>
          <w:rFonts w:hint="eastAsia"/>
          <w:color w:val="auto"/>
          <w:highlight w:val="none"/>
          <w:lang w:eastAsia="zh-CN"/>
        </w:rPr>
        <w:t>《既有建筑维护与改造通用规范》</w:t>
      </w:r>
      <w:r>
        <w:rPr>
          <w:rFonts w:hint="eastAsia"/>
          <w:color w:val="auto"/>
          <w:highlight w:val="none"/>
          <w:lang w:val="en-US" w:eastAsia="zh-CN"/>
        </w:rPr>
        <w:t xml:space="preserve"> </w:t>
      </w:r>
      <w:r>
        <w:rPr>
          <w:rFonts w:hint="eastAsia"/>
          <w:color w:val="auto"/>
          <w:highlight w:val="none"/>
          <w:lang w:eastAsia="zh-CN"/>
        </w:rPr>
        <w:t>（GB 55022-2021）</w:t>
      </w:r>
    </w:p>
    <w:p w14:paraId="4873D496">
      <w:pPr>
        <w:numPr>
          <w:ilvl w:val="0"/>
          <w:numId w:val="20"/>
        </w:numPr>
        <w:rPr>
          <w:rFonts w:hint="eastAsia"/>
          <w:color w:val="auto"/>
          <w:highlight w:val="none"/>
          <w:lang w:eastAsia="zh-CN"/>
        </w:rPr>
      </w:pPr>
      <w:r>
        <w:rPr>
          <w:rFonts w:hint="eastAsia"/>
          <w:color w:val="auto"/>
          <w:highlight w:val="none"/>
          <w:lang w:val="en-US" w:eastAsia="zh-CN"/>
        </w:rPr>
        <w:t>《既有建筑混凝土结构改造设计规范》广东省标准 (DBJT 15-182-2020)</w:t>
      </w:r>
    </w:p>
    <w:p w14:paraId="1A5FC0A8">
      <w:pPr>
        <w:numPr>
          <w:ilvl w:val="0"/>
          <w:numId w:val="20"/>
        </w:numPr>
        <w:rPr>
          <w:rFonts w:hint="eastAsia"/>
          <w:color w:val="auto"/>
          <w:highlight w:val="none"/>
          <w:lang w:eastAsia="zh-CN"/>
        </w:rPr>
      </w:pPr>
      <w:r>
        <w:rPr>
          <w:rFonts w:hint="eastAsia"/>
          <w:color w:val="auto"/>
          <w:highlight w:val="none"/>
        </w:rPr>
        <w:t>《建筑防火通用规范》</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GB 55037-2022</w:t>
      </w:r>
      <w:r>
        <w:rPr>
          <w:rFonts w:hint="eastAsia"/>
          <w:color w:val="auto"/>
          <w:highlight w:val="none"/>
          <w:lang w:eastAsia="zh-CN"/>
        </w:rPr>
        <w:t>）</w:t>
      </w:r>
    </w:p>
    <w:p w14:paraId="327102A0">
      <w:pPr>
        <w:numPr>
          <w:ilvl w:val="0"/>
          <w:numId w:val="20"/>
        </w:numPr>
        <w:rPr>
          <w:rFonts w:hint="eastAsia"/>
          <w:color w:val="auto"/>
          <w:highlight w:val="none"/>
          <w:lang w:eastAsia="zh-CN"/>
        </w:rPr>
      </w:pPr>
      <w:r>
        <w:rPr>
          <w:rFonts w:hint="eastAsia"/>
          <w:color w:val="auto"/>
          <w:highlight w:val="none"/>
        </w:rPr>
        <w:t>《建筑设计防火规范》</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GB 50016-2014（2018年版）</w:t>
      </w:r>
      <w:r>
        <w:rPr>
          <w:rFonts w:hint="eastAsia"/>
          <w:color w:val="auto"/>
          <w:highlight w:val="none"/>
          <w:lang w:eastAsia="zh-CN"/>
        </w:rPr>
        <w:t>）</w:t>
      </w:r>
    </w:p>
    <w:p w14:paraId="3719D8DB">
      <w:pPr>
        <w:numPr>
          <w:ilvl w:val="0"/>
          <w:numId w:val="0"/>
        </w:numPr>
        <w:rPr>
          <w:color w:val="auto"/>
          <w:highlight w:val="none"/>
        </w:rPr>
      </w:pPr>
    </w:p>
    <w:p w14:paraId="5EF34B90">
      <w:pPr>
        <w:pStyle w:val="4"/>
        <w:spacing w:before="156" w:after="156"/>
        <w:rPr>
          <w:color w:val="auto"/>
          <w:highlight w:val="none"/>
        </w:rPr>
      </w:pPr>
      <w:r>
        <w:rPr>
          <w:rFonts w:hint="eastAsia"/>
          <w:color w:val="auto"/>
          <w:highlight w:val="none"/>
        </w:rPr>
        <w:t>勘察工作总体要求</w:t>
      </w:r>
    </w:p>
    <w:p w14:paraId="6D5F3A83">
      <w:pPr>
        <w:pStyle w:val="5"/>
        <w:spacing w:before="156" w:after="156"/>
        <w:rPr>
          <w:color w:val="auto"/>
          <w:highlight w:val="none"/>
        </w:rPr>
      </w:pPr>
      <w:r>
        <w:rPr>
          <w:rFonts w:hint="eastAsia"/>
          <w:color w:val="auto"/>
          <w:highlight w:val="none"/>
          <w:lang w:val="zh-CN"/>
        </w:rPr>
        <w:t>勘察工作内容（包括但不限于以下工作）</w:t>
      </w:r>
    </w:p>
    <w:p w14:paraId="7C7000E0">
      <w:pPr>
        <w:numPr>
          <w:ilvl w:val="0"/>
          <w:numId w:val="21"/>
        </w:numPr>
        <w:rPr>
          <w:color w:val="auto"/>
          <w:highlight w:val="none"/>
          <w:lang w:val="zh-CN"/>
        </w:rPr>
      </w:pPr>
      <w:r>
        <w:rPr>
          <w:rFonts w:hint="eastAsia"/>
          <w:color w:val="auto"/>
          <w:highlight w:val="none"/>
          <w:lang w:val="zh-CN"/>
        </w:rPr>
        <w:t>查明建筑范围内岩土的类型、深度、分布、工程特性和变化规律，分析和评价地基的稳定性、均匀性和承载力。</w:t>
      </w:r>
      <w:r>
        <w:rPr>
          <w:rFonts w:hint="eastAsia"/>
          <w:color w:val="auto"/>
          <w:highlight w:val="none"/>
        </w:rPr>
        <w:t>岩石地基除提出各岩层的承载力特征值，尚需提出不同岩层的饱和或天然单轴抗压强度标准值；</w:t>
      </w:r>
    </w:p>
    <w:p w14:paraId="492A09A4">
      <w:pPr>
        <w:numPr>
          <w:ilvl w:val="0"/>
          <w:numId w:val="21"/>
        </w:numPr>
        <w:rPr>
          <w:color w:val="auto"/>
          <w:highlight w:val="none"/>
          <w:lang w:val="zh-CN"/>
        </w:rPr>
      </w:pPr>
      <w:r>
        <w:rPr>
          <w:rFonts w:hint="eastAsia"/>
          <w:color w:val="auto"/>
          <w:highlight w:val="none"/>
          <w:lang w:val="zh-CN"/>
        </w:rPr>
        <w:t>划分场地土类型和场地类别，分析预测地震效应，判定饱和砂土或饱和粉土的地震液化，并应确定液化指数和液化等级。</w:t>
      </w:r>
    </w:p>
    <w:p w14:paraId="77B0D824">
      <w:pPr>
        <w:numPr>
          <w:ilvl w:val="0"/>
          <w:numId w:val="21"/>
        </w:numPr>
        <w:rPr>
          <w:color w:val="auto"/>
          <w:highlight w:val="none"/>
          <w:lang w:val="zh-CN"/>
        </w:rPr>
      </w:pPr>
      <w:r>
        <w:rPr>
          <w:rFonts w:hint="eastAsia"/>
          <w:color w:val="auto"/>
          <w:highlight w:val="none"/>
        </w:rPr>
        <w:t>查明不良地质（如溶洞）作用的类型、成因、分布范围、发展趋势，可液化土层和特殊性岩土的分布及其对桩基的危害程度，并提出防治措施的建议；勘探过程中如发现特殊的地质现象，如软弱土层、暗沟或溶洞等，应及时知会建设单位，并商讨勘探点的增减。</w:t>
      </w:r>
    </w:p>
    <w:p w14:paraId="4C394C23">
      <w:pPr>
        <w:numPr>
          <w:ilvl w:val="0"/>
          <w:numId w:val="21"/>
        </w:numPr>
        <w:rPr>
          <w:color w:val="auto"/>
          <w:highlight w:val="none"/>
        </w:rPr>
      </w:pPr>
      <w:r>
        <w:rPr>
          <w:rFonts w:hint="eastAsia"/>
          <w:color w:val="auto"/>
          <w:highlight w:val="none"/>
        </w:rPr>
        <w:t>查明埋藏的河道、沟滨、墓穴、防空洞、孤石、电力隧道、燃气管道、交通走廊等对基础不利的埋藏物；</w:t>
      </w:r>
    </w:p>
    <w:p w14:paraId="5686B930">
      <w:pPr>
        <w:numPr>
          <w:ilvl w:val="0"/>
          <w:numId w:val="21"/>
        </w:numPr>
        <w:rPr>
          <w:color w:val="auto"/>
          <w:highlight w:val="none"/>
          <w:lang w:val="zh-CN"/>
        </w:rPr>
      </w:pPr>
      <w:r>
        <w:rPr>
          <w:rFonts w:hint="eastAsia"/>
          <w:color w:val="auto"/>
          <w:highlight w:val="none"/>
        </w:rPr>
        <w:t>查明地下水的性质、补给条件、各土层的渗透性及水流量，提供降水设计所需的计算参数和方案提议。提供地下水位及其变化幅度，明确抗浮设计设防水位。评价地下水对桩基设计和施工的影响，判定环境水和土对混凝土的金属</w:t>
      </w:r>
      <w:r>
        <w:rPr>
          <w:rFonts w:hint="eastAsia"/>
          <w:color w:val="auto"/>
          <w:highlight w:val="none"/>
          <w:lang w:val="zh-CN"/>
        </w:rPr>
        <w:t>材料的腐蚀性。</w:t>
      </w:r>
    </w:p>
    <w:p w14:paraId="45F8C4FC">
      <w:pPr>
        <w:numPr>
          <w:ilvl w:val="0"/>
          <w:numId w:val="21"/>
        </w:numPr>
        <w:rPr>
          <w:color w:val="auto"/>
          <w:highlight w:val="none"/>
          <w:lang w:val="zh-CN"/>
        </w:rPr>
      </w:pPr>
      <w:r>
        <w:rPr>
          <w:rFonts w:hint="eastAsia"/>
          <w:color w:val="auto"/>
          <w:highlight w:val="none"/>
          <w:lang w:val="zh-CN"/>
        </w:rPr>
        <w:t>查明建筑范围内岩土层的类型、深度、分布、工程特性和变化规律，分析和评价地基的稳定性、均匀性和承载力。</w:t>
      </w:r>
    </w:p>
    <w:p w14:paraId="08432740">
      <w:pPr>
        <w:numPr>
          <w:ilvl w:val="0"/>
          <w:numId w:val="21"/>
        </w:numPr>
        <w:rPr>
          <w:color w:val="auto"/>
          <w:highlight w:val="none"/>
          <w:lang w:val="zh-CN"/>
        </w:rPr>
      </w:pPr>
      <w:r>
        <w:rPr>
          <w:rFonts w:hint="eastAsia"/>
          <w:color w:val="auto"/>
          <w:highlight w:val="none"/>
          <w:lang w:val="zh-CN"/>
        </w:rPr>
        <w:t>土壤中氡浓度检测和环境噪声检测；</w:t>
      </w:r>
    </w:p>
    <w:p w14:paraId="2616D6D3">
      <w:pPr>
        <w:numPr>
          <w:ilvl w:val="0"/>
          <w:numId w:val="21"/>
        </w:numPr>
        <w:rPr>
          <w:color w:val="auto"/>
          <w:highlight w:val="none"/>
          <w:lang w:val="zh-CN"/>
        </w:rPr>
      </w:pPr>
      <w:r>
        <w:rPr>
          <w:rFonts w:hint="eastAsia"/>
          <w:color w:val="auto"/>
          <w:highlight w:val="none"/>
          <w:lang w:val="zh-CN"/>
        </w:rPr>
        <w:t>当有软弱下卧层时，需勘察提供参数，供设计验算软弱下卧层强度</w:t>
      </w:r>
    </w:p>
    <w:p w14:paraId="692269CC">
      <w:pPr>
        <w:numPr>
          <w:ilvl w:val="0"/>
          <w:numId w:val="21"/>
        </w:numPr>
        <w:rPr>
          <w:color w:val="auto"/>
          <w:highlight w:val="none"/>
        </w:rPr>
      </w:pPr>
      <w:r>
        <w:rPr>
          <w:rFonts w:hint="eastAsia"/>
          <w:color w:val="auto"/>
          <w:highlight w:val="none"/>
        </w:rPr>
        <w:t>持力层为倾斜地层，基岩面凹凸不平或岩土中有溶洞时，应评价基础的稳定性，并提出处理措施的建议。</w:t>
      </w:r>
    </w:p>
    <w:p w14:paraId="47F7AB3A">
      <w:pPr>
        <w:numPr>
          <w:ilvl w:val="0"/>
          <w:numId w:val="21"/>
        </w:numPr>
        <w:rPr>
          <w:color w:val="auto"/>
          <w:highlight w:val="none"/>
        </w:rPr>
      </w:pPr>
      <w:r>
        <w:rPr>
          <w:rFonts w:hint="eastAsia"/>
          <w:color w:val="auto"/>
          <w:highlight w:val="none"/>
        </w:rPr>
        <w:t>对可能采用的基础形式提出建议：</w:t>
      </w:r>
    </w:p>
    <w:p w14:paraId="38E3B2AC">
      <w:pPr>
        <w:numPr>
          <w:ilvl w:val="0"/>
          <w:numId w:val="22"/>
        </w:numPr>
        <w:rPr>
          <w:color w:val="auto"/>
          <w:highlight w:val="none"/>
        </w:rPr>
      </w:pPr>
      <w:r>
        <w:rPr>
          <w:rFonts w:hint="eastAsia"/>
          <w:color w:val="auto"/>
          <w:highlight w:val="none"/>
        </w:rPr>
        <w:t>评价成桩可能性，论证桩的施工条件及其对环境的影响。提供桩基设计所需的岩土技术参数，提出桩的类型、长度、单桩承载和施工方法等建议。</w:t>
      </w:r>
    </w:p>
    <w:p w14:paraId="2432F310">
      <w:pPr>
        <w:numPr>
          <w:ilvl w:val="0"/>
          <w:numId w:val="22"/>
        </w:numPr>
        <w:rPr>
          <w:color w:val="auto"/>
          <w:highlight w:val="none"/>
        </w:rPr>
      </w:pPr>
      <w:r>
        <w:rPr>
          <w:rFonts w:hint="eastAsia"/>
          <w:color w:val="auto"/>
          <w:highlight w:val="none"/>
        </w:rPr>
        <w:t>提出估算的有关岩土的基桩侧阻力和端阻力，估算的竖向抗拔承载力。</w:t>
      </w:r>
    </w:p>
    <w:p w14:paraId="5703D9F0">
      <w:pPr>
        <w:numPr>
          <w:ilvl w:val="0"/>
          <w:numId w:val="22"/>
        </w:numPr>
        <w:rPr>
          <w:color w:val="auto"/>
          <w:highlight w:val="none"/>
        </w:rPr>
      </w:pPr>
      <w:r>
        <w:rPr>
          <w:rFonts w:hint="eastAsia"/>
          <w:color w:val="auto"/>
          <w:highlight w:val="none"/>
        </w:rPr>
        <w:t>应提供计算所需的各层岩土的变形参数，进行沉降估算，并预测建筑物的变形特征。</w:t>
      </w:r>
    </w:p>
    <w:p w14:paraId="03DFC3D5">
      <w:pPr>
        <w:numPr>
          <w:ilvl w:val="0"/>
          <w:numId w:val="22"/>
        </w:numPr>
        <w:rPr>
          <w:color w:val="auto"/>
          <w:highlight w:val="none"/>
        </w:rPr>
      </w:pPr>
      <w:r>
        <w:rPr>
          <w:rFonts w:hint="eastAsia"/>
          <w:color w:val="auto"/>
          <w:highlight w:val="none"/>
        </w:rPr>
        <w:t>查明不良地质作用，可液化土层和特殊性岩土以及溶洞的分布及对桩基的危害程度，并提出防治措施的建议。</w:t>
      </w:r>
    </w:p>
    <w:p w14:paraId="57728021">
      <w:pPr>
        <w:numPr>
          <w:ilvl w:val="0"/>
          <w:numId w:val="22"/>
        </w:numPr>
        <w:rPr>
          <w:color w:val="auto"/>
          <w:highlight w:val="none"/>
        </w:rPr>
      </w:pPr>
      <w:r>
        <w:rPr>
          <w:rFonts w:hint="eastAsia"/>
          <w:color w:val="auto"/>
          <w:highlight w:val="none"/>
        </w:rPr>
        <w:t>当桩基持力层为基岩时，应查明基岩的岩性、构造、岩面变化、风化程度，确定基坚硬程度、完整程度和基本质量等级，判定有无洞穴、临空面、破碎岩体或软弱岩层。</w:t>
      </w:r>
    </w:p>
    <w:p w14:paraId="6CDA026E">
      <w:pPr>
        <w:numPr>
          <w:ilvl w:val="0"/>
          <w:numId w:val="22"/>
        </w:numPr>
        <w:rPr>
          <w:color w:val="auto"/>
          <w:highlight w:val="none"/>
        </w:rPr>
      </w:pPr>
      <w:r>
        <w:rPr>
          <w:rFonts w:hint="eastAsia"/>
          <w:color w:val="auto"/>
          <w:highlight w:val="none"/>
        </w:rPr>
        <w:t>桩基岩土工程勘察宜采用钻探和触探或其他原位测试相结合的方式进行，对软土、粘性土、粉土和砂土的测试手段，宜采用静力触探和标准贯入试验，对碎石土宜采用重型或超重型园锥动力触探。</w:t>
      </w:r>
    </w:p>
    <w:p w14:paraId="1278EB8E">
      <w:pPr>
        <w:numPr>
          <w:ilvl w:val="0"/>
          <w:numId w:val="21"/>
        </w:numPr>
        <w:rPr>
          <w:color w:val="auto"/>
          <w:highlight w:val="none"/>
        </w:rPr>
      </w:pPr>
      <w:r>
        <w:rPr>
          <w:rFonts w:hint="eastAsia"/>
          <w:color w:val="auto"/>
          <w:highlight w:val="none"/>
        </w:rPr>
        <w:t>基坑工程勘察部分应对应以下内容进行分析，并提供有关技术参数和建议：</w:t>
      </w:r>
    </w:p>
    <w:p w14:paraId="49EEB34B">
      <w:pPr>
        <w:numPr>
          <w:ilvl w:val="0"/>
          <w:numId w:val="23"/>
        </w:numPr>
        <w:rPr>
          <w:color w:val="auto"/>
          <w:highlight w:val="none"/>
        </w:rPr>
      </w:pPr>
      <w:r>
        <w:rPr>
          <w:rFonts w:hint="eastAsia"/>
          <w:color w:val="auto"/>
          <w:highlight w:val="none"/>
        </w:rPr>
        <w:t>边坡的局部稳定性、整体稳定性和坑底抗隆起稳定性；</w:t>
      </w:r>
    </w:p>
    <w:p w14:paraId="147D6144">
      <w:pPr>
        <w:numPr>
          <w:ilvl w:val="0"/>
          <w:numId w:val="23"/>
        </w:numPr>
        <w:rPr>
          <w:color w:val="auto"/>
          <w:highlight w:val="none"/>
        </w:rPr>
      </w:pPr>
      <w:r>
        <w:rPr>
          <w:rFonts w:hint="eastAsia"/>
          <w:color w:val="auto"/>
          <w:highlight w:val="none"/>
        </w:rPr>
        <w:t>坑底和侧壁的渗透稳定性；</w:t>
      </w:r>
    </w:p>
    <w:p w14:paraId="4605C3B3">
      <w:pPr>
        <w:numPr>
          <w:ilvl w:val="0"/>
          <w:numId w:val="23"/>
        </w:numPr>
        <w:rPr>
          <w:color w:val="auto"/>
          <w:highlight w:val="none"/>
        </w:rPr>
      </w:pPr>
      <w:r>
        <w:rPr>
          <w:rFonts w:hint="eastAsia"/>
          <w:color w:val="auto"/>
          <w:highlight w:val="none"/>
        </w:rPr>
        <w:t>挡土结构和边坡可能发生的变形；</w:t>
      </w:r>
    </w:p>
    <w:p w14:paraId="33617BD7">
      <w:pPr>
        <w:numPr>
          <w:ilvl w:val="0"/>
          <w:numId w:val="23"/>
        </w:numPr>
        <w:rPr>
          <w:color w:val="auto"/>
          <w:highlight w:val="none"/>
        </w:rPr>
      </w:pPr>
      <w:r>
        <w:rPr>
          <w:rFonts w:hint="eastAsia"/>
          <w:color w:val="auto"/>
          <w:highlight w:val="none"/>
        </w:rPr>
        <w:t>降水效果和降水对环境的影响；</w:t>
      </w:r>
    </w:p>
    <w:p w14:paraId="35E5DFCB">
      <w:pPr>
        <w:numPr>
          <w:ilvl w:val="0"/>
          <w:numId w:val="21"/>
        </w:numPr>
        <w:rPr>
          <w:color w:val="auto"/>
          <w:highlight w:val="none"/>
        </w:rPr>
      </w:pPr>
      <w:r>
        <w:rPr>
          <w:rFonts w:hint="eastAsia"/>
          <w:color w:val="auto"/>
          <w:highlight w:val="none"/>
        </w:rPr>
        <w:t>开挖和降水对邻边建筑和地下设施的影响：</w:t>
      </w:r>
    </w:p>
    <w:p w14:paraId="6847C903">
      <w:pPr>
        <w:spacing w:line="360" w:lineRule="auto"/>
        <w:ind w:firstLine="480" w:firstLineChars="200"/>
        <w:rPr>
          <w:rFonts w:ascii="宋体" w:hAnsi="宋体"/>
          <w:color w:val="auto"/>
          <w:highlight w:val="none"/>
        </w:rPr>
      </w:pPr>
      <w:r>
        <w:rPr>
          <w:rFonts w:hint="eastAsia" w:ascii="宋体" w:hAnsi="宋体"/>
          <w:color w:val="auto"/>
          <w:highlight w:val="none"/>
        </w:rPr>
        <w:t>除说明外，均按照《岩土工程勘察规范》</w:t>
      </w:r>
      <w:r>
        <w:rPr>
          <w:rFonts w:ascii="宋体" w:hAnsi="宋体"/>
          <w:color w:val="auto"/>
          <w:highlight w:val="none"/>
        </w:rPr>
        <w:t>（GB50021-2001</w:t>
      </w:r>
      <w:r>
        <w:rPr>
          <w:rFonts w:hint="eastAsia" w:ascii="宋体" w:hAnsi="宋体"/>
          <w:color w:val="auto"/>
          <w:highlight w:val="none"/>
        </w:rPr>
        <w:t>，</w:t>
      </w:r>
      <w:r>
        <w:rPr>
          <w:rFonts w:ascii="宋体" w:hAnsi="宋体"/>
          <w:color w:val="auto"/>
          <w:highlight w:val="none"/>
        </w:rPr>
        <w:t>2009年版）</w:t>
      </w:r>
      <w:r>
        <w:rPr>
          <w:rFonts w:hint="eastAsia" w:ascii="宋体" w:hAnsi="宋体"/>
          <w:color w:val="auto"/>
          <w:highlight w:val="none"/>
        </w:rPr>
        <w:t>规定的有关技术要求执行。如本次勘察结果表明场地存在特殊问题，则在钻探过程中或基础工程施工前另行增补技术措施。</w:t>
      </w:r>
    </w:p>
    <w:p w14:paraId="39545F93">
      <w:pPr>
        <w:pStyle w:val="5"/>
        <w:spacing w:before="156" w:after="156"/>
        <w:rPr>
          <w:color w:val="auto"/>
          <w:highlight w:val="none"/>
        </w:rPr>
      </w:pPr>
      <w:r>
        <w:rPr>
          <w:rFonts w:ascii="宋体" w:hAnsi="宋体"/>
          <w:color w:val="auto"/>
          <w:highlight w:val="none"/>
          <w:lang w:val="zh-CN"/>
        </w:rPr>
        <w:t>勘探点布置</w:t>
      </w:r>
    </w:p>
    <w:p w14:paraId="0FB63781">
      <w:pPr>
        <w:numPr>
          <w:ilvl w:val="0"/>
          <w:numId w:val="24"/>
        </w:numPr>
        <w:rPr>
          <w:color w:val="auto"/>
          <w:highlight w:val="none"/>
          <w:lang w:val="zh-CN"/>
        </w:rPr>
      </w:pPr>
      <w:r>
        <w:rPr>
          <w:rFonts w:hint="eastAsia"/>
          <w:color w:val="auto"/>
          <w:highlight w:val="none"/>
          <w:lang w:val="zh-CN"/>
        </w:rPr>
        <w:t>初勘、详勘</w:t>
      </w:r>
    </w:p>
    <w:p w14:paraId="2BAB3689">
      <w:pPr>
        <w:ind w:firstLine="482" w:firstLineChars="200"/>
        <w:rPr>
          <w:color w:val="auto"/>
          <w:highlight w:val="none"/>
        </w:rPr>
      </w:pPr>
      <w:r>
        <w:rPr>
          <w:rFonts w:hint="eastAsia"/>
          <w:b/>
          <w:bCs/>
          <w:color w:val="auto"/>
          <w:highlight w:val="none"/>
          <w:lang w:val="zh-CN"/>
        </w:rPr>
        <w:t>初步勘察结合详细勘察同步进行</w:t>
      </w:r>
      <w:r>
        <w:rPr>
          <w:rFonts w:hint="eastAsia"/>
          <w:color w:val="auto"/>
          <w:highlight w:val="none"/>
          <w:lang w:val="zh-CN"/>
        </w:rPr>
        <w:t>，如建设方案已定，则有针对性地布置钻孔，主要依据地块范围、场地情况、建筑方案、建筑轮廓、柱网及基坑等布孔，预估基础形式、钻孔深度要求等。如建设方案暂未确定，则依据规范及参考附近地质资料等确定孔距，孔距可考虑30～</w:t>
      </w:r>
      <w:r>
        <w:rPr>
          <w:color w:val="auto"/>
          <w:highlight w:val="none"/>
          <w:lang w:val="zh-CN"/>
        </w:rPr>
        <w:t>5</w:t>
      </w:r>
      <w:r>
        <w:rPr>
          <w:rFonts w:hint="eastAsia"/>
          <w:color w:val="auto"/>
          <w:highlight w:val="none"/>
          <w:lang w:val="zh-CN"/>
        </w:rPr>
        <w:t>0m（最终以勘察布孔图为准）。布孔及终孔条件在满足工程要求的基础上，尽量节约成本，最终钻孔平面布置图及勘察技术要求提交业主、设计进行确认，钻进深度以满足设计要求为准。具体结算工程量以实际发生为准。</w:t>
      </w:r>
    </w:p>
    <w:p w14:paraId="46CA2B95">
      <w:pPr>
        <w:pStyle w:val="5"/>
        <w:spacing w:before="156" w:after="156"/>
        <w:rPr>
          <w:color w:val="auto"/>
          <w:highlight w:val="none"/>
        </w:rPr>
      </w:pPr>
      <w:r>
        <w:rPr>
          <w:rFonts w:hint="eastAsia" w:ascii="宋体" w:hAnsi="宋体"/>
          <w:color w:val="auto"/>
          <w:highlight w:val="none"/>
          <w:lang w:val="zh-CN"/>
        </w:rPr>
        <w:t>钻孔要求</w:t>
      </w:r>
    </w:p>
    <w:p w14:paraId="2F931F72">
      <w:pPr>
        <w:numPr>
          <w:ilvl w:val="0"/>
          <w:numId w:val="25"/>
        </w:numPr>
        <w:rPr>
          <w:color w:val="auto"/>
          <w:highlight w:val="none"/>
          <w:lang w:val="zh-CN"/>
        </w:rPr>
      </w:pPr>
      <w:r>
        <w:rPr>
          <w:rFonts w:hint="eastAsia"/>
          <w:color w:val="auto"/>
          <w:highlight w:val="none"/>
          <w:lang w:val="zh-CN"/>
        </w:rPr>
        <w:t>场地内钻孔：勘探孔应穿透软弱土层进入满足工程要求的持力层不少于3m，且最小钻孔深度不小于20m。</w:t>
      </w:r>
    </w:p>
    <w:p w14:paraId="3B19BB3F">
      <w:pPr>
        <w:numPr>
          <w:ilvl w:val="0"/>
          <w:numId w:val="25"/>
        </w:numPr>
        <w:rPr>
          <w:color w:val="auto"/>
          <w:highlight w:val="none"/>
          <w:lang w:val="zh-CN"/>
        </w:rPr>
      </w:pPr>
      <w:r>
        <w:rPr>
          <w:rFonts w:hint="eastAsia"/>
          <w:color w:val="auto"/>
          <w:highlight w:val="none"/>
          <w:lang w:val="zh-CN"/>
        </w:rPr>
        <w:t>桩基础的勘探孔深度应符合下列规定：</w:t>
      </w:r>
    </w:p>
    <w:p w14:paraId="4E2E3738">
      <w:pPr>
        <w:numPr>
          <w:ilvl w:val="0"/>
          <w:numId w:val="26"/>
        </w:numPr>
        <w:rPr>
          <w:color w:val="auto"/>
          <w:highlight w:val="none"/>
          <w:lang w:val="zh-CN"/>
        </w:rPr>
      </w:pPr>
      <w:r>
        <w:rPr>
          <w:rFonts w:hint="eastAsia"/>
          <w:color w:val="auto"/>
          <w:highlight w:val="none"/>
          <w:lang w:val="zh-CN"/>
        </w:rPr>
        <w:t>一般性勘探孔深度应进入预计桩端平面以下岩土层不小于3d（d为桩身设计桩径）,且不应小于3m；对桩身直径大于或等于800mm的桩，不应小于5m。</w:t>
      </w:r>
    </w:p>
    <w:p w14:paraId="3402788D">
      <w:pPr>
        <w:numPr>
          <w:ilvl w:val="0"/>
          <w:numId w:val="26"/>
        </w:numPr>
        <w:rPr>
          <w:color w:val="auto"/>
          <w:highlight w:val="none"/>
          <w:lang w:val="zh-CN"/>
        </w:rPr>
      </w:pPr>
      <w:r>
        <w:rPr>
          <w:rFonts w:hint="eastAsia"/>
          <w:color w:val="auto"/>
          <w:highlight w:val="none"/>
          <w:lang w:val="zh-CN"/>
        </w:rPr>
        <w:t>控制性勘探孔深度应满足下卧层验算要求，对需验算沉降的桩基，应满足地基变形计算深度要求。</w:t>
      </w:r>
    </w:p>
    <w:p w14:paraId="2A3166BB">
      <w:pPr>
        <w:numPr>
          <w:ilvl w:val="0"/>
          <w:numId w:val="26"/>
        </w:numPr>
        <w:rPr>
          <w:color w:val="auto"/>
          <w:highlight w:val="none"/>
          <w:lang w:val="zh-CN"/>
        </w:rPr>
      </w:pPr>
      <w:r>
        <w:rPr>
          <w:rFonts w:hint="eastAsia"/>
          <w:color w:val="auto"/>
          <w:highlight w:val="none"/>
          <w:lang w:val="zh-CN"/>
        </w:rPr>
        <w:t>对嵌岩桩，控制性勘探孔深度应进入预计桩端平面以下岩层不小于3d，一般性勘探孔深度应进入预计桩端平面以下岩层不小于1d，且应穿过溶洞、破碎带到达稳定岩层。</w:t>
      </w:r>
    </w:p>
    <w:p w14:paraId="4A6D90F6">
      <w:pPr>
        <w:numPr>
          <w:ilvl w:val="0"/>
          <w:numId w:val="25"/>
        </w:numPr>
        <w:rPr>
          <w:color w:val="auto"/>
          <w:highlight w:val="none"/>
          <w:lang w:val="zh-CN"/>
        </w:rPr>
      </w:pPr>
      <w:r>
        <w:rPr>
          <w:rFonts w:hint="eastAsia"/>
          <w:color w:val="auto"/>
          <w:highlight w:val="none"/>
          <w:lang w:val="zh-CN"/>
        </w:rPr>
        <w:t>控制孔应取土、岩样作常规的物理力学实验，所有钻孔应作原位测试（标贯N）实验。</w:t>
      </w:r>
    </w:p>
    <w:p w14:paraId="6CC897AD">
      <w:pPr>
        <w:numPr>
          <w:ilvl w:val="0"/>
          <w:numId w:val="25"/>
        </w:numPr>
        <w:rPr>
          <w:color w:val="auto"/>
          <w:highlight w:val="none"/>
          <w:lang w:val="zh-CN"/>
        </w:rPr>
      </w:pPr>
      <w:r>
        <w:rPr>
          <w:rFonts w:hint="eastAsia"/>
          <w:color w:val="auto"/>
          <w:highlight w:val="none"/>
          <w:lang w:val="zh-CN"/>
        </w:rPr>
        <w:t>取土岩式样和原位测试的钻探点，每一主要土层的原状土式样不应少于5件，同一土层的孔内原位测试数据不应少于6组。对厚度大于0.5m的夹层或透镜体，应采取土式样或进行原位测试；</w:t>
      </w:r>
    </w:p>
    <w:p w14:paraId="12ACFBD1">
      <w:pPr>
        <w:numPr>
          <w:ilvl w:val="0"/>
          <w:numId w:val="25"/>
        </w:numPr>
        <w:rPr>
          <w:color w:val="auto"/>
          <w:highlight w:val="none"/>
          <w:lang w:val="zh-CN"/>
        </w:rPr>
      </w:pPr>
      <w:r>
        <w:rPr>
          <w:rFonts w:hint="eastAsia"/>
          <w:color w:val="auto"/>
          <w:highlight w:val="none"/>
          <w:lang w:val="zh-CN"/>
        </w:rPr>
        <w:t>岩样均分别取样进行天然湿度状态及饱和状态下的单轴抗压强度试验，并提供极限抗压强度，软化系数等参数；</w:t>
      </w:r>
    </w:p>
    <w:p w14:paraId="1BC142A9">
      <w:pPr>
        <w:numPr>
          <w:ilvl w:val="0"/>
          <w:numId w:val="25"/>
        </w:numPr>
        <w:rPr>
          <w:color w:val="auto"/>
          <w:highlight w:val="none"/>
          <w:lang w:val="zh-CN"/>
        </w:rPr>
      </w:pPr>
      <w:r>
        <w:rPr>
          <w:rFonts w:hint="eastAsia"/>
          <w:color w:val="auto"/>
          <w:highlight w:val="none"/>
        </w:rPr>
        <w:t>钻孔</w:t>
      </w:r>
      <w:r>
        <w:rPr>
          <w:rFonts w:hint="eastAsia"/>
          <w:color w:val="auto"/>
          <w:highlight w:val="none"/>
          <w:lang w:val="zh-CN"/>
        </w:rPr>
        <w:t>严格按照</w:t>
      </w:r>
      <w:r>
        <w:rPr>
          <w:rFonts w:hint="eastAsia"/>
          <w:color w:val="auto"/>
          <w:highlight w:val="none"/>
        </w:rPr>
        <w:t>初、详勘、超前钻技术要求、</w:t>
      </w:r>
      <w:r>
        <w:rPr>
          <w:rFonts w:hint="eastAsia"/>
          <w:color w:val="auto"/>
          <w:highlight w:val="none"/>
          <w:lang w:val="zh-CN"/>
        </w:rPr>
        <w:t>工程设计要求及勘察规范、现行广州市相关管理要求开展作业、</w:t>
      </w:r>
      <w:r>
        <w:rPr>
          <w:rFonts w:hint="eastAsia"/>
          <w:color w:val="auto"/>
          <w:highlight w:val="none"/>
        </w:rPr>
        <w:t>提交</w:t>
      </w:r>
      <w:r>
        <w:rPr>
          <w:rFonts w:hint="eastAsia"/>
          <w:color w:val="auto"/>
          <w:highlight w:val="none"/>
          <w:lang w:val="zh-CN"/>
        </w:rPr>
        <w:t>成果。</w:t>
      </w:r>
    </w:p>
    <w:p w14:paraId="1FC6FB47">
      <w:pPr>
        <w:ind w:left="0" w:leftChars="0" w:firstLine="0" w:firstLineChars="0"/>
        <w:rPr>
          <w:color w:val="auto"/>
          <w:highlight w:val="none"/>
        </w:rPr>
      </w:pPr>
    </w:p>
    <w:p w14:paraId="51E21417">
      <w:pPr>
        <w:rPr>
          <w:color w:val="auto"/>
          <w:highlight w:val="none"/>
        </w:rPr>
      </w:pPr>
    </w:p>
    <w:p w14:paraId="088BBF29">
      <w:pPr>
        <w:pStyle w:val="3"/>
        <w:spacing w:before="312" w:after="156"/>
        <w:rPr>
          <w:color w:val="auto"/>
          <w:highlight w:val="none"/>
        </w:rPr>
      </w:pPr>
      <w:bookmarkStart w:id="29" w:name="_Toc27489"/>
      <w:bookmarkStart w:id="30" w:name="_Toc6968"/>
      <w:r>
        <w:rPr>
          <w:color w:val="auto"/>
          <w:highlight w:val="none"/>
        </w:rPr>
        <w:t>勘察成果文件要求</w:t>
      </w:r>
      <w:bookmarkEnd w:id="29"/>
      <w:bookmarkEnd w:id="30"/>
    </w:p>
    <w:p w14:paraId="08B3F389">
      <w:pPr>
        <w:ind w:firstLine="480" w:firstLineChars="200"/>
        <w:rPr>
          <w:color w:val="auto"/>
          <w:highlight w:val="none"/>
        </w:rPr>
      </w:pPr>
      <w:r>
        <w:rPr>
          <w:rFonts w:hint="eastAsia"/>
          <w:color w:val="auto"/>
          <w:highlight w:val="none"/>
        </w:rPr>
        <w:t>勘察报告应满足现行相关规范、规程、标准等的要求，满足项目设计及施工的要求。</w:t>
      </w:r>
    </w:p>
    <w:p w14:paraId="7E6891EC">
      <w:pPr>
        <w:pStyle w:val="4"/>
        <w:spacing w:before="156" w:after="156"/>
        <w:rPr>
          <w:color w:val="auto"/>
          <w:highlight w:val="none"/>
        </w:rPr>
      </w:pPr>
      <w:r>
        <w:rPr>
          <w:rFonts w:hint="eastAsia"/>
          <w:color w:val="auto"/>
          <w:highlight w:val="none"/>
        </w:rPr>
        <w:t>岩土勘察报告</w:t>
      </w:r>
    </w:p>
    <w:p w14:paraId="2A3F7E94">
      <w:pPr>
        <w:pStyle w:val="5"/>
        <w:spacing w:before="156" w:after="156"/>
        <w:rPr>
          <w:color w:val="auto"/>
          <w:highlight w:val="none"/>
        </w:rPr>
      </w:pPr>
      <w:r>
        <w:rPr>
          <w:rFonts w:hint="eastAsia" w:ascii="宋体" w:hAnsi="宋体"/>
          <w:color w:val="auto"/>
          <w:highlight w:val="none"/>
        </w:rPr>
        <w:t>文字部分：</w:t>
      </w:r>
    </w:p>
    <w:p w14:paraId="0E2E87DA">
      <w:pPr>
        <w:numPr>
          <w:ilvl w:val="0"/>
          <w:numId w:val="27"/>
        </w:numPr>
        <w:rPr>
          <w:color w:val="auto"/>
          <w:highlight w:val="none"/>
        </w:rPr>
      </w:pPr>
      <w:r>
        <w:rPr>
          <w:rFonts w:hint="eastAsia"/>
          <w:color w:val="auto"/>
          <w:highlight w:val="none"/>
        </w:rPr>
        <w:t>工程地质勘察目的、任务要求和依据的技术标准；</w:t>
      </w:r>
    </w:p>
    <w:p w14:paraId="4CA6D859">
      <w:pPr>
        <w:numPr>
          <w:ilvl w:val="0"/>
          <w:numId w:val="27"/>
        </w:numPr>
        <w:rPr>
          <w:color w:val="auto"/>
          <w:highlight w:val="none"/>
        </w:rPr>
      </w:pPr>
      <w:r>
        <w:rPr>
          <w:rFonts w:hint="eastAsia"/>
          <w:color w:val="auto"/>
          <w:highlight w:val="none"/>
        </w:rPr>
        <w:t>拟建工程概况；</w:t>
      </w:r>
    </w:p>
    <w:p w14:paraId="5AD90B75">
      <w:pPr>
        <w:numPr>
          <w:ilvl w:val="0"/>
          <w:numId w:val="27"/>
        </w:numPr>
        <w:rPr>
          <w:color w:val="auto"/>
          <w:highlight w:val="none"/>
        </w:rPr>
      </w:pPr>
      <w:r>
        <w:rPr>
          <w:rFonts w:hint="eastAsia"/>
          <w:color w:val="auto"/>
          <w:highlight w:val="none"/>
        </w:rPr>
        <w:t>勘察方法和勘察工作布置；</w:t>
      </w:r>
    </w:p>
    <w:p w14:paraId="4DFBD09D">
      <w:pPr>
        <w:numPr>
          <w:ilvl w:val="0"/>
          <w:numId w:val="27"/>
        </w:numPr>
        <w:rPr>
          <w:color w:val="auto"/>
          <w:highlight w:val="none"/>
        </w:rPr>
      </w:pPr>
      <w:r>
        <w:rPr>
          <w:rFonts w:hint="eastAsia"/>
          <w:color w:val="auto"/>
          <w:highlight w:val="none"/>
        </w:rPr>
        <w:t>场地地形、地貌、地质、地质构造、岩石性质及其均匀性；</w:t>
      </w:r>
    </w:p>
    <w:p w14:paraId="752195FA">
      <w:pPr>
        <w:numPr>
          <w:ilvl w:val="0"/>
          <w:numId w:val="27"/>
        </w:numPr>
        <w:rPr>
          <w:color w:val="auto"/>
          <w:highlight w:val="none"/>
        </w:rPr>
      </w:pPr>
      <w:r>
        <w:rPr>
          <w:rFonts w:hint="eastAsia"/>
          <w:color w:val="auto"/>
          <w:highlight w:val="none"/>
        </w:rPr>
        <w:t>各项岩土性质指标，岩土的强度参数、变形参数、地基承载力的建议值；</w:t>
      </w:r>
    </w:p>
    <w:p w14:paraId="608DDAAE">
      <w:pPr>
        <w:numPr>
          <w:ilvl w:val="0"/>
          <w:numId w:val="27"/>
        </w:numPr>
        <w:rPr>
          <w:color w:val="auto"/>
          <w:highlight w:val="none"/>
        </w:rPr>
      </w:pPr>
      <w:r>
        <w:rPr>
          <w:rFonts w:hint="eastAsia"/>
          <w:color w:val="auto"/>
          <w:highlight w:val="none"/>
        </w:rPr>
        <w:t>地上水埋藏情况、类型、水位及其变化；</w:t>
      </w:r>
    </w:p>
    <w:p w14:paraId="5D9E4816">
      <w:pPr>
        <w:numPr>
          <w:ilvl w:val="0"/>
          <w:numId w:val="27"/>
        </w:numPr>
        <w:rPr>
          <w:color w:val="auto"/>
          <w:highlight w:val="none"/>
        </w:rPr>
      </w:pPr>
      <w:r>
        <w:rPr>
          <w:rFonts w:hint="eastAsia"/>
          <w:color w:val="auto"/>
          <w:highlight w:val="none"/>
        </w:rPr>
        <w:t>土和水对建筑材料的腐蚀性；</w:t>
      </w:r>
    </w:p>
    <w:p w14:paraId="71298F17">
      <w:pPr>
        <w:numPr>
          <w:ilvl w:val="0"/>
          <w:numId w:val="27"/>
        </w:numPr>
        <w:rPr>
          <w:color w:val="auto"/>
          <w:highlight w:val="none"/>
        </w:rPr>
      </w:pPr>
      <w:r>
        <w:rPr>
          <w:rFonts w:hint="eastAsia"/>
          <w:color w:val="auto"/>
          <w:highlight w:val="none"/>
        </w:rPr>
        <w:t>可能影响工程稳定的不良地质作用的描述和对工程危害的程度的评价，及提供防治措施的建议；</w:t>
      </w:r>
    </w:p>
    <w:p w14:paraId="60DE871B">
      <w:pPr>
        <w:numPr>
          <w:ilvl w:val="0"/>
          <w:numId w:val="27"/>
        </w:numPr>
        <w:rPr>
          <w:color w:val="auto"/>
          <w:highlight w:val="none"/>
        </w:rPr>
      </w:pPr>
      <w:r>
        <w:rPr>
          <w:rFonts w:hint="eastAsia"/>
          <w:color w:val="auto"/>
          <w:highlight w:val="none"/>
        </w:rPr>
        <w:t>场地的稳定性和适宜性、地下水的影响、地震基本烈度、场地类别以及由于工程建筑可能引起的工程地质问题等的结论和建议；</w:t>
      </w:r>
    </w:p>
    <w:p w14:paraId="7D42EA7C">
      <w:pPr>
        <w:numPr>
          <w:ilvl w:val="0"/>
          <w:numId w:val="27"/>
        </w:numPr>
        <w:rPr>
          <w:color w:val="auto"/>
          <w:highlight w:val="none"/>
        </w:rPr>
      </w:pPr>
      <w:r>
        <w:rPr>
          <w:rFonts w:hint="eastAsia"/>
          <w:color w:val="auto"/>
          <w:highlight w:val="none"/>
        </w:rPr>
        <w:t>基坑开挖所需的岩土技术参数；</w:t>
      </w:r>
    </w:p>
    <w:p w14:paraId="1735B3BA">
      <w:pPr>
        <w:numPr>
          <w:ilvl w:val="0"/>
          <w:numId w:val="27"/>
        </w:numPr>
        <w:rPr>
          <w:color w:val="auto"/>
          <w:highlight w:val="none"/>
        </w:rPr>
      </w:pPr>
      <w:r>
        <w:rPr>
          <w:rFonts w:hint="eastAsia"/>
          <w:color w:val="auto"/>
          <w:highlight w:val="none"/>
        </w:rPr>
        <w:t>基坑施工降水的有关技术参数及施工降水方法的建议；</w:t>
      </w:r>
    </w:p>
    <w:p w14:paraId="478EE804">
      <w:pPr>
        <w:numPr>
          <w:ilvl w:val="0"/>
          <w:numId w:val="27"/>
        </w:numPr>
        <w:rPr>
          <w:color w:val="auto"/>
          <w:highlight w:val="none"/>
        </w:rPr>
      </w:pPr>
      <w:r>
        <w:rPr>
          <w:rFonts w:hint="eastAsia"/>
          <w:color w:val="auto"/>
          <w:highlight w:val="none"/>
        </w:rPr>
        <w:t>提供抗剪强度指标、变形参数指标和触探资料；</w:t>
      </w:r>
    </w:p>
    <w:p w14:paraId="776DBD21">
      <w:pPr>
        <w:numPr>
          <w:ilvl w:val="0"/>
          <w:numId w:val="27"/>
        </w:numPr>
        <w:rPr>
          <w:color w:val="auto"/>
          <w:highlight w:val="none"/>
        </w:rPr>
      </w:pPr>
      <w:r>
        <w:rPr>
          <w:rFonts w:hint="eastAsia"/>
          <w:color w:val="auto"/>
          <w:highlight w:val="none"/>
        </w:rPr>
        <w:t>满足工程地质勘察任务书提出的其它各项要求；</w:t>
      </w:r>
    </w:p>
    <w:p w14:paraId="7A96530D">
      <w:pPr>
        <w:numPr>
          <w:ilvl w:val="0"/>
          <w:numId w:val="27"/>
        </w:numPr>
        <w:rPr>
          <w:color w:val="auto"/>
          <w:highlight w:val="none"/>
        </w:rPr>
      </w:pPr>
      <w:r>
        <w:rPr>
          <w:rFonts w:hint="eastAsia"/>
          <w:color w:val="auto"/>
          <w:highlight w:val="none"/>
        </w:rPr>
        <w:t>提供抗浮验算的各项计算参数；</w:t>
      </w:r>
    </w:p>
    <w:p w14:paraId="196A05B4">
      <w:pPr>
        <w:numPr>
          <w:ilvl w:val="0"/>
          <w:numId w:val="27"/>
        </w:numPr>
        <w:rPr>
          <w:color w:val="auto"/>
          <w:highlight w:val="none"/>
        </w:rPr>
      </w:pPr>
      <w:r>
        <w:rPr>
          <w:rFonts w:hint="eastAsia"/>
          <w:color w:val="auto"/>
          <w:highlight w:val="none"/>
        </w:rPr>
        <w:t>提供基础选型、持力层选择的建议。</w:t>
      </w:r>
    </w:p>
    <w:p w14:paraId="7C748527">
      <w:pPr>
        <w:pStyle w:val="5"/>
        <w:spacing w:before="156" w:after="156"/>
        <w:rPr>
          <w:color w:val="auto"/>
          <w:highlight w:val="none"/>
        </w:rPr>
      </w:pPr>
      <w:r>
        <w:rPr>
          <w:rFonts w:hint="eastAsia" w:ascii="宋体" w:hAnsi="宋体"/>
          <w:color w:val="auto"/>
          <w:highlight w:val="none"/>
        </w:rPr>
        <w:t>图表部分：</w:t>
      </w:r>
    </w:p>
    <w:p w14:paraId="45647FF8">
      <w:pPr>
        <w:numPr>
          <w:ilvl w:val="0"/>
          <w:numId w:val="28"/>
        </w:numPr>
        <w:rPr>
          <w:color w:val="auto"/>
          <w:highlight w:val="none"/>
        </w:rPr>
      </w:pPr>
      <w:r>
        <w:rPr>
          <w:rFonts w:hint="eastAsia"/>
          <w:color w:val="auto"/>
          <w:highlight w:val="none"/>
        </w:rPr>
        <w:t>勘探点平面布置图；</w:t>
      </w:r>
    </w:p>
    <w:p w14:paraId="0286708F">
      <w:pPr>
        <w:numPr>
          <w:ilvl w:val="0"/>
          <w:numId w:val="28"/>
        </w:numPr>
        <w:rPr>
          <w:color w:val="auto"/>
          <w:highlight w:val="none"/>
        </w:rPr>
      </w:pPr>
      <w:r>
        <w:rPr>
          <w:rFonts w:hint="eastAsia"/>
          <w:color w:val="auto"/>
          <w:highlight w:val="none"/>
        </w:rPr>
        <w:t>综合工程地质图；</w:t>
      </w:r>
    </w:p>
    <w:p w14:paraId="49113F46">
      <w:pPr>
        <w:numPr>
          <w:ilvl w:val="0"/>
          <w:numId w:val="28"/>
        </w:numPr>
        <w:rPr>
          <w:color w:val="auto"/>
          <w:highlight w:val="none"/>
        </w:rPr>
      </w:pPr>
      <w:r>
        <w:rPr>
          <w:rFonts w:hint="eastAsia"/>
          <w:color w:val="auto"/>
          <w:highlight w:val="none"/>
        </w:rPr>
        <w:t>工程地质剖面图；</w:t>
      </w:r>
    </w:p>
    <w:p w14:paraId="47074540">
      <w:pPr>
        <w:numPr>
          <w:ilvl w:val="0"/>
          <w:numId w:val="28"/>
        </w:numPr>
        <w:rPr>
          <w:color w:val="auto"/>
          <w:highlight w:val="none"/>
        </w:rPr>
      </w:pPr>
      <w:r>
        <w:rPr>
          <w:rFonts w:hint="eastAsia"/>
          <w:color w:val="auto"/>
          <w:highlight w:val="none"/>
        </w:rPr>
        <w:t>工程地质柱状图或综合地质柱状图；</w:t>
      </w:r>
    </w:p>
    <w:p w14:paraId="12A73E3A">
      <w:pPr>
        <w:numPr>
          <w:ilvl w:val="0"/>
          <w:numId w:val="28"/>
        </w:numPr>
        <w:rPr>
          <w:color w:val="auto"/>
          <w:highlight w:val="none"/>
        </w:rPr>
      </w:pPr>
      <w:r>
        <w:rPr>
          <w:rFonts w:hint="eastAsia"/>
          <w:color w:val="auto"/>
          <w:highlight w:val="none"/>
        </w:rPr>
        <w:t>室内实验成果图表；</w:t>
      </w:r>
    </w:p>
    <w:p w14:paraId="292CEC29">
      <w:pPr>
        <w:numPr>
          <w:ilvl w:val="0"/>
          <w:numId w:val="28"/>
        </w:numPr>
        <w:rPr>
          <w:color w:val="auto"/>
          <w:highlight w:val="none"/>
        </w:rPr>
      </w:pPr>
      <w:r>
        <w:rPr>
          <w:rFonts w:hint="eastAsia"/>
          <w:color w:val="auto"/>
          <w:highlight w:val="none"/>
        </w:rPr>
        <w:t>原位测试成果图表；</w:t>
      </w:r>
    </w:p>
    <w:p w14:paraId="067AD4F6">
      <w:pPr>
        <w:numPr>
          <w:ilvl w:val="0"/>
          <w:numId w:val="28"/>
        </w:numPr>
        <w:rPr>
          <w:color w:val="auto"/>
          <w:highlight w:val="none"/>
        </w:rPr>
      </w:pPr>
      <w:r>
        <w:rPr>
          <w:rFonts w:hint="eastAsia"/>
          <w:color w:val="auto"/>
          <w:highlight w:val="none"/>
        </w:rPr>
        <w:t>有关测试图表等；</w:t>
      </w:r>
    </w:p>
    <w:p w14:paraId="6BDFA5A5">
      <w:pPr>
        <w:numPr>
          <w:ilvl w:val="0"/>
          <w:numId w:val="28"/>
        </w:numPr>
        <w:rPr>
          <w:color w:val="auto"/>
          <w:highlight w:val="none"/>
        </w:rPr>
      </w:pPr>
      <w:r>
        <w:rPr>
          <w:rFonts w:hint="eastAsia"/>
          <w:color w:val="auto"/>
          <w:highlight w:val="none"/>
        </w:rPr>
        <w:t>岩面等高线图；</w:t>
      </w:r>
    </w:p>
    <w:p w14:paraId="4C8A91E0">
      <w:pPr>
        <w:numPr>
          <w:ilvl w:val="0"/>
          <w:numId w:val="28"/>
        </w:numPr>
        <w:rPr>
          <w:color w:val="auto"/>
          <w:highlight w:val="none"/>
        </w:rPr>
      </w:pPr>
      <w:r>
        <w:rPr>
          <w:rFonts w:hint="eastAsia"/>
          <w:color w:val="auto"/>
          <w:highlight w:val="none"/>
        </w:rPr>
        <w:t>岩样照片；</w:t>
      </w:r>
    </w:p>
    <w:p w14:paraId="4E2513A1">
      <w:pPr>
        <w:numPr>
          <w:ilvl w:val="0"/>
          <w:numId w:val="28"/>
        </w:numPr>
        <w:rPr>
          <w:color w:val="auto"/>
          <w:highlight w:val="none"/>
        </w:rPr>
      </w:pPr>
      <w:r>
        <w:rPr>
          <w:rFonts w:hint="eastAsia"/>
          <w:color w:val="auto"/>
          <w:highlight w:val="none"/>
        </w:rPr>
        <w:t>不良地质（如有，如孤石、岩溶等）情况分布图及相关列表。</w:t>
      </w:r>
    </w:p>
    <w:p w14:paraId="018639F7">
      <w:pPr>
        <w:pStyle w:val="4"/>
        <w:spacing w:before="156" w:after="156"/>
        <w:rPr>
          <w:color w:val="auto"/>
          <w:highlight w:val="none"/>
        </w:rPr>
      </w:pPr>
      <w:r>
        <w:rPr>
          <w:rFonts w:hint="eastAsia"/>
          <w:color w:val="auto"/>
          <w:highlight w:val="none"/>
        </w:rPr>
        <w:t>地形测量报告</w:t>
      </w:r>
    </w:p>
    <w:p w14:paraId="440A9964">
      <w:pPr>
        <w:numPr>
          <w:ilvl w:val="0"/>
          <w:numId w:val="29"/>
        </w:numPr>
        <w:rPr>
          <w:color w:val="auto"/>
          <w:highlight w:val="none"/>
        </w:rPr>
      </w:pPr>
      <w:r>
        <w:rPr>
          <w:rFonts w:hint="eastAsia"/>
          <w:color w:val="auto"/>
          <w:highlight w:val="none"/>
        </w:rPr>
        <w:t>地形测量报告书；</w:t>
      </w:r>
    </w:p>
    <w:p w14:paraId="329464EC">
      <w:pPr>
        <w:numPr>
          <w:ilvl w:val="0"/>
          <w:numId w:val="29"/>
        </w:numPr>
        <w:rPr>
          <w:color w:val="auto"/>
          <w:highlight w:val="none"/>
        </w:rPr>
      </w:pPr>
      <w:r>
        <w:rPr>
          <w:rFonts w:hint="eastAsia"/>
          <w:color w:val="auto"/>
          <w:highlight w:val="none"/>
        </w:rPr>
        <w:t>控制点坐标表；</w:t>
      </w:r>
    </w:p>
    <w:p w14:paraId="3B891B03">
      <w:pPr>
        <w:numPr>
          <w:ilvl w:val="0"/>
          <w:numId w:val="29"/>
        </w:numPr>
        <w:rPr>
          <w:color w:val="auto"/>
          <w:highlight w:val="none"/>
        </w:rPr>
      </w:pPr>
      <w:r>
        <w:rPr>
          <w:rFonts w:hint="eastAsia"/>
          <w:color w:val="auto"/>
          <w:highlight w:val="none"/>
        </w:rPr>
        <w:t>地形图；</w:t>
      </w:r>
    </w:p>
    <w:p w14:paraId="64905A2F">
      <w:pPr>
        <w:ind w:firstLine="480" w:firstLineChars="200"/>
        <w:rPr>
          <w:color w:val="auto"/>
          <w:highlight w:val="none"/>
        </w:rPr>
      </w:pPr>
      <w:r>
        <w:rPr>
          <w:rFonts w:hint="eastAsia"/>
          <w:color w:val="auto"/>
          <w:highlight w:val="none"/>
        </w:rPr>
        <w:t>以上资料的数据光盘。</w:t>
      </w:r>
    </w:p>
    <w:p w14:paraId="1088F8AC">
      <w:pPr>
        <w:pStyle w:val="3"/>
        <w:spacing w:before="312" w:after="156"/>
        <w:rPr>
          <w:color w:val="auto"/>
          <w:highlight w:val="none"/>
        </w:rPr>
      </w:pPr>
      <w:bookmarkStart w:id="31" w:name="_Toc1115"/>
      <w:bookmarkStart w:id="32" w:name="_Toc9061"/>
      <w:r>
        <w:rPr>
          <w:rFonts w:hint="eastAsia"/>
          <w:color w:val="auto"/>
          <w:highlight w:val="none"/>
        </w:rPr>
        <w:t>工期及人员驻场要求</w:t>
      </w:r>
      <w:bookmarkEnd w:id="31"/>
      <w:bookmarkEnd w:id="32"/>
    </w:p>
    <w:p w14:paraId="47EB4211">
      <w:pPr>
        <w:numPr>
          <w:ilvl w:val="0"/>
          <w:numId w:val="30"/>
        </w:numPr>
        <w:rPr>
          <w:color w:val="auto"/>
          <w:highlight w:val="none"/>
        </w:rPr>
      </w:pPr>
      <w:r>
        <w:rPr>
          <w:rFonts w:hint="eastAsia"/>
          <w:color w:val="auto"/>
          <w:highlight w:val="none"/>
        </w:rPr>
        <w:t>岩土工程勘察：招标人通知勘察单位进场后，</w:t>
      </w:r>
      <w:r>
        <w:rPr>
          <w:rFonts w:hint="eastAsia"/>
          <w:color w:val="auto"/>
          <w:highlight w:val="none"/>
          <w:lang w:val="en-US" w:eastAsia="zh-CN"/>
        </w:rPr>
        <w:t>15</w:t>
      </w:r>
      <w:r>
        <w:rPr>
          <w:color w:val="auto"/>
          <w:highlight w:val="none"/>
        </w:rPr>
        <w:t>日历天完成工程勘察（初勘），</w:t>
      </w:r>
      <w:r>
        <w:rPr>
          <w:rFonts w:hint="eastAsia"/>
          <w:color w:val="auto"/>
          <w:highlight w:val="none"/>
          <w:lang w:val="en-US" w:eastAsia="zh-CN"/>
        </w:rPr>
        <w:t>25</w:t>
      </w:r>
      <w:r>
        <w:rPr>
          <w:color w:val="auto"/>
          <w:highlight w:val="none"/>
        </w:rPr>
        <w:t>日历天完成工程详勘</w:t>
      </w:r>
      <w:r>
        <w:rPr>
          <w:rFonts w:hint="eastAsia"/>
          <w:color w:val="auto"/>
          <w:highlight w:val="none"/>
        </w:rPr>
        <w:t>；</w:t>
      </w:r>
    </w:p>
    <w:p w14:paraId="680E3E8A">
      <w:pPr>
        <w:numPr>
          <w:ilvl w:val="0"/>
          <w:numId w:val="30"/>
        </w:numPr>
        <w:rPr>
          <w:color w:val="auto"/>
          <w:highlight w:val="none"/>
        </w:rPr>
      </w:pPr>
      <w:r>
        <w:rPr>
          <w:rFonts w:hint="eastAsia"/>
          <w:color w:val="auto"/>
          <w:highlight w:val="none"/>
        </w:rPr>
        <w:t>地形测量：招标人通知勘察单位进场后，</w:t>
      </w:r>
      <w:r>
        <w:rPr>
          <w:color w:val="auto"/>
          <w:highlight w:val="none"/>
        </w:rPr>
        <w:t>10日历天完成</w:t>
      </w:r>
      <w:r>
        <w:rPr>
          <w:rFonts w:hint="eastAsia"/>
          <w:color w:val="auto"/>
          <w:highlight w:val="none"/>
        </w:rPr>
        <w:t>地</w:t>
      </w:r>
      <w:r>
        <w:rPr>
          <w:color w:val="auto"/>
          <w:highlight w:val="none"/>
        </w:rPr>
        <w:t>形测量</w:t>
      </w:r>
      <w:r>
        <w:rPr>
          <w:rFonts w:hint="eastAsia"/>
          <w:color w:val="auto"/>
          <w:highlight w:val="none"/>
        </w:rPr>
        <w:t>；</w:t>
      </w:r>
    </w:p>
    <w:p w14:paraId="5D7815CB">
      <w:pPr>
        <w:numPr>
          <w:ilvl w:val="0"/>
          <w:numId w:val="30"/>
        </w:numPr>
        <w:rPr>
          <w:color w:val="auto"/>
          <w:highlight w:val="none"/>
        </w:rPr>
      </w:pPr>
      <w:r>
        <w:rPr>
          <w:rFonts w:hint="eastAsia"/>
          <w:color w:val="auto"/>
          <w:highlight w:val="none"/>
        </w:rPr>
        <w:t>其它勘察成果：按本工程进度要求提供，不得耽误项目推进工期。</w:t>
      </w:r>
    </w:p>
    <w:p w14:paraId="5C2E4351">
      <w:pPr>
        <w:numPr>
          <w:ilvl w:val="0"/>
          <w:numId w:val="30"/>
        </w:numPr>
        <w:rPr>
          <w:color w:val="auto"/>
          <w:highlight w:val="none"/>
        </w:rPr>
      </w:pPr>
      <w:r>
        <w:rPr>
          <w:rFonts w:hint="eastAsia"/>
          <w:color w:val="auto"/>
          <w:highlight w:val="none"/>
        </w:rPr>
        <w:t>勘察单位选派工程师或以上勘察技术人员驻场服务。</w:t>
      </w:r>
    </w:p>
    <w:p w14:paraId="23FC4AD4">
      <w:pPr>
        <w:pStyle w:val="3"/>
        <w:spacing w:before="312" w:after="156"/>
        <w:rPr>
          <w:color w:val="auto"/>
          <w:highlight w:val="none"/>
        </w:rPr>
      </w:pPr>
      <w:bookmarkStart w:id="33" w:name="_Toc16526"/>
      <w:r>
        <w:rPr>
          <w:rFonts w:hint="eastAsia"/>
          <w:color w:val="auto"/>
          <w:sz w:val="32"/>
          <w:szCs w:val="32"/>
          <w:highlight w:val="none"/>
          <w:lang w:eastAsia="zh-CN"/>
        </w:rPr>
        <w:t>规划测量及</w:t>
      </w:r>
      <w:r>
        <w:rPr>
          <w:rFonts w:hint="eastAsia"/>
          <w:color w:val="auto"/>
          <w:highlight w:val="none"/>
        </w:rPr>
        <w:t>规划</w:t>
      </w:r>
      <w:r>
        <w:rPr>
          <w:rFonts w:hint="eastAsia" w:ascii="宋体" w:hAnsi="宋体"/>
          <w:color w:val="auto"/>
          <w:szCs w:val="21"/>
          <w:highlight w:val="none"/>
          <w:u w:val="single"/>
          <w:shd w:val="clear" w:color="auto" w:fill="auto"/>
          <w:lang w:eastAsia="zh-CN" w:bidi="ar"/>
        </w:rPr>
        <w:t>相关咨询服务</w:t>
      </w:r>
      <w:r>
        <w:rPr>
          <w:rFonts w:hint="eastAsia"/>
          <w:color w:val="auto"/>
          <w:sz w:val="32"/>
          <w:szCs w:val="32"/>
          <w:highlight w:val="none"/>
          <w:lang w:eastAsia="zh-CN"/>
        </w:rPr>
        <w:t>工作内容及相关要求</w:t>
      </w:r>
    </w:p>
    <w:p w14:paraId="4BDC9641">
      <w:pPr>
        <w:numPr>
          <w:ilvl w:val="0"/>
          <w:numId w:val="31"/>
        </w:numPr>
        <w:rPr>
          <w:color w:val="auto"/>
          <w:highlight w:val="none"/>
        </w:rPr>
      </w:pPr>
      <w:r>
        <w:rPr>
          <w:rFonts w:hint="eastAsia" w:ascii="宋体" w:hAnsi="宋体" w:eastAsia="宋体" w:cs="宋体"/>
          <w:color w:val="auto"/>
          <w:szCs w:val="21"/>
          <w:highlight w:val="none"/>
          <w:u w:val="single"/>
          <w:shd w:val="clear" w:color="auto" w:fill="auto"/>
          <w:lang w:eastAsia="zh-CN" w:bidi="ar"/>
        </w:rPr>
        <w:t>规划</w:t>
      </w:r>
      <w:r>
        <w:rPr>
          <w:rFonts w:hint="eastAsia"/>
          <w:color w:val="auto"/>
          <w:highlight w:val="none"/>
        </w:rPr>
        <w:t>测量及现状图总平面绘制</w:t>
      </w:r>
      <w:r>
        <w:rPr>
          <w:rFonts w:hint="eastAsia"/>
          <w:color w:val="auto"/>
          <w:highlight w:val="none"/>
          <w:lang w:eastAsia="zh-CN"/>
        </w:rPr>
        <w:t>：面积测量、野外数字化地形图测绘、GPS控制测量、建筑现状图绘制</w:t>
      </w:r>
      <w:r>
        <w:rPr>
          <w:rFonts w:hint="eastAsia"/>
          <w:color w:val="auto"/>
          <w:highlight w:val="none"/>
        </w:rPr>
        <w:t>；</w:t>
      </w:r>
    </w:p>
    <w:p w14:paraId="72B68E50">
      <w:pPr>
        <w:numPr>
          <w:ilvl w:val="0"/>
          <w:numId w:val="31"/>
        </w:numPr>
        <w:rPr>
          <w:color w:val="auto"/>
          <w:highlight w:val="none"/>
        </w:rPr>
      </w:pPr>
      <w:r>
        <w:rPr>
          <w:rFonts w:hint="eastAsia"/>
          <w:color w:val="auto"/>
          <w:highlight w:val="none"/>
        </w:rPr>
        <w:t>建筑平面、外立面现状测量及现状图绘制</w:t>
      </w:r>
      <w:r>
        <w:rPr>
          <w:rFonts w:hint="eastAsia"/>
          <w:color w:val="auto"/>
          <w:highlight w:val="none"/>
          <w:lang w:eastAsia="zh-CN"/>
        </w:rPr>
        <w:t>：外立面现状测量、平面现状测量、外立面现状图绘制</w:t>
      </w:r>
      <w:r>
        <w:rPr>
          <w:rFonts w:hint="eastAsia"/>
          <w:color w:val="auto"/>
          <w:highlight w:val="none"/>
        </w:rPr>
        <w:t>；</w:t>
      </w:r>
    </w:p>
    <w:p w14:paraId="34124C29">
      <w:pPr>
        <w:numPr>
          <w:ilvl w:val="0"/>
          <w:numId w:val="31"/>
        </w:numPr>
        <w:rPr>
          <w:rFonts w:hint="eastAsia"/>
          <w:color w:val="auto"/>
          <w:highlight w:val="none"/>
          <w:lang w:val="en-US" w:eastAsia="zh-CN"/>
        </w:rPr>
      </w:pPr>
      <w:r>
        <w:rPr>
          <w:rFonts w:hint="eastAsia"/>
          <w:color w:val="auto"/>
          <w:highlight w:val="none"/>
        </w:rPr>
        <w:t>规划</w:t>
      </w:r>
      <w:r>
        <w:rPr>
          <w:rFonts w:hint="eastAsia" w:ascii="宋体" w:hAnsi="宋体"/>
          <w:color w:val="auto"/>
          <w:szCs w:val="21"/>
          <w:highlight w:val="none"/>
          <w:u w:val="single"/>
          <w:shd w:val="clear" w:color="auto" w:fill="auto"/>
          <w:lang w:eastAsia="zh-CN" w:bidi="ar"/>
        </w:rPr>
        <w:t>相关咨询服务</w:t>
      </w:r>
      <w:r>
        <w:rPr>
          <w:rFonts w:hint="eastAsia"/>
          <w:color w:val="auto"/>
          <w:highlight w:val="none"/>
        </w:rPr>
        <w:t>：本项目在相关工作过程中，需要1位高级工程师、1位中级工程师、</w:t>
      </w:r>
      <w:r>
        <w:rPr>
          <w:rFonts w:hint="eastAsia"/>
          <w:color w:val="auto"/>
          <w:highlight w:val="none"/>
          <w:lang w:val="en-US" w:eastAsia="zh-CN"/>
        </w:rPr>
        <w:t>2</w:t>
      </w:r>
      <w:r>
        <w:rPr>
          <w:rFonts w:hint="eastAsia"/>
          <w:color w:val="auto"/>
          <w:highlight w:val="none"/>
        </w:rPr>
        <w:t>位助理工程师。</w:t>
      </w:r>
      <w:bookmarkEnd w:id="33"/>
    </w:p>
    <w:p w14:paraId="5D44C437">
      <w:pPr>
        <w:numPr>
          <w:ilvl w:val="0"/>
          <w:numId w:val="31"/>
        </w:numPr>
        <w:rPr>
          <w:rFonts w:hint="eastAsia"/>
          <w:color w:val="auto"/>
          <w:highlight w:val="none"/>
          <w:lang w:val="en-US" w:eastAsia="zh-CN"/>
        </w:rPr>
      </w:pPr>
      <w:r>
        <w:rPr>
          <w:rFonts w:hint="eastAsia"/>
          <w:color w:val="auto"/>
          <w:highlight w:val="none"/>
          <w:lang w:val="en-US" w:eastAsia="zh-CN"/>
        </w:rPr>
        <w:t>既有建筑完善手续阶段：</w:t>
      </w:r>
    </w:p>
    <w:p w14:paraId="398186F2">
      <w:pPr>
        <w:numPr>
          <w:ilvl w:val="0"/>
          <w:numId w:val="0"/>
        </w:numPr>
        <w:ind w:leftChars="400"/>
        <w:rPr>
          <w:rFonts w:hint="eastAsia"/>
          <w:color w:val="auto"/>
          <w:highlight w:val="none"/>
          <w:lang w:val="en-US" w:eastAsia="zh-CN"/>
        </w:rPr>
      </w:pPr>
      <w:r>
        <w:rPr>
          <w:rFonts w:hint="eastAsia"/>
          <w:color w:val="auto"/>
          <w:highlight w:val="none"/>
          <w:lang w:val="en-US" w:eastAsia="zh-CN"/>
        </w:rPr>
        <w:t>4.1协助就未取得合法手续的既有建筑进行立案。</w:t>
      </w:r>
    </w:p>
    <w:p w14:paraId="1330A9DE">
      <w:pPr>
        <w:numPr>
          <w:ilvl w:val="0"/>
          <w:numId w:val="0"/>
        </w:numPr>
        <w:ind w:leftChars="400"/>
        <w:rPr>
          <w:rFonts w:hint="eastAsia"/>
          <w:color w:val="auto"/>
          <w:highlight w:val="none"/>
          <w:lang w:val="en-US" w:eastAsia="zh-CN"/>
        </w:rPr>
      </w:pPr>
      <w:r>
        <w:rPr>
          <w:rFonts w:hint="eastAsia"/>
          <w:color w:val="auto"/>
          <w:highlight w:val="none"/>
          <w:lang w:val="en-US" w:eastAsia="zh-CN"/>
        </w:rPr>
        <w:t>4.2协助甲方取得竣工图。</w:t>
      </w:r>
    </w:p>
    <w:p w14:paraId="7FED7926">
      <w:pPr>
        <w:numPr>
          <w:ilvl w:val="0"/>
          <w:numId w:val="0"/>
        </w:numPr>
        <w:ind w:leftChars="400"/>
        <w:rPr>
          <w:rFonts w:hint="eastAsia"/>
          <w:color w:val="auto"/>
          <w:highlight w:val="none"/>
          <w:lang w:val="en-US" w:eastAsia="zh-CN"/>
        </w:rPr>
      </w:pPr>
      <w:r>
        <w:rPr>
          <w:rFonts w:hint="eastAsia"/>
          <w:color w:val="auto"/>
          <w:highlight w:val="none"/>
          <w:lang w:val="en-US" w:eastAsia="zh-CN"/>
        </w:rPr>
        <w:t>4.3协助取得规资等相关部分的意见。</w:t>
      </w:r>
    </w:p>
    <w:p w14:paraId="58CC7631">
      <w:pPr>
        <w:numPr>
          <w:ilvl w:val="0"/>
          <w:numId w:val="0"/>
        </w:numPr>
        <w:ind w:leftChars="400"/>
        <w:rPr>
          <w:rFonts w:hint="eastAsia"/>
          <w:color w:val="auto"/>
          <w:highlight w:val="none"/>
          <w:lang w:val="en-US" w:eastAsia="zh-CN"/>
        </w:rPr>
      </w:pPr>
      <w:r>
        <w:rPr>
          <w:rFonts w:hint="eastAsia"/>
          <w:color w:val="auto"/>
          <w:highlight w:val="none"/>
          <w:lang w:val="en-US" w:eastAsia="zh-CN"/>
        </w:rPr>
        <w:t>4.4协助取得违法建设处罚判决书。</w:t>
      </w:r>
    </w:p>
    <w:p w14:paraId="2408D186">
      <w:pPr>
        <w:numPr>
          <w:ilvl w:val="0"/>
          <w:numId w:val="0"/>
        </w:numPr>
        <w:ind w:leftChars="400"/>
        <w:rPr>
          <w:rFonts w:hint="eastAsia"/>
          <w:color w:val="auto"/>
          <w:highlight w:val="none"/>
          <w:lang w:val="en-US" w:eastAsia="zh-CN"/>
        </w:rPr>
      </w:pPr>
      <w:r>
        <w:rPr>
          <w:rFonts w:hint="eastAsia"/>
          <w:color w:val="auto"/>
          <w:highlight w:val="none"/>
          <w:lang w:val="en-US" w:eastAsia="zh-CN"/>
        </w:rPr>
        <w:t>4.5协助取得违法建设处罚结案报告。</w:t>
      </w:r>
    </w:p>
    <w:p w14:paraId="6DE2C4BC">
      <w:pPr>
        <w:numPr>
          <w:ilvl w:val="0"/>
          <w:numId w:val="0"/>
        </w:numPr>
        <w:ind w:leftChars="400"/>
        <w:rPr>
          <w:rFonts w:hint="eastAsia"/>
          <w:color w:val="auto"/>
          <w:highlight w:val="none"/>
          <w:lang w:val="en-US" w:eastAsia="zh-CN"/>
        </w:rPr>
      </w:pPr>
      <w:r>
        <w:rPr>
          <w:rFonts w:hint="eastAsia"/>
          <w:color w:val="auto"/>
          <w:highlight w:val="none"/>
          <w:lang w:val="en-US" w:eastAsia="zh-CN"/>
        </w:rPr>
        <w:t>4.6协助通过规划条件核实。</w:t>
      </w:r>
    </w:p>
    <w:p w14:paraId="120A1559">
      <w:pPr>
        <w:numPr>
          <w:ilvl w:val="0"/>
          <w:numId w:val="0"/>
        </w:numPr>
        <w:ind w:leftChars="400"/>
        <w:rPr>
          <w:rFonts w:hint="eastAsia"/>
          <w:color w:val="auto"/>
          <w:highlight w:val="none"/>
          <w:lang w:val="en-US" w:eastAsia="zh-CN"/>
        </w:rPr>
      </w:pPr>
      <w:r>
        <w:rPr>
          <w:rFonts w:hint="eastAsia"/>
          <w:color w:val="auto"/>
          <w:highlight w:val="none"/>
          <w:lang w:val="en-US" w:eastAsia="zh-CN"/>
        </w:rPr>
        <w:t>4.7协助缴纳城市配套设施费。</w:t>
      </w:r>
    </w:p>
    <w:p w14:paraId="2D3F6A6C">
      <w:pPr>
        <w:numPr>
          <w:ilvl w:val="0"/>
          <w:numId w:val="0"/>
        </w:numPr>
        <w:ind w:leftChars="400"/>
        <w:rPr>
          <w:rFonts w:hint="eastAsia"/>
          <w:color w:val="auto"/>
          <w:highlight w:val="none"/>
          <w:lang w:val="en-US" w:eastAsia="zh-CN"/>
        </w:rPr>
      </w:pPr>
      <w:r>
        <w:rPr>
          <w:rFonts w:hint="eastAsia"/>
          <w:color w:val="auto"/>
          <w:highlight w:val="none"/>
          <w:lang w:val="en-US" w:eastAsia="zh-CN"/>
        </w:rPr>
        <w:t>4.8协助取得人防意见书。</w:t>
      </w:r>
    </w:p>
    <w:p w14:paraId="3B7BE523">
      <w:pPr>
        <w:numPr>
          <w:ilvl w:val="0"/>
          <w:numId w:val="0"/>
        </w:numPr>
        <w:ind w:leftChars="400"/>
        <w:rPr>
          <w:rFonts w:hint="eastAsia"/>
          <w:color w:val="auto"/>
          <w:highlight w:val="none"/>
          <w:lang w:val="en-US" w:eastAsia="zh-CN"/>
        </w:rPr>
      </w:pPr>
      <w:r>
        <w:rPr>
          <w:rFonts w:hint="eastAsia"/>
          <w:color w:val="auto"/>
          <w:highlight w:val="none"/>
          <w:lang w:val="en-US" w:eastAsia="zh-CN"/>
        </w:rPr>
        <w:t>4.9协助取得房屋消防评估报告。</w:t>
      </w:r>
    </w:p>
    <w:p w14:paraId="2B703A2B">
      <w:pPr>
        <w:numPr>
          <w:ilvl w:val="0"/>
          <w:numId w:val="0"/>
        </w:numPr>
        <w:ind w:leftChars="400"/>
        <w:rPr>
          <w:rFonts w:hint="eastAsia"/>
          <w:color w:val="auto"/>
          <w:highlight w:val="none"/>
          <w:lang w:val="en-US" w:eastAsia="zh-CN"/>
        </w:rPr>
      </w:pPr>
      <w:r>
        <w:rPr>
          <w:rFonts w:hint="eastAsia"/>
          <w:color w:val="auto"/>
          <w:highlight w:val="none"/>
          <w:lang w:val="en-US" w:eastAsia="zh-CN"/>
        </w:rPr>
        <w:t>4.10协助取得质量安全鉴定报告。</w:t>
      </w:r>
    </w:p>
    <w:p w14:paraId="487F8B7B">
      <w:pPr>
        <w:numPr>
          <w:ilvl w:val="0"/>
          <w:numId w:val="0"/>
        </w:numPr>
        <w:ind w:leftChars="400"/>
        <w:rPr>
          <w:rFonts w:hint="eastAsia"/>
          <w:color w:val="auto"/>
          <w:highlight w:val="none"/>
          <w:lang w:val="en-US" w:eastAsia="zh-CN"/>
        </w:rPr>
      </w:pPr>
      <w:r>
        <w:rPr>
          <w:rFonts w:hint="eastAsia"/>
          <w:color w:val="auto"/>
          <w:highlight w:val="none"/>
          <w:lang w:val="en-US" w:eastAsia="zh-CN"/>
        </w:rPr>
        <w:t>4.11协助取得竣工备案表。</w:t>
      </w:r>
    </w:p>
    <w:p w14:paraId="4A517A8B">
      <w:pPr>
        <w:numPr>
          <w:ilvl w:val="0"/>
          <w:numId w:val="0"/>
        </w:numPr>
        <w:ind w:leftChars="400"/>
        <w:rPr>
          <w:rFonts w:hint="eastAsia"/>
          <w:color w:val="auto"/>
          <w:highlight w:val="none"/>
          <w:lang w:val="en-US" w:eastAsia="zh-CN"/>
        </w:rPr>
      </w:pPr>
      <w:r>
        <w:rPr>
          <w:rFonts w:hint="eastAsia"/>
          <w:color w:val="auto"/>
          <w:highlight w:val="none"/>
          <w:lang w:val="en-US" w:eastAsia="zh-CN"/>
        </w:rPr>
        <w:t>4.12协助取得不动产权证书。</w:t>
      </w:r>
    </w:p>
    <w:p w14:paraId="084455DD">
      <w:pPr>
        <w:numPr>
          <w:ilvl w:val="0"/>
          <w:numId w:val="0"/>
        </w:numPr>
        <w:ind w:leftChars="400"/>
        <w:rPr>
          <w:rFonts w:hint="eastAsia"/>
          <w:color w:val="auto"/>
          <w:highlight w:val="none"/>
          <w:lang w:val="en-US" w:eastAsia="zh-CN"/>
        </w:rPr>
      </w:pPr>
    </w:p>
    <w:p w14:paraId="2001AB75">
      <w:pPr>
        <w:numPr>
          <w:ilvl w:val="0"/>
          <w:numId w:val="0"/>
        </w:numPr>
        <w:ind w:firstLine="480" w:firstLineChars="200"/>
        <w:rPr>
          <w:rFonts w:hint="eastAsia"/>
          <w:color w:val="auto"/>
          <w:highlight w:val="none"/>
          <w:lang w:val="en-US" w:eastAsia="zh-CN"/>
        </w:rPr>
      </w:pPr>
      <w:r>
        <w:rPr>
          <w:rFonts w:hint="eastAsia"/>
          <w:color w:val="auto"/>
          <w:highlight w:val="none"/>
          <w:lang w:val="en-US" w:eastAsia="zh-CN"/>
        </w:rPr>
        <w:t>5.建设工程规划许可证阶段</w:t>
      </w:r>
    </w:p>
    <w:p w14:paraId="013471E5">
      <w:pPr>
        <w:numPr>
          <w:ilvl w:val="0"/>
          <w:numId w:val="0"/>
        </w:numPr>
        <w:ind w:firstLine="480" w:firstLineChars="200"/>
        <w:rPr>
          <w:rFonts w:hint="eastAsia"/>
          <w:color w:val="auto"/>
          <w:highlight w:val="none"/>
          <w:lang w:val="en-US" w:eastAsia="zh-CN"/>
        </w:rPr>
      </w:pPr>
      <w:r>
        <w:rPr>
          <w:rFonts w:hint="eastAsia"/>
          <w:color w:val="auto"/>
          <w:highlight w:val="none"/>
          <w:lang w:val="en-US" w:eastAsia="zh-CN"/>
        </w:rPr>
        <w:t>5.1协助对接设计单位，指导项目总平面及建筑单体设计方案、电子报批的设计工作，使方案尽快达到报审深度。</w:t>
      </w:r>
    </w:p>
    <w:p w14:paraId="1BB89838">
      <w:pPr>
        <w:numPr>
          <w:ilvl w:val="0"/>
          <w:numId w:val="0"/>
        </w:numPr>
        <w:ind w:firstLine="480" w:firstLineChars="200"/>
        <w:rPr>
          <w:rFonts w:hint="eastAsia"/>
          <w:color w:val="auto"/>
          <w:highlight w:val="none"/>
          <w:lang w:val="en-US" w:eastAsia="zh-CN"/>
        </w:rPr>
      </w:pPr>
      <w:r>
        <w:rPr>
          <w:rFonts w:hint="eastAsia"/>
          <w:color w:val="auto"/>
          <w:highlight w:val="none"/>
          <w:lang w:val="en-US" w:eastAsia="zh-CN"/>
        </w:rPr>
        <w:t>5.2协助建设单位就本项目设计方案取得相关主管部门意见。</w:t>
      </w:r>
    </w:p>
    <w:p w14:paraId="3D9A8268">
      <w:pPr>
        <w:numPr>
          <w:ilvl w:val="0"/>
          <w:numId w:val="0"/>
        </w:numPr>
        <w:ind w:firstLine="480" w:firstLineChars="200"/>
        <w:rPr>
          <w:rFonts w:hint="eastAsia"/>
          <w:color w:val="auto"/>
          <w:highlight w:val="none"/>
          <w:lang w:val="en-US" w:eastAsia="zh-CN"/>
        </w:rPr>
      </w:pPr>
      <w:r>
        <w:rPr>
          <w:rFonts w:hint="eastAsia"/>
          <w:color w:val="auto"/>
          <w:highlight w:val="none"/>
          <w:lang w:val="en-US" w:eastAsia="zh-CN"/>
        </w:rPr>
        <w:t>5.3协助取得《建筑工程规划许可证》。</w:t>
      </w:r>
    </w:p>
    <w:p w14:paraId="3D4942EC">
      <w:pPr>
        <w:numPr>
          <w:ilvl w:val="0"/>
          <w:numId w:val="0"/>
        </w:numPr>
        <w:ind w:firstLine="480" w:firstLineChars="200"/>
        <w:rPr>
          <w:rFonts w:hint="eastAsia"/>
          <w:color w:val="auto"/>
          <w:highlight w:val="none"/>
          <w:lang w:val="en-US" w:eastAsia="zh-CN"/>
        </w:rPr>
      </w:pPr>
      <w:r>
        <w:rPr>
          <w:rFonts w:hint="eastAsia"/>
          <w:color w:val="auto"/>
          <w:highlight w:val="none"/>
          <w:lang w:val="en-US" w:eastAsia="zh-CN"/>
        </w:rPr>
        <w:t>5.4建筑工程施工许可证阶段协助跟进建筑工程施工许可证办理进度。</w:t>
      </w:r>
    </w:p>
    <w:p w14:paraId="5CED23A9">
      <w:pPr>
        <w:numPr>
          <w:ilvl w:val="0"/>
          <w:numId w:val="0"/>
        </w:numPr>
        <w:spacing w:line="240" w:lineRule="auto"/>
        <w:ind w:leftChars="0" w:firstLine="480" w:firstLineChars="200"/>
        <w:rPr>
          <w:rFonts w:hint="eastAsia"/>
          <w:color w:val="auto"/>
          <w:highlight w:val="none"/>
          <w:lang w:val="en-US" w:eastAsia="zh-CN"/>
        </w:rPr>
      </w:pPr>
      <w:r>
        <w:rPr>
          <w:rFonts w:hint="eastAsia"/>
          <w:color w:val="auto"/>
          <w:highlight w:val="none"/>
          <w:lang w:val="en-US" w:eastAsia="zh-CN"/>
        </w:rPr>
        <w:t>6.竣工联合验收阶段</w:t>
      </w:r>
    </w:p>
    <w:p w14:paraId="673B22BF">
      <w:pPr>
        <w:numPr>
          <w:ilvl w:val="0"/>
          <w:numId w:val="0"/>
        </w:numPr>
        <w:ind w:leftChars="200"/>
        <w:rPr>
          <w:rFonts w:hint="eastAsia"/>
          <w:color w:val="auto"/>
          <w:highlight w:val="none"/>
          <w:lang w:val="en-US" w:eastAsia="zh-CN"/>
        </w:rPr>
      </w:pPr>
      <w:r>
        <w:rPr>
          <w:rFonts w:hint="eastAsia"/>
          <w:color w:val="auto"/>
          <w:highlight w:val="none"/>
          <w:lang w:val="en-US" w:eastAsia="zh-CN"/>
        </w:rPr>
        <w:t>6.1、通过规划条件核实。</w:t>
      </w:r>
    </w:p>
    <w:p w14:paraId="7C43145A">
      <w:pPr>
        <w:numPr>
          <w:ilvl w:val="0"/>
          <w:numId w:val="0"/>
        </w:numPr>
        <w:ind w:leftChars="200"/>
        <w:rPr>
          <w:rFonts w:hint="eastAsia"/>
          <w:color w:val="auto"/>
          <w:highlight w:val="none"/>
          <w:lang w:val="en-US" w:eastAsia="zh-CN"/>
        </w:rPr>
      </w:pPr>
      <w:r>
        <w:rPr>
          <w:rFonts w:hint="eastAsia"/>
          <w:color w:val="auto"/>
          <w:highlight w:val="none"/>
          <w:lang w:val="en-US" w:eastAsia="zh-CN"/>
        </w:rPr>
        <w:t>6.2、完成各项验收工作。</w:t>
      </w:r>
    </w:p>
    <w:p w14:paraId="1F64ACD8">
      <w:pPr>
        <w:numPr>
          <w:ilvl w:val="0"/>
          <w:numId w:val="0"/>
        </w:numPr>
        <w:ind w:leftChars="200"/>
        <w:rPr>
          <w:rFonts w:hint="eastAsia"/>
          <w:color w:val="auto"/>
          <w:highlight w:val="none"/>
          <w:lang w:val="en-US" w:eastAsia="zh-CN"/>
        </w:rPr>
      </w:pPr>
      <w:r>
        <w:rPr>
          <w:rFonts w:hint="eastAsia"/>
          <w:color w:val="auto"/>
          <w:highlight w:val="none"/>
          <w:lang w:val="en-US" w:eastAsia="zh-CN"/>
        </w:rPr>
        <w:t>7.实测确权阶段</w:t>
      </w:r>
    </w:p>
    <w:p w14:paraId="52A65F0C">
      <w:pPr>
        <w:numPr>
          <w:ilvl w:val="0"/>
          <w:numId w:val="0"/>
        </w:numPr>
        <w:ind w:leftChars="200"/>
        <w:rPr>
          <w:rFonts w:hint="eastAsia"/>
          <w:color w:val="auto"/>
          <w:highlight w:val="none"/>
          <w:lang w:val="en-US" w:eastAsia="zh-CN"/>
        </w:rPr>
      </w:pPr>
      <w:r>
        <w:rPr>
          <w:rFonts w:hint="eastAsia"/>
          <w:color w:val="auto"/>
          <w:highlight w:val="none"/>
          <w:lang w:val="en-US" w:eastAsia="zh-CN"/>
        </w:rPr>
        <w:t>7.1办理不动产权证。</w:t>
      </w:r>
    </w:p>
    <w:bookmarkEnd w:id="34"/>
    <w:sectPr>
      <w:footerReference r:id="rId6"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425"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2C4D0">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2C870">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744672">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744672">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47FBF6"/>
    <w:multiLevelType w:val="singleLevel"/>
    <w:tmpl w:val="8647FBF6"/>
    <w:lvl w:ilvl="0" w:tentative="0">
      <w:start w:val="1"/>
      <w:numFmt w:val="decimal"/>
      <w:lvlText w:val="(%1)"/>
      <w:lvlJc w:val="left"/>
      <w:pPr>
        <w:tabs>
          <w:tab w:val="left" w:pos="420"/>
        </w:tabs>
        <w:ind w:left="845" w:hanging="425"/>
      </w:pPr>
      <w:rPr>
        <w:rFonts w:hint="default"/>
      </w:rPr>
    </w:lvl>
  </w:abstractNum>
  <w:abstractNum w:abstractNumId="1">
    <w:nsid w:val="89418028"/>
    <w:multiLevelType w:val="singleLevel"/>
    <w:tmpl w:val="89418028"/>
    <w:lvl w:ilvl="0" w:tentative="0">
      <w:start w:val="1"/>
      <w:numFmt w:val="decimal"/>
      <w:lvlText w:val="(%1)"/>
      <w:lvlJc w:val="left"/>
      <w:pPr>
        <w:tabs>
          <w:tab w:val="left" w:pos="420"/>
        </w:tabs>
        <w:ind w:left="845" w:hanging="425"/>
      </w:pPr>
      <w:rPr>
        <w:rFonts w:hint="default"/>
      </w:rPr>
    </w:lvl>
  </w:abstractNum>
  <w:abstractNum w:abstractNumId="2">
    <w:nsid w:val="9928E0FA"/>
    <w:multiLevelType w:val="singleLevel"/>
    <w:tmpl w:val="9928E0FA"/>
    <w:lvl w:ilvl="0" w:tentative="0">
      <w:start w:val="1"/>
      <w:numFmt w:val="decimal"/>
      <w:lvlText w:val="%1."/>
      <w:lvlJc w:val="left"/>
      <w:pPr>
        <w:ind w:left="425" w:hanging="425"/>
      </w:pPr>
      <w:rPr>
        <w:rFonts w:hint="default"/>
      </w:rPr>
    </w:lvl>
  </w:abstractNum>
  <w:abstractNum w:abstractNumId="3">
    <w:nsid w:val="9A74B283"/>
    <w:multiLevelType w:val="singleLevel"/>
    <w:tmpl w:val="9A74B283"/>
    <w:lvl w:ilvl="0" w:tentative="0">
      <w:start w:val="1"/>
      <w:numFmt w:val="decimal"/>
      <w:lvlText w:val="(%1)"/>
      <w:lvlJc w:val="left"/>
      <w:pPr>
        <w:tabs>
          <w:tab w:val="left" w:pos="420"/>
        </w:tabs>
        <w:ind w:left="845" w:hanging="425"/>
      </w:pPr>
      <w:rPr>
        <w:rFonts w:hint="default"/>
      </w:rPr>
    </w:lvl>
  </w:abstractNum>
  <w:abstractNum w:abstractNumId="4">
    <w:nsid w:val="9B36ACDB"/>
    <w:multiLevelType w:val="singleLevel"/>
    <w:tmpl w:val="9B36ACDB"/>
    <w:lvl w:ilvl="0" w:tentative="0">
      <w:start w:val="1"/>
      <w:numFmt w:val="decimal"/>
      <w:lvlText w:val="%1."/>
      <w:lvlJc w:val="left"/>
      <w:pPr>
        <w:ind w:left="425" w:hanging="425"/>
      </w:pPr>
      <w:rPr>
        <w:rFonts w:hint="default"/>
      </w:rPr>
    </w:lvl>
  </w:abstractNum>
  <w:abstractNum w:abstractNumId="5">
    <w:nsid w:val="A0FAB76C"/>
    <w:multiLevelType w:val="multilevel"/>
    <w:tmpl w:val="A0FAB76C"/>
    <w:lvl w:ilvl="0" w:tentative="0">
      <w:start w:val="1"/>
      <w:numFmt w:val="chineseCounting"/>
      <w:pStyle w:val="2"/>
      <w:suff w:val="nothing"/>
      <w:lvlText w:val="第%1章 "/>
      <w:lvlJc w:val="left"/>
      <w:pPr>
        <w:ind w:left="432" w:hanging="432"/>
      </w:pPr>
      <w:rPr>
        <w:rFonts w:hint="eastAsia"/>
      </w:rPr>
    </w:lvl>
    <w:lvl w:ilvl="1" w:tentative="0">
      <w:start w:val="1"/>
      <w:numFmt w:val="decimal"/>
      <w:pStyle w:val="3"/>
      <w:isLgl/>
      <w:lvlText w:val="%1.%2."/>
      <w:lvlJc w:val="left"/>
      <w:pPr>
        <w:ind w:left="575" w:hanging="575"/>
      </w:pPr>
      <w:rPr>
        <w:rFonts w:hint="eastAsia" w:ascii="宋体" w:hAnsi="宋体" w:cs="仿宋"/>
        <w:sz w:val="30"/>
        <w:szCs w:val="30"/>
      </w:rPr>
    </w:lvl>
    <w:lvl w:ilvl="2" w:tentative="0">
      <w:start w:val="1"/>
      <w:numFmt w:val="decimal"/>
      <w:pStyle w:val="4"/>
      <w:isLgl/>
      <w:lvlText w:val="%1.%2.%3."/>
      <w:lvlJc w:val="left"/>
      <w:pPr>
        <w:ind w:left="720" w:hanging="720"/>
      </w:pPr>
      <w:rPr>
        <w:rFonts w:hint="eastAsia" w:ascii="仿宋" w:hAnsi="仿宋" w:eastAsia="仿宋" w:cs="仿宋"/>
        <w:sz w:val="28"/>
        <w:szCs w:val="28"/>
      </w:rPr>
    </w:lvl>
    <w:lvl w:ilvl="3" w:tentative="0">
      <w:start w:val="1"/>
      <w:numFmt w:val="decimal"/>
      <w:pStyle w:val="5"/>
      <w:isLgl/>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abstractNum w:abstractNumId="6">
    <w:nsid w:val="A1644A37"/>
    <w:multiLevelType w:val="singleLevel"/>
    <w:tmpl w:val="A1644A37"/>
    <w:lvl w:ilvl="0" w:tentative="0">
      <w:start w:val="1"/>
      <w:numFmt w:val="decimal"/>
      <w:lvlText w:val="%1."/>
      <w:lvlJc w:val="left"/>
      <w:pPr>
        <w:ind w:left="425" w:hanging="425"/>
      </w:pPr>
      <w:rPr>
        <w:rFonts w:hint="default"/>
      </w:rPr>
    </w:lvl>
  </w:abstractNum>
  <w:abstractNum w:abstractNumId="7">
    <w:nsid w:val="A9E45C94"/>
    <w:multiLevelType w:val="singleLevel"/>
    <w:tmpl w:val="A9E45C94"/>
    <w:lvl w:ilvl="0" w:tentative="0">
      <w:start w:val="1"/>
      <w:numFmt w:val="decimal"/>
      <w:lvlText w:val="%1."/>
      <w:lvlJc w:val="left"/>
      <w:pPr>
        <w:ind w:left="425" w:hanging="425"/>
      </w:pPr>
      <w:rPr>
        <w:rFonts w:hint="default"/>
      </w:rPr>
    </w:lvl>
  </w:abstractNum>
  <w:abstractNum w:abstractNumId="8">
    <w:nsid w:val="B48FCCFA"/>
    <w:multiLevelType w:val="singleLevel"/>
    <w:tmpl w:val="B48FCCFA"/>
    <w:lvl w:ilvl="0" w:tentative="0">
      <w:start w:val="1"/>
      <w:numFmt w:val="decimal"/>
      <w:lvlText w:val="%1."/>
      <w:lvlJc w:val="left"/>
      <w:pPr>
        <w:ind w:left="425" w:hanging="425"/>
      </w:pPr>
      <w:rPr>
        <w:rFonts w:hint="default"/>
      </w:rPr>
    </w:lvl>
  </w:abstractNum>
  <w:abstractNum w:abstractNumId="9">
    <w:nsid w:val="C18B9B62"/>
    <w:multiLevelType w:val="singleLevel"/>
    <w:tmpl w:val="C18B9B62"/>
    <w:lvl w:ilvl="0" w:tentative="0">
      <w:start w:val="1"/>
      <w:numFmt w:val="decimal"/>
      <w:lvlText w:val="%1."/>
      <w:lvlJc w:val="left"/>
      <w:pPr>
        <w:ind w:left="425" w:hanging="425"/>
      </w:pPr>
      <w:rPr>
        <w:rFonts w:hint="default"/>
      </w:rPr>
    </w:lvl>
  </w:abstractNum>
  <w:abstractNum w:abstractNumId="10">
    <w:nsid w:val="C8D89614"/>
    <w:multiLevelType w:val="singleLevel"/>
    <w:tmpl w:val="C8D89614"/>
    <w:lvl w:ilvl="0" w:tentative="0">
      <w:start w:val="1"/>
      <w:numFmt w:val="decimal"/>
      <w:lvlText w:val="%1."/>
      <w:lvlJc w:val="left"/>
      <w:pPr>
        <w:ind w:left="425" w:hanging="425"/>
      </w:pPr>
      <w:rPr>
        <w:rFonts w:hint="default"/>
      </w:rPr>
    </w:lvl>
  </w:abstractNum>
  <w:abstractNum w:abstractNumId="11">
    <w:nsid w:val="CBAD64DC"/>
    <w:multiLevelType w:val="singleLevel"/>
    <w:tmpl w:val="CBAD64DC"/>
    <w:lvl w:ilvl="0" w:tentative="0">
      <w:start w:val="1"/>
      <w:numFmt w:val="decimal"/>
      <w:lvlText w:val="%1."/>
      <w:lvlJc w:val="left"/>
      <w:pPr>
        <w:ind w:left="425" w:hanging="425"/>
      </w:pPr>
      <w:rPr>
        <w:rFonts w:hint="default"/>
      </w:rPr>
    </w:lvl>
  </w:abstractNum>
  <w:abstractNum w:abstractNumId="12">
    <w:nsid w:val="CDD302AD"/>
    <w:multiLevelType w:val="singleLevel"/>
    <w:tmpl w:val="CDD302AD"/>
    <w:lvl w:ilvl="0" w:tentative="0">
      <w:start w:val="1"/>
      <w:numFmt w:val="decimal"/>
      <w:lvlText w:val="%1."/>
      <w:lvlJc w:val="left"/>
      <w:pPr>
        <w:ind w:left="425" w:hanging="425"/>
      </w:pPr>
      <w:rPr>
        <w:rFonts w:hint="default"/>
      </w:rPr>
    </w:lvl>
  </w:abstractNum>
  <w:abstractNum w:abstractNumId="13">
    <w:nsid w:val="D47A9FEA"/>
    <w:multiLevelType w:val="singleLevel"/>
    <w:tmpl w:val="D47A9FEA"/>
    <w:lvl w:ilvl="0" w:tentative="0">
      <w:start w:val="1"/>
      <w:numFmt w:val="decimal"/>
      <w:lvlText w:val="(%1)"/>
      <w:lvlJc w:val="left"/>
      <w:pPr>
        <w:tabs>
          <w:tab w:val="left" w:pos="420"/>
        </w:tabs>
        <w:ind w:left="845" w:hanging="425"/>
      </w:pPr>
      <w:rPr>
        <w:rFonts w:hint="default"/>
      </w:rPr>
    </w:lvl>
  </w:abstractNum>
  <w:abstractNum w:abstractNumId="14">
    <w:nsid w:val="E727140E"/>
    <w:multiLevelType w:val="singleLevel"/>
    <w:tmpl w:val="E727140E"/>
    <w:lvl w:ilvl="0" w:tentative="0">
      <w:start w:val="1"/>
      <w:numFmt w:val="decimal"/>
      <w:lvlText w:val="(%1)"/>
      <w:lvlJc w:val="left"/>
      <w:pPr>
        <w:tabs>
          <w:tab w:val="left" w:pos="420"/>
        </w:tabs>
        <w:ind w:left="845" w:hanging="425"/>
      </w:pPr>
      <w:rPr>
        <w:rFonts w:hint="default"/>
      </w:rPr>
    </w:lvl>
  </w:abstractNum>
  <w:abstractNum w:abstractNumId="15">
    <w:nsid w:val="E8E8A755"/>
    <w:multiLevelType w:val="singleLevel"/>
    <w:tmpl w:val="E8E8A755"/>
    <w:lvl w:ilvl="0" w:tentative="0">
      <w:start w:val="1"/>
      <w:numFmt w:val="decimal"/>
      <w:lvlText w:val="%1."/>
      <w:lvlJc w:val="left"/>
      <w:pPr>
        <w:ind w:left="425" w:hanging="425"/>
      </w:pPr>
      <w:rPr>
        <w:rFonts w:hint="default"/>
      </w:rPr>
    </w:lvl>
  </w:abstractNum>
  <w:abstractNum w:abstractNumId="16">
    <w:nsid w:val="FCD46D92"/>
    <w:multiLevelType w:val="singleLevel"/>
    <w:tmpl w:val="FCD46D92"/>
    <w:lvl w:ilvl="0" w:tentative="0">
      <w:start w:val="1"/>
      <w:numFmt w:val="decimal"/>
      <w:lvlText w:val="%1."/>
      <w:lvlJc w:val="left"/>
      <w:pPr>
        <w:ind w:left="425" w:hanging="425"/>
      </w:pPr>
      <w:rPr>
        <w:rFonts w:hint="default"/>
      </w:rPr>
    </w:lvl>
  </w:abstractNum>
  <w:abstractNum w:abstractNumId="17">
    <w:nsid w:val="022DAB62"/>
    <w:multiLevelType w:val="singleLevel"/>
    <w:tmpl w:val="022DAB62"/>
    <w:lvl w:ilvl="0" w:tentative="0">
      <w:start w:val="1"/>
      <w:numFmt w:val="decimal"/>
      <w:lvlText w:val="%1."/>
      <w:lvlJc w:val="left"/>
      <w:pPr>
        <w:ind w:left="425" w:hanging="425"/>
      </w:pPr>
      <w:rPr>
        <w:rFonts w:hint="default"/>
      </w:rPr>
    </w:lvl>
  </w:abstractNum>
  <w:abstractNum w:abstractNumId="18">
    <w:nsid w:val="06FB6083"/>
    <w:multiLevelType w:val="singleLevel"/>
    <w:tmpl w:val="06FB6083"/>
    <w:lvl w:ilvl="0" w:tentative="0">
      <w:start w:val="1"/>
      <w:numFmt w:val="decimal"/>
      <w:lvlText w:val="%1."/>
      <w:lvlJc w:val="left"/>
      <w:pPr>
        <w:ind w:left="425" w:hanging="425"/>
      </w:pPr>
      <w:rPr>
        <w:rFonts w:hint="default"/>
      </w:rPr>
    </w:lvl>
  </w:abstractNum>
  <w:abstractNum w:abstractNumId="19">
    <w:nsid w:val="0AEA9E54"/>
    <w:multiLevelType w:val="singleLevel"/>
    <w:tmpl w:val="0AEA9E54"/>
    <w:lvl w:ilvl="0" w:tentative="0">
      <w:start w:val="1"/>
      <w:numFmt w:val="decimal"/>
      <w:lvlText w:val="%1."/>
      <w:lvlJc w:val="left"/>
      <w:pPr>
        <w:ind w:left="425" w:hanging="425"/>
      </w:pPr>
      <w:rPr>
        <w:rFonts w:hint="default"/>
      </w:rPr>
    </w:lvl>
  </w:abstractNum>
  <w:abstractNum w:abstractNumId="20">
    <w:nsid w:val="127B8D58"/>
    <w:multiLevelType w:val="singleLevel"/>
    <w:tmpl w:val="127B8D58"/>
    <w:lvl w:ilvl="0" w:tentative="0">
      <w:start w:val="1"/>
      <w:numFmt w:val="decimal"/>
      <w:lvlText w:val="%1."/>
      <w:lvlJc w:val="left"/>
      <w:pPr>
        <w:ind w:left="425" w:hanging="425"/>
      </w:pPr>
      <w:rPr>
        <w:rFonts w:hint="default"/>
      </w:rPr>
    </w:lvl>
  </w:abstractNum>
  <w:abstractNum w:abstractNumId="21">
    <w:nsid w:val="15A6C0A3"/>
    <w:multiLevelType w:val="singleLevel"/>
    <w:tmpl w:val="15A6C0A3"/>
    <w:lvl w:ilvl="0" w:tentative="0">
      <w:start w:val="1"/>
      <w:numFmt w:val="decimal"/>
      <w:lvlText w:val="%1."/>
      <w:lvlJc w:val="left"/>
      <w:pPr>
        <w:ind w:left="425" w:hanging="425"/>
      </w:pPr>
      <w:rPr>
        <w:rFonts w:hint="default"/>
      </w:rPr>
    </w:lvl>
  </w:abstractNum>
  <w:abstractNum w:abstractNumId="22">
    <w:nsid w:val="1EFCBF1B"/>
    <w:multiLevelType w:val="singleLevel"/>
    <w:tmpl w:val="1EFCBF1B"/>
    <w:lvl w:ilvl="0" w:tentative="0">
      <w:start w:val="1"/>
      <w:numFmt w:val="decimal"/>
      <w:lvlText w:val="(%1)"/>
      <w:lvlJc w:val="left"/>
      <w:pPr>
        <w:tabs>
          <w:tab w:val="left" w:pos="420"/>
        </w:tabs>
        <w:ind w:left="845" w:hanging="425"/>
      </w:pPr>
      <w:rPr>
        <w:rFonts w:hint="default"/>
      </w:rPr>
    </w:lvl>
  </w:abstractNum>
  <w:abstractNum w:abstractNumId="23">
    <w:nsid w:val="3164A495"/>
    <w:multiLevelType w:val="singleLevel"/>
    <w:tmpl w:val="3164A495"/>
    <w:lvl w:ilvl="0" w:tentative="0">
      <w:start w:val="1"/>
      <w:numFmt w:val="decimal"/>
      <w:lvlText w:val="%1."/>
      <w:lvlJc w:val="left"/>
      <w:pPr>
        <w:ind w:left="425" w:hanging="425"/>
      </w:pPr>
      <w:rPr>
        <w:rFonts w:hint="default"/>
      </w:rPr>
    </w:lvl>
  </w:abstractNum>
  <w:abstractNum w:abstractNumId="24">
    <w:nsid w:val="32CE561E"/>
    <w:multiLevelType w:val="singleLevel"/>
    <w:tmpl w:val="32CE561E"/>
    <w:lvl w:ilvl="0" w:tentative="0">
      <w:start w:val="1"/>
      <w:numFmt w:val="decimal"/>
      <w:lvlText w:val="%1."/>
      <w:lvlJc w:val="left"/>
      <w:pPr>
        <w:ind w:left="425" w:hanging="425"/>
      </w:pPr>
      <w:rPr>
        <w:rFonts w:hint="default"/>
      </w:rPr>
    </w:lvl>
  </w:abstractNum>
  <w:abstractNum w:abstractNumId="25">
    <w:nsid w:val="37A75AC1"/>
    <w:multiLevelType w:val="singleLevel"/>
    <w:tmpl w:val="37A75AC1"/>
    <w:lvl w:ilvl="0" w:tentative="0">
      <w:start w:val="1"/>
      <w:numFmt w:val="decimal"/>
      <w:lvlText w:val="%1."/>
      <w:lvlJc w:val="left"/>
      <w:pPr>
        <w:ind w:left="425" w:hanging="425"/>
      </w:pPr>
      <w:rPr>
        <w:rFonts w:hint="default"/>
      </w:rPr>
    </w:lvl>
  </w:abstractNum>
  <w:abstractNum w:abstractNumId="26">
    <w:nsid w:val="38490B36"/>
    <w:multiLevelType w:val="singleLevel"/>
    <w:tmpl w:val="38490B36"/>
    <w:lvl w:ilvl="0" w:tentative="0">
      <w:start w:val="1"/>
      <w:numFmt w:val="decimal"/>
      <w:lvlText w:val="%1."/>
      <w:lvlJc w:val="left"/>
      <w:pPr>
        <w:ind w:left="425" w:hanging="425"/>
      </w:pPr>
      <w:rPr>
        <w:rFonts w:hint="default"/>
      </w:rPr>
    </w:lvl>
  </w:abstractNum>
  <w:abstractNum w:abstractNumId="27">
    <w:nsid w:val="3DBD56B6"/>
    <w:multiLevelType w:val="singleLevel"/>
    <w:tmpl w:val="3DBD56B6"/>
    <w:lvl w:ilvl="0" w:tentative="0">
      <w:start w:val="1"/>
      <w:numFmt w:val="decimal"/>
      <w:lvlText w:val="%1."/>
      <w:lvlJc w:val="left"/>
      <w:pPr>
        <w:ind w:left="425" w:hanging="425"/>
      </w:pPr>
      <w:rPr>
        <w:rFonts w:hint="default"/>
      </w:rPr>
    </w:lvl>
  </w:abstractNum>
  <w:abstractNum w:abstractNumId="28">
    <w:nsid w:val="3EA31E04"/>
    <w:multiLevelType w:val="singleLevel"/>
    <w:tmpl w:val="3EA31E04"/>
    <w:lvl w:ilvl="0" w:tentative="0">
      <w:start w:val="1"/>
      <w:numFmt w:val="decimal"/>
      <w:lvlText w:val="%1."/>
      <w:lvlJc w:val="left"/>
      <w:pPr>
        <w:ind w:left="425" w:hanging="425"/>
      </w:pPr>
      <w:rPr>
        <w:rFonts w:hint="default"/>
      </w:rPr>
    </w:lvl>
  </w:abstractNum>
  <w:abstractNum w:abstractNumId="29">
    <w:nsid w:val="5917201A"/>
    <w:multiLevelType w:val="singleLevel"/>
    <w:tmpl w:val="5917201A"/>
    <w:lvl w:ilvl="0" w:tentative="0">
      <w:start w:val="1"/>
      <w:numFmt w:val="decimal"/>
      <w:lvlText w:val="%1."/>
      <w:lvlJc w:val="left"/>
      <w:pPr>
        <w:ind w:left="425" w:hanging="425"/>
      </w:pPr>
      <w:rPr>
        <w:rFonts w:hint="default"/>
      </w:rPr>
    </w:lvl>
  </w:abstractNum>
  <w:abstractNum w:abstractNumId="30">
    <w:nsid w:val="6454ADCE"/>
    <w:multiLevelType w:val="singleLevel"/>
    <w:tmpl w:val="6454ADCE"/>
    <w:lvl w:ilvl="0" w:tentative="0">
      <w:start w:val="1"/>
      <w:numFmt w:val="decimal"/>
      <w:lvlText w:val="(%1)"/>
      <w:lvlJc w:val="left"/>
      <w:pPr>
        <w:tabs>
          <w:tab w:val="left" w:pos="420"/>
        </w:tabs>
        <w:ind w:left="845" w:hanging="425"/>
      </w:pPr>
      <w:rPr>
        <w:rFonts w:hint="default"/>
      </w:rPr>
    </w:lvl>
  </w:abstractNum>
  <w:num w:numId="1">
    <w:abstractNumId w:val="5"/>
  </w:num>
  <w:num w:numId="2">
    <w:abstractNumId w:val="12"/>
  </w:num>
  <w:num w:numId="3">
    <w:abstractNumId w:val="22"/>
  </w:num>
  <w:num w:numId="4">
    <w:abstractNumId w:val="0"/>
  </w:num>
  <w:num w:numId="5">
    <w:abstractNumId w:val="13"/>
  </w:num>
  <w:num w:numId="6">
    <w:abstractNumId w:val="14"/>
  </w:num>
  <w:num w:numId="7">
    <w:abstractNumId w:val="24"/>
  </w:num>
  <w:num w:numId="8">
    <w:abstractNumId w:val="11"/>
  </w:num>
  <w:num w:numId="9">
    <w:abstractNumId w:val="18"/>
  </w:num>
  <w:num w:numId="10">
    <w:abstractNumId w:val="2"/>
  </w:num>
  <w:num w:numId="11">
    <w:abstractNumId w:val="17"/>
  </w:num>
  <w:num w:numId="12">
    <w:abstractNumId w:val="20"/>
  </w:num>
  <w:num w:numId="13">
    <w:abstractNumId w:val="27"/>
  </w:num>
  <w:num w:numId="14">
    <w:abstractNumId w:val="21"/>
  </w:num>
  <w:num w:numId="15">
    <w:abstractNumId w:val="29"/>
  </w:num>
  <w:num w:numId="16">
    <w:abstractNumId w:val="16"/>
  </w:num>
  <w:num w:numId="17">
    <w:abstractNumId w:val="7"/>
  </w:num>
  <w:num w:numId="18">
    <w:abstractNumId w:val="19"/>
  </w:num>
  <w:num w:numId="19">
    <w:abstractNumId w:val="23"/>
  </w:num>
  <w:num w:numId="20">
    <w:abstractNumId w:val="9"/>
  </w:num>
  <w:num w:numId="21">
    <w:abstractNumId w:val="25"/>
  </w:num>
  <w:num w:numId="22">
    <w:abstractNumId w:val="30"/>
  </w:num>
  <w:num w:numId="23">
    <w:abstractNumId w:val="1"/>
  </w:num>
  <w:num w:numId="24">
    <w:abstractNumId w:val="8"/>
  </w:num>
  <w:num w:numId="25">
    <w:abstractNumId w:val="4"/>
  </w:num>
  <w:num w:numId="26">
    <w:abstractNumId w:val="3"/>
  </w:num>
  <w:num w:numId="27">
    <w:abstractNumId w:val="28"/>
  </w:num>
  <w:num w:numId="28">
    <w:abstractNumId w:val="10"/>
  </w:num>
  <w:num w:numId="29">
    <w:abstractNumId w:val="26"/>
  </w:num>
  <w:num w:numId="30">
    <w:abstractNumId w:val="15"/>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2N2ZmMzRmM2I3Mjg4ZjQ3MWU5ZjM0Yzg3MjQ5ZDEifQ=="/>
  </w:docVars>
  <w:rsids>
    <w:rsidRoot w:val="00172A27"/>
    <w:rsid w:val="00007D09"/>
    <w:rsid w:val="00284284"/>
    <w:rsid w:val="003C5790"/>
    <w:rsid w:val="006E54E4"/>
    <w:rsid w:val="007D6A53"/>
    <w:rsid w:val="008E7762"/>
    <w:rsid w:val="00F74DB3"/>
    <w:rsid w:val="00F918FF"/>
    <w:rsid w:val="00FC6C30"/>
    <w:rsid w:val="01002841"/>
    <w:rsid w:val="012670EA"/>
    <w:rsid w:val="01500CBA"/>
    <w:rsid w:val="0151224A"/>
    <w:rsid w:val="01734E71"/>
    <w:rsid w:val="01E126DA"/>
    <w:rsid w:val="01E44FDB"/>
    <w:rsid w:val="020B07BA"/>
    <w:rsid w:val="020D2CFB"/>
    <w:rsid w:val="020F2276"/>
    <w:rsid w:val="02407390"/>
    <w:rsid w:val="026003DA"/>
    <w:rsid w:val="02637ACD"/>
    <w:rsid w:val="02662F40"/>
    <w:rsid w:val="026702F9"/>
    <w:rsid w:val="027D6BAF"/>
    <w:rsid w:val="02A7323C"/>
    <w:rsid w:val="02AE607D"/>
    <w:rsid w:val="02B47744"/>
    <w:rsid w:val="02EA65F4"/>
    <w:rsid w:val="02F43AD0"/>
    <w:rsid w:val="03212F99"/>
    <w:rsid w:val="032232E1"/>
    <w:rsid w:val="03321D76"/>
    <w:rsid w:val="03824D80"/>
    <w:rsid w:val="038E0BE7"/>
    <w:rsid w:val="039F6B2C"/>
    <w:rsid w:val="03B112E4"/>
    <w:rsid w:val="03DD6142"/>
    <w:rsid w:val="03E80687"/>
    <w:rsid w:val="04025BED"/>
    <w:rsid w:val="04166978"/>
    <w:rsid w:val="04456692"/>
    <w:rsid w:val="04474D22"/>
    <w:rsid w:val="04B2129D"/>
    <w:rsid w:val="04CD56ED"/>
    <w:rsid w:val="04DC643E"/>
    <w:rsid w:val="04E672BC"/>
    <w:rsid w:val="04FA3488"/>
    <w:rsid w:val="050E7CBB"/>
    <w:rsid w:val="053718C6"/>
    <w:rsid w:val="05457663"/>
    <w:rsid w:val="055C3C9B"/>
    <w:rsid w:val="055E50A5"/>
    <w:rsid w:val="055F137A"/>
    <w:rsid w:val="056401E1"/>
    <w:rsid w:val="058D73F4"/>
    <w:rsid w:val="05A529BC"/>
    <w:rsid w:val="05AC6FB1"/>
    <w:rsid w:val="05C86FCF"/>
    <w:rsid w:val="05D9694B"/>
    <w:rsid w:val="05E530D0"/>
    <w:rsid w:val="05F477B7"/>
    <w:rsid w:val="062B6043"/>
    <w:rsid w:val="063A78C0"/>
    <w:rsid w:val="06693130"/>
    <w:rsid w:val="068840DC"/>
    <w:rsid w:val="068D6FBF"/>
    <w:rsid w:val="069D0573"/>
    <w:rsid w:val="06C629DA"/>
    <w:rsid w:val="06E06F32"/>
    <w:rsid w:val="06EB39CE"/>
    <w:rsid w:val="06FB7B3A"/>
    <w:rsid w:val="06FF6413"/>
    <w:rsid w:val="07003C42"/>
    <w:rsid w:val="07027763"/>
    <w:rsid w:val="073009B6"/>
    <w:rsid w:val="073778F8"/>
    <w:rsid w:val="073C7FDB"/>
    <w:rsid w:val="074A0CFA"/>
    <w:rsid w:val="07546AE4"/>
    <w:rsid w:val="07742EA5"/>
    <w:rsid w:val="07915A08"/>
    <w:rsid w:val="079E7C15"/>
    <w:rsid w:val="07F6072D"/>
    <w:rsid w:val="07FF6C6C"/>
    <w:rsid w:val="083838E5"/>
    <w:rsid w:val="08466214"/>
    <w:rsid w:val="086C2AB7"/>
    <w:rsid w:val="0873545A"/>
    <w:rsid w:val="087F4A71"/>
    <w:rsid w:val="088766C0"/>
    <w:rsid w:val="088C7363"/>
    <w:rsid w:val="08990786"/>
    <w:rsid w:val="08B35707"/>
    <w:rsid w:val="08CE1C4B"/>
    <w:rsid w:val="08D22927"/>
    <w:rsid w:val="08D5567E"/>
    <w:rsid w:val="08E50660"/>
    <w:rsid w:val="093113D1"/>
    <w:rsid w:val="096B5FE2"/>
    <w:rsid w:val="098770A8"/>
    <w:rsid w:val="09945836"/>
    <w:rsid w:val="09B43E71"/>
    <w:rsid w:val="09BC683E"/>
    <w:rsid w:val="09DF3BF3"/>
    <w:rsid w:val="09EC6D03"/>
    <w:rsid w:val="0A0A75A9"/>
    <w:rsid w:val="0A2A7117"/>
    <w:rsid w:val="0A4A209B"/>
    <w:rsid w:val="0A794631"/>
    <w:rsid w:val="0AB358B7"/>
    <w:rsid w:val="0ABA6662"/>
    <w:rsid w:val="0AC57D64"/>
    <w:rsid w:val="0AE918B4"/>
    <w:rsid w:val="0B00392C"/>
    <w:rsid w:val="0B385B4A"/>
    <w:rsid w:val="0B58443E"/>
    <w:rsid w:val="0BAA5E29"/>
    <w:rsid w:val="0BC33EB3"/>
    <w:rsid w:val="0BF5187C"/>
    <w:rsid w:val="0C006EB6"/>
    <w:rsid w:val="0C144857"/>
    <w:rsid w:val="0C2B1A59"/>
    <w:rsid w:val="0C2B3807"/>
    <w:rsid w:val="0C492597"/>
    <w:rsid w:val="0C564D28"/>
    <w:rsid w:val="0CB24EDB"/>
    <w:rsid w:val="0CF30558"/>
    <w:rsid w:val="0D1129FD"/>
    <w:rsid w:val="0D786098"/>
    <w:rsid w:val="0D851756"/>
    <w:rsid w:val="0D8E2BF4"/>
    <w:rsid w:val="0D90739A"/>
    <w:rsid w:val="0DBA3094"/>
    <w:rsid w:val="0DC50277"/>
    <w:rsid w:val="0DFA594D"/>
    <w:rsid w:val="0E2A56E7"/>
    <w:rsid w:val="0E407A3D"/>
    <w:rsid w:val="0E4A1775"/>
    <w:rsid w:val="0E670185"/>
    <w:rsid w:val="0E6D2409"/>
    <w:rsid w:val="0E6E1987"/>
    <w:rsid w:val="0EA14B74"/>
    <w:rsid w:val="0EC3241C"/>
    <w:rsid w:val="0EC57542"/>
    <w:rsid w:val="0ED23A63"/>
    <w:rsid w:val="0ED86ACF"/>
    <w:rsid w:val="0F073C1A"/>
    <w:rsid w:val="0F1F7453"/>
    <w:rsid w:val="0F571187"/>
    <w:rsid w:val="0F673D20"/>
    <w:rsid w:val="0F8649DB"/>
    <w:rsid w:val="0F9D0EBF"/>
    <w:rsid w:val="0FA74520"/>
    <w:rsid w:val="0FBD21C9"/>
    <w:rsid w:val="0FD01A59"/>
    <w:rsid w:val="0FD85A54"/>
    <w:rsid w:val="0FDC489E"/>
    <w:rsid w:val="0FF02D9D"/>
    <w:rsid w:val="0FF4352C"/>
    <w:rsid w:val="100529D3"/>
    <w:rsid w:val="10321608"/>
    <w:rsid w:val="103E61FE"/>
    <w:rsid w:val="104201C3"/>
    <w:rsid w:val="10713036"/>
    <w:rsid w:val="10945E1E"/>
    <w:rsid w:val="109D1CC3"/>
    <w:rsid w:val="10C009C2"/>
    <w:rsid w:val="10C35AEF"/>
    <w:rsid w:val="10D17073"/>
    <w:rsid w:val="110805BA"/>
    <w:rsid w:val="110E434E"/>
    <w:rsid w:val="11570A78"/>
    <w:rsid w:val="118D36AA"/>
    <w:rsid w:val="119A3908"/>
    <w:rsid w:val="119B4F8B"/>
    <w:rsid w:val="11AB0F1C"/>
    <w:rsid w:val="11FF376B"/>
    <w:rsid w:val="120B3EBE"/>
    <w:rsid w:val="123D4709"/>
    <w:rsid w:val="125F6F6B"/>
    <w:rsid w:val="127F665A"/>
    <w:rsid w:val="12975542"/>
    <w:rsid w:val="12A06CFD"/>
    <w:rsid w:val="12B7417C"/>
    <w:rsid w:val="131D034D"/>
    <w:rsid w:val="131D292C"/>
    <w:rsid w:val="132C45B6"/>
    <w:rsid w:val="132F2A6F"/>
    <w:rsid w:val="13331AC9"/>
    <w:rsid w:val="13370A53"/>
    <w:rsid w:val="135140C9"/>
    <w:rsid w:val="13763F01"/>
    <w:rsid w:val="138C2666"/>
    <w:rsid w:val="13AE5449"/>
    <w:rsid w:val="13AF40E1"/>
    <w:rsid w:val="13B54A3B"/>
    <w:rsid w:val="14151024"/>
    <w:rsid w:val="141624D0"/>
    <w:rsid w:val="1422717A"/>
    <w:rsid w:val="143376FC"/>
    <w:rsid w:val="14411E19"/>
    <w:rsid w:val="1448764C"/>
    <w:rsid w:val="14520B32"/>
    <w:rsid w:val="148E3948"/>
    <w:rsid w:val="1494103A"/>
    <w:rsid w:val="14A95C11"/>
    <w:rsid w:val="14BD10BC"/>
    <w:rsid w:val="14C44621"/>
    <w:rsid w:val="14D94748"/>
    <w:rsid w:val="14ED1FA1"/>
    <w:rsid w:val="1514752E"/>
    <w:rsid w:val="153C6512"/>
    <w:rsid w:val="153D4CD7"/>
    <w:rsid w:val="156E0608"/>
    <w:rsid w:val="15870CC5"/>
    <w:rsid w:val="15AE149A"/>
    <w:rsid w:val="15C01464"/>
    <w:rsid w:val="15C86959"/>
    <w:rsid w:val="15F61D5B"/>
    <w:rsid w:val="1609105D"/>
    <w:rsid w:val="162D60F2"/>
    <w:rsid w:val="165B7F9E"/>
    <w:rsid w:val="1663076D"/>
    <w:rsid w:val="16922E00"/>
    <w:rsid w:val="16BB4257"/>
    <w:rsid w:val="16F413C5"/>
    <w:rsid w:val="17092996"/>
    <w:rsid w:val="170950B3"/>
    <w:rsid w:val="1751181D"/>
    <w:rsid w:val="17606A5A"/>
    <w:rsid w:val="177B1AE6"/>
    <w:rsid w:val="17BD3EAD"/>
    <w:rsid w:val="17C97095"/>
    <w:rsid w:val="17DB2585"/>
    <w:rsid w:val="17EC348A"/>
    <w:rsid w:val="17ED29EA"/>
    <w:rsid w:val="17F453F5"/>
    <w:rsid w:val="18183B00"/>
    <w:rsid w:val="184C5A6F"/>
    <w:rsid w:val="18517DBF"/>
    <w:rsid w:val="185217E9"/>
    <w:rsid w:val="18633C17"/>
    <w:rsid w:val="187073CD"/>
    <w:rsid w:val="187C3D68"/>
    <w:rsid w:val="18B2405F"/>
    <w:rsid w:val="18C726BF"/>
    <w:rsid w:val="18EA3C7E"/>
    <w:rsid w:val="19017DC9"/>
    <w:rsid w:val="191E4E1F"/>
    <w:rsid w:val="19303142"/>
    <w:rsid w:val="19314B52"/>
    <w:rsid w:val="199926F8"/>
    <w:rsid w:val="19A41FCE"/>
    <w:rsid w:val="19A5109C"/>
    <w:rsid w:val="19E90324"/>
    <w:rsid w:val="19FB6763"/>
    <w:rsid w:val="1A2B4FD6"/>
    <w:rsid w:val="1A584361"/>
    <w:rsid w:val="1A5A2E99"/>
    <w:rsid w:val="1A5C56BE"/>
    <w:rsid w:val="1A6374B3"/>
    <w:rsid w:val="1A807D94"/>
    <w:rsid w:val="1A8E353B"/>
    <w:rsid w:val="1AA475E6"/>
    <w:rsid w:val="1AA50C28"/>
    <w:rsid w:val="1ADF413A"/>
    <w:rsid w:val="1AE9063B"/>
    <w:rsid w:val="1AFC0627"/>
    <w:rsid w:val="1AFE38FA"/>
    <w:rsid w:val="1B051DBE"/>
    <w:rsid w:val="1B423AAD"/>
    <w:rsid w:val="1B4B4070"/>
    <w:rsid w:val="1B9024EC"/>
    <w:rsid w:val="1BBF795A"/>
    <w:rsid w:val="1BC37D58"/>
    <w:rsid w:val="1BE96EEF"/>
    <w:rsid w:val="1C00080C"/>
    <w:rsid w:val="1C342B12"/>
    <w:rsid w:val="1C3A02AC"/>
    <w:rsid w:val="1C4E0B38"/>
    <w:rsid w:val="1C542906"/>
    <w:rsid w:val="1C890801"/>
    <w:rsid w:val="1C9F21DB"/>
    <w:rsid w:val="1CAC2742"/>
    <w:rsid w:val="1D0131A6"/>
    <w:rsid w:val="1D0A0015"/>
    <w:rsid w:val="1D2E3157"/>
    <w:rsid w:val="1D4476B0"/>
    <w:rsid w:val="1D470709"/>
    <w:rsid w:val="1D487975"/>
    <w:rsid w:val="1DB06E0A"/>
    <w:rsid w:val="1DD65CC8"/>
    <w:rsid w:val="1DDA1A71"/>
    <w:rsid w:val="1DE428C0"/>
    <w:rsid w:val="1DFF7F16"/>
    <w:rsid w:val="1E0C5FCA"/>
    <w:rsid w:val="1E360515"/>
    <w:rsid w:val="1E371350"/>
    <w:rsid w:val="1E403142"/>
    <w:rsid w:val="1E444F85"/>
    <w:rsid w:val="1E786E38"/>
    <w:rsid w:val="1E984D2C"/>
    <w:rsid w:val="1EAC5DB1"/>
    <w:rsid w:val="1EB24C09"/>
    <w:rsid w:val="1ED16490"/>
    <w:rsid w:val="1EDB0C0B"/>
    <w:rsid w:val="1EEB6811"/>
    <w:rsid w:val="1F1F6AE6"/>
    <w:rsid w:val="1F363A63"/>
    <w:rsid w:val="1F5E7203"/>
    <w:rsid w:val="1F6606CB"/>
    <w:rsid w:val="1F7F204D"/>
    <w:rsid w:val="1FA432C5"/>
    <w:rsid w:val="1FC57DA2"/>
    <w:rsid w:val="1FE16BA6"/>
    <w:rsid w:val="1FEF0A5B"/>
    <w:rsid w:val="200E3365"/>
    <w:rsid w:val="20156D19"/>
    <w:rsid w:val="20621A95"/>
    <w:rsid w:val="2075762A"/>
    <w:rsid w:val="207A622C"/>
    <w:rsid w:val="20862B7C"/>
    <w:rsid w:val="20893332"/>
    <w:rsid w:val="208D4FF7"/>
    <w:rsid w:val="208F0CE4"/>
    <w:rsid w:val="20A21E92"/>
    <w:rsid w:val="20B54929"/>
    <w:rsid w:val="20FD17BE"/>
    <w:rsid w:val="211C030F"/>
    <w:rsid w:val="212009E6"/>
    <w:rsid w:val="21260DE0"/>
    <w:rsid w:val="212F7B7D"/>
    <w:rsid w:val="217C028D"/>
    <w:rsid w:val="219263AA"/>
    <w:rsid w:val="21A954A2"/>
    <w:rsid w:val="21E756EC"/>
    <w:rsid w:val="222B6945"/>
    <w:rsid w:val="22646964"/>
    <w:rsid w:val="226524FC"/>
    <w:rsid w:val="226D64CF"/>
    <w:rsid w:val="226F05A8"/>
    <w:rsid w:val="229414D9"/>
    <w:rsid w:val="22A04AF7"/>
    <w:rsid w:val="22B7340D"/>
    <w:rsid w:val="22C93F77"/>
    <w:rsid w:val="22FF4F97"/>
    <w:rsid w:val="23021C41"/>
    <w:rsid w:val="23061EB9"/>
    <w:rsid w:val="23076924"/>
    <w:rsid w:val="2309269C"/>
    <w:rsid w:val="23113CAF"/>
    <w:rsid w:val="23386ADD"/>
    <w:rsid w:val="234B50C5"/>
    <w:rsid w:val="234E5F61"/>
    <w:rsid w:val="235435CA"/>
    <w:rsid w:val="23847F75"/>
    <w:rsid w:val="238B4E5F"/>
    <w:rsid w:val="239117F3"/>
    <w:rsid w:val="239351B2"/>
    <w:rsid w:val="23B95E70"/>
    <w:rsid w:val="23D762F6"/>
    <w:rsid w:val="23D9610A"/>
    <w:rsid w:val="23E629DD"/>
    <w:rsid w:val="23E90F9E"/>
    <w:rsid w:val="23F32A04"/>
    <w:rsid w:val="23F549CE"/>
    <w:rsid w:val="240D62E5"/>
    <w:rsid w:val="241D744D"/>
    <w:rsid w:val="242C54AC"/>
    <w:rsid w:val="243674C1"/>
    <w:rsid w:val="24725679"/>
    <w:rsid w:val="24760DEC"/>
    <w:rsid w:val="24917DED"/>
    <w:rsid w:val="24945F95"/>
    <w:rsid w:val="24C26FA6"/>
    <w:rsid w:val="24CC2D4F"/>
    <w:rsid w:val="24CC572F"/>
    <w:rsid w:val="24D12967"/>
    <w:rsid w:val="24D90B5E"/>
    <w:rsid w:val="250848CE"/>
    <w:rsid w:val="253A7808"/>
    <w:rsid w:val="25587F81"/>
    <w:rsid w:val="256C2A6E"/>
    <w:rsid w:val="258C4EBE"/>
    <w:rsid w:val="259049AF"/>
    <w:rsid w:val="25C24D84"/>
    <w:rsid w:val="25D32AED"/>
    <w:rsid w:val="25ED1E01"/>
    <w:rsid w:val="26357304"/>
    <w:rsid w:val="2637307C"/>
    <w:rsid w:val="263D66A9"/>
    <w:rsid w:val="265172D8"/>
    <w:rsid w:val="26606A77"/>
    <w:rsid w:val="26B71BB9"/>
    <w:rsid w:val="26C76C88"/>
    <w:rsid w:val="26F64328"/>
    <w:rsid w:val="27103C37"/>
    <w:rsid w:val="27A75FE0"/>
    <w:rsid w:val="27D329F5"/>
    <w:rsid w:val="27F03E2A"/>
    <w:rsid w:val="2811739D"/>
    <w:rsid w:val="28577BDB"/>
    <w:rsid w:val="28641827"/>
    <w:rsid w:val="286D7229"/>
    <w:rsid w:val="286E4D4F"/>
    <w:rsid w:val="287D3B77"/>
    <w:rsid w:val="287F38B8"/>
    <w:rsid w:val="28812A39"/>
    <w:rsid w:val="288D1679"/>
    <w:rsid w:val="2904397B"/>
    <w:rsid w:val="29115E06"/>
    <w:rsid w:val="291B0A33"/>
    <w:rsid w:val="291D37E1"/>
    <w:rsid w:val="293262BD"/>
    <w:rsid w:val="293E0BC6"/>
    <w:rsid w:val="293F27CA"/>
    <w:rsid w:val="297077B5"/>
    <w:rsid w:val="29A96239"/>
    <w:rsid w:val="29DF48AB"/>
    <w:rsid w:val="29F85409"/>
    <w:rsid w:val="29FE4A7B"/>
    <w:rsid w:val="2A0E0598"/>
    <w:rsid w:val="2A1A0CEB"/>
    <w:rsid w:val="2A443FBA"/>
    <w:rsid w:val="2A461F39"/>
    <w:rsid w:val="2A5C415F"/>
    <w:rsid w:val="2A65738E"/>
    <w:rsid w:val="2A665068"/>
    <w:rsid w:val="2A7319B4"/>
    <w:rsid w:val="2A7C4FBE"/>
    <w:rsid w:val="2AAD1B5F"/>
    <w:rsid w:val="2AD510B6"/>
    <w:rsid w:val="2AD92954"/>
    <w:rsid w:val="2AF85DE1"/>
    <w:rsid w:val="2B4104F9"/>
    <w:rsid w:val="2B471D32"/>
    <w:rsid w:val="2B492BCA"/>
    <w:rsid w:val="2B732DA8"/>
    <w:rsid w:val="2B8A1EA0"/>
    <w:rsid w:val="2B9F4EB9"/>
    <w:rsid w:val="2BA2543C"/>
    <w:rsid w:val="2BA55DD3"/>
    <w:rsid w:val="2BA873BE"/>
    <w:rsid w:val="2BC07CE8"/>
    <w:rsid w:val="2BCA483C"/>
    <w:rsid w:val="2C0966C1"/>
    <w:rsid w:val="2C287027"/>
    <w:rsid w:val="2C3339A1"/>
    <w:rsid w:val="2C474A24"/>
    <w:rsid w:val="2C657FCC"/>
    <w:rsid w:val="2C7F577D"/>
    <w:rsid w:val="2C864D5D"/>
    <w:rsid w:val="2CC82C80"/>
    <w:rsid w:val="2CD44FE8"/>
    <w:rsid w:val="2CE149B4"/>
    <w:rsid w:val="2D0A14EA"/>
    <w:rsid w:val="2D433D76"/>
    <w:rsid w:val="2D6A60A5"/>
    <w:rsid w:val="2D723B4E"/>
    <w:rsid w:val="2D7505CE"/>
    <w:rsid w:val="2D955F19"/>
    <w:rsid w:val="2DE957E0"/>
    <w:rsid w:val="2E3D144C"/>
    <w:rsid w:val="2EA24B90"/>
    <w:rsid w:val="2EB161B8"/>
    <w:rsid w:val="2F0562AC"/>
    <w:rsid w:val="2F204FF5"/>
    <w:rsid w:val="2F2A7C22"/>
    <w:rsid w:val="2F3E7229"/>
    <w:rsid w:val="2F4013BC"/>
    <w:rsid w:val="2F844B71"/>
    <w:rsid w:val="2F972DDE"/>
    <w:rsid w:val="2FCF7266"/>
    <w:rsid w:val="2FD22068"/>
    <w:rsid w:val="2FE94FBC"/>
    <w:rsid w:val="300F36A2"/>
    <w:rsid w:val="3029612C"/>
    <w:rsid w:val="30902819"/>
    <w:rsid w:val="30C2475D"/>
    <w:rsid w:val="30C71C5F"/>
    <w:rsid w:val="30D74E68"/>
    <w:rsid w:val="30D90532"/>
    <w:rsid w:val="30FC55EE"/>
    <w:rsid w:val="310B5831"/>
    <w:rsid w:val="310D3357"/>
    <w:rsid w:val="310D77FB"/>
    <w:rsid w:val="311A1F18"/>
    <w:rsid w:val="311E2606"/>
    <w:rsid w:val="314A6E58"/>
    <w:rsid w:val="317758FD"/>
    <w:rsid w:val="31815AF3"/>
    <w:rsid w:val="31BC4D7D"/>
    <w:rsid w:val="31EC42E2"/>
    <w:rsid w:val="321915DD"/>
    <w:rsid w:val="322D27DB"/>
    <w:rsid w:val="3236068C"/>
    <w:rsid w:val="324552E5"/>
    <w:rsid w:val="32826D31"/>
    <w:rsid w:val="32883526"/>
    <w:rsid w:val="32AF4D4C"/>
    <w:rsid w:val="32B91B3F"/>
    <w:rsid w:val="32BF46A3"/>
    <w:rsid w:val="32E0684A"/>
    <w:rsid w:val="32F64A13"/>
    <w:rsid w:val="330E3F0A"/>
    <w:rsid w:val="33155FCB"/>
    <w:rsid w:val="333A0650"/>
    <w:rsid w:val="33601811"/>
    <w:rsid w:val="3381479C"/>
    <w:rsid w:val="3392223A"/>
    <w:rsid w:val="33BB2112"/>
    <w:rsid w:val="33D939C5"/>
    <w:rsid w:val="33F26BDC"/>
    <w:rsid w:val="34086433"/>
    <w:rsid w:val="341744ED"/>
    <w:rsid w:val="34254E5A"/>
    <w:rsid w:val="342D5ABF"/>
    <w:rsid w:val="343E5F1E"/>
    <w:rsid w:val="344838C6"/>
    <w:rsid w:val="346245C8"/>
    <w:rsid w:val="3467634A"/>
    <w:rsid w:val="347D25A2"/>
    <w:rsid w:val="348452AA"/>
    <w:rsid w:val="34BC6043"/>
    <w:rsid w:val="34D21CAF"/>
    <w:rsid w:val="34FB5BBD"/>
    <w:rsid w:val="351D4E0A"/>
    <w:rsid w:val="35392073"/>
    <w:rsid w:val="354237EC"/>
    <w:rsid w:val="354F076C"/>
    <w:rsid w:val="356B689E"/>
    <w:rsid w:val="35944047"/>
    <w:rsid w:val="35964186"/>
    <w:rsid w:val="35AF2F01"/>
    <w:rsid w:val="35B04BF9"/>
    <w:rsid w:val="35BC17F0"/>
    <w:rsid w:val="35BD508B"/>
    <w:rsid w:val="35E7102B"/>
    <w:rsid w:val="35FB58C9"/>
    <w:rsid w:val="360C0BE3"/>
    <w:rsid w:val="361216D5"/>
    <w:rsid w:val="36286772"/>
    <w:rsid w:val="36355E7C"/>
    <w:rsid w:val="363E64CE"/>
    <w:rsid w:val="364024E6"/>
    <w:rsid w:val="366E7B6C"/>
    <w:rsid w:val="36705384"/>
    <w:rsid w:val="3684375B"/>
    <w:rsid w:val="368D7057"/>
    <w:rsid w:val="36971B83"/>
    <w:rsid w:val="36AC716F"/>
    <w:rsid w:val="36BA7C1A"/>
    <w:rsid w:val="36D40B54"/>
    <w:rsid w:val="36DB6E9D"/>
    <w:rsid w:val="36F01751"/>
    <w:rsid w:val="3725093C"/>
    <w:rsid w:val="372C6501"/>
    <w:rsid w:val="373F0473"/>
    <w:rsid w:val="374B6987"/>
    <w:rsid w:val="376E6BFD"/>
    <w:rsid w:val="37875D5D"/>
    <w:rsid w:val="378A692E"/>
    <w:rsid w:val="379851DD"/>
    <w:rsid w:val="37987DEF"/>
    <w:rsid w:val="37A12A4B"/>
    <w:rsid w:val="37B409D1"/>
    <w:rsid w:val="37B56EBC"/>
    <w:rsid w:val="37D5685D"/>
    <w:rsid w:val="37DA5F5D"/>
    <w:rsid w:val="37DD68CF"/>
    <w:rsid w:val="37DE3019"/>
    <w:rsid w:val="380948B6"/>
    <w:rsid w:val="381304BA"/>
    <w:rsid w:val="38314272"/>
    <w:rsid w:val="38426054"/>
    <w:rsid w:val="385419DC"/>
    <w:rsid w:val="38563836"/>
    <w:rsid w:val="38864BF3"/>
    <w:rsid w:val="38AF1198"/>
    <w:rsid w:val="39394D72"/>
    <w:rsid w:val="395D33E0"/>
    <w:rsid w:val="3963760F"/>
    <w:rsid w:val="399D5494"/>
    <w:rsid w:val="39AD0219"/>
    <w:rsid w:val="39CA5ED4"/>
    <w:rsid w:val="39E3734B"/>
    <w:rsid w:val="39F52602"/>
    <w:rsid w:val="3A144205"/>
    <w:rsid w:val="3A1C7B03"/>
    <w:rsid w:val="3A282FB0"/>
    <w:rsid w:val="3A371445"/>
    <w:rsid w:val="3A527497"/>
    <w:rsid w:val="3A7B21C8"/>
    <w:rsid w:val="3A7B3A28"/>
    <w:rsid w:val="3A871989"/>
    <w:rsid w:val="3A9A3C85"/>
    <w:rsid w:val="3A9B19D4"/>
    <w:rsid w:val="3A9C574C"/>
    <w:rsid w:val="3AAD5BAB"/>
    <w:rsid w:val="3ABD5DEE"/>
    <w:rsid w:val="3AC86541"/>
    <w:rsid w:val="3AD04F87"/>
    <w:rsid w:val="3AF47336"/>
    <w:rsid w:val="3AF64E5C"/>
    <w:rsid w:val="3B1A7F65"/>
    <w:rsid w:val="3B215558"/>
    <w:rsid w:val="3B245DB9"/>
    <w:rsid w:val="3B660234"/>
    <w:rsid w:val="3B710249"/>
    <w:rsid w:val="3B7C66BB"/>
    <w:rsid w:val="3B881B73"/>
    <w:rsid w:val="3B954675"/>
    <w:rsid w:val="3B9876ED"/>
    <w:rsid w:val="3BA660A8"/>
    <w:rsid w:val="3BBB1CFC"/>
    <w:rsid w:val="3BC1546A"/>
    <w:rsid w:val="3BFC4004"/>
    <w:rsid w:val="3C10781A"/>
    <w:rsid w:val="3C3C10C6"/>
    <w:rsid w:val="3C720E5A"/>
    <w:rsid w:val="3C722C08"/>
    <w:rsid w:val="3C7B5B5E"/>
    <w:rsid w:val="3CBB45AF"/>
    <w:rsid w:val="3CD1792F"/>
    <w:rsid w:val="3CF33D49"/>
    <w:rsid w:val="3CF90C34"/>
    <w:rsid w:val="3D0025CD"/>
    <w:rsid w:val="3D1266AA"/>
    <w:rsid w:val="3D3B56F0"/>
    <w:rsid w:val="3D3D3DC3"/>
    <w:rsid w:val="3D4C16AB"/>
    <w:rsid w:val="3D554751"/>
    <w:rsid w:val="3D566086"/>
    <w:rsid w:val="3D622C7D"/>
    <w:rsid w:val="3D635B43"/>
    <w:rsid w:val="3D656E1F"/>
    <w:rsid w:val="3D6A53C8"/>
    <w:rsid w:val="3DB37034"/>
    <w:rsid w:val="3DC05237"/>
    <w:rsid w:val="3DC6320C"/>
    <w:rsid w:val="3DF613B3"/>
    <w:rsid w:val="3E1148B8"/>
    <w:rsid w:val="3E1A786F"/>
    <w:rsid w:val="3E6A5CCC"/>
    <w:rsid w:val="3E726EF0"/>
    <w:rsid w:val="3E777A0C"/>
    <w:rsid w:val="3EBF0E3A"/>
    <w:rsid w:val="3EC974F9"/>
    <w:rsid w:val="3F3A6803"/>
    <w:rsid w:val="3F4D5267"/>
    <w:rsid w:val="3F69568F"/>
    <w:rsid w:val="3F732F1F"/>
    <w:rsid w:val="3F7A2500"/>
    <w:rsid w:val="3F851D9F"/>
    <w:rsid w:val="3F87147D"/>
    <w:rsid w:val="3F95733A"/>
    <w:rsid w:val="3FAD6B5C"/>
    <w:rsid w:val="3FD87116"/>
    <w:rsid w:val="40204FCE"/>
    <w:rsid w:val="40466012"/>
    <w:rsid w:val="407A1BCB"/>
    <w:rsid w:val="4089217B"/>
    <w:rsid w:val="408D1DBF"/>
    <w:rsid w:val="40AB0497"/>
    <w:rsid w:val="40C14594"/>
    <w:rsid w:val="40D82855"/>
    <w:rsid w:val="40F7192E"/>
    <w:rsid w:val="40F9795F"/>
    <w:rsid w:val="4102545A"/>
    <w:rsid w:val="4109180B"/>
    <w:rsid w:val="410B53D9"/>
    <w:rsid w:val="41122EF5"/>
    <w:rsid w:val="41264F8C"/>
    <w:rsid w:val="412C78B2"/>
    <w:rsid w:val="41422894"/>
    <w:rsid w:val="41663E6F"/>
    <w:rsid w:val="41697691"/>
    <w:rsid w:val="416A2100"/>
    <w:rsid w:val="41760AA5"/>
    <w:rsid w:val="41941C47"/>
    <w:rsid w:val="41CE6B33"/>
    <w:rsid w:val="41F8595E"/>
    <w:rsid w:val="41FE672C"/>
    <w:rsid w:val="42033EDB"/>
    <w:rsid w:val="42116A20"/>
    <w:rsid w:val="42150B1D"/>
    <w:rsid w:val="42485F46"/>
    <w:rsid w:val="4257337F"/>
    <w:rsid w:val="4279332F"/>
    <w:rsid w:val="42795985"/>
    <w:rsid w:val="428042FE"/>
    <w:rsid w:val="428B1584"/>
    <w:rsid w:val="429A3BAB"/>
    <w:rsid w:val="429B514E"/>
    <w:rsid w:val="42C121F4"/>
    <w:rsid w:val="42E66EDA"/>
    <w:rsid w:val="42F44966"/>
    <w:rsid w:val="4311002B"/>
    <w:rsid w:val="43162980"/>
    <w:rsid w:val="43234C5C"/>
    <w:rsid w:val="432B7216"/>
    <w:rsid w:val="433E162F"/>
    <w:rsid w:val="434150E2"/>
    <w:rsid w:val="4348021F"/>
    <w:rsid w:val="43614A2D"/>
    <w:rsid w:val="43670FED"/>
    <w:rsid w:val="43800213"/>
    <w:rsid w:val="438107E6"/>
    <w:rsid w:val="438576C5"/>
    <w:rsid w:val="43C805F4"/>
    <w:rsid w:val="43D9322A"/>
    <w:rsid w:val="43E31DB9"/>
    <w:rsid w:val="43E74C7C"/>
    <w:rsid w:val="443A2862"/>
    <w:rsid w:val="44440C7D"/>
    <w:rsid w:val="444C3D3F"/>
    <w:rsid w:val="44580032"/>
    <w:rsid w:val="44B927C9"/>
    <w:rsid w:val="44BC61B9"/>
    <w:rsid w:val="44CF5606"/>
    <w:rsid w:val="44F26867"/>
    <w:rsid w:val="44F7014F"/>
    <w:rsid w:val="459E4C37"/>
    <w:rsid w:val="45BE5693"/>
    <w:rsid w:val="45C118BA"/>
    <w:rsid w:val="45D17A81"/>
    <w:rsid w:val="460F0AC7"/>
    <w:rsid w:val="46316469"/>
    <w:rsid w:val="465869CB"/>
    <w:rsid w:val="465B470D"/>
    <w:rsid w:val="46645519"/>
    <w:rsid w:val="46765901"/>
    <w:rsid w:val="46D31B71"/>
    <w:rsid w:val="46DC7A43"/>
    <w:rsid w:val="472447C5"/>
    <w:rsid w:val="47257C6F"/>
    <w:rsid w:val="47264693"/>
    <w:rsid w:val="473C7E7D"/>
    <w:rsid w:val="47473012"/>
    <w:rsid w:val="47872687"/>
    <w:rsid w:val="47951733"/>
    <w:rsid w:val="47A9421E"/>
    <w:rsid w:val="47B242CF"/>
    <w:rsid w:val="47D61232"/>
    <w:rsid w:val="4809709C"/>
    <w:rsid w:val="48272AF9"/>
    <w:rsid w:val="48482A6F"/>
    <w:rsid w:val="484A6020"/>
    <w:rsid w:val="48610C8E"/>
    <w:rsid w:val="4881663E"/>
    <w:rsid w:val="489D725F"/>
    <w:rsid w:val="489E2F22"/>
    <w:rsid w:val="48BB65F3"/>
    <w:rsid w:val="48DE348E"/>
    <w:rsid w:val="48E655B0"/>
    <w:rsid w:val="48F7696F"/>
    <w:rsid w:val="490D5B4A"/>
    <w:rsid w:val="491868E5"/>
    <w:rsid w:val="492F00A8"/>
    <w:rsid w:val="49520049"/>
    <w:rsid w:val="49A23322"/>
    <w:rsid w:val="49E33EC9"/>
    <w:rsid w:val="49F37BEE"/>
    <w:rsid w:val="4A392B67"/>
    <w:rsid w:val="4A8F68D8"/>
    <w:rsid w:val="4AA448D5"/>
    <w:rsid w:val="4AB10DA0"/>
    <w:rsid w:val="4AB977B7"/>
    <w:rsid w:val="4AE470BE"/>
    <w:rsid w:val="4B223A4B"/>
    <w:rsid w:val="4B25010D"/>
    <w:rsid w:val="4B315A3D"/>
    <w:rsid w:val="4B3F63AB"/>
    <w:rsid w:val="4B4B707C"/>
    <w:rsid w:val="4B5B1005"/>
    <w:rsid w:val="4B7C290C"/>
    <w:rsid w:val="4B9827AC"/>
    <w:rsid w:val="4B9E2606"/>
    <w:rsid w:val="4BD53764"/>
    <w:rsid w:val="4BEC0B90"/>
    <w:rsid w:val="4C041BB8"/>
    <w:rsid w:val="4C4E2BE2"/>
    <w:rsid w:val="4C59524B"/>
    <w:rsid w:val="4C6C6665"/>
    <w:rsid w:val="4C972C2F"/>
    <w:rsid w:val="4CA02E7A"/>
    <w:rsid w:val="4CA21E10"/>
    <w:rsid w:val="4CA83805"/>
    <w:rsid w:val="4CBA3777"/>
    <w:rsid w:val="4CDF7E46"/>
    <w:rsid w:val="4CF332E6"/>
    <w:rsid w:val="4D027691"/>
    <w:rsid w:val="4D135D42"/>
    <w:rsid w:val="4D163348"/>
    <w:rsid w:val="4D206542"/>
    <w:rsid w:val="4D53757C"/>
    <w:rsid w:val="4D7002BB"/>
    <w:rsid w:val="4D7231E3"/>
    <w:rsid w:val="4DA92202"/>
    <w:rsid w:val="4DB14E7E"/>
    <w:rsid w:val="4DCF51AC"/>
    <w:rsid w:val="4DCF71D9"/>
    <w:rsid w:val="4DE04169"/>
    <w:rsid w:val="4E4242CC"/>
    <w:rsid w:val="4E455FDE"/>
    <w:rsid w:val="4E764F37"/>
    <w:rsid w:val="4E7C3473"/>
    <w:rsid w:val="4EC00544"/>
    <w:rsid w:val="4EE55190"/>
    <w:rsid w:val="4EE57FE7"/>
    <w:rsid w:val="4EFC3F89"/>
    <w:rsid w:val="4F1C0052"/>
    <w:rsid w:val="4F5A4E0F"/>
    <w:rsid w:val="4F6A776F"/>
    <w:rsid w:val="4FAB352E"/>
    <w:rsid w:val="4FC41B1C"/>
    <w:rsid w:val="4FD174B4"/>
    <w:rsid w:val="4FD34FC0"/>
    <w:rsid w:val="4FEF0E1C"/>
    <w:rsid w:val="502F4C40"/>
    <w:rsid w:val="504D156B"/>
    <w:rsid w:val="505428F9"/>
    <w:rsid w:val="50617366"/>
    <w:rsid w:val="506D7517"/>
    <w:rsid w:val="507D0499"/>
    <w:rsid w:val="50EB7D5F"/>
    <w:rsid w:val="51020EC4"/>
    <w:rsid w:val="51090ECF"/>
    <w:rsid w:val="51234079"/>
    <w:rsid w:val="51321D01"/>
    <w:rsid w:val="513F6D66"/>
    <w:rsid w:val="516C46EE"/>
    <w:rsid w:val="5176689F"/>
    <w:rsid w:val="517B2107"/>
    <w:rsid w:val="51A452F8"/>
    <w:rsid w:val="51B2246F"/>
    <w:rsid w:val="51D97C6C"/>
    <w:rsid w:val="51E43809"/>
    <w:rsid w:val="51F65791"/>
    <w:rsid w:val="52090018"/>
    <w:rsid w:val="524F2BD5"/>
    <w:rsid w:val="5257222D"/>
    <w:rsid w:val="5258360F"/>
    <w:rsid w:val="527A68BB"/>
    <w:rsid w:val="527E1EAF"/>
    <w:rsid w:val="52860D64"/>
    <w:rsid w:val="529146A3"/>
    <w:rsid w:val="52933A01"/>
    <w:rsid w:val="529B6FAA"/>
    <w:rsid w:val="52A47972"/>
    <w:rsid w:val="52B1031F"/>
    <w:rsid w:val="52B878E2"/>
    <w:rsid w:val="52DD4C94"/>
    <w:rsid w:val="52E37F64"/>
    <w:rsid w:val="52E866F4"/>
    <w:rsid w:val="52F36AAE"/>
    <w:rsid w:val="530C448A"/>
    <w:rsid w:val="533F163E"/>
    <w:rsid w:val="5341270C"/>
    <w:rsid w:val="53513120"/>
    <w:rsid w:val="535E583D"/>
    <w:rsid w:val="53642E53"/>
    <w:rsid w:val="53BD63E7"/>
    <w:rsid w:val="53DB6E8D"/>
    <w:rsid w:val="53EB5057"/>
    <w:rsid w:val="5403662D"/>
    <w:rsid w:val="54114CF9"/>
    <w:rsid w:val="542D518F"/>
    <w:rsid w:val="54445BC5"/>
    <w:rsid w:val="54857525"/>
    <w:rsid w:val="54A02118"/>
    <w:rsid w:val="54AB4DA2"/>
    <w:rsid w:val="54DB76A5"/>
    <w:rsid w:val="54E01871"/>
    <w:rsid w:val="54E4288B"/>
    <w:rsid w:val="54E904BF"/>
    <w:rsid w:val="54EA55DA"/>
    <w:rsid w:val="54F975CB"/>
    <w:rsid w:val="550D3076"/>
    <w:rsid w:val="550F5041"/>
    <w:rsid w:val="55113DE3"/>
    <w:rsid w:val="55572DD3"/>
    <w:rsid w:val="55863699"/>
    <w:rsid w:val="55A03EEB"/>
    <w:rsid w:val="55B47996"/>
    <w:rsid w:val="55C1153D"/>
    <w:rsid w:val="55E53C12"/>
    <w:rsid w:val="55F12998"/>
    <w:rsid w:val="55F36944"/>
    <w:rsid w:val="560D10A9"/>
    <w:rsid w:val="562B2188"/>
    <w:rsid w:val="56617458"/>
    <w:rsid w:val="566E7A93"/>
    <w:rsid w:val="5697353F"/>
    <w:rsid w:val="56B9245D"/>
    <w:rsid w:val="56C50B11"/>
    <w:rsid w:val="56D136E7"/>
    <w:rsid w:val="56DC38AB"/>
    <w:rsid w:val="56FE711B"/>
    <w:rsid w:val="571B2E5A"/>
    <w:rsid w:val="574370F8"/>
    <w:rsid w:val="57614656"/>
    <w:rsid w:val="577D3C16"/>
    <w:rsid w:val="577E66D1"/>
    <w:rsid w:val="57C23C04"/>
    <w:rsid w:val="57C57C38"/>
    <w:rsid w:val="57DB2385"/>
    <w:rsid w:val="58030690"/>
    <w:rsid w:val="580F053E"/>
    <w:rsid w:val="581C5CCA"/>
    <w:rsid w:val="583A23D4"/>
    <w:rsid w:val="58426B64"/>
    <w:rsid w:val="58427D27"/>
    <w:rsid w:val="584C1004"/>
    <w:rsid w:val="585B4553"/>
    <w:rsid w:val="587F6039"/>
    <w:rsid w:val="588725D2"/>
    <w:rsid w:val="589C5818"/>
    <w:rsid w:val="58A8162D"/>
    <w:rsid w:val="58A91308"/>
    <w:rsid w:val="58BE6B00"/>
    <w:rsid w:val="58F438A7"/>
    <w:rsid w:val="58FD62BE"/>
    <w:rsid w:val="590A2620"/>
    <w:rsid w:val="59232E69"/>
    <w:rsid w:val="59590F80"/>
    <w:rsid w:val="59627259"/>
    <w:rsid w:val="597A4752"/>
    <w:rsid w:val="5994098E"/>
    <w:rsid w:val="59B77A55"/>
    <w:rsid w:val="59B8562B"/>
    <w:rsid w:val="59D906AD"/>
    <w:rsid w:val="59DF498C"/>
    <w:rsid w:val="59E61CBE"/>
    <w:rsid w:val="5A0F163F"/>
    <w:rsid w:val="5A1B4488"/>
    <w:rsid w:val="5A5A4FB0"/>
    <w:rsid w:val="5A8F68C3"/>
    <w:rsid w:val="5AB028CE"/>
    <w:rsid w:val="5ABA5A4E"/>
    <w:rsid w:val="5AD91B03"/>
    <w:rsid w:val="5AEB5C08"/>
    <w:rsid w:val="5AED7E6A"/>
    <w:rsid w:val="5B0E6B12"/>
    <w:rsid w:val="5B4F263B"/>
    <w:rsid w:val="5B6431F1"/>
    <w:rsid w:val="5B6B0AF7"/>
    <w:rsid w:val="5BA73C53"/>
    <w:rsid w:val="5BEF0B21"/>
    <w:rsid w:val="5C0403C4"/>
    <w:rsid w:val="5C13572D"/>
    <w:rsid w:val="5C150625"/>
    <w:rsid w:val="5D0E3E30"/>
    <w:rsid w:val="5D17141C"/>
    <w:rsid w:val="5D224B7D"/>
    <w:rsid w:val="5D323FC2"/>
    <w:rsid w:val="5D885990"/>
    <w:rsid w:val="5DAD54CC"/>
    <w:rsid w:val="5DCA76CD"/>
    <w:rsid w:val="5DCC02F5"/>
    <w:rsid w:val="5DEA7DBC"/>
    <w:rsid w:val="5DF50B4C"/>
    <w:rsid w:val="5E457D25"/>
    <w:rsid w:val="5E5C1071"/>
    <w:rsid w:val="5E811756"/>
    <w:rsid w:val="5EB3492E"/>
    <w:rsid w:val="5EB9022B"/>
    <w:rsid w:val="5ECA1FD8"/>
    <w:rsid w:val="5EDE6643"/>
    <w:rsid w:val="5F245B8C"/>
    <w:rsid w:val="5F4E41AB"/>
    <w:rsid w:val="5F520271"/>
    <w:rsid w:val="5F565A06"/>
    <w:rsid w:val="5F57149E"/>
    <w:rsid w:val="5F677827"/>
    <w:rsid w:val="5F845D6D"/>
    <w:rsid w:val="5FA40A7B"/>
    <w:rsid w:val="5FD064D0"/>
    <w:rsid w:val="5FD4310E"/>
    <w:rsid w:val="5FF9068A"/>
    <w:rsid w:val="600956D4"/>
    <w:rsid w:val="601663AD"/>
    <w:rsid w:val="6025396A"/>
    <w:rsid w:val="60271C1D"/>
    <w:rsid w:val="60A01243"/>
    <w:rsid w:val="60A710C0"/>
    <w:rsid w:val="60AE1BB1"/>
    <w:rsid w:val="60C0639C"/>
    <w:rsid w:val="60CA5055"/>
    <w:rsid w:val="60F6015E"/>
    <w:rsid w:val="60FA4DF7"/>
    <w:rsid w:val="61075A02"/>
    <w:rsid w:val="61410CCB"/>
    <w:rsid w:val="61565DA5"/>
    <w:rsid w:val="616505E3"/>
    <w:rsid w:val="617E77D6"/>
    <w:rsid w:val="61836A79"/>
    <w:rsid w:val="61D92C5E"/>
    <w:rsid w:val="61E369BB"/>
    <w:rsid w:val="61FB05CA"/>
    <w:rsid w:val="6206074D"/>
    <w:rsid w:val="620A1069"/>
    <w:rsid w:val="62AB7BE6"/>
    <w:rsid w:val="62BB36AE"/>
    <w:rsid w:val="62CC4571"/>
    <w:rsid w:val="62DE37BD"/>
    <w:rsid w:val="62F6339C"/>
    <w:rsid w:val="633123B2"/>
    <w:rsid w:val="63510202"/>
    <w:rsid w:val="63700174"/>
    <w:rsid w:val="63833748"/>
    <w:rsid w:val="638E71E8"/>
    <w:rsid w:val="63A728E8"/>
    <w:rsid w:val="63FF1FF4"/>
    <w:rsid w:val="64147117"/>
    <w:rsid w:val="64190BA7"/>
    <w:rsid w:val="642D103F"/>
    <w:rsid w:val="643E4FD2"/>
    <w:rsid w:val="6454481E"/>
    <w:rsid w:val="64601415"/>
    <w:rsid w:val="64611C81"/>
    <w:rsid w:val="64697AA1"/>
    <w:rsid w:val="64781C56"/>
    <w:rsid w:val="64A81104"/>
    <w:rsid w:val="64D05306"/>
    <w:rsid w:val="64E16273"/>
    <w:rsid w:val="64F102BF"/>
    <w:rsid w:val="65065FBE"/>
    <w:rsid w:val="650A5824"/>
    <w:rsid w:val="653B0EF8"/>
    <w:rsid w:val="65A90B99"/>
    <w:rsid w:val="65C77B87"/>
    <w:rsid w:val="65D14C7E"/>
    <w:rsid w:val="65FC5490"/>
    <w:rsid w:val="66167BA9"/>
    <w:rsid w:val="66214B4C"/>
    <w:rsid w:val="662C2D47"/>
    <w:rsid w:val="66613222"/>
    <w:rsid w:val="6671634D"/>
    <w:rsid w:val="66BB1E10"/>
    <w:rsid w:val="66CC0D72"/>
    <w:rsid w:val="66CD3A9F"/>
    <w:rsid w:val="66EF4CD2"/>
    <w:rsid w:val="672843FB"/>
    <w:rsid w:val="67341C8A"/>
    <w:rsid w:val="674D28F0"/>
    <w:rsid w:val="67522041"/>
    <w:rsid w:val="67753C00"/>
    <w:rsid w:val="677B4EDF"/>
    <w:rsid w:val="678C0773"/>
    <w:rsid w:val="67902011"/>
    <w:rsid w:val="67A96438"/>
    <w:rsid w:val="67B63E1E"/>
    <w:rsid w:val="67FA0CF4"/>
    <w:rsid w:val="68071BA7"/>
    <w:rsid w:val="681E1E1B"/>
    <w:rsid w:val="68295FC1"/>
    <w:rsid w:val="68670858"/>
    <w:rsid w:val="688F6D99"/>
    <w:rsid w:val="68972E48"/>
    <w:rsid w:val="68A044D6"/>
    <w:rsid w:val="68AB61CD"/>
    <w:rsid w:val="68AF2172"/>
    <w:rsid w:val="68C857DA"/>
    <w:rsid w:val="68DB7C25"/>
    <w:rsid w:val="68E51EE8"/>
    <w:rsid w:val="68F7240E"/>
    <w:rsid w:val="68FF30B6"/>
    <w:rsid w:val="69003C71"/>
    <w:rsid w:val="690B012A"/>
    <w:rsid w:val="691F18C9"/>
    <w:rsid w:val="6922313D"/>
    <w:rsid w:val="6941170C"/>
    <w:rsid w:val="69653E93"/>
    <w:rsid w:val="69747710"/>
    <w:rsid w:val="69757DD5"/>
    <w:rsid w:val="69855479"/>
    <w:rsid w:val="69AE49D0"/>
    <w:rsid w:val="69B23B9D"/>
    <w:rsid w:val="69E76134"/>
    <w:rsid w:val="6A2B1694"/>
    <w:rsid w:val="6A7D168C"/>
    <w:rsid w:val="6AB91439"/>
    <w:rsid w:val="6ACB2459"/>
    <w:rsid w:val="6AD9782B"/>
    <w:rsid w:val="6B007380"/>
    <w:rsid w:val="6B010706"/>
    <w:rsid w:val="6B2638FB"/>
    <w:rsid w:val="6B451364"/>
    <w:rsid w:val="6B481CAA"/>
    <w:rsid w:val="6B600319"/>
    <w:rsid w:val="6B7632CC"/>
    <w:rsid w:val="6B84214A"/>
    <w:rsid w:val="6B8A0876"/>
    <w:rsid w:val="6BB805D1"/>
    <w:rsid w:val="6BC04E8F"/>
    <w:rsid w:val="6BD91AAD"/>
    <w:rsid w:val="6BEF5D3F"/>
    <w:rsid w:val="6BF15048"/>
    <w:rsid w:val="6C2C5453"/>
    <w:rsid w:val="6C4A6B91"/>
    <w:rsid w:val="6C57749F"/>
    <w:rsid w:val="6C677FCB"/>
    <w:rsid w:val="6C787472"/>
    <w:rsid w:val="6C7F2B9D"/>
    <w:rsid w:val="6CA7261F"/>
    <w:rsid w:val="6CB26586"/>
    <w:rsid w:val="6CD96208"/>
    <w:rsid w:val="6CDB1F80"/>
    <w:rsid w:val="6CFA617E"/>
    <w:rsid w:val="6D062CB2"/>
    <w:rsid w:val="6D4713C4"/>
    <w:rsid w:val="6D591247"/>
    <w:rsid w:val="6D704AEE"/>
    <w:rsid w:val="6D70634D"/>
    <w:rsid w:val="6D793547"/>
    <w:rsid w:val="6D8F4B19"/>
    <w:rsid w:val="6DA5433C"/>
    <w:rsid w:val="6DAA2A43"/>
    <w:rsid w:val="6DB1683D"/>
    <w:rsid w:val="6DB266EF"/>
    <w:rsid w:val="6DD85312"/>
    <w:rsid w:val="6DE472FB"/>
    <w:rsid w:val="6DEE64AE"/>
    <w:rsid w:val="6E000F70"/>
    <w:rsid w:val="6E2C680B"/>
    <w:rsid w:val="6E7320F1"/>
    <w:rsid w:val="6E754F20"/>
    <w:rsid w:val="6E91666F"/>
    <w:rsid w:val="6E9323E7"/>
    <w:rsid w:val="6E971ED7"/>
    <w:rsid w:val="6E9A19C7"/>
    <w:rsid w:val="6E9E55CD"/>
    <w:rsid w:val="6EC151A6"/>
    <w:rsid w:val="6ED40410"/>
    <w:rsid w:val="6ED8268C"/>
    <w:rsid w:val="6EDD3662"/>
    <w:rsid w:val="6EE23732"/>
    <w:rsid w:val="6EEE5636"/>
    <w:rsid w:val="6EFB1CD1"/>
    <w:rsid w:val="6F045C56"/>
    <w:rsid w:val="6F20011E"/>
    <w:rsid w:val="6F321C00"/>
    <w:rsid w:val="6F3764C1"/>
    <w:rsid w:val="6F6B77E3"/>
    <w:rsid w:val="6F6E4180"/>
    <w:rsid w:val="6FAA79E8"/>
    <w:rsid w:val="6FB22007"/>
    <w:rsid w:val="6FBB1BF5"/>
    <w:rsid w:val="6FC7059A"/>
    <w:rsid w:val="6FCB7F43"/>
    <w:rsid w:val="6FCF56A0"/>
    <w:rsid w:val="6FD80540"/>
    <w:rsid w:val="700A0487"/>
    <w:rsid w:val="70170310"/>
    <w:rsid w:val="702F6604"/>
    <w:rsid w:val="70345878"/>
    <w:rsid w:val="70644D13"/>
    <w:rsid w:val="706F388A"/>
    <w:rsid w:val="7073599E"/>
    <w:rsid w:val="70C745CA"/>
    <w:rsid w:val="70C8281B"/>
    <w:rsid w:val="70D6480D"/>
    <w:rsid w:val="70DC1872"/>
    <w:rsid w:val="70F1013D"/>
    <w:rsid w:val="7108371E"/>
    <w:rsid w:val="713003C1"/>
    <w:rsid w:val="7130216F"/>
    <w:rsid w:val="713F5B9D"/>
    <w:rsid w:val="71493231"/>
    <w:rsid w:val="71A247F5"/>
    <w:rsid w:val="71B3023E"/>
    <w:rsid w:val="71BA448C"/>
    <w:rsid w:val="722740A1"/>
    <w:rsid w:val="726B5A3A"/>
    <w:rsid w:val="726E0966"/>
    <w:rsid w:val="72772E62"/>
    <w:rsid w:val="72AE2438"/>
    <w:rsid w:val="72C74D55"/>
    <w:rsid w:val="72D51FDA"/>
    <w:rsid w:val="72D6652D"/>
    <w:rsid w:val="72DD00D4"/>
    <w:rsid w:val="72E15E16"/>
    <w:rsid w:val="72F84F0E"/>
    <w:rsid w:val="731A04F4"/>
    <w:rsid w:val="733777E5"/>
    <w:rsid w:val="7374664C"/>
    <w:rsid w:val="73852C46"/>
    <w:rsid w:val="73920EBF"/>
    <w:rsid w:val="73A26C2C"/>
    <w:rsid w:val="73CD6BAB"/>
    <w:rsid w:val="73DE4AE7"/>
    <w:rsid w:val="73DE5C35"/>
    <w:rsid w:val="73EC3B11"/>
    <w:rsid w:val="74165C30"/>
    <w:rsid w:val="742825C8"/>
    <w:rsid w:val="7429460E"/>
    <w:rsid w:val="744F184A"/>
    <w:rsid w:val="74515A09"/>
    <w:rsid w:val="74712F60"/>
    <w:rsid w:val="7482135A"/>
    <w:rsid w:val="74991809"/>
    <w:rsid w:val="74A80947"/>
    <w:rsid w:val="74B055E6"/>
    <w:rsid w:val="74BF3F35"/>
    <w:rsid w:val="74D53171"/>
    <w:rsid w:val="75110AE4"/>
    <w:rsid w:val="75261328"/>
    <w:rsid w:val="75267081"/>
    <w:rsid w:val="752814FA"/>
    <w:rsid w:val="75470E99"/>
    <w:rsid w:val="755A3194"/>
    <w:rsid w:val="755C3532"/>
    <w:rsid w:val="75640F65"/>
    <w:rsid w:val="757C5983"/>
    <w:rsid w:val="7587222A"/>
    <w:rsid w:val="758C3ABE"/>
    <w:rsid w:val="75BB10E5"/>
    <w:rsid w:val="75D27C98"/>
    <w:rsid w:val="76051E1C"/>
    <w:rsid w:val="76116A13"/>
    <w:rsid w:val="76132734"/>
    <w:rsid w:val="76665036"/>
    <w:rsid w:val="76877A84"/>
    <w:rsid w:val="76AE25D3"/>
    <w:rsid w:val="76B35133"/>
    <w:rsid w:val="76E539FB"/>
    <w:rsid w:val="772B5915"/>
    <w:rsid w:val="77374E5C"/>
    <w:rsid w:val="77617526"/>
    <w:rsid w:val="77955421"/>
    <w:rsid w:val="779E1AF6"/>
    <w:rsid w:val="77C91904"/>
    <w:rsid w:val="77CD3AD3"/>
    <w:rsid w:val="77D25D2E"/>
    <w:rsid w:val="77DA64C1"/>
    <w:rsid w:val="782E4D00"/>
    <w:rsid w:val="782F6E2C"/>
    <w:rsid w:val="786220DA"/>
    <w:rsid w:val="786646C8"/>
    <w:rsid w:val="788D60F9"/>
    <w:rsid w:val="789950E1"/>
    <w:rsid w:val="78D9226F"/>
    <w:rsid w:val="78E03B00"/>
    <w:rsid w:val="78F16688"/>
    <w:rsid w:val="79091C23"/>
    <w:rsid w:val="79181E66"/>
    <w:rsid w:val="7933675D"/>
    <w:rsid w:val="7956298E"/>
    <w:rsid w:val="795E5DA9"/>
    <w:rsid w:val="796B6CDE"/>
    <w:rsid w:val="79982C4E"/>
    <w:rsid w:val="79C40153"/>
    <w:rsid w:val="79E70B47"/>
    <w:rsid w:val="79F57AA1"/>
    <w:rsid w:val="79FB09CD"/>
    <w:rsid w:val="7A301431"/>
    <w:rsid w:val="7A5051DB"/>
    <w:rsid w:val="7A522539"/>
    <w:rsid w:val="7A57076C"/>
    <w:rsid w:val="7A5E13B7"/>
    <w:rsid w:val="7A81603B"/>
    <w:rsid w:val="7A842082"/>
    <w:rsid w:val="7A96669D"/>
    <w:rsid w:val="7AAA0BCD"/>
    <w:rsid w:val="7AB553C8"/>
    <w:rsid w:val="7ACC42B7"/>
    <w:rsid w:val="7AD47FEE"/>
    <w:rsid w:val="7B013B2B"/>
    <w:rsid w:val="7B022CF5"/>
    <w:rsid w:val="7B05466C"/>
    <w:rsid w:val="7B0F54EB"/>
    <w:rsid w:val="7B2173E8"/>
    <w:rsid w:val="7B2C7E4B"/>
    <w:rsid w:val="7B4B7795"/>
    <w:rsid w:val="7B51165F"/>
    <w:rsid w:val="7B746180"/>
    <w:rsid w:val="7BAC6E11"/>
    <w:rsid w:val="7BBD0AA3"/>
    <w:rsid w:val="7C136915"/>
    <w:rsid w:val="7C141D0B"/>
    <w:rsid w:val="7C193FC6"/>
    <w:rsid w:val="7C30396B"/>
    <w:rsid w:val="7C43544C"/>
    <w:rsid w:val="7C4B7338"/>
    <w:rsid w:val="7C5E2286"/>
    <w:rsid w:val="7C727603"/>
    <w:rsid w:val="7C8C097C"/>
    <w:rsid w:val="7C9C19A2"/>
    <w:rsid w:val="7CB43C54"/>
    <w:rsid w:val="7CC056C1"/>
    <w:rsid w:val="7CC43D31"/>
    <w:rsid w:val="7CE32E91"/>
    <w:rsid w:val="7CE64029"/>
    <w:rsid w:val="7CFE5817"/>
    <w:rsid w:val="7D1B2A22"/>
    <w:rsid w:val="7D1B3CD3"/>
    <w:rsid w:val="7D3E1E8B"/>
    <w:rsid w:val="7D423956"/>
    <w:rsid w:val="7DA513CC"/>
    <w:rsid w:val="7DA641A7"/>
    <w:rsid w:val="7DA83AE5"/>
    <w:rsid w:val="7DD87E38"/>
    <w:rsid w:val="7DE85837"/>
    <w:rsid w:val="7DEB08B5"/>
    <w:rsid w:val="7DF05152"/>
    <w:rsid w:val="7DF36581"/>
    <w:rsid w:val="7DFF3EE8"/>
    <w:rsid w:val="7E0D3B87"/>
    <w:rsid w:val="7E0E7D09"/>
    <w:rsid w:val="7E142A60"/>
    <w:rsid w:val="7E294C13"/>
    <w:rsid w:val="7E4E17D2"/>
    <w:rsid w:val="7E4F632A"/>
    <w:rsid w:val="7E551467"/>
    <w:rsid w:val="7E9E3F32"/>
    <w:rsid w:val="7EF80EBE"/>
    <w:rsid w:val="7EFE05D4"/>
    <w:rsid w:val="7F0C2905"/>
    <w:rsid w:val="7F2B5E31"/>
    <w:rsid w:val="7F391EF9"/>
    <w:rsid w:val="7F4B5C17"/>
    <w:rsid w:val="7F783635"/>
    <w:rsid w:val="7F957D96"/>
    <w:rsid w:val="7FB41CEA"/>
    <w:rsid w:val="7FB50340"/>
    <w:rsid w:val="7FB56661"/>
    <w:rsid w:val="7FBB354B"/>
    <w:rsid w:val="7FBE4DEA"/>
    <w:rsid w:val="7FD01455"/>
    <w:rsid w:val="7FD30E24"/>
    <w:rsid w:val="7FD833BC"/>
    <w:rsid w:val="7FE902C3"/>
    <w:rsid w:val="7FF351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964" w:firstLineChars="200"/>
      <w:jc w:val="left"/>
    </w:pPr>
    <w:rPr>
      <w:rFonts w:ascii="宋体" w:hAnsi="宋体" w:eastAsia="宋体" w:cs="宋体"/>
      <w:kern w:val="2"/>
      <w:sz w:val="24"/>
      <w:szCs w:val="24"/>
      <w:lang w:val="en-US" w:eastAsia="zh-CN" w:bidi="ar-SA"/>
    </w:rPr>
  </w:style>
  <w:style w:type="paragraph" w:styleId="2">
    <w:name w:val="heading 1"/>
    <w:basedOn w:val="1"/>
    <w:next w:val="1"/>
    <w:autoRedefine/>
    <w:qFormat/>
    <w:uiPriority w:val="0"/>
    <w:pPr>
      <w:keepNext/>
      <w:keepLines/>
      <w:numPr>
        <w:ilvl w:val="0"/>
        <w:numId w:val="1"/>
      </w:numPr>
      <w:spacing w:before="300" w:beforeLines="0" w:after="300" w:afterLines="0" w:line="480" w:lineRule="auto"/>
      <w:ind w:left="432" w:hanging="432" w:firstLineChars="0"/>
      <w:jc w:val="center"/>
      <w:outlineLvl w:val="0"/>
    </w:pPr>
    <w:rPr>
      <w:b/>
      <w:bCs/>
      <w:color w:val="auto"/>
      <w:kern w:val="44"/>
      <w:sz w:val="36"/>
      <w:szCs w:val="36"/>
    </w:rPr>
  </w:style>
  <w:style w:type="paragraph" w:styleId="3">
    <w:name w:val="heading 2"/>
    <w:basedOn w:val="1"/>
    <w:next w:val="1"/>
    <w:link w:val="19"/>
    <w:autoRedefine/>
    <w:unhideWhenUsed/>
    <w:qFormat/>
    <w:uiPriority w:val="0"/>
    <w:pPr>
      <w:keepNext/>
      <w:keepLines/>
      <w:numPr>
        <w:ilvl w:val="1"/>
        <w:numId w:val="1"/>
      </w:numPr>
      <w:spacing w:before="100" w:beforeLines="100" w:beforeAutospacing="0" w:after="50" w:afterLines="50" w:afterAutospacing="0" w:line="240" w:lineRule="auto"/>
      <w:ind w:left="575" w:hanging="575" w:firstLineChars="0"/>
      <w:jc w:val="left"/>
      <w:outlineLvl w:val="1"/>
    </w:pPr>
    <w:rPr>
      <w:b/>
      <w:color w:val="000000" w:themeColor="text1"/>
      <w:sz w:val="30"/>
      <w:szCs w:val="30"/>
      <w14:textFill>
        <w14:solidFill>
          <w14:schemeClr w14:val="tx1"/>
        </w14:solidFill>
      </w14:textFill>
    </w:rPr>
  </w:style>
  <w:style w:type="paragraph" w:styleId="4">
    <w:name w:val="heading 3"/>
    <w:basedOn w:val="1"/>
    <w:next w:val="1"/>
    <w:link w:val="18"/>
    <w:autoRedefine/>
    <w:unhideWhenUsed/>
    <w:qFormat/>
    <w:uiPriority w:val="0"/>
    <w:pPr>
      <w:keepNext/>
      <w:keepLines/>
      <w:numPr>
        <w:ilvl w:val="2"/>
        <w:numId w:val="1"/>
      </w:numPr>
      <w:spacing w:before="50" w:beforeLines="50" w:beforeAutospacing="0" w:after="50" w:afterLines="50" w:afterAutospacing="0" w:line="240" w:lineRule="auto"/>
      <w:ind w:left="720" w:hanging="720" w:firstLineChars="0"/>
      <w:outlineLvl w:val="2"/>
    </w:pPr>
    <w:rPr>
      <w:b/>
      <w:sz w:val="28"/>
      <w:szCs w:val="28"/>
    </w:rPr>
  </w:style>
  <w:style w:type="paragraph" w:styleId="5">
    <w:name w:val="heading 4"/>
    <w:basedOn w:val="1"/>
    <w:next w:val="1"/>
    <w:autoRedefine/>
    <w:unhideWhenUsed/>
    <w:qFormat/>
    <w:uiPriority w:val="0"/>
    <w:pPr>
      <w:keepNext/>
      <w:keepLines/>
      <w:numPr>
        <w:ilvl w:val="3"/>
        <w:numId w:val="1"/>
      </w:numPr>
      <w:spacing w:before="50" w:beforeLines="50" w:beforeAutospacing="0" w:after="50" w:afterLines="50" w:afterAutospacing="0" w:line="240" w:lineRule="auto"/>
      <w:ind w:left="864" w:hanging="864" w:firstLineChars="0"/>
      <w:outlineLvl w:val="3"/>
    </w:pPr>
    <w:rPr>
      <w:b/>
    </w:rPr>
  </w:style>
  <w:style w:type="paragraph" w:styleId="6">
    <w:name w:val="heading 5"/>
    <w:basedOn w:val="1"/>
    <w:next w:val="1"/>
    <w:autoRedefine/>
    <w:unhideWhenUsed/>
    <w:qFormat/>
    <w:uiPriority w:val="0"/>
    <w:pPr>
      <w:keepNext/>
      <w:keepLines/>
      <w:numPr>
        <w:ilvl w:val="4"/>
        <w:numId w:val="1"/>
      </w:numPr>
      <w:spacing w:beforeLines="0" w:beforeAutospacing="0" w:afterLines="0" w:afterAutospacing="0" w:line="240" w:lineRule="auto"/>
      <w:ind w:left="1008" w:hanging="1008" w:firstLineChars="0"/>
      <w:outlineLvl w:val="4"/>
    </w:pPr>
    <w:rPr>
      <w:rFonts w:ascii="宋体" w:hAnsi="宋体" w:eastAsia="宋体" w:cs="宋体"/>
    </w:rPr>
  </w:style>
  <w:style w:type="paragraph" w:styleId="7">
    <w:name w:val="heading 6"/>
    <w:basedOn w:val="1"/>
    <w:next w:val="1"/>
    <w:autoRedefine/>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宋体" w:hAnsi="宋体" w:eastAsia="宋体" w:cs="宋体"/>
      <w:b/>
    </w:rPr>
  </w:style>
  <w:style w:type="paragraph" w:styleId="8">
    <w:name w:val="heading 7"/>
    <w:basedOn w:val="1"/>
    <w:next w:val="1"/>
    <w:autoRedefine/>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autoRedefine/>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autoRedefine/>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17">
    <w:name w:val="Default Paragraph Font"/>
    <w:autoRedefine/>
    <w:qFormat/>
    <w:uiPriority w:val="0"/>
    <w:rPr>
      <w:rFonts w:ascii="宋体" w:hAnsi="宋体" w:eastAsia="宋体" w:cs="宋体"/>
      <w:sz w:val="24"/>
      <w:szCs w:val="24"/>
    </w:rPr>
  </w:style>
  <w:style w:type="table" w:default="1" w:styleId="15">
    <w:name w:val="Normal Table"/>
    <w:autoRedefin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1">
    <w:name w:val="footer"/>
    <w:basedOn w:val="1"/>
    <w:autoRedefine/>
    <w:qFormat/>
    <w:uiPriority w:val="0"/>
    <w:pPr>
      <w:tabs>
        <w:tab w:val="center" w:pos="4153"/>
        <w:tab w:val="right" w:pos="8306"/>
      </w:tabs>
      <w:snapToGrid w:val="0"/>
      <w:ind w:firstLine="0" w:firstLineChars="0"/>
      <w:jc w:val="left"/>
    </w:pPr>
    <w:rPr>
      <w:sz w:val="18"/>
    </w:rPr>
  </w:style>
  <w:style w:type="paragraph" w:styleId="12">
    <w:name w:val="toc 1"/>
    <w:basedOn w:val="1"/>
    <w:next w:val="1"/>
    <w:autoRedefine/>
    <w:qFormat/>
    <w:uiPriority w:val="0"/>
    <w:pPr>
      <w:ind w:firstLine="0" w:firstLineChars="0"/>
    </w:pPr>
    <w:rPr>
      <w:sz w:val="30"/>
      <w:szCs w:val="30"/>
    </w:rPr>
  </w:style>
  <w:style w:type="paragraph" w:styleId="13">
    <w:name w:val="toc 2"/>
    <w:basedOn w:val="1"/>
    <w:next w:val="1"/>
    <w:autoRedefine/>
    <w:qFormat/>
    <w:uiPriority w:val="0"/>
    <w:pPr>
      <w:ind w:left="480" w:leftChars="200" w:firstLine="0" w:firstLineChars="0"/>
    </w:pPr>
    <w:rPr>
      <w:sz w:val="28"/>
      <w:szCs w:val="28"/>
    </w:rPr>
  </w:style>
  <w:style w:type="paragraph" w:styleId="14">
    <w:name w:val="Normal (Web)"/>
    <w:basedOn w:val="1"/>
    <w:autoRedefine/>
    <w:qFormat/>
    <w:uiPriority w:val="0"/>
    <w:rPr>
      <w:sz w:val="24"/>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标题 3 Char"/>
    <w:link w:val="4"/>
    <w:autoRedefine/>
    <w:qFormat/>
    <w:uiPriority w:val="0"/>
    <w:rPr>
      <w:rFonts w:ascii="宋体" w:hAnsi="宋体" w:eastAsia="宋体" w:cs="宋体"/>
      <w:b/>
      <w:sz w:val="28"/>
      <w:szCs w:val="28"/>
    </w:rPr>
  </w:style>
  <w:style w:type="character" w:customStyle="1" w:styleId="19">
    <w:name w:val="标题 2 Char"/>
    <w:link w:val="3"/>
    <w:autoRedefine/>
    <w:qFormat/>
    <w:uiPriority w:val="0"/>
    <w:rPr>
      <w:rFonts w:ascii="宋体" w:hAnsi="宋体" w:eastAsia="宋体" w:cs="宋体"/>
      <w:b/>
      <w:color w:val="000000" w:themeColor="text1"/>
      <w:sz w:val="30"/>
      <w:szCs w:val="30"/>
      <w14:textFill>
        <w14:solidFill>
          <w14:schemeClr w14:val="tx1"/>
        </w14:solidFill>
      </w14:textFill>
    </w:rPr>
  </w:style>
  <w:style w:type="paragraph" w:customStyle="1" w:styleId="20">
    <w:name w:val="表名称"/>
    <w:basedOn w:val="1"/>
    <w:autoRedefine/>
    <w:qFormat/>
    <w:uiPriority w:val="0"/>
    <w:pPr>
      <w:jc w:val="center"/>
    </w:pPr>
    <w:rPr>
      <w:rFonts w:ascii="黑体" w:eastAsia="黑体" w:cs="宋体"/>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13709</Words>
  <Characters>14889</Characters>
  <Lines>0</Lines>
  <Paragraphs>0</Paragraphs>
  <TotalTime>20</TotalTime>
  <ScaleCrop>false</ScaleCrop>
  <LinksUpToDate>false</LinksUpToDate>
  <CharactersWithSpaces>15176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2023-10-30T02:56:00Z</dcterms:created>
  <dc:creator>WPS_1677116750</dc:creator>
  <cp:lastModifiedBy>花师奶</cp:lastModifiedBy>
  <dcterms:modified xsi:type="dcterms:W3CDTF">2025-05-26T07:36:53Z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BBF698DBEB31469FBE96A2713269E057_13</vt:lpwstr>
  </property>
  <property fmtid="{D5CDD505-2E9C-101B-9397-08002B2CF9AE}" pid="4" name="KSOTemplateDocerSaveRecord">
    <vt:lpwstr>eyJoZGlkIjoiOTM0MDdhNGRjYjg1MDgxODIxNTI3MTQzYjNlYTc1MTEiLCJ1c2VySWQiOiIzMzQ1MDc4OTkifQ==</vt:lpwstr>
  </property>
</Properties>
</file>