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630F672">
      <w:pPr>
        <w:adjustRightInd w:val="0"/>
        <w:snapToGrid w:val="0"/>
        <w:spacing w:line="360" w:lineRule="auto"/>
        <w:rPr>
          <w:rFonts w:hint="eastAsia" w:ascii="黑体" w:hAnsi="黑体" w:cs="宋体"/>
          <w:bCs/>
          <w:snapToGrid w:val="0"/>
          <w:kern w:val="0"/>
          <w:sz w:val="24"/>
        </w:rPr>
      </w:pPr>
      <w:bookmarkStart w:id="0" w:name="_Toc396662259"/>
      <w:bookmarkStart w:id="1" w:name="_Toc397364808"/>
      <w:bookmarkStart w:id="2" w:name="_Toc184635097"/>
      <w:bookmarkStart w:id="3" w:name="_Toc152045610"/>
      <w:bookmarkStart w:id="4" w:name="_Toc247527635"/>
      <w:bookmarkStart w:id="5" w:name="_Toc247514034"/>
      <w:bookmarkStart w:id="6" w:name="_Toc152042388"/>
      <w:bookmarkStart w:id="7" w:name="_Toc144974578"/>
      <w:r>
        <w:rPr>
          <w:rFonts w:hint="eastAsia" w:ascii="黑体" w:hAnsi="黑体" w:cs="宋体"/>
          <w:bCs/>
          <w:snapToGrid w:val="0"/>
          <w:kern w:val="0"/>
          <w:sz w:val="30"/>
          <w:szCs w:val="30"/>
        </w:rPr>
        <w:t>合同编号：</w:t>
      </w:r>
    </w:p>
    <w:p w14:paraId="68B55731">
      <w:pPr>
        <w:adjustRightInd w:val="0"/>
        <w:snapToGrid w:val="0"/>
        <w:spacing w:line="360" w:lineRule="auto"/>
        <w:rPr>
          <w:rFonts w:hint="eastAsia" w:ascii="黑体" w:hAnsi="黑体" w:cs="宋体"/>
          <w:bCs/>
          <w:snapToGrid w:val="0"/>
          <w:kern w:val="0"/>
          <w:sz w:val="24"/>
        </w:rPr>
      </w:pPr>
    </w:p>
    <w:p w14:paraId="5990333B">
      <w:pPr>
        <w:adjustRightInd w:val="0"/>
        <w:snapToGrid w:val="0"/>
        <w:spacing w:line="360" w:lineRule="auto"/>
        <w:rPr>
          <w:rFonts w:hint="eastAsia" w:ascii="黑体" w:hAnsi="黑体" w:cs="宋体"/>
          <w:bCs/>
          <w:snapToGrid w:val="0"/>
          <w:kern w:val="0"/>
          <w:sz w:val="24"/>
        </w:rPr>
      </w:pPr>
    </w:p>
    <w:p w14:paraId="37F12E82">
      <w:pPr>
        <w:adjustRightInd w:val="0"/>
        <w:snapToGrid w:val="0"/>
        <w:spacing w:line="360" w:lineRule="auto"/>
        <w:rPr>
          <w:rFonts w:hint="eastAsia" w:ascii="黑体" w:hAnsi="黑体" w:cs="宋体"/>
          <w:bCs/>
          <w:snapToGrid w:val="0"/>
          <w:kern w:val="0"/>
          <w:sz w:val="24"/>
        </w:rPr>
      </w:pPr>
    </w:p>
    <w:p w14:paraId="1AB3F2AF">
      <w:pPr>
        <w:adjustRightInd w:val="0"/>
        <w:snapToGrid w:val="0"/>
        <w:spacing w:line="360" w:lineRule="auto"/>
        <w:rPr>
          <w:rFonts w:hint="eastAsia" w:ascii="黑体" w:hAnsi="黑体" w:cs="宋体"/>
          <w:bCs/>
          <w:snapToGrid w:val="0"/>
          <w:kern w:val="0"/>
          <w:sz w:val="24"/>
        </w:rPr>
      </w:pPr>
    </w:p>
    <w:p w14:paraId="4C29D289">
      <w:pPr>
        <w:adjustRightInd w:val="0"/>
        <w:snapToGrid w:val="0"/>
        <w:spacing w:line="360" w:lineRule="auto"/>
        <w:rPr>
          <w:rFonts w:hint="eastAsia" w:ascii="黑体" w:hAnsi="黑体" w:cs="宋体"/>
          <w:bCs/>
          <w:snapToGrid w:val="0"/>
          <w:kern w:val="0"/>
          <w:sz w:val="24"/>
        </w:rPr>
      </w:pPr>
    </w:p>
    <w:bookmarkEnd w:id="0"/>
    <w:bookmarkEnd w:id="1"/>
    <w:p w14:paraId="6AA6F5C3">
      <w:pPr>
        <w:adjustRightInd w:val="0"/>
        <w:snapToGrid w:val="0"/>
        <w:spacing w:line="360" w:lineRule="auto"/>
        <w:rPr>
          <w:rFonts w:hint="eastAsia" w:ascii="黑体" w:hAnsi="黑体" w:cs="宋体"/>
          <w:bCs/>
          <w:snapToGrid w:val="0"/>
          <w:kern w:val="0"/>
          <w:sz w:val="24"/>
        </w:rPr>
      </w:pPr>
    </w:p>
    <w:p w14:paraId="0F0E0BB8">
      <w:pPr>
        <w:adjustRightInd w:val="0"/>
        <w:snapToGrid w:val="0"/>
        <w:spacing w:line="360" w:lineRule="auto"/>
        <w:jc w:val="center"/>
        <w:rPr>
          <w:rFonts w:hint="eastAsia" w:ascii="黑体" w:hAnsi="黑体" w:cs="宋体"/>
          <w:bCs/>
          <w:snapToGrid w:val="0"/>
          <w:kern w:val="0"/>
          <w:sz w:val="52"/>
          <w:szCs w:val="52"/>
        </w:rPr>
      </w:pPr>
      <w:r>
        <w:rPr>
          <w:rFonts w:hint="eastAsia" w:ascii="黑体" w:hAnsi="黑体" w:cs="宋体"/>
          <w:bCs/>
          <w:snapToGrid w:val="0"/>
          <w:kern w:val="0"/>
          <w:sz w:val="52"/>
          <w:szCs w:val="52"/>
        </w:rPr>
        <w:t>海心沙体验中心项目智能展示工程</w:t>
      </w:r>
    </w:p>
    <w:p w14:paraId="137628A1">
      <w:pPr>
        <w:adjustRightInd w:val="0"/>
        <w:snapToGrid w:val="0"/>
        <w:spacing w:line="360" w:lineRule="auto"/>
        <w:jc w:val="center"/>
        <w:rPr>
          <w:rFonts w:hint="eastAsia" w:ascii="黑体" w:hAnsi="黑体" w:cs="宋体"/>
          <w:bCs/>
          <w:snapToGrid w:val="0"/>
          <w:kern w:val="0"/>
          <w:sz w:val="52"/>
          <w:szCs w:val="52"/>
        </w:rPr>
      </w:pPr>
      <w:r>
        <w:rPr>
          <w:rFonts w:hint="eastAsia" w:ascii="黑体" w:hAnsi="黑体" w:cs="宋体"/>
          <w:bCs/>
          <w:snapToGrid w:val="0"/>
          <w:kern w:val="0"/>
          <w:sz w:val="52"/>
          <w:szCs w:val="52"/>
        </w:rPr>
        <w:t>勘察设计采购施工总承包</w:t>
      </w:r>
    </w:p>
    <w:p w14:paraId="3DD7DAF2">
      <w:pPr>
        <w:adjustRightInd w:val="0"/>
        <w:snapToGrid w:val="0"/>
        <w:spacing w:line="360" w:lineRule="auto"/>
        <w:jc w:val="center"/>
        <w:rPr>
          <w:rFonts w:hint="eastAsia" w:ascii="黑体" w:hAnsi="黑体" w:cs="宋体"/>
          <w:bCs/>
          <w:snapToGrid w:val="0"/>
          <w:kern w:val="0"/>
          <w:sz w:val="52"/>
          <w:szCs w:val="52"/>
        </w:rPr>
      </w:pPr>
      <w:r>
        <w:rPr>
          <w:rFonts w:hint="eastAsia" w:ascii="黑体" w:hAnsi="黑体" w:cs="宋体"/>
          <w:bCs/>
          <w:snapToGrid w:val="0"/>
          <w:kern w:val="0"/>
          <w:sz w:val="52"/>
          <w:szCs w:val="52"/>
        </w:rPr>
        <w:t>（EPC）合同</w:t>
      </w:r>
    </w:p>
    <w:p w14:paraId="34C01DB9">
      <w:pPr>
        <w:adjustRightInd w:val="0"/>
        <w:snapToGrid w:val="0"/>
        <w:spacing w:line="360" w:lineRule="auto"/>
        <w:rPr>
          <w:rFonts w:hint="eastAsia" w:ascii="黑体" w:hAnsi="黑体" w:cs="宋体"/>
          <w:bCs/>
          <w:snapToGrid w:val="0"/>
          <w:kern w:val="0"/>
          <w:sz w:val="24"/>
        </w:rPr>
      </w:pPr>
    </w:p>
    <w:p w14:paraId="45A61CA0">
      <w:pPr>
        <w:adjustRightInd w:val="0"/>
        <w:snapToGrid w:val="0"/>
        <w:spacing w:line="360" w:lineRule="auto"/>
        <w:rPr>
          <w:rFonts w:hint="eastAsia" w:ascii="黑体" w:hAnsi="黑体" w:cs="宋体"/>
          <w:bCs/>
          <w:snapToGrid w:val="0"/>
          <w:kern w:val="0"/>
          <w:sz w:val="24"/>
        </w:rPr>
      </w:pPr>
    </w:p>
    <w:p w14:paraId="7DB3B84D">
      <w:pPr>
        <w:adjustRightInd w:val="0"/>
        <w:snapToGrid w:val="0"/>
        <w:spacing w:line="360" w:lineRule="auto"/>
        <w:rPr>
          <w:rFonts w:hint="eastAsia" w:ascii="黑体" w:hAnsi="黑体" w:cs="宋体"/>
          <w:bCs/>
          <w:snapToGrid w:val="0"/>
          <w:kern w:val="0"/>
          <w:sz w:val="24"/>
        </w:rPr>
      </w:pPr>
    </w:p>
    <w:p w14:paraId="7C47A0B3">
      <w:pPr>
        <w:adjustRightInd w:val="0"/>
        <w:snapToGrid w:val="0"/>
        <w:spacing w:line="360" w:lineRule="auto"/>
        <w:rPr>
          <w:rFonts w:hint="eastAsia" w:ascii="黑体" w:hAnsi="黑体" w:cs="宋体"/>
          <w:bCs/>
          <w:snapToGrid w:val="0"/>
          <w:kern w:val="0"/>
          <w:sz w:val="24"/>
        </w:rPr>
      </w:pPr>
    </w:p>
    <w:p w14:paraId="3F1DA8B5">
      <w:pPr>
        <w:adjustRightInd w:val="0"/>
        <w:snapToGrid w:val="0"/>
        <w:spacing w:line="360" w:lineRule="auto"/>
        <w:rPr>
          <w:rFonts w:hint="eastAsia" w:ascii="黑体" w:hAnsi="黑体" w:cs="宋体"/>
          <w:bCs/>
          <w:snapToGrid w:val="0"/>
          <w:kern w:val="0"/>
          <w:sz w:val="24"/>
        </w:rPr>
      </w:pPr>
    </w:p>
    <w:p w14:paraId="3322B5ED">
      <w:pPr>
        <w:adjustRightInd w:val="0"/>
        <w:snapToGrid w:val="0"/>
        <w:spacing w:line="360" w:lineRule="auto"/>
        <w:rPr>
          <w:rFonts w:hint="eastAsia" w:ascii="黑体" w:hAnsi="黑体" w:cs="宋体"/>
          <w:bCs/>
          <w:snapToGrid w:val="0"/>
          <w:kern w:val="0"/>
          <w:sz w:val="24"/>
        </w:rPr>
      </w:pPr>
    </w:p>
    <w:p w14:paraId="7EC44AD5">
      <w:pPr>
        <w:adjustRightInd w:val="0"/>
        <w:snapToGrid w:val="0"/>
        <w:spacing w:line="360" w:lineRule="auto"/>
        <w:rPr>
          <w:rFonts w:hint="eastAsia" w:ascii="黑体" w:hAnsi="黑体" w:cs="宋体"/>
          <w:bCs/>
          <w:snapToGrid w:val="0"/>
          <w:kern w:val="0"/>
          <w:sz w:val="24"/>
        </w:rPr>
      </w:pPr>
    </w:p>
    <w:p w14:paraId="5D4D937B">
      <w:pPr>
        <w:adjustRightInd w:val="0"/>
        <w:snapToGrid w:val="0"/>
        <w:spacing w:line="360" w:lineRule="auto"/>
        <w:ind w:firstLine="1267" w:firstLineChars="396"/>
        <w:rPr>
          <w:rFonts w:hint="eastAsia" w:ascii="黑体" w:hAnsi="黑体" w:cs="宋体"/>
          <w:bCs/>
          <w:snapToGrid w:val="0"/>
          <w:kern w:val="0"/>
          <w:sz w:val="32"/>
          <w:szCs w:val="32"/>
        </w:rPr>
      </w:pPr>
      <w:r>
        <w:rPr>
          <w:rFonts w:hint="eastAsia" w:ascii="黑体" w:hAnsi="黑体" w:cs="宋体"/>
          <w:bCs/>
          <w:snapToGrid w:val="0"/>
          <w:kern w:val="0"/>
          <w:sz w:val="32"/>
          <w:szCs w:val="32"/>
        </w:rPr>
        <w:t>发包人（甲方）：广州新中轴建设有限公司</w:t>
      </w:r>
    </w:p>
    <w:p w14:paraId="6435049C">
      <w:pPr>
        <w:adjustRightInd w:val="0"/>
        <w:snapToGrid w:val="0"/>
        <w:spacing w:line="360" w:lineRule="auto"/>
        <w:ind w:firstLine="1267" w:firstLineChars="396"/>
        <w:rPr>
          <w:rFonts w:hint="eastAsia" w:ascii="黑体" w:hAnsi="黑体" w:cs="宋体"/>
          <w:bCs/>
          <w:snapToGrid w:val="0"/>
          <w:kern w:val="0"/>
          <w:sz w:val="32"/>
          <w:szCs w:val="32"/>
        </w:rPr>
      </w:pPr>
      <w:r>
        <w:rPr>
          <w:rFonts w:hint="eastAsia" w:ascii="黑体" w:hAnsi="黑体" w:cs="宋体"/>
          <w:bCs/>
          <w:snapToGrid w:val="0"/>
          <w:kern w:val="0"/>
          <w:sz w:val="32"/>
          <w:szCs w:val="32"/>
        </w:rPr>
        <w:t>承包人（乙方）：【承包人单位名称】</w:t>
      </w:r>
    </w:p>
    <w:p w14:paraId="2D127D9E">
      <w:pPr>
        <w:pStyle w:val="17"/>
        <w:ind w:firstLine="840" w:firstLineChars="300"/>
        <w:rPr>
          <w:rFonts w:hint="eastAsia" w:ascii="宋体" w:hAnsi="宋体"/>
          <w:sz w:val="28"/>
        </w:rPr>
      </w:pPr>
    </w:p>
    <w:p w14:paraId="2682AAFF">
      <w:pPr>
        <w:pStyle w:val="403"/>
        <w:spacing w:line="560" w:lineRule="exact"/>
        <w:jc w:val="center"/>
        <w:rPr>
          <w:rFonts w:hint="eastAsia" w:ascii="黑体" w:hAnsi="黑体"/>
          <w:sz w:val="28"/>
        </w:rPr>
        <w:sectPr>
          <w:footerReference r:id="rId5" w:type="first"/>
          <w:footerReference r:id="rId3" w:type="default"/>
          <w:footerReference r:id="rId4" w:type="even"/>
          <w:pgSz w:w="11907" w:h="16840"/>
          <w:pgMar w:top="1417" w:right="1531" w:bottom="1304" w:left="1531" w:header="851" w:footer="992" w:gutter="0"/>
          <w:cols w:space="720" w:num="1"/>
          <w:docGrid w:linePitch="312" w:charSpace="0"/>
        </w:sectPr>
      </w:pPr>
      <w:bookmarkStart w:id="1661" w:name="_GoBack"/>
      <w:bookmarkEnd w:id="1661"/>
    </w:p>
    <w:p w14:paraId="3F1020E1">
      <w:pPr>
        <w:pStyle w:val="513"/>
        <w:jc w:val="center"/>
        <w:rPr>
          <w:rFonts w:hint="eastAsia" w:ascii="宋体" w:hAnsi="宋体" w:eastAsia="宋体" w:cs="宋体"/>
          <w:b w:val="0"/>
          <w:bCs w:val="0"/>
          <w:color w:val="auto"/>
          <w:sz w:val="40"/>
          <w:szCs w:val="40"/>
        </w:rPr>
      </w:pPr>
      <w:bookmarkStart w:id="8" w:name="_Toc17185"/>
      <w:bookmarkStart w:id="9" w:name="_Toc31663"/>
      <w:r>
        <w:rPr>
          <w:rFonts w:hint="eastAsia" w:ascii="宋体" w:hAnsi="宋体" w:eastAsia="宋体" w:cs="宋体"/>
          <w:b w:val="0"/>
          <w:bCs w:val="0"/>
          <w:color w:val="auto"/>
          <w:sz w:val="40"/>
          <w:szCs w:val="40"/>
          <w:lang w:val="zh-CN"/>
        </w:rPr>
        <w:t>目录</w:t>
      </w:r>
      <w:bookmarkEnd w:id="8"/>
      <w:bookmarkEnd w:id="9"/>
    </w:p>
    <w:p w14:paraId="22550D03">
      <w:pPr>
        <w:pStyle w:val="41"/>
        <w:tabs>
          <w:tab w:val="right" w:leader="dot" w:pos="8835"/>
        </w:tabs>
        <w:rPr>
          <w:rFonts w:hint="eastAsia" w:asciiTheme="minorHAnsi" w:hAnsiTheme="minorHAnsi" w:eastAsiaTheme="minorEastAsia" w:cstheme="minorBidi"/>
          <w:b w:val="0"/>
          <w:caps w:val="0"/>
          <w:sz w:val="22"/>
          <w:szCs w:val="24"/>
          <w14:ligatures w14:val="standardContextual"/>
        </w:rPr>
      </w:pPr>
      <w:r>
        <w:rPr>
          <w:rFonts w:hint="eastAsia" w:ascii="宋体" w:hAnsi="宋体" w:cs="宋体"/>
          <w:b w:val="0"/>
          <w:sz w:val="24"/>
          <w:szCs w:val="24"/>
        </w:rPr>
        <w:fldChar w:fldCharType="begin"/>
      </w:r>
      <w:r>
        <w:rPr>
          <w:rFonts w:hint="eastAsia" w:ascii="宋体" w:hAnsi="宋体" w:cs="宋体"/>
          <w:b w:val="0"/>
          <w:sz w:val="24"/>
          <w:szCs w:val="24"/>
        </w:rPr>
        <w:instrText xml:space="preserve"> TOC \o "1-3" \h \z \u </w:instrText>
      </w:r>
      <w:r>
        <w:rPr>
          <w:rFonts w:hint="eastAsia" w:ascii="宋体" w:hAnsi="宋体" w:cs="宋体"/>
          <w:b w:val="0"/>
          <w:sz w:val="24"/>
          <w:szCs w:val="24"/>
        </w:rPr>
        <w:fldChar w:fldCharType="separate"/>
      </w:r>
      <w:r>
        <w:fldChar w:fldCharType="begin"/>
      </w:r>
      <w:r>
        <w:instrText xml:space="preserve"> HYPERLINK \l "_Toc198803785" </w:instrText>
      </w:r>
      <w:r>
        <w:fldChar w:fldCharType="separate"/>
      </w:r>
      <w:r>
        <w:rPr>
          <w:rStyle w:val="71"/>
          <w:rFonts w:hint="eastAsia" w:cs="宋体"/>
          <w:bCs/>
        </w:rPr>
        <w:t>第一部分  合同协议书</w:t>
      </w:r>
      <w:r>
        <w:rPr>
          <w:rFonts w:hint="eastAsia"/>
        </w:rPr>
        <w:tab/>
      </w:r>
      <w:r>
        <w:rPr>
          <w:rFonts w:hint="eastAsia"/>
        </w:rPr>
        <w:fldChar w:fldCharType="begin"/>
      </w:r>
      <w:r>
        <w:rPr>
          <w:rFonts w:hint="eastAsia"/>
        </w:rPr>
        <w:instrText xml:space="preserve"> </w:instrText>
      </w:r>
      <w:r>
        <w:instrText xml:space="preserve">PAGEREF _Toc198803785 \h</w:instrText>
      </w:r>
      <w:r>
        <w:rPr>
          <w:rFonts w:hint="eastAsia"/>
        </w:rPr>
        <w:instrText xml:space="preserve"> </w:instrText>
      </w:r>
      <w:r>
        <w:rPr>
          <w:rFonts w:hint="eastAsia"/>
        </w:rPr>
        <w:fldChar w:fldCharType="separate"/>
      </w:r>
      <w:r>
        <w:t>4</w:t>
      </w:r>
      <w:r>
        <w:rPr>
          <w:rFonts w:hint="eastAsia"/>
        </w:rPr>
        <w:fldChar w:fldCharType="end"/>
      </w:r>
      <w:r>
        <w:rPr>
          <w:rFonts w:hint="eastAsia"/>
        </w:rPr>
        <w:fldChar w:fldCharType="end"/>
      </w:r>
    </w:p>
    <w:p w14:paraId="1FDEB7B2">
      <w:pPr>
        <w:pStyle w:val="41"/>
        <w:tabs>
          <w:tab w:val="right" w:leader="dot" w:pos="8835"/>
        </w:tabs>
        <w:rPr>
          <w:rFonts w:hint="eastAsia" w:asciiTheme="minorHAnsi" w:hAnsiTheme="minorHAnsi" w:eastAsiaTheme="minorEastAsia" w:cstheme="minorBidi"/>
          <w:b w:val="0"/>
          <w:caps w:val="0"/>
          <w:sz w:val="22"/>
          <w:szCs w:val="24"/>
          <w14:ligatures w14:val="standardContextual"/>
        </w:rPr>
      </w:pPr>
      <w:r>
        <w:fldChar w:fldCharType="begin"/>
      </w:r>
      <w:r>
        <w:instrText xml:space="preserve"> HYPERLINK \l "_Toc198803786" </w:instrText>
      </w:r>
      <w:r>
        <w:fldChar w:fldCharType="separate"/>
      </w:r>
      <w:r>
        <w:rPr>
          <w:rStyle w:val="71"/>
          <w:rFonts w:hint="eastAsia" w:cs="宋体"/>
          <w:bCs/>
        </w:rPr>
        <w:t>第二部分  通用合同条款</w:t>
      </w:r>
      <w:r>
        <w:rPr>
          <w:rFonts w:hint="eastAsia"/>
        </w:rPr>
        <w:tab/>
      </w:r>
      <w:r>
        <w:rPr>
          <w:rFonts w:hint="eastAsia"/>
        </w:rPr>
        <w:fldChar w:fldCharType="begin"/>
      </w:r>
      <w:r>
        <w:rPr>
          <w:rFonts w:hint="eastAsia"/>
        </w:rPr>
        <w:instrText xml:space="preserve"> </w:instrText>
      </w:r>
      <w:r>
        <w:instrText xml:space="preserve">PAGEREF _Toc198803786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34EC36BC">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"_Toc198803787" </w:instrText>
      </w:r>
      <w:r>
        <w:fldChar w:fldCharType="separate"/>
      </w:r>
      <w:r>
        <w:rPr>
          <w:rStyle w:val="71"/>
          <w:rFonts w:hint="eastAsia" w:ascii="宋体" w:hAnsi="宋体" w:eastAsia="宋体" w:cs="宋体"/>
          <w:bCs/>
        </w:rPr>
        <w:t>1. 一般约定</w:t>
      </w:r>
      <w:r>
        <w:rPr>
          <w:rFonts w:hint="eastAsia"/>
        </w:rPr>
        <w:tab/>
      </w:r>
      <w:r>
        <w:rPr>
          <w:rFonts w:hint="eastAsia"/>
        </w:rPr>
        <w:fldChar w:fldCharType="begin"/>
      </w:r>
      <w:r>
        <w:rPr>
          <w:rFonts w:hint="eastAsia"/>
        </w:rPr>
        <w:instrText xml:space="preserve"> </w:instrText>
      </w:r>
      <w:r>
        <w:instrText xml:space="preserve">PAGEREF _Toc198803787 \h</w:instrText>
      </w:r>
      <w:r>
        <w:rPr>
          <w:rFonts w:hint="eastAsia"/>
        </w:rPr>
        <w:instrText xml:space="preserve"> </w:instrText>
      </w:r>
      <w:r>
        <w:rPr>
          <w:rFonts w:hint="eastAsia"/>
        </w:rPr>
        <w:fldChar w:fldCharType="separate"/>
      </w:r>
      <w:r>
        <w:t>9</w:t>
      </w:r>
      <w:r>
        <w:rPr>
          <w:rFonts w:hint="eastAsia"/>
        </w:rPr>
        <w:fldChar w:fldCharType="end"/>
      </w:r>
      <w:r>
        <w:rPr>
          <w:rFonts w:hint="eastAsia"/>
        </w:rPr>
        <w:fldChar w:fldCharType="end"/>
      </w:r>
    </w:p>
    <w:p w14:paraId="64CBB91D">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"_Toc198803788" </w:instrText>
      </w:r>
      <w:r>
        <w:fldChar w:fldCharType="separate"/>
      </w:r>
      <w:r>
        <w:rPr>
          <w:rStyle w:val="71"/>
          <w:rFonts w:hint="eastAsia" w:ascii="宋体" w:hAnsi="宋体" w:eastAsia="宋体" w:cs="宋体"/>
          <w:bCs/>
        </w:rPr>
        <w:t>2. 发包人义务</w:t>
      </w:r>
      <w:r>
        <w:rPr>
          <w:rFonts w:hint="eastAsia"/>
        </w:rPr>
        <w:tab/>
      </w:r>
      <w:r>
        <w:rPr>
          <w:rFonts w:hint="eastAsia"/>
        </w:rPr>
        <w:fldChar w:fldCharType="begin"/>
      </w:r>
      <w:r>
        <w:rPr>
          <w:rFonts w:hint="eastAsia"/>
        </w:rPr>
        <w:instrText xml:space="preserve"> </w:instrText>
      </w:r>
      <w:r>
        <w:instrText xml:space="preserve">PAGEREF _Toc198803788 \h</w:instrText>
      </w:r>
      <w:r>
        <w:rPr>
          <w:rFonts w:hint="eastAsia"/>
        </w:rPr>
        <w:instrText xml:space="preserve"> </w:instrText>
      </w:r>
      <w:r>
        <w:rPr>
          <w:rFonts w:hint="eastAsia"/>
        </w:rPr>
        <w:fldChar w:fldCharType="separate"/>
      </w:r>
      <w:r>
        <w:t>15</w:t>
      </w:r>
      <w:r>
        <w:rPr>
          <w:rFonts w:hint="eastAsia"/>
        </w:rPr>
        <w:fldChar w:fldCharType="end"/>
      </w:r>
      <w:r>
        <w:rPr>
          <w:rFonts w:hint="eastAsia"/>
        </w:rPr>
        <w:fldChar w:fldCharType="end"/>
      </w:r>
    </w:p>
    <w:p w14:paraId="6959F9E5">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"_Toc198803789" </w:instrText>
      </w:r>
      <w:r>
        <w:fldChar w:fldCharType="separate"/>
      </w:r>
      <w:r>
        <w:rPr>
          <w:rStyle w:val="71"/>
          <w:rFonts w:hint="eastAsia" w:ascii="宋体" w:hAnsi="宋体" w:eastAsia="宋体" w:cs="宋体"/>
          <w:bCs/>
        </w:rPr>
        <w:t>3. 监理人</w:t>
      </w:r>
      <w:r>
        <w:rPr>
          <w:rFonts w:hint="eastAsia"/>
        </w:rPr>
        <w:tab/>
      </w:r>
      <w:r>
        <w:rPr>
          <w:rFonts w:hint="eastAsia"/>
        </w:rPr>
        <w:fldChar w:fldCharType="begin"/>
      </w:r>
      <w:r>
        <w:rPr>
          <w:rFonts w:hint="eastAsia"/>
        </w:rPr>
        <w:instrText xml:space="preserve"> </w:instrText>
      </w:r>
      <w:r>
        <w:instrText xml:space="preserve">PAGEREF _Toc198803789 \h</w:instrText>
      </w:r>
      <w:r>
        <w:rPr>
          <w:rFonts w:hint="eastAsia"/>
        </w:rPr>
        <w:instrText xml:space="preserve"> </w:instrText>
      </w:r>
      <w:r>
        <w:rPr>
          <w:rFonts w:hint="eastAsia"/>
        </w:rPr>
        <w:fldChar w:fldCharType="separate"/>
      </w:r>
      <w:r>
        <w:t>16</w:t>
      </w:r>
      <w:r>
        <w:rPr>
          <w:rFonts w:hint="eastAsia"/>
        </w:rPr>
        <w:fldChar w:fldCharType="end"/>
      </w:r>
      <w:r>
        <w:rPr>
          <w:rFonts w:hint="eastAsia"/>
        </w:rPr>
        <w:fldChar w:fldCharType="end"/>
      </w:r>
    </w:p>
    <w:p w14:paraId="525EBBB5">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"_Toc198803790" </w:instrText>
      </w:r>
      <w:r>
        <w:fldChar w:fldCharType="separate"/>
      </w:r>
      <w:r>
        <w:rPr>
          <w:rStyle w:val="71"/>
          <w:rFonts w:hint="eastAsia" w:ascii="宋体" w:hAnsi="宋体" w:eastAsia="宋体" w:cs="宋体"/>
          <w:bCs/>
        </w:rPr>
        <w:t>4. 承包人</w:t>
      </w:r>
      <w:r>
        <w:rPr>
          <w:rFonts w:hint="eastAsia"/>
        </w:rPr>
        <w:tab/>
      </w:r>
      <w:r>
        <w:rPr>
          <w:rFonts w:hint="eastAsia"/>
        </w:rPr>
        <w:fldChar w:fldCharType="begin"/>
      </w:r>
      <w:r>
        <w:rPr>
          <w:rFonts w:hint="eastAsia"/>
        </w:rPr>
        <w:instrText xml:space="preserve"> </w:instrText>
      </w:r>
      <w:r>
        <w:instrText xml:space="preserve">PAGEREF _Toc198803790 \h</w:instrText>
      </w:r>
      <w:r>
        <w:rPr>
          <w:rFonts w:hint="eastAsia"/>
        </w:rPr>
        <w:instrText xml:space="preserve"> </w:instrText>
      </w:r>
      <w:r>
        <w:rPr>
          <w:rFonts w:hint="eastAsia"/>
        </w:rPr>
        <w:fldChar w:fldCharType="separate"/>
      </w:r>
      <w:r>
        <w:t>17</w:t>
      </w:r>
      <w:r>
        <w:rPr>
          <w:rFonts w:hint="eastAsia"/>
        </w:rPr>
        <w:fldChar w:fldCharType="end"/>
      </w:r>
      <w:r>
        <w:rPr>
          <w:rFonts w:hint="eastAsia"/>
        </w:rPr>
        <w:fldChar w:fldCharType="end"/>
      </w:r>
    </w:p>
    <w:p w14:paraId="3642B184">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"_Toc198803791" </w:instrText>
      </w:r>
      <w:r>
        <w:fldChar w:fldCharType="separate"/>
      </w:r>
      <w:r>
        <w:rPr>
          <w:rStyle w:val="71"/>
          <w:rFonts w:hint="eastAsia" w:ascii="宋体" w:hAnsi="宋体" w:eastAsia="宋体" w:cs="宋体"/>
          <w:bCs/>
        </w:rPr>
        <w:t>5. 设计</w:t>
      </w:r>
      <w:r>
        <w:rPr>
          <w:rFonts w:hint="eastAsia"/>
        </w:rPr>
        <w:tab/>
      </w:r>
      <w:r>
        <w:rPr>
          <w:rFonts w:hint="eastAsia"/>
        </w:rPr>
        <w:fldChar w:fldCharType="begin"/>
      </w:r>
      <w:r>
        <w:rPr>
          <w:rFonts w:hint="eastAsia"/>
        </w:rPr>
        <w:instrText xml:space="preserve"> </w:instrText>
      </w:r>
      <w:r>
        <w:instrText xml:space="preserve">PAGEREF _Toc198803791 \h</w:instrText>
      </w:r>
      <w:r>
        <w:rPr>
          <w:rFonts w:hint="eastAsia"/>
        </w:rPr>
        <w:instrText xml:space="preserve"> </w:instrText>
      </w:r>
      <w:r>
        <w:rPr>
          <w:rFonts w:hint="eastAsia"/>
        </w:rPr>
        <w:fldChar w:fldCharType="separate"/>
      </w:r>
      <w:r>
        <w:t>22</w:t>
      </w:r>
      <w:r>
        <w:rPr>
          <w:rFonts w:hint="eastAsia"/>
        </w:rPr>
        <w:fldChar w:fldCharType="end"/>
      </w:r>
      <w:r>
        <w:rPr>
          <w:rFonts w:hint="eastAsia"/>
        </w:rPr>
        <w:fldChar w:fldCharType="end"/>
      </w:r>
    </w:p>
    <w:p w14:paraId="1EEF354A">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"_Toc198803792" </w:instrText>
      </w:r>
      <w:r>
        <w:fldChar w:fldCharType="separate"/>
      </w:r>
      <w:r>
        <w:rPr>
          <w:rStyle w:val="71"/>
          <w:rFonts w:hint="eastAsia" w:ascii="宋体" w:hAnsi="宋体" w:eastAsia="宋体" w:cs="宋体"/>
          <w:bCs/>
        </w:rPr>
        <w:t>6. 材料和工程设备</w:t>
      </w:r>
      <w:r>
        <w:rPr>
          <w:rFonts w:hint="eastAsia"/>
        </w:rPr>
        <w:tab/>
      </w:r>
      <w:r>
        <w:rPr>
          <w:rFonts w:hint="eastAsia"/>
        </w:rPr>
        <w:fldChar w:fldCharType="begin"/>
      </w:r>
      <w:r>
        <w:rPr>
          <w:rFonts w:hint="eastAsia"/>
        </w:rPr>
        <w:instrText xml:space="preserve"> </w:instrText>
      </w:r>
      <w:r>
        <w:instrText xml:space="preserve">PAGEREF _Toc198803792 \h</w:instrText>
      </w:r>
      <w:r>
        <w:rPr>
          <w:rFonts w:hint="eastAsia"/>
        </w:rPr>
        <w:instrText xml:space="preserve"> </w:instrText>
      </w:r>
      <w:r>
        <w:rPr>
          <w:rFonts w:hint="eastAsia"/>
        </w:rPr>
        <w:fldChar w:fldCharType="separate"/>
      </w:r>
      <w:r>
        <w:t>24</w:t>
      </w:r>
      <w:r>
        <w:rPr>
          <w:rFonts w:hint="eastAsia"/>
        </w:rPr>
        <w:fldChar w:fldCharType="end"/>
      </w:r>
      <w:r>
        <w:rPr>
          <w:rFonts w:hint="eastAsia"/>
        </w:rPr>
        <w:fldChar w:fldCharType="end"/>
      </w:r>
    </w:p>
    <w:p w14:paraId="76FD8356">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"_Toc198803793" </w:instrText>
      </w:r>
      <w:r>
        <w:fldChar w:fldCharType="separate"/>
      </w:r>
      <w:r>
        <w:rPr>
          <w:rStyle w:val="71"/>
          <w:rFonts w:hint="eastAsia" w:ascii="宋体" w:hAnsi="宋体" w:eastAsia="宋体" w:cs="宋体"/>
          <w:bCs/>
        </w:rPr>
        <w:t>7. 施工设备和临时设施</w:t>
      </w:r>
      <w:r>
        <w:rPr>
          <w:rFonts w:hint="eastAsia"/>
        </w:rPr>
        <w:tab/>
      </w:r>
      <w:r>
        <w:rPr>
          <w:rFonts w:hint="eastAsia"/>
        </w:rPr>
        <w:fldChar w:fldCharType="begin"/>
      </w:r>
      <w:r>
        <w:rPr>
          <w:rFonts w:hint="eastAsia"/>
        </w:rPr>
        <w:instrText xml:space="preserve"> </w:instrText>
      </w:r>
      <w:r>
        <w:instrText xml:space="preserve">PAGEREF _Toc198803793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034F278F">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"_Toc198803794" </w:instrText>
      </w:r>
      <w:r>
        <w:fldChar w:fldCharType="separate"/>
      </w:r>
      <w:r>
        <w:rPr>
          <w:rStyle w:val="71"/>
          <w:rFonts w:hint="eastAsia" w:ascii="宋体" w:hAnsi="宋体" w:eastAsia="宋体" w:cs="宋体"/>
          <w:bCs/>
        </w:rPr>
        <w:t>8. 交通运输</w:t>
      </w:r>
      <w:r>
        <w:rPr>
          <w:rFonts w:hint="eastAsia"/>
        </w:rPr>
        <w:tab/>
      </w:r>
      <w:r>
        <w:rPr>
          <w:rFonts w:hint="eastAsia"/>
        </w:rPr>
        <w:fldChar w:fldCharType="begin"/>
      </w:r>
      <w:r>
        <w:rPr>
          <w:rFonts w:hint="eastAsia"/>
        </w:rPr>
        <w:instrText xml:space="preserve"> </w:instrText>
      </w:r>
      <w:r>
        <w:instrText xml:space="preserve">PAGEREF _Toc198803794 \h</w:instrText>
      </w:r>
      <w:r>
        <w:rPr>
          <w:rFonts w:hint="eastAsia"/>
        </w:rPr>
        <w:instrText xml:space="preserve"> </w:instrText>
      </w:r>
      <w:r>
        <w:rPr>
          <w:rFonts w:hint="eastAsia"/>
        </w:rPr>
        <w:fldChar w:fldCharType="separate"/>
      </w:r>
      <w:r>
        <w:t>26</w:t>
      </w:r>
      <w:r>
        <w:rPr>
          <w:rFonts w:hint="eastAsia"/>
        </w:rPr>
        <w:fldChar w:fldCharType="end"/>
      </w:r>
      <w:r>
        <w:rPr>
          <w:rFonts w:hint="eastAsia"/>
        </w:rPr>
        <w:fldChar w:fldCharType="end"/>
      </w:r>
    </w:p>
    <w:p w14:paraId="6320B4A5">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"_Toc198803795" </w:instrText>
      </w:r>
      <w:r>
        <w:fldChar w:fldCharType="separate"/>
      </w:r>
      <w:r>
        <w:rPr>
          <w:rStyle w:val="71"/>
          <w:rFonts w:hint="eastAsia" w:ascii="宋体" w:hAnsi="宋体" w:eastAsia="宋体" w:cs="宋体"/>
          <w:bCs/>
        </w:rPr>
        <w:t>9. 测量放线</w:t>
      </w:r>
      <w:r>
        <w:rPr>
          <w:rFonts w:hint="eastAsia"/>
        </w:rPr>
        <w:tab/>
      </w:r>
      <w:r>
        <w:rPr>
          <w:rFonts w:hint="eastAsia"/>
        </w:rPr>
        <w:fldChar w:fldCharType="begin"/>
      </w:r>
      <w:r>
        <w:rPr>
          <w:rFonts w:hint="eastAsia"/>
        </w:rPr>
        <w:instrText xml:space="preserve"> </w:instrText>
      </w:r>
      <w:r>
        <w:instrText xml:space="preserve">PAGEREF _Toc198803795 \h</w:instrText>
      </w:r>
      <w:r>
        <w:rPr>
          <w:rFonts w:hint="eastAsia"/>
        </w:rPr>
        <w:instrText xml:space="preserve"> </w:instrText>
      </w:r>
      <w:r>
        <w:rPr>
          <w:rFonts w:hint="eastAsia"/>
        </w:rPr>
        <w:fldChar w:fldCharType="separate"/>
      </w:r>
      <w:r>
        <w:t>27</w:t>
      </w:r>
      <w:r>
        <w:rPr>
          <w:rFonts w:hint="eastAsia"/>
        </w:rPr>
        <w:fldChar w:fldCharType="end"/>
      </w:r>
      <w:r>
        <w:rPr>
          <w:rFonts w:hint="eastAsia"/>
        </w:rPr>
        <w:fldChar w:fldCharType="end"/>
      </w:r>
    </w:p>
    <w:p w14:paraId="4E15EA93">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"_Toc198803796" </w:instrText>
      </w:r>
      <w:r>
        <w:fldChar w:fldCharType="separate"/>
      </w:r>
      <w:r>
        <w:rPr>
          <w:rStyle w:val="71"/>
          <w:rFonts w:hint="eastAsia" w:ascii="宋体" w:hAnsi="宋体" w:eastAsia="宋体" w:cs="宋体"/>
          <w:bCs/>
        </w:rPr>
        <w:t>10. 安全、治安保卫和环境保护</w:t>
      </w:r>
      <w:r>
        <w:rPr>
          <w:rFonts w:hint="eastAsia"/>
        </w:rPr>
        <w:tab/>
      </w:r>
      <w:r>
        <w:rPr>
          <w:rFonts w:hint="eastAsia"/>
        </w:rPr>
        <w:fldChar w:fldCharType="begin"/>
      </w:r>
      <w:r>
        <w:rPr>
          <w:rFonts w:hint="eastAsia"/>
        </w:rPr>
        <w:instrText xml:space="preserve"> </w:instrText>
      </w:r>
      <w:r>
        <w:instrText xml:space="preserve">PAGEREF _Toc198803796 \h</w:instrText>
      </w:r>
      <w:r>
        <w:rPr>
          <w:rFonts w:hint="eastAsia"/>
        </w:rPr>
        <w:instrText xml:space="preserve"> </w:instrText>
      </w:r>
      <w:r>
        <w:rPr>
          <w:rFonts w:hint="eastAsia"/>
        </w:rPr>
        <w:fldChar w:fldCharType="separate"/>
      </w:r>
      <w:r>
        <w:t>28</w:t>
      </w:r>
      <w:r>
        <w:rPr>
          <w:rFonts w:hint="eastAsia"/>
        </w:rPr>
        <w:fldChar w:fldCharType="end"/>
      </w:r>
      <w:r>
        <w:rPr>
          <w:rFonts w:hint="eastAsia"/>
        </w:rPr>
        <w:fldChar w:fldCharType="end"/>
      </w:r>
    </w:p>
    <w:p w14:paraId="25FCFC34">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"_Toc198803797" </w:instrText>
      </w:r>
      <w:r>
        <w:fldChar w:fldCharType="separate"/>
      </w:r>
      <w:r>
        <w:rPr>
          <w:rStyle w:val="71"/>
          <w:rFonts w:hint="eastAsia" w:ascii="宋体" w:hAnsi="宋体" w:eastAsia="宋体" w:cs="宋体"/>
          <w:bCs/>
        </w:rPr>
        <w:t>11. 开始工作和竣工</w:t>
      </w:r>
      <w:r>
        <w:rPr>
          <w:rFonts w:hint="eastAsia"/>
        </w:rPr>
        <w:tab/>
      </w:r>
      <w:r>
        <w:rPr>
          <w:rFonts w:hint="eastAsia"/>
        </w:rPr>
        <w:fldChar w:fldCharType="begin"/>
      </w:r>
      <w:r>
        <w:rPr>
          <w:rFonts w:hint="eastAsia"/>
        </w:rPr>
        <w:instrText xml:space="preserve"> </w:instrText>
      </w:r>
      <w:r>
        <w:instrText xml:space="preserve">PAGEREF _Toc198803797 \h</w:instrText>
      </w:r>
      <w:r>
        <w:rPr>
          <w:rFonts w:hint="eastAsia"/>
        </w:rPr>
        <w:instrText xml:space="preserve"> </w:instrText>
      </w:r>
      <w:r>
        <w:rPr>
          <w:rFonts w:hint="eastAsia"/>
        </w:rPr>
        <w:fldChar w:fldCharType="separate"/>
      </w:r>
      <w:r>
        <w:t>30</w:t>
      </w:r>
      <w:r>
        <w:rPr>
          <w:rFonts w:hint="eastAsia"/>
        </w:rPr>
        <w:fldChar w:fldCharType="end"/>
      </w:r>
      <w:r>
        <w:rPr>
          <w:rFonts w:hint="eastAsia"/>
        </w:rPr>
        <w:fldChar w:fldCharType="end"/>
      </w:r>
    </w:p>
    <w:p w14:paraId="16DF2EDA">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"_Toc198803798" </w:instrText>
      </w:r>
      <w:r>
        <w:fldChar w:fldCharType="separate"/>
      </w:r>
      <w:r>
        <w:rPr>
          <w:rStyle w:val="71"/>
          <w:rFonts w:hint="eastAsia" w:ascii="宋体" w:hAnsi="宋体" w:eastAsia="宋体" w:cs="宋体"/>
          <w:bCs/>
        </w:rPr>
        <w:t>12. 暂停工作</w:t>
      </w:r>
      <w:r>
        <w:rPr>
          <w:rFonts w:hint="eastAsia"/>
        </w:rPr>
        <w:tab/>
      </w:r>
      <w:r>
        <w:rPr>
          <w:rFonts w:hint="eastAsia"/>
        </w:rPr>
        <w:fldChar w:fldCharType="begin"/>
      </w:r>
      <w:r>
        <w:rPr>
          <w:rFonts w:hint="eastAsia"/>
        </w:rPr>
        <w:instrText xml:space="preserve"> </w:instrText>
      </w:r>
      <w:r>
        <w:instrText xml:space="preserve">PAGEREF _Toc198803798 \h</w:instrText>
      </w:r>
      <w:r>
        <w:rPr>
          <w:rFonts w:hint="eastAsia"/>
        </w:rPr>
        <w:instrText xml:space="preserve"> </w:instrText>
      </w:r>
      <w:r>
        <w:rPr>
          <w:rFonts w:hint="eastAsia"/>
        </w:rPr>
        <w:fldChar w:fldCharType="separate"/>
      </w:r>
      <w:r>
        <w:t>31</w:t>
      </w:r>
      <w:r>
        <w:rPr>
          <w:rFonts w:hint="eastAsia"/>
        </w:rPr>
        <w:fldChar w:fldCharType="end"/>
      </w:r>
      <w:r>
        <w:rPr>
          <w:rFonts w:hint="eastAsia"/>
        </w:rPr>
        <w:fldChar w:fldCharType="end"/>
      </w:r>
    </w:p>
    <w:p w14:paraId="4E2EB467">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"_Toc198803799" </w:instrText>
      </w:r>
      <w:r>
        <w:fldChar w:fldCharType="separate"/>
      </w:r>
      <w:r>
        <w:rPr>
          <w:rStyle w:val="71"/>
          <w:rFonts w:hint="eastAsia" w:ascii="宋体" w:hAnsi="宋体" w:eastAsia="宋体" w:cs="宋体"/>
          <w:bCs/>
        </w:rPr>
        <w:t>13. 工程质量</w:t>
      </w:r>
      <w:r>
        <w:rPr>
          <w:rFonts w:hint="eastAsia"/>
        </w:rPr>
        <w:tab/>
      </w:r>
      <w:r>
        <w:rPr>
          <w:rFonts w:hint="eastAsia"/>
        </w:rPr>
        <w:fldChar w:fldCharType="begin"/>
      </w:r>
      <w:r>
        <w:rPr>
          <w:rFonts w:hint="eastAsia"/>
        </w:rPr>
        <w:instrText xml:space="preserve"> </w:instrText>
      </w:r>
      <w:r>
        <w:instrText xml:space="preserve">PAGEREF _Toc198803799 \h</w:instrText>
      </w:r>
      <w:r>
        <w:rPr>
          <w:rFonts w:hint="eastAsia"/>
        </w:rPr>
        <w:instrText xml:space="preserve"> </w:instrText>
      </w:r>
      <w:r>
        <w:rPr>
          <w:rFonts w:hint="eastAsia"/>
        </w:rPr>
        <w:fldChar w:fldCharType="separate"/>
      </w:r>
      <w:r>
        <w:t>33</w:t>
      </w:r>
      <w:r>
        <w:rPr>
          <w:rFonts w:hint="eastAsia"/>
        </w:rPr>
        <w:fldChar w:fldCharType="end"/>
      </w:r>
      <w:r>
        <w:rPr>
          <w:rFonts w:hint="eastAsia"/>
        </w:rPr>
        <w:fldChar w:fldCharType="end"/>
      </w:r>
    </w:p>
    <w:p w14:paraId="2B67DAAB">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"_Toc198803800" </w:instrText>
      </w:r>
      <w:r>
        <w:fldChar w:fldCharType="separate"/>
      </w:r>
      <w:r>
        <w:rPr>
          <w:rStyle w:val="71"/>
          <w:rFonts w:hint="eastAsia" w:ascii="宋体" w:hAnsi="宋体" w:eastAsia="宋体" w:cs="宋体"/>
          <w:bCs/>
        </w:rPr>
        <w:t>14. 试验和检验</w:t>
      </w:r>
      <w:r>
        <w:rPr>
          <w:rFonts w:hint="eastAsia"/>
        </w:rPr>
        <w:tab/>
      </w:r>
      <w:r>
        <w:rPr>
          <w:rFonts w:hint="eastAsia"/>
        </w:rPr>
        <w:fldChar w:fldCharType="begin"/>
      </w:r>
      <w:r>
        <w:rPr>
          <w:rFonts w:hint="eastAsia"/>
        </w:rPr>
        <w:instrText xml:space="preserve"> </w:instrText>
      </w:r>
      <w:r>
        <w:instrText xml:space="preserve">PAGEREF _Toc198803800 \h</w:instrText>
      </w:r>
      <w:r>
        <w:rPr>
          <w:rFonts w:hint="eastAsia"/>
        </w:rPr>
        <w:instrText xml:space="preserve"> </w:instrText>
      </w:r>
      <w:r>
        <w:rPr>
          <w:rFonts w:hint="eastAsia"/>
        </w:rPr>
        <w:fldChar w:fldCharType="separate"/>
      </w:r>
      <w:r>
        <w:t>34</w:t>
      </w:r>
      <w:r>
        <w:rPr>
          <w:rFonts w:hint="eastAsia"/>
        </w:rPr>
        <w:fldChar w:fldCharType="end"/>
      </w:r>
      <w:r>
        <w:rPr>
          <w:rFonts w:hint="eastAsia"/>
        </w:rPr>
        <w:fldChar w:fldCharType="end"/>
      </w:r>
    </w:p>
    <w:p w14:paraId="5264C431">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"_Toc198803801" </w:instrText>
      </w:r>
      <w:r>
        <w:fldChar w:fldCharType="separate"/>
      </w:r>
      <w:r>
        <w:rPr>
          <w:rStyle w:val="71"/>
          <w:rFonts w:hint="eastAsia" w:ascii="宋体" w:hAnsi="宋体" w:eastAsia="宋体" w:cs="宋体"/>
          <w:bCs/>
        </w:rPr>
        <w:t>15. 变更</w:t>
      </w:r>
      <w:r>
        <w:rPr>
          <w:rFonts w:hint="eastAsia"/>
        </w:rPr>
        <w:tab/>
      </w:r>
      <w:r>
        <w:rPr>
          <w:rFonts w:hint="eastAsia"/>
        </w:rPr>
        <w:fldChar w:fldCharType="begin"/>
      </w:r>
      <w:r>
        <w:rPr>
          <w:rFonts w:hint="eastAsia"/>
        </w:rPr>
        <w:instrText xml:space="preserve"> </w:instrText>
      </w:r>
      <w:r>
        <w:instrText xml:space="preserve">PAGEREF _Toc198803801 \h</w:instrText>
      </w:r>
      <w:r>
        <w:rPr>
          <w:rFonts w:hint="eastAsia"/>
        </w:rPr>
        <w:instrText xml:space="preserve"> </w:instrText>
      </w:r>
      <w:r>
        <w:rPr>
          <w:rFonts w:hint="eastAsia"/>
        </w:rPr>
        <w:fldChar w:fldCharType="separate"/>
      </w:r>
      <w:r>
        <w:t>35</w:t>
      </w:r>
      <w:r>
        <w:rPr>
          <w:rFonts w:hint="eastAsia"/>
        </w:rPr>
        <w:fldChar w:fldCharType="end"/>
      </w:r>
      <w:r>
        <w:rPr>
          <w:rFonts w:hint="eastAsia"/>
        </w:rPr>
        <w:fldChar w:fldCharType="end"/>
      </w:r>
    </w:p>
    <w:p w14:paraId="2AF63A93">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"_Toc198803802" </w:instrText>
      </w:r>
      <w:r>
        <w:fldChar w:fldCharType="separate"/>
      </w:r>
      <w:r>
        <w:rPr>
          <w:rStyle w:val="71"/>
          <w:rFonts w:hint="eastAsia" w:ascii="宋体" w:hAnsi="宋体" w:eastAsia="宋体" w:cs="宋体"/>
          <w:bCs/>
        </w:rPr>
        <w:t>16. 价格调整</w:t>
      </w:r>
      <w:r>
        <w:rPr>
          <w:rFonts w:hint="eastAsia"/>
        </w:rPr>
        <w:tab/>
      </w:r>
      <w:r>
        <w:rPr>
          <w:rFonts w:hint="eastAsia"/>
        </w:rPr>
        <w:fldChar w:fldCharType="begin"/>
      </w:r>
      <w:r>
        <w:rPr>
          <w:rFonts w:hint="eastAsia"/>
        </w:rPr>
        <w:instrText xml:space="preserve"> </w:instrText>
      </w:r>
      <w:r>
        <w:instrText xml:space="preserve">PAGEREF _Toc198803802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72009043">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"_Toc198803803" </w:instrText>
      </w:r>
      <w:r>
        <w:fldChar w:fldCharType="separate"/>
      </w:r>
      <w:r>
        <w:rPr>
          <w:rStyle w:val="71"/>
          <w:rFonts w:hint="eastAsia" w:ascii="宋体" w:hAnsi="宋体" w:eastAsia="宋体" w:cs="宋体"/>
          <w:bCs/>
        </w:rPr>
        <w:t>17. 合同价格与支付</w:t>
      </w:r>
      <w:r>
        <w:rPr>
          <w:rFonts w:hint="eastAsia"/>
        </w:rPr>
        <w:tab/>
      </w:r>
      <w:r>
        <w:rPr>
          <w:rFonts w:hint="eastAsia"/>
        </w:rPr>
        <w:fldChar w:fldCharType="begin"/>
      </w:r>
      <w:r>
        <w:rPr>
          <w:rFonts w:hint="eastAsia"/>
        </w:rPr>
        <w:instrText xml:space="preserve"> </w:instrText>
      </w:r>
      <w:r>
        <w:instrText xml:space="preserve">PAGEREF _Toc198803803 \h</w:instrText>
      </w:r>
      <w:r>
        <w:rPr>
          <w:rFonts w:hint="eastAsia"/>
        </w:rPr>
        <w:instrText xml:space="preserve"> </w:instrText>
      </w:r>
      <w:r>
        <w:rPr>
          <w:rFonts w:hint="eastAsia"/>
        </w:rPr>
        <w:fldChar w:fldCharType="separate"/>
      </w:r>
      <w:r>
        <w:t>37</w:t>
      </w:r>
      <w:r>
        <w:rPr>
          <w:rFonts w:hint="eastAsia"/>
        </w:rPr>
        <w:fldChar w:fldCharType="end"/>
      </w:r>
      <w:r>
        <w:rPr>
          <w:rFonts w:hint="eastAsia"/>
        </w:rPr>
        <w:fldChar w:fldCharType="end"/>
      </w:r>
    </w:p>
    <w:p w14:paraId="331B0B20">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"_Toc198803804" </w:instrText>
      </w:r>
      <w:r>
        <w:fldChar w:fldCharType="separate"/>
      </w:r>
      <w:r>
        <w:rPr>
          <w:rStyle w:val="71"/>
          <w:rFonts w:hint="eastAsia" w:ascii="宋体" w:hAnsi="宋体" w:eastAsia="宋体" w:cs="宋体"/>
          <w:bCs/>
        </w:rPr>
        <w:t>18. 竣工试验和竣工验收</w:t>
      </w:r>
      <w:r>
        <w:rPr>
          <w:rFonts w:hint="eastAsia"/>
        </w:rPr>
        <w:tab/>
      </w:r>
      <w:r>
        <w:rPr>
          <w:rFonts w:hint="eastAsia"/>
        </w:rPr>
        <w:fldChar w:fldCharType="begin"/>
      </w:r>
      <w:r>
        <w:rPr>
          <w:rFonts w:hint="eastAsia"/>
        </w:rPr>
        <w:instrText xml:space="preserve"> </w:instrText>
      </w:r>
      <w:r>
        <w:instrText xml:space="preserve">PAGEREF _Toc198803804 \h</w:instrText>
      </w:r>
      <w:r>
        <w:rPr>
          <w:rFonts w:hint="eastAsia"/>
        </w:rPr>
        <w:instrText xml:space="preserve"> </w:instrText>
      </w:r>
      <w:r>
        <w:rPr>
          <w:rFonts w:hint="eastAsia"/>
        </w:rPr>
        <w:fldChar w:fldCharType="separate"/>
      </w:r>
      <w:r>
        <w:t>42</w:t>
      </w:r>
      <w:r>
        <w:rPr>
          <w:rFonts w:hint="eastAsia"/>
        </w:rPr>
        <w:fldChar w:fldCharType="end"/>
      </w:r>
      <w:r>
        <w:rPr>
          <w:rFonts w:hint="eastAsia"/>
        </w:rPr>
        <w:fldChar w:fldCharType="end"/>
      </w:r>
    </w:p>
    <w:p w14:paraId="18E866EC">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"_Toc198803805" </w:instrText>
      </w:r>
      <w:r>
        <w:fldChar w:fldCharType="separate"/>
      </w:r>
      <w:r>
        <w:rPr>
          <w:rStyle w:val="71"/>
          <w:rFonts w:hint="eastAsia" w:ascii="宋体" w:hAnsi="宋体" w:eastAsia="宋体" w:cs="宋体"/>
          <w:bCs/>
        </w:rPr>
        <w:t>19. 缺陷责任与保修责任</w:t>
      </w:r>
      <w:r>
        <w:rPr>
          <w:rFonts w:hint="eastAsia"/>
        </w:rPr>
        <w:tab/>
      </w:r>
      <w:r>
        <w:rPr>
          <w:rFonts w:hint="eastAsia"/>
        </w:rPr>
        <w:fldChar w:fldCharType="begin"/>
      </w:r>
      <w:r>
        <w:rPr>
          <w:rFonts w:hint="eastAsia"/>
        </w:rPr>
        <w:instrText xml:space="preserve"> </w:instrText>
      </w:r>
      <w:r>
        <w:instrText xml:space="preserve">PAGEREF _Toc198803805 \h</w:instrText>
      </w:r>
      <w:r>
        <w:rPr>
          <w:rFonts w:hint="eastAsia"/>
        </w:rPr>
        <w:instrText xml:space="preserve"> </w:instrText>
      </w:r>
      <w:r>
        <w:rPr>
          <w:rFonts w:hint="eastAsia"/>
        </w:rPr>
        <w:fldChar w:fldCharType="separate"/>
      </w:r>
      <w:r>
        <w:t>45</w:t>
      </w:r>
      <w:r>
        <w:rPr>
          <w:rFonts w:hint="eastAsia"/>
        </w:rPr>
        <w:fldChar w:fldCharType="end"/>
      </w:r>
      <w:r>
        <w:rPr>
          <w:rFonts w:hint="eastAsia"/>
        </w:rPr>
        <w:fldChar w:fldCharType="end"/>
      </w:r>
    </w:p>
    <w:p w14:paraId="7DC032DB">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"_Toc198803806" </w:instrText>
      </w:r>
      <w:r>
        <w:fldChar w:fldCharType="separate"/>
      </w:r>
      <w:r>
        <w:rPr>
          <w:rStyle w:val="71"/>
          <w:rFonts w:hint="eastAsia" w:ascii="宋体" w:hAnsi="宋体" w:eastAsia="宋体" w:cs="宋体"/>
          <w:bCs/>
        </w:rPr>
        <w:t>20. 保险</w:t>
      </w:r>
      <w:r>
        <w:rPr>
          <w:rFonts w:hint="eastAsia"/>
        </w:rPr>
        <w:tab/>
      </w:r>
      <w:r>
        <w:rPr>
          <w:rFonts w:hint="eastAsia"/>
        </w:rPr>
        <w:fldChar w:fldCharType="begin"/>
      </w:r>
      <w:r>
        <w:rPr>
          <w:rFonts w:hint="eastAsia"/>
        </w:rPr>
        <w:instrText xml:space="preserve"> </w:instrText>
      </w:r>
      <w:r>
        <w:instrText xml:space="preserve">PAGEREF _Toc198803806 \h</w:instrText>
      </w:r>
      <w:r>
        <w:rPr>
          <w:rFonts w:hint="eastAsia"/>
        </w:rPr>
        <w:instrText xml:space="preserve"> </w:instrText>
      </w:r>
      <w:r>
        <w:rPr>
          <w:rFonts w:hint="eastAsia"/>
        </w:rPr>
        <w:fldChar w:fldCharType="separate"/>
      </w:r>
      <w:r>
        <w:t>46</w:t>
      </w:r>
      <w:r>
        <w:rPr>
          <w:rFonts w:hint="eastAsia"/>
        </w:rPr>
        <w:fldChar w:fldCharType="end"/>
      </w:r>
      <w:r>
        <w:rPr>
          <w:rFonts w:hint="eastAsia"/>
        </w:rPr>
        <w:fldChar w:fldCharType="end"/>
      </w:r>
    </w:p>
    <w:p w14:paraId="351A8056">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"_Toc198803807" </w:instrText>
      </w:r>
      <w:r>
        <w:fldChar w:fldCharType="separate"/>
      </w:r>
      <w:r>
        <w:rPr>
          <w:rStyle w:val="71"/>
          <w:rFonts w:hint="eastAsia" w:ascii="宋体" w:hAnsi="宋体" w:eastAsia="宋体" w:cs="宋体"/>
          <w:bCs/>
        </w:rPr>
        <w:t>21. 不可抗力</w:t>
      </w:r>
      <w:r>
        <w:rPr>
          <w:rFonts w:hint="eastAsia"/>
        </w:rPr>
        <w:tab/>
      </w:r>
      <w:r>
        <w:rPr>
          <w:rFonts w:hint="eastAsia"/>
        </w:rPr>
        <w:fldChar w:fldCharType="begin"/>
      </w:r>
      <w:r>
        <w:rPr>
          <w:rFonts w:hint="eastAsia"/>
        </w:rPr>
        <w:instrText xml:space="preserve"> </w:instrText>
      </w:r>
      <w:r>
        <w:instrText xml:space="preserve">PAGEREF _Toc198803807 \h</w:instrText>
      </w:r>
      <w:r>
        <w:rPr>
          <w:rFonts w:hint="eastAsia"/>
        </w:rPr>
        <w:instrText xml:space="preserve"> </w:instrText>
      </w:r>
      <w:r>
        <w:rPr>
          <w:rFonts w:hint="eastAsia"/>
        </w:rPr>
        <w:fldChar w:fldCharType="separate"/>
      </w:r>
      <w:r>
        <w:t>48</w:t>
      </w:r>
      <w:r>
        <w:rPr>
          <w:rFonts w:hint="eastAsia"/>
        </w:rPr>
        <w:fldChar w:fldCharType="end"/>
      </w:r>
      <w:r>
        <w:rPr>
          <w:rFonts w:hint="eastAsia"/>
        </w:rPr>
        <w:fldChar w:fldCharType="end"/>
      </w:r>
    </w:p>
    <w:p w14:paraId="4CAB33D0">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"_Toc198803808" </w:instrText>
      </w:r>
      <w:r>
        <w:fldChar w:fldCharType="separate"/>
      </w:r>
      <w:r>
        <w:rPr>
          <w:rStyle w:val="71"/>
          <w:rFonts w:hint="eastAsia" w:ascii="宋体" w:hAnsi="宋体" w:eastAsia="宋体" w:cs="宋体"/>
          <w:bCs/>
        </w:rPr>
        <w:t>22. 违约</w:t>
      </w:r>
      <w:r>
        <w:rPr>
          <w:rFonts w:hint="eastAsia"/>
        </w:rPr>
        <w:tab/>
      </w:r>
      <w:r>
        <w:rPr>
          <w:rFonts w:hint="eastAsia"/>
        </w:rPr>
        <w:fldChar w:fldCharType="begin"/>
      </w:r>
      <w:r>
        <w:rPr>
          <w:rFonts w:hint="eastAsia"/>
        </w:rPr>
        <w:instrText xml:space="preserve"> </w:instrText>
      </w:r>
      <w:r>
        <w:instrText xml:space="preserve">PAGEREF _Toc198803808 \h</w:instrText>
      </w:r>
      <w:r>
        <w:rPr>
          <w:rFonts w:hint="eastAsia"/>
        </w:rPr>
        <w:instrText xml:space="preserve"> </w:instrText>
      </w:r>
      <w:r>
        <w:rPr>
          <w:rFonts w:hint="eastAsia"/>
        </w:rPr>
        <w:fldChar w:fldCharType="separate"/>
      </w:r>
      <w:r>
        <w:t>49</w:t>
      </w:r>
      <w:r>
        <w:rPr>
          <w:rFonts w:hint="eastAsia"/>
        </w:rPr>
        <w:fldChar w:fldCharType="end"/>
      </w:r>
      <w:r>
        <w:rPr>
          <w:rFonts w:hint="eastAsia"/>
        </w:rPr>
        <w:fldChar w:fldCharType="end"/>
      </w:r>
    </w:p>
    <w:p w14:paraId="20CA9496">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"_Toc198803809" </w:instrText>
      </w:r>
      <w:r>
        <w:fldChar w:fldCharType="separate"/>
      </w:r>
      <w:r>
        <w:rPr>
          <w:rStyle w:val="71"/>
          <w:rFonts w:hint="eastAsia" w:ascii="宋体" w:hAnsi="宋体" w:eastAsia="宋体" w:cs="宋体"/>
          <w:bCs/>
        </w:rPr>
        <w:t>23. 索赔</w:t>
      </w:r>
      <w:r>
        <w:rPr>
          <w:rFonts w:hint="eastAsia"/>
        </w:rPr>
        <w:tab/>
      </w:r>
      <w:r>
        <w:rPr>
          <w:rFonts w:hint="eastAsia"/>
        </w:rPr>
        <w:fldChar w:fldCharType="begin"/>
      </w:r>
      <w:r>
        <w:rPr>
          <w:rFonts w:hint="eastAsia"/>
        </w:rPr>
        <w:instrText xml:space="preserve"> </w:instrText>
      </w:r>
      <w:r>
        <w:instrText xml:space="preserve">PAGEREF _Toc198803809 \h</w:instrText>
      </w:r>
      <w:r>
        <w:rPr>
          <w:rFonts w:hint="eastAsia"/>
        </w:rPr>
        <w:instrText xml:space="preserve"> </w:instrText>
      </w:r>
      <w:r>
        <w:rPr>
          <w:rFonts w:hint="eastAsia"/>
        </w:rPr>
        <w:fldChar w:fldCharType="separate"/>
      </w:r>
      <w:r>
        <w:t>52</w:t>
      </w:r>
      <w:r>
        <w:rPr>
          <w:rFonts w:hint="eastAsia"/>
        </w:rPr>
        <w:fldChar w:fldCharType="end"/>
      </w:r>
      <w:r>
        <w:rPr>
          <w:rFonts w:hint="eastAsia"/>
        </w:rPr>
        <w:fldChar w:fldCharType="end"/>
      </w:r>
    </w:p>
    <w:p w14:paraId="3A92C632">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"_Toc198803810" </w:instrText>
      </w:r>
      <w:r>
        <w:fldChar w:fldCharType="separate"/>
      </w:r>
      <w:r>
        <w:rPr>
          <w:rStyle w:val="71"/>
          <w:rFonts w:hint="eastAsia" w:ascii="宋体" w:hAnsi="宋体" w:eastAsia="宋体" w:cs="宋体"/>
          <w:bCs/>
        </w:rPr>
        <w:t>24. 争议的解决</w:t>
      </w:r>
      <w:r>
        <w:rPr>
          <w:rFonts w:hint="eastAsia"/>
        </w:rPr>
        <w:tab/>
      </w:r>
      <w:r>
        <w:rPr>
          <w:rFonts w:hint="eastAsia"/>
        </w:rPr>
        <w:fldChar w:fldCharType="begin"/>
      </w:r>
      <w:r>
        <w:rPr>
          <w:rFonts w:hint="eastAsia"/>
        </w:rPr>
        <w:instrText xml:space="preserve"> </w:instrText>
      </w:r>
      <w:r>
        <w:instrText xml:space="preserve">PAGEREF _Toc198803810 \h</w:instrText>
      </w:r>
      <w:r>
        <w:rPr>
          <w:rFonts w:hint="eastAsia"/>
        </w:rPr>
        <w:instrText xml:space="preserve"> </w:instrText>
      </w:r>
      <w:r>
        <w:rPr>
          <w:rFonts w:hint="eastAsia"/>
        </w:rPr>
        <w:fldChar w:fldCharType="separate"/>
      </w:r>
      <w:r>
        <w:t>53</w:t>
      </w:r>
      <w:r>
        <w:rPr>
          <w:rFonts w:hint="eastAsia"/>
        </w:rPr>
        <w:fldChar w:fldCharType="end"/>
      </w:r>
      <w:r>
        <w:rPr>
          <w:rFonts w:hint="eastAsia"/>
        </w:rPr>
        <w:fldChar w:fldCharType="end"/>
      </w:r>
    </w:p>
    <w:p w14:paraId="264EFC0D">
      <w:pPr>
        <w:pStyle w:val="41"/>
        <w:tabs>
          <w:tab w:val="right" w:leader="dot" w:pos="8835"/>
        </w:tabs>
        <w:rPr>
          <w:rFonts w:hint="eastAsia" w:asciiTheme="minorHAnsi" w:hAnsiTheme="minorHAnsi" w:eastAsiaTheme="minorEastAsia" w:cstheme="minorBidi"/>
          <w:b w:val="0"/>
          <w:caps w:val="0"/>
          <w:sz w:val="22"/>
          <w:szCs w:val="24"/>
          <w14:ligatures w14:val="standardContextual"/>
        </w:rPr>
      </w:pPr>
      <w:r>
        <w:fldChar w:fldCharType="begin"/>
      </w:r>
      <w:r>
        <w:instrText xml:space="preserve"> HYPERLINK \l "_Toc198803811" </w:instrText>
      </w:r>
      <w:r>
        <w:fldChar w:fldCharType="separate"/>
      </w:r>
      <w:r>
        <w:rPr>
          <w:rStyle w:val="71"/>
          <w:rFonts w:hint="eastAsia" w:cs="宋体"/>
          <w:bCs/>
        </w:rPr>
        <w:t>第三部分  专用合同条款</w:t>
      </w:r>
      <w:r>
        <w:rPr>
          <w:rFonts w:hint="eastAsia"/>
        </w:rPr>
        <w:tab/>
      </w:r>
      <w:r>
        <w:rPr>
          <w:rFonts w:hint="eastAsia"/>
        </w:rPr>
        <w:fldChar w:fldCharType="begin"/>
      </w:r>
      <w:r>
        <w:rPr>
          <w:rFonts w:hint="eastAsia"/>
        </w:rPr>
        <w:instrText xml:space="preserve"> </w:instrText>
      </w:r>
      <w:r>
        <w:instrText xml:space="preserve">PAGEREF _Toc198803811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14:paraId="4C4C2346">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"_Toc198803812" </w:instrText>
      </w:r>
      <w:r>
        <w:fldChar w:fldCharType="separate"/>
      </w:r>
      <w:r>
        <w:rPr>
          <w:rStyle w:val="71"/>
          <w:rFonts w:hint="eastAsia" w:ascii="宋体" w:hAnsi="宋体" w:eastAsia="宋体" w:cs="宋体"/>
          <w:bCs/>
        </w:rPr>
        <w:t>1. 一般约定</w:t>
      </w:r>
      <w:r>
        <w:rPr>
          <w:rFonts w:hint="eastAsia"/>
        </w:rPr>
        <w:tab/>
      </w:r>
      <w:r>
        <w:rPr>
          <w:rFonts w:hint="eastAsia"/>
        </w:rPr>
        <w:fldChar w:fldCharType="begin"/>
      </w:r>
      <w:r>
        <w:rPr>
          <w:rFonts w:hint="eastAsia"/>
        </w:rPr>
        <w:instrText xml:space="preserve"> </w:instrText>
      </w:r>
      <w:r>
        <w:instrText xml:space="preserve">PAGEREF _Toc198803812 \h</w:instrText>
      </w:r>
      <w:r>
        <w:rPr>
          <w:rFonts w:hint="eastAsia"/>
        </w:rPr>
        <w:instrText xml:space="preserve"> </w:instrText>
      </w:r>
      <w:r>
        <w:rPr>
          <w:rFonts w:hint="eastAsia"/>
        </w:rPr>
        <w:fldChar w:fldCharType="separate"/>
      </w:r>
      <w:r>
        <w:t>55</w:t>
      </w:r>
      <w:r>
        <w:rPr>
          <w:rFonts w:hint="eastAsia"/>
        </w:rPr>
        <w:fldChar w:fldCharType="end"/>
      </w:r>
      <w:r>
        <w:rPr>
          <w:rFonts w:hint="eastAsia"/>
        </w:rPr>
        <w:fldChar w:fldCharType="end"/>
      </w:r>
    </w:p>
    <w:p w14:paraId="115E46ED">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"_Toc198803813" </w:instrText>
      </w:r>
      <w:r>
        <w:fldChar w:fldCharType="separate"/>
      </w:r>
      <w:r>
        <w:rPr>
          <w:rStyle w:val="71"/>
          <w:rFonts w:hint="eastAsia" w:ascii="宋体" w:hAnsi="宋体" w:eastAsia="宋体" w:cs="宋体"/>
          <w:bCs/>
        </w:rPr>
        <w:t>2. 发包人义务</w:t>
      </w:r>
      <w:r>
        <w:rPr>
          <w:rFonts w:hint="eastAsia"/>
        </w:rPr>
        <w:tab/>
      </w:r>
      <w:r>
        <w:rPr>
          <w:rFonts w:hint="eastAsia"/>
        </w:rPr>
        <w:fldChar w:fldCharType="begin"/>
      </w:r>
      <w:r>
        <w:rPr>
          <w:rFonts w:hint="eastAsia"/>
        </w:rPr>
        <w:instrText xml:space="preserve"> </w:instrText>
      </w:r>
      <w:r>
        <w:instrText xml:space="preserve">PAGEREF _Toc198803813 \h</w:instrText>
      </w:r>
      <w:r>
        <w:rPr>
          <w:rFonts w:hint="eastAsia"/>
        </w:rPr>
        <w:instrText xml:space="preserve"> </w:instrText>
      </w:r>
      <w:r>
        <w:rPr>
          <w:rFonts w:hint="eastAsia"/>
        </w:rPr>
        <w:fldChar w:fldCharType="separate"/>
      </w:r>
      <w:r>
        <w:t>57</w:t>
      </w:r>
      <w:r>
        <w:rPr>
          <w:rFonts w:hint="eastAsia"/>
        </w:rPr>
        <w:fldChar w:fldCharType="end"/>
      </w:r>
      <w:r>
        <w:rPr>
          <w:rFonts w:hint="eastAsia"/>
        </w:rPr>
        <w:fldChar w:fldCharType="end"/>
      </w:r>
    </w:p>
    <w:p w14:paraId="024B8039">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"_Toc198803814" </w:instrText>
      </w:r>
      <w:r>
        <w:fldChar w:fldCharType="separate"/>
      </w:r>
      <w:r>
        <w:rPr>
          <w:rStyle w:val="71"/>
          <w:rFonts w:hint="eastAsia" w:ascii="宋体" w:hAnsi="宋体" w:eastAsia="宋体" w:cs="宋体"/>
          <w:bCs/>
        </w:rPr>
        <w:t>3. 监理人</w:t>
      </w:r>
      <w:r>
        <w:rPr>
          <w:rFonts w:hint="eastAsia"/>
        </w:rPr>
        <w:tab/>
      </w:r>
      <w:r>
        <w:rPr>
          <w:rFonts w:hint="eastAsia"/>
        </w:rPr>
        <w:fldChar w:fldCharType="begin"/>
      </w:r>
      <w:r>
        <w:rPr>
          <w:rFonts w:hint="eastAsia"/>
        </w:rPr>
        <w:instrText xml:space="preserve"> </w:instrText>
      </w:r>
      <w:r>
        <w:instrText xml:space="preserve">PAGEREF _Toc198803814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14:paraId="4BF4310B">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"_Toc198803815" </w:instrText>
      </w:r>
      <w:r>
        <w:fldChar w:fldCharType="separate"/>
      </w:r>
      <w:r>
        <w:rPr>
          <w:rStyle w:val="71"/>
          <w:rFonts w:hint="eastAsia" w:ascii="宋体" w:hAnsi="宋体" w:eastAsia="宋体" w:cs="宋体"/>
          <w:bCs/>
        </w:rPr>
        <w:t>4. 承包人</w:t>
      </w:r>
      <w:r>
        <w:rPr>
          <w:rFonts w:hint="eastAsia"/>
        </w:rPr>
        <w:tab/>
      </w:r>
      <w:r>
        <w:rPr>
          <w:rFonts w:hint="eastAsia"/>
        </w:rPr>
        <w:fldChar w:fldCharType="begin"/>
      </w:r>
      <w:r>
        <w:rPr>
          <w:rFonts w:hint="eastAsia"/>
        </w:rPr>
        <w:instrText xml:space="preserve"> </w:instrText>
      </w:r>
      <w:r>
        <w:instrText xml:space="preserve">PAGEREF _Toc198803815 \h</w:instrText>
      </w:r>
      <w:r>
        <w:rPr>
          <w:rFonts w:hint="eastAsia"/>
        </w:rPr>
        <w:instrText xml:space="preserve"> </w:instrText>
      </w:r>
      <w:r>
        <w:rPr>
          <w:rFonts w:hint="eastAsia"/>
        </w:rPr>
        <w:fldChar w:fldCharType="separate"/>
      </w:r>
      <w:r>
        <w:t>58</w:t>
      </w:r>
      <w:r>
        <w:rPr>
          <w:rFonts w:hint="eastAsia"/>
        </w:rPr>
        <w:fldChar w:fldCharType="end"/>
      </w:r>
      <w:r>
        <w:rPr>
          <w:rFonts w:hint="eastAsia"/>
        </w:rPr>
        <w:fldChar w:fldCharType="end"/>
      </w:r>
    </w:p>
    <w:p w14:paraId="39A89C37">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"_Toc198803816" </w:instrText>
      </w:r>
      <w:r>
        <w:fldChar w:fldCharType="separate"/>
      </w:r>
      <w:r>
        <w:rPr>
          <w:rStyle w:val="71"/>
          <w:rFonts w:hint="eastAsia" w:ascii="宋体" w:hAnsi="宋体" w:eastAsia="宋体" w:cs="宋体"/>
          <w:bCs/>
        </w:rPr>
        <w:t>5. 设计、勘察</w:t>
      </w:r>
      <w:r>
        <w:rPr>
          <w:rFonts w:hint="eastAsia"/>
        </w:rPr>
        <w:tab/>
      </w:r>
      <w:r>
        <w:rPr>
          <w:rFonts w:hint="eastAsia"/>
        </w:rPr>
        <w:fldChar w:fldCharType="begin"/>
      </w:r>
      <w:r>
        <w:rPr>
          <w:rFonts w:hint="eastAsia"/>
        </w:rPr>
        <w:instrText xml:space="preserve"> </w:instrText>
      </w:r>
      <w:r>
        <w:instrText xml:space="preserve">PAGEREF _Toc198803816 \h</w:instrText>
      </w:r>
      <w:r>
        <w:rPr>
          <w:rFonts w:hint="eastAsia"/>
        </w:rPr>
        <w:instrText xml:space="preserve"> </w:instrText>
      </w:r>
      <w:r>
        <w:rPr>
          <w:rFonts w:hint="eastAsia"/>
        </w:rPr>
        <w:fldChar w:fldCharType="separate"/>
      </w:r>
      <w:r>
        <w:t>68</w:t>
      </w:r>
      <w:r>
        <w:rPr>
          <w:rFonts w:hint="eastAsia"/>
        </w:rPr>
        <w:fldChar w:fldCharType="end"/>
      </w:r>
      <w:r>
        <w:rPr>
          <w:rFonts w:hint="eastAsia"/>
        </w:rPr>
        <w:fldChar w:fldCharType="end"/>
      </w:r>
    </w:p>
    <w:p w14:paraId="4112F5B0">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"_Toc198803817" </w:instrText>
      </w:r>
      <w:r>
        <w:fldChar w:fldCharType="separate"/>
      </w:r>
      <w:r>
        <w:rPr>
          <w:rStyle w:val="71"/>
          <w:rFonts w:hint="eastAsia" w:ascii="宋体" w:hAnsi="宋体" w:eastAsia="宋体" w:cs="宋体"/>
          <w:bCs/>
        </w:rPr>
        <w:t>6. 材料和工程设备</w:t>
      </w:r>
      <w:r>
        <w:rPr>
          <w:rFonts w:hint="eastAsia"/>
        </w:rPr>
        <w:tab/>
      </w:r>
      <w:r>
        <w:rPr>
          <w:rFonts w:hint="eastAsia"/>
        </w:rPr>
        <w:fldChar w:fldCharType="begin"/>
      </w:r>
      <w:r>
        <w:rPr>
          <w:rFonts w:hint="eastAsia"/>
        </w:rPr>
        <w:instrText xml:space="preserve"> </w:instrText>
      </w:r>
      <w:r>
        <w:instrText xml:space="preserve">PAGEREF _Toc198803817 \h</w:instrText>
      </w:r>
      <w:r>
        <w:rPr>
          <w:rFonts w:hint="eastAsia"/>
        </w:rPr>
        <w:instrText xml:space="preserve"> </w:instrText>
      </w:r>
      <w:r>
        <w:rPr>
          <w:rFonts w:hint="eastAsia"/>
        </w:rPr>
        <w:fldChar w:fldCharType="separate"/>
      </w:r>
      <w:r>
        <w:t>75</w:t>
      </w:r>
      <w:r>
        <w:rPr>
          <w:rFonts w:hint="eastAsia"/>
        </w:rPr>
        <w:fldChar w:fldCharType="end"/>
      </w:r>
      <w:r>
        <w:rPr>
          <w:rFonts w:hint="eastAsia"/>
        </w:rPr>
        <w:fldChar w:fldCharType="end"/>
      </w:r>
    </w:p>
    <w:p w14:paraId="2AD37DB0">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"_Toc198803818" </w:instrText>
      </w:r>
      <w:r>
        <w:fldChar w:fldCharType="separate"/>
      </w:r>
      <w:r>
        <w:rPr>
          <w:rStyle w:val="71"/>
          <w:rFonts w:hint="eastAsia" w:ascii="宋体" w:hAnsi="宋体" w:eastAsia="宋体" w:cs="宋体"/>
          <w:bCs/>
        </w:rPr>
        <w:t>7. 施工设备和临时设施</w:t>
      </w:r>
      <w:r>
        <w:rPr>
          <w:rFonts w:hint="eastAsia"/>
        </w:rPr>
        <w:tab/>
      </w:r>
      <w:r>
        <w:rPr>
          <w:rFonts w:hint="eastAsia"/>
        </w:rPr>
        <w:fldChar w:fldCharType="begin"/>
      </w:r>
      <w:r>
        <w:rPr>
          <w:rFonts w:hint="eastAsia"/>
        </w:rPr>
        <w:instrText xml:space="preserve"> </w:instrText>
      </w:r>
      <w:r>
        <w:instrText xml:space="preserve">PAGEREF _Toc198803818 \h</w:instrText>
      </w:r>
      <w:r>
        <w:rPr>
          <w:rFonts w:hint="eastAsia"/>
        </w:rPr>
        <w:instrText xml:space="preserve"> </w:instrText>
      </w:r>
      <w:r>
        <w:rPr>
          <w:rFonts w:hint="eastAsia"/>
        </w:rPr>
        <w:fldChar w:fldCharType="separate"/>
      </w:r>
      <w:r>
        <w:t>78</w:t>
      </w:r>
      <w:r>
        <w:rPr>
          <w:rFonts w:hint="eastAsia"/>
        </w:rPr>
        <w:fldChar w:fldCharType="end"/>
      </w:r>
      <w:r>
        <w:rPr>
          <w:rFonts w:hint="eastAsia"/>
        </w:rPr>
        <w:fldChar w:fldCharType="end"/>
      </w:r>
    </w:p>
    <w:p w14:paraId="5853C76C">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"_Toc198803819" </w:instrText>
      </w:r>
      <w:r>
        <w:fldChar w:fldCharType="separate"/>
      </w:r>
      <w:r>
        <w:rPr>
          <w:rStyle w:val="71"/>
          <w:rFonts w:hint="eastAsia" w:ascii="宋体" w:hAnsi="宋体" w:eastAsia="宋体" w:cs="宋体"/>
          <w:bCs/>
        </w:rPr>
        <w:t>9. 测量放线</w:t>
      </w:r>
      <w:r>
        <w:rPr>
          <w:rFonts w:hint="eastAsia"/>
        </w:rPr>
        <w:tab/>
      </w:r>
      <w:r>
        <w:rPr>
          <w:rFonts w:hint="eastAsia"/>
        </w:rPr>
        <w:fldChar w:fldCharType="begin"/>
      </w:r>
      <w:r>
        <w:rPr>
          <w:rFonts w:hint="eastAsia"/>
        </w:rPr>
        <w:instrText xml:space="preserve"> </w:instrText>
      </w:r>
      <w:r>
        <w:instrText xml:space="preserve">PAGEREF _Toc198803819 \h</w:instrText>
      </w:r>
      <w:r>
        <w:rPr>
          <w:rFonts w:hint="eastAsia"/>
        </w:rPr>
        <w:instrText xml:space="preserve"> </w:instrText>
      </w:r>
      <w:r>
        <w:rPr>
          <w:rFonts w:hint="eastAsia"/>
        </w:rPr>
        <w:fldChar w:fldCharType="separate"/>
      </w:r>
      <w:r>
        <w:t>78</w:t>
      </w:r>
      <w:r>
        <w:rPr>
          <w:rFonts w:hint="eastAsia"/>
        </w:rPr>
        <w:fldChar w:fldCharType="end"/>
      </w:r>
      <w:r>
        <w:rPr>
          <w:rFonts w:hint="eastAsia"/>
        </w:rPr>
        <w:fldChar w:fldCharType="end"/>
      </w:r>
    </w:p>
    <w:p w14:paraId="18656ECC">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"_Toc198803820" </w:instrText>
      </w:r>
      <w:r>
        <w:fldChar w:fldCharType="separate"/>
      </w:r>
      <w:r>
        <w:rPr>
          <w:rStyle w:val="71"/>
          <w:rFonts w:hint="eastAsia" w:ascii="宋体" w:hAnsi="宋体" w:eastAsia="宋体" w:cs="宋体"/>
          <w:bCs/>
        </w:rPr>
        <w:t>10. 安全、治安保卫和环境保护</w:t>
      </w:r>
      <w:r>
        <w:rPr>
          <w:rFonts w:hint="eastAsia"/>
        </w:rPr>
        <w:tab/>
      </w:r>
      <w:r>
        <w:rPr>
          <w:rFonts w:hint="eastAsia"/>
        </w:rPr>
        <w:fldChar w:fldCharType="begin"/>
      </w:r>
      <w:r>
        <w:rPr>
          <w:rFonts w:hint="eastAsia"/>
        </w:rPr>
        <w:instrText xml:space="preserve"> </w:instrText>
      </w:r>
      <w:r>
        <w:instrText xml:space="preserve">PAGEREF _Toc198803820 \h</w:instrText>
      </w:r>
      <w:r>
        <w:rPr>
          <w:rFonts w:hint="eastAsia"/>
        </w:rPr>
        <w:instrText xml:space="preserve"> </w:instrText>
      </w:r>
      <w:r>
        <w:rPr>
          <w:rFonts w:hint="eastAsia"/>
        </w:rPr>
        <w:fldChar w:fldCharType="separate"/>
      </w:r>
      <w:r>
        <w:t>78</w:t>
      </w:r>
      <w:r>
        <w:rPr>
          <w:rFonts w:hint="eastAsia"/>
        </w:rPr>
        <w:fldChar w:fldCharType="end"/>
      </w:r>
      <w:r>
        <w:rPr>
          <w:rFonts w:hint="eastAsia"/>
        </w:rPr>
        <w:fldChar w:fldCharType="end"/>
      </w:r>
    </w:p>
    <w:p w14:paraId="2C5E3BDD">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"_Toc198803821" </w:instrText>
      </w:r>
      <w:r>
        <w:fldChar w:fldCharType="separate"/>
      </w:r>
      <w:r>
        <w:rPr>
          <w:rStyle w:val="71"/>
          <w:rFonts w:hint="eastAsia" w:ascii="宋体" w:hAnsi="宋体" w:eastAsia="宋体" w:cs="宋体"/>
          <w:bCs/>
        </w:rPr>
        <w:t>11. 开始工作和竣工</w:t>
      </w:r>
      <w:r>
        <w:rPr>
          <w:rFonts w:hint="eastAsia"/>
        </w:rPr>
        <w:tab/>
      </w:r>
      <w:r>
        <w:rPr>
          <w:rFonts w:hint="eastAsia"/>
        </w:rPr>
        <w:fldChar w:fldCharType="begin"/>
      </w:r>
      <w:r>
        <w:rPr>
          <w:rFonts w:hint="eastAsia"/>
        </w:rPr>
        <w:instrText xml:space="preserve"> </w:instrText>
      </w:r>
      <w:r>
        <w:instrText xml:space="preserve">PAGEREF _Toc198803821 \h</w:instrText>
      </w:r>
      <w:r>
        <w:rPr>
          <w:rFonts w:hint="eastAsia"/>
        </w:rPr>
        <w:instrText xml:space="preserve"> </w:instrText>
      </w:r>
      <w:r>
        <w:rPr>
          <w:rFonts w:hint="eastAsia"/>
        </w:rPr>
        <w:fldChar w:fldCharType="separate"/>
      </w:r>
      <w:r>
        <w:t>81</w:t>
      </w:r>
      <w:r>
        <w:rPr>
          <w:rFonts w:hint="eastAsia"/>
        </w:rPr>
        <w:fldChar w:fldCharType="end"/>
      </w:r>
      <w:r>
        <w:rPr>
          <w:rFonts w:hint="eastAsia"/>
        </w:rPr>
        <w:fldChar w:fldCharType="end"/>
      </w:r>
    </w:p>
    <w:p w14:paraId="79A531A3">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"_Toc198803822" </w:instrText>
      </w:r>
      <w:r>
        <w:fldChar w:fldCharType="separate"/>
      </w:r>
      <w:r>
        <w:rPr>
          <w:rStyle w:val="71"/>
          <w:rFonts w:hint="eastAsia" w:ascii="宋体" w:hAnsi="宋体" w:eastAsia="宋体" w:cs="宋体"/>
          <w:bCs/>
        </w:rPr>
        <w:t>12. 暂停工作</w:t>
      </w:r>
      <w:r>
        <w:rPr>
          <w:rFonts w:hint="eastAsia"/>
        </w:rPr>
        <w:tab/>
      </w:r>
      <w:r>
        <w:rPr>
          <w:rFonts w:hint="eastAsia"/>
        </w:rPr>
        <w:fldChar w:fldCharType="begin"/>
      </w:r>
      <w:r>
        <w:rPr>
          <w:rFonts w:hint="eastAsia"/>
        </w:rPr>
        <w:instrText xml:space="preserve"> </w:instrText>
      </w:r>
      <w:r>
        <w:instrText xml:space="preserve">PAGEREF _Toc198803822 \h</w:instrText>
      </w:r>
      <w:r>
        <w:rPr>
          <w:rFonts w:hint="eastAsia"/>
        </w:rPr>
        <w:instrText xml:space="preserve"> </w:instrText>
      </w:r>
      <w:r>
        <w:rPr>
          <w:rFonts w:hint="eastAsia"/>
        </w:rPr>
        <w:fldChar w:fldCharType="separate"/>
      </w:r>
      <w:r>
        <w:t>83</w:t>
      </w:r>
      <w:r>
        <w:rPr>
          <w:rFonts w:hint="eastAsia"/>
        </w:rPr>
        <w:fldChar w:fldCharType="end"/>
      </w:r>
      <w:r>
        <w:rPr>
          <w:rFonts w:hint="eastAsia"/>
        </w:rPr>
        <w:fldChar w:fldCharType="end"/>
      </w:r>
    </w:p>
    <w:p w14:paraId="3C34F1CE">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"_Toc198803823" </w:instrText>
      </w:r>
      <w:r>
        <w:fldChar w:fldCharType="separate"/>
      </w:r>
      <w:r>
        <w:rPr>
          <w:rStyle w:val="71"/>
          <w:rFonts w:hint="eastAsia" w:ascii="宋体" w:hAnsi="宋体" w:eastAsia="宋体" w:cs="宋体"/>
          <w:bCs/>
        </w:rPr>
        <w:t>13. 工程质量</w:t>
      </w:r>
      <w:r>
        <w:rPr>
          <w:rFonts w:hint="eastAsia"/>
        </w:rPr>
        <w:tab/>
      </w:r>
      <w:r>
        <w:rPr>
          <w:rFonts w:hint="eastAsia"/>
        </w:rPr>
        <w:fldChar w:fldCharType="begin"/>
      </w:r>
      <w:r>
        <w:rPr>
          <w:rFonts w:hint="eastAsia"/>
        </w:rPr>
        <w:instrText xml:space="preserve"> </w:instrText>
      </w:r>
      <w:r>
        <w:instrText xml:space="preserve">PAGEREF _Toc198803823 \h</w:instrText>
      </w:r>
      <w:r>
        <w:rPr>
          <w:rFonts w:hint="eastAsia"/>
        </w:rPr>
        <w:instrText xml:space="preserve"> </w:instrText>
      </w:r>
      <w:r>
        <w:rPr>
          <w:rFonts w:hint="eastAsia"/>
        </w:rPr>
        <w:fldChar w:fldCharType="separate"/>
      </w:r>
      <w:r>
        <w:t>84</w:t>
      </w:r>
      <w:r>
        <w:rPr>
          <w:rFonts w:hint="eastAsia"/>
        </w:rPr>
        <w:fldChar w:fldCharType="end"/>
      </w:r>
      <w:r>
        <w:rPr>
          <w:rFonts w:hint="eastAsia"/>
        </w:rPr>
        <w:fldChar w:fldCharType="end"/>
      </w:r>
    </w:p>
    <w:p w14:paraId="75D2BF15">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"_Toc198803824" </w:instrText>
      </w:r>
      <w:r>
        <w:fldChar w:fldCharType="separate"/>
      </w:r>
      <w:r>
        <w:rPr>
          <w:rStyle w:val="71"/>
          <w:rFonts w:hint="eastAsia" w:ascii="宋体" w:hAnsi="宋体" w:eastAsia="宋体" w:cs="宋体"/>
          <w:bCs/>
        </w:rPr>
        <w:t>14. 试验和检验</w:t>
      </w:r>
      <w:r>
        <w:rPr>
          <w:rFonts w:hint="eastAsia"/>
        </w:rPr>
        <w:tab/>
      </w:r>
      <w:r>
        <w:rPr>
          <w:rFonts w:hint="eastAsia"/>
        </w:rPr>
        <w:fldChar w:fldCharType="begin"/>
      </w:r>
      <w:r>
        <w:rPr>
          <w:rFonts w:hint="eastAsia"/>
        </w:rPr>
        <w:instrText xml:space="preserve"> </w:instrText>
      </w:r>
      <w:r>
        <w:instrText xml:space="preserve">PAGEREF _Toc198803824 \h</w:instrText>
      </w:r>
      <w:r>
        <w:rPr>
          <w:rFonts w:hint="eastAsia"/>
        </w:rPr>
        <w:instrText xml:space="preserve"> </w:instrText>
      </w:r>
      <w:r>
        <w:rPr>
          <w:rFonts w:hint="eastAsia"/>
        </w:rPr>
        <w:fldChar w:fldCharType="separate"/>
      </w:r>
      <w:r>
        <w:t>84</w:t>
      </w:r>
      <w:r>
        <w:rPr>
          <w:rFonts w:hint="eastAsia"/>
        </w:rPr>
        <w:fldChar w:fldCharType="end"/>
      </w:r>
      <w:r>
        <w:rPr>
          <w:rFonts w:hint="eastAsia"/>
        </w:rPr>
        <w:fldChar w:fldCharType="end"/>
      </w:r>
    </w:p>
    <w:p w14:paraId="269FE3AC">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"_Toc198803825" </w:instrText>
      </w:r>
      <w:r>
        <w:fldChar w:fldCharType="separate"/>
      </w:r>
      <w:r>
        <w:rPr>
          <w:rStyle w:val="71"/>
          <w:rFonts w:hint="eastAsia" w:ascii="宋体" w:hAnsi="宋体" w:eastAsia="宋体" w:cs="宋体"/>
          <w:bCs/>
        </w:rPr>
        <w:t>15. 变更</w:t>
      </w:r>
      <w:r>
        <w:rPr>
          <w:rFonts w:hint="eastAsia"/>
        </w:rPr>
        <w:tab/>
      </w:r>
      <w:r>
        <w:rPr>
          <w:rFonts w:hint="eastAsia"/>
        </w:rPr>
        <w:fldChar w:fldCharType="begin"/>
      </w:r>
      <w:r>
        <w:rPr>
          <w:rFonts w:hint="eastAsia"/>
        </w:rPr>
        <w:instrText xml:space="preserve"> </w:instrText>
      </w:r>
      <w:r>
        <w:instrText xml:space="preserve">PAGEREF _Toc198803825 \h</w:instrText>
      </w:r>
      <w:r>
        <w:rPr>
          <w:rFonts w:hint="eastAsia"/>
        </w:rPr>
        <w:instrText xml:space="preserve"> </w:instrText>
      </w:r>
      <w:r>
        <w:rPr>
          <w:rFonts w:hint="eastAsia"/>
        </w:rPr>
        <w:fldChar w:fldCharType="separate"/>
      </w:r>
      <w:r>
        <w:t>85</w:t>
      </w:r>
      <w:r>
        <w:rPr>
          <w:rFonts w:hint="eastAsia"/>
        </w:rPr>
        <w:fldChar w:fldCharType="end"/>
      </w:r>
      <w:r>
        <w:rPr>
          <w:rFonts w:hint="eastAsia"/>
        </w:rPr>
        <w:fldChar w:fldCharType="end"/>
      </w:r>
    </w:p>
    <w:p w14:paraId="3352FEDF">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"_Toc198803826" </w:instrText>
      </w:r>
      <w:r>
        <w:fldChar w:fldCharType="separate"/>
      </w:r>
      <w:r>
        <w:rPr>
          <w:rStyle w:val="71"/>
          <w:rFonts w:hint="eastAsia" w:ascii="宋体" w:hAnsi="宋体" w:eastAsia="宋体" w:cs="宋体"/>
          <w:bCs/>
        </w:rPr>
        <w:t>16. 价格调整</w:t>
      </w:r>
      <w:r>
        <w:rPr>
          <w:rFonts w:hint="eastAsia"/>
        </w:rPr>
        <w:tab/>
      </w:r>
      <w:r>
        <w:rPr>
          <w:rFonts w:hint="eastAsia"/>
        </w:rPr>
        <w:fldChar w:fldCharType="begin"/>
      </w:r>
      <w:r>
        <w:rPr>
          <w:rFonts w:hint="eastAsia"/>
        </w:rPr>
        <w:instrText xml:space="preserve"> </w:instrText>
      </w:r>
      <w:r>
        <w:instrText xml:space="preserve">PAGEREF _Toc198803826 \h</w:instrText>
      </w:r>
      <w:r>
        <w:rPr>
          <w:rFonts w:hint="eastAsia"/>
        </w:rPr>
        <w:instrText xml:space="preserve"> </w:instrText>
      </w:r>
      <w:r>
        <w:rPr>
          <w:rFonts w:hint="eastAsia"/>
        </w:rPr>
        <w:fldChar w:fldCharType="separate"/>
      </w:r>
      <w:r>
        <w:t>87</w:t>
      </w:r>
      <w:r>
        <w:rPr>
          <w:rFonts w:hint="eastAsia"/>
        </w:rPr>
        <w:fldChar w:fldCharType="end"/>
      </w:r>
      <w:r>
        <w:rPr>
          <w:rFonts w:hint="eastAsia"/>
        </w:rPr>
        <w:fldChar w:fldCharType="end"/>
      </w:r>
    </w:p>
    <w:p w14:paraId="4C32EF27">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"_Toc198803827" </w:instrText>
      </w:r>
      <w:r>
        <w:fldChar w:fldCharType="separate"/>
      </w:r>
      <w:r>
        <w:rPr>
          <w:rStyle w:val="71"/>
          <w:rFonts w:hint="eastAsia" w:ascii="宋体" w:hAnsi="宋体" w:eastAsia="宋体" w:cs="宋体"/>
          <w:bCs/>
        </w:rPr>
        <w:t>17. 合同价格与支付</w:t>
      </w:r>
      <w:r>
        <w:rPr>
          <w:rFonts w:hint="eastAsia"/>
        </w:rPr>
        <w:tab/>
      </w:r>
      <w:r>
        <w:rPr>
          <w:rFonts w:hint="eastAsia"/>
        </w:rPr>
        <w:fldChar w:fldCharType="begin"/>
      </w:r>
      <w:r>
        <w:rPr>
          <w:rFonts w:hint="eastAsia"/>
        </w:rPr>
        <w:instrText xml:space="preserve"> </w:instrText>
      </w:r>
      <w:r>
        <w:instrText xml:space="preserve">PAGEREF _Toc198803827 \h</w:instrText>
      </w:r>
      <w:r>
        <w:rPr>
          <w:rFonts w:hint="eastAsia"/>
        </w:rPr>
        <w:instrText xml:space="preserve"> </w:instrText>
      </w:r>
      <w:r>
        <w:rPr>
          <w:rFonts w:hint="eastAsia"/>
        </w:rPr>
        <w:fldChar w:fldCharType="separate"/>
      </w:r>
      <w:r>
        <w:t>87</w:t>
      </w:r>
      <w:r>
        <w:rPr>
          <w:rFonts w:hint="eastAsia"/>
        </w:rPr>
        <w:fldChar w:fldCharType="end"/>
      </w:r>
      <w:r>
        <w:rPr>
          <w:rFonts w:hint="eastAsia"/>
        </w:rPr>
        <w:fldChar w:fldCharType="end"/>
      </w:r>
    </w:p>
    <w:p w14:paraId="0A52C860">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"_Toc198803828" </w:instrText>
      </w:r>
      <w:r>
        <w:fldChar w:fldCharType="separate"/>
      </w:r>
      <w:r>
        <w:rPr>
          <w:rStyle w:val="71"/>
          <w:rFonts w:hint="eastAsia" w:ascii="宋体" w:hAnsi="宋体" w:eastAsia="宋体" w:cs="宋体"/>
          <w:bCs/>
        </w:rPr>
        <w:t>19. 缺陷责任与保修责任</w:t>
      </w:r>
      <w:r>
        <w:rPr>
          <w:rFonts w:hint="eastAsia"/>
        </w:rPr>
        <w:tab/>
      </w:r>
      <w:r>
        <w:rPr>
          <w:rFonts w:hint="eastAsia"/>
        </w:rPr>
        <w:fldChar w:fldCharType="begin"/>
      </w:r>
      <w:r>
        <w:rPr>
          <w:rFonts w:hint="eastAsia"/>
        </w:rPr>
        <w:instrText xml:space="preserve"> </w:instrText>
      </w:r>
      <w:r>
        <w:instrText xml:space="preserve">PAGEREF _Toc198803828 \h</w:instrText>
      </w:r>
      <w:r>
        <w:rPr>
          <w:rFonts w:hint="eastAsia"/>
        </w:rPr>
        <w:instrText xml:space="preserve"> </w:instrText>
      </w:r>
      <w:r>
        <w:rPr>
          <w:rFonts w:hint="eastAsia"/>
        </w:rPr>
        <w:fldChar w:fldCharType="separate"/>
      </w:r>
      <w:r>
        <w:t>95</w:t>
      </w:r>
      <w:r>
        <w:rPr>
          <w:rFonts w:hint="eastAsia"/>
        </w:rPr>
        <w:fldChar w:fldCharType="end"/>
      </w:r>
      <w:r>
        <w:rPr>
          <w:rFonts w:hint="eastAsia"/>
        </w:rPr>
        <w:fldChar w:fldCharType="end"/>
      </w:r>
    </w:p>
    <w:p w14:paraId="339C6EEA">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"_Toc198803829" </w:instrText>
      </w:r>
      <w:r>
        <w:fldChar w:fldCharType="separate"/>
      </w:r>
      <w:r>
        <w:rPr>
          <w:rStyle w:val="71"/>
          <w:rFonts w:hint="eastAsia" w:ascii="宋体" w:hAnsi="宋体" w:eastAsia="宋体" w:cs="宋体"/>
          <w:bCs/>
        </w:rPr>
        <w:t>20. 保险</w:t>
      </w:r>
      <w:r>
        <w:rPr>
          <w:rFonts w:hint="eastAsia"/>
        </w:rPr>
        <w:tab/>
      </w:r>
      <w:r>
        <w:rPr>
          <w:rFonts w:hint="eastAsia"/>
        </w:rPr>
        <w:fldChar w:fldCharType="begin"/>
      </w:r>
      <w:r>
        <w:rPr>
          <w:rFonts w:hint="eastAsia"/>
        </w:rPr>
        <w:instrText xml:space="preserve"> </w:instrText>
      </w:r>
      <w:r>
        <w:instrText xml:space="preserve">PAGEREF _Toc198803829 \h</w:instrText>
      </w:r>
      <w:r>
        <w:rPr>
          <w:rFonts w:hint="eastAsia"/>
        </w:rPr>
        <w:instrText xml:space="preserve"> </w:instrText>
      </w:r>
      <w:r>
        <w:rPr>
          <w:rFonts w:hint="eastAsia"/>
        </w:rPr>
        <w:fldChar w:fldCharType="separate"/>
      </w:r>
      <w:r>
        <w:t>95</w:t>
      </w:r>
      <w:r>
        <w:rPr>
          <w:rFonts w:hint="eastAsia"/>
        </w:rPr>
        <w:fldChar w:fldCharType="end"/>
      </w:r>
      <w:r>
        <w:rPr>
          <w:rFonts w:hint="eastAsia"/>
        </w:rPr>
        <w:fldChar w:fldCharType="end"/>
      </w:r>
    </w:p>
    <w:p w14:paraId="37FA2D91">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"_Toc198803830" </w:instrText>
      </w:r>
      <w:r>
        <w:fldChar w:fldCharType="separate"/>
      </w:r>
      <w:r>
        <w:rPr>
          <w:rStyle w:val="71"/>
          <w:rFonts w:hint="eastAsia" w:ascii="宋体" w:hAnsi="宋体" w:eastAsia="宋体" w:cs="宋体"/>
          <w:bCs/>
        </w:rPr>
        <w:t>22. 违约</w:t>
      </w:r>
      <w:r>
        <w:rPr>
          <w:rFonts w:hint="eastAsia"/>
        </w:rPr>
        <w:tab/>
      </w:r>
      <w:r>
        <w:rPr>
          <w:rFonts w:hint="eastAsia"/>
        </w:rPr>
        <w:fldChar w:fldCharType="begin"/>
      </w:r>
      <w:r>
        <w:rPr>
          <w:rFonts w:hint="eastAsia"/>
        </w:rPr>
        <w:instrText xml:space="preserve"> </w:instrText>
      </w:r>
      <w:r>
        <w:instrText xml:space="preserve">PAGEREF _Toc198803830 \h</w:instrText>
      </w:r>
      <w:r>
        <w:rPr>
          <w:rFonts w:hint="eastAsia"/>
        </w:rPr>
        <w:instrText xml:space="preserve"> </w:instrText>
      </w:r>
      <w:r>
        <w:rPr>
          <w:rFonts w:hint="eastAsia"/>
        </w:rPr>
        <w:fldChar w:fldCharType="separate"/>
      </w:r>
      <w:r>
        <w:t>96</w:t>
      </w:r>
      <w:r>
        <w:rPr>
          <w:rFonts w:hint="eastAsia"/>
        </w:rPr>
        <w:fldChar w:fldCharType="end"/>
      </w:r>
      <w:r>
        <w:rPr>
          <w:rFonts w:hint="eastAsia"/>
        </w:rPr>
        <w:fldChar w:fldCharType="end"/>
      </w:r>
    </w:p>
    <w:p w14:paraId="46F2B2AD">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"_Toc198803831" </w:instrText>
      </w:r>
      <w:r>
        <w:fldChar w:fldCharType="separate"/>
      </w:r>
      <w:r>
        <w:rPr>
          <w:rStyle w:val="71"/>
          <w:rFonts w:hint="eastAsia" w:ascii="宋体" w:hAnsi="宋体" w:eastAsia="宋体" w:cs="宋体"/>
          <w:bCs/>
        </w:rPr>
        <w:t>24. 争议的解决</w:t>
      </w:r>
      <w:r>
        <w:rPr>
          <w:rFonts w:hint="eastAsia"/>
        </w:rPr>
        <w:tab/>
      </w:r>
      <w:r>
        <w:rPr>
          <w:rFonts w:hint="eastAsia"/>
        </w:rPr>
        <w:fldChar w:fldCharType="begin"/>
      </w:r>
      <w:r>
        <w:rPr>
          <w:rFonts w:hint="eastAsia"/>
        </w:rPr>
        <w:instrText xml:space="preserve"> </w:instrText>
      </w:r>
      <w:r>
        <w:instrText xml:space="preserve">PAGEREF _Toc198803831 \h</w:instrText>
      </w:r>
      <w:r>
        <w:rPr>
          <w:rFonts w:hint="eastAsia"/>
        </w:rPr>
        <w:instrText xml:space="preserve"> </w:instrText>
      </w:r>
      <w:r>
        <w:rPr>
          <w:rFonts w:hint="eastAsia"/>
        </w:rPr>
        <w:fldChar w:fldCharType="separate"/>
      </w:r>
      <w:r>
        <w:t>109</w:t>
      </w:r>
      <w:r>
        <w:rPr>
          <w:rFonts w:hint="eastAsia"/>
        </w:rPr>
        <w:fldChar w:fldCharType="end"/>
      </w:r>
      <w:r>
        <w:rPr>
          <w:rFonts w:hint="eastAsia"/>
        </w:rPr>
        <w:fldChar w:fldCharType="end"/>
      </w:r>
    </w:p>
    <w:p w14:paraId="620C8047">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"_Toc198803832" </w:instrText>
      </w:r>
      <w:r>
        <w:fldChar w:fldCharType="separate"/>
      </w:r>
      <w:r>
        <w:rPr>
          <w:rStyle w:val="71"/>
          <w:rFonts w:hint="eastAsia" w:ascii="宋体" w:hAnsi="宋体" w:eastAsia="宋体" w:cs="宋体"/>
          <w:bCs/>
        </w:rPr>
        <w:t>25. 修正条款或补充条款</w:t>
      </w:r>
      <w:r>
        <w:rPr>
          <w:rFonts w:hint="eastAsia"/>
        </w:rPr>
        <w:tab/>
      </w:r>
      <w:r>
        <w:rPr>
          <w:rFonts w:hint="eastAsia"/>
        </w:rPr>
        <w:fldChar w:fldCharType="begin"/>
      </w:r>
      <w:r>
        <w:rPr>
          <w:rFonts w:hint="eastAsia"/>
        </w:rPr>
        <w:instrText xml:space="preserve"> </w:instrText>
      </w:r>
      <w:r>
        <w:instrText xml:space="preserve">PAGEREF _Toc198803832 \h</w:instrText>
      </w:r>
      <w:r>
        <w:rPr>
          <w:rFonts w:hint="eastAsia"/>
        </w:rPr>
        <w:instrText xml:space="preserve"> </w:instrText>
      </w:r>
      <w:r>
        <w:rPr>
          <w:rFonts w:hint="eastAsia"/>
        </w:rPr>
        <w:fldChar w:fldCharType="separate"/>
      </w:r>
      <w:r>
        <w:t>109</w:t>
      </w:r>
      <w:r>
        <w:rPr>
          <w:rFonts w:hint="eastAsia"/>
        </w:rPr>
        <w:fldChar w:fldCharType="end"/>
      </w:r>
      <w:r>
        <w:rPr>
          <w:rFonts w:hint="eastAsia"/>
        </w:rPr>
        <w:fldChar w:fldCharType="end"/>
      </w:r>
    </w:p>
    <w:p w14:paraId="4A0D75EA">
      <w:pPr>
        <w:pStyle w:val="41"/>
        <w:tabs>
          <w:tab w:val="right" w:leader="dot" w:pos="8835"/>
        </w:tabs>
        <w:rPr>
          <w:rFonts w:hint="eastAsia" w:asciiTheme="minorHAnsi" w:hAnsiTheme="minorHAnsi" w:eastAsiaTheme="minorEastAsia" w:cstheme="minorBidi"/>
          <w:b w:val="0"/>
          <w:caps w:val="0"/>
          <w:sz w:val="22"/>
          <w:szCs w:val="24"/>
          <w14:ligatures w14:val="standardContextual"/>
        </w:rPr>
      </w:pPr>
      <w:r>
        <w:fldChar w:fldCharType="begin"/>
      </w:r>
      <w:r>
        <w:instrText xml:space="preserve"> HYPERLINK \l "_Toc198803833" </w:instrText>
      </w:r>
      <w:r>
        <w:fldChar w:fldCharType="separate"/>
      </w:r>
      <w:r>
        <w:rPr>
          <w:rStyle w:val="71"/>
          <w:rFonts w:hint="eastAsia" w:cs="宋体"/>
          <w:bCs/>
        </w:rPr>
        <w:t>第四部分  合同附件</w:t>
      </w:r>
      <w:r>
        <w:rPr>
          <w:rFonts w:hint="eastAsia"/>
        </w:rPr>
        <w:tab/>
      </w:r>
      <w:r>
        <w:rPr>
          <w:rFonts w:hint="eastAsia"/>
        </w:rPr>
        <w:fldChar w:fldCharType="begin"/>
      </w:r>
      <w:r>
        <w:rPr>
          <w:rFonts w:hint="eastAsia"/>
        </w:rPr>
        <w:instrText xml:space="preserve"> </w:instrText>
      </w:r>
      <w:r>
        <w:instrText xml:space="preserve">PAGEREF _Toc198803833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2518240B">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"_Toc198803834" </w:instrText>
      </w:r>
      <w:r>
        <w:fldChar w:fldCharType="separate"/>
      </w:r>
      <w:r>
        <w:rPr>
          <w:rStyle w:val="71"/>
          <w:rFonts w:hint="eastAsia" w:ascii="宋体" w:hAnsi="宋体" w:eastAsia="宋体" w:cs="宋体"/>
          <w:bCs/>
        </w:rPr>
        <w:t>附件1：任务书及建设标准</w:t>
      </w:r>
      <w:r>
        <w:rPr>
          <w:rFonts w:hint="eastAsia"/>
        </w:rPr>
        <w:tab/>
      </w:r>
      <w:r>
        <w:rPr>
          <w:rFonts w:hint="eastAsia"/>
        </w:rPr>
        <w:fldChar w:fldCharType="begin"/>
      </w:r>
      <w:r>
        <w:rPr>
          <w:rFonts w:hint="eastAsia"/>
        </w:rPr>
        <w:instrText xml:space="preserve"> </w:instrText>
      </w:r>
      <w:r>
        <w:instrText xml:space="preserve">PAGEREF _Toc198803834 \h</w:instrText>
      </w:r>
      <w:r>
        <w:rPr>
          <w:rFonts w:hint="eastAsia"/>
        </w:rPr>
        <w:instrText xml:space="preserve"> </w:instrText>
      </w:r>
      <w:r>
        <w:rPr>
          <w:rFonts w:hint="eastAsia"/>
        </w:rPr>
        <w:fldChar w:fldCharType="separate"/>
      </w:r>
      <w:r>
        <w:t>111</w:t>
      </w:r>
      <w:r>
        <w:rPr>
          <w:rFonts w:hint="eastAsia"/>
        </w:rPr>
        <w:fldChar w:fldCharType="end"/>
      </w:r>
      <w:r>
        <w:rPr>
          <w:rFonts w:hint="eastAsia"/>
        </w:rPr>
        <w:fldChar w:fldCharType="end"/>
      </w:r>
    </w:p>
    <w:p w14:paraId="6FFA0214">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"_Toc198803835" </w:instrText>
      </w:r>
      <w:r>
        <w:fldChar w:fldCharType="separate"/>
      </w:r>
      <w:r>
        <w:rPr>
          <w:rStyle w:val="71"/>
          <w:rFonts w:hint="eastAsia" w:ascii="宋体" w:hAnsi="宋体" w:eastAsia="宋体" w:cs="宋体"/>
          <w:bCs/>
        </w:rPr>
        <w:t>附件2：中标通知书</w:t>
      </w:r>
      <w:r>
        <w:rPr>
          <w:rFonts w:hint="eastAsia"/>
        </w:rPr>
        <w:tab/>
      </w:r>
      <w:r>
        <w:rPr>
          <w:rFonts w:hint="eastAsia"/>
        </w:rPr>
        <w:fldChar w:fldCharType="begin"/>
      </w:r>
      <w:r>
        <w:rPr>
          <w:rFonts w:hint="eastAsia"/>
        </w:rPr>
        <w:instrText xml:space="preserve"> </w:instrText>
      </w:r>
      <w:r>
        <w:instrText xml:space="preserve">PAGEREF _Toc198803835 \h</w:instrText>
      </w:r>
      <w:r>
        <w:rPr>
          <w:rFonts w:hint="eastAsia"/>
        </w:rPr>
        <w:instrText xml:space="preserve"> </w:instrText>
      </w:r>
      <w:r>
        <w:rPr>
          <w:rFonts w:hint="eastAsia"/>
        </w:rPr>
        <w:fldChar w:fldCharType="separate"/>
      </w:r>
      <w:r>
        <w:t>112</w:t>
      </w:r>
      <w:r>
        <w:rPr>
          <w:rFonts w:hint="eastAsia"/>
        </w:rPr>
        <w:fldChar w:fldCharType="end"/>
      </w:r>
      <w:r>
        <w:rPr>
          <w:rFonts w:hint="eastAsia"/>
        </w:rPr>
        <w:fldChar w:fldCharType="end"/>
      </w:r>
    </w:p>
    <w:p w14:paraId="4BDBD32A">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"_Toc198803836" </w:instrText>
      </w:r>
      <w:r>
        <w:fldChar w:fldCharType="separate"/>
      </w:r>
      <w:r>
        <w:rPr>
          <w:rStyle w:val="71"/>
          <w:rFonts w:hint="eastAsia" w:ascii="宋体" w:hAnsi="宋体" w:eastAsia="宋体" w:cs="宋体"/>
          <w:bCs/>
        </w:rPr>
        <w:t>附件3：联合体协议（如有）</w:t>
      </w:r>
      <w:r>
        <w:rPr>
          <w:rFonts w:hint="eastAsia"/>
        </w:rPr>
        <w:tab/>
      </w:r>
      <w:r>
        <w:rPr>
          <w:rFonts w:hint="eastAsia"/>
        </w:rPr>
        <w:fldChar w:fldCharType="begin"/>
      </w:r>
      <w:r>
        <w:rPr>
          <w:rFonts w:hint="eastAsia"/>
        </w:rPr>
        <w:instrText xml:space="preserve"> </w:instrText>
      </w:r>
      <w:r>
        <w:instrText xml:space="preserve">PAGEREF _Toc198803836 \h</w:instrText>
      </w:r>
      <w:r>
        <w:rPr>
          <w:rFonts w:hint="eastAsia"/>
        </w:rPr>
        <w:instrText xml:space="preserve"> </w:instrText>
      </w:r>
      <w:r>
        <w:rPr>
          <w:rFonts w:hint="eastAsia"/>
        </w:rPr>
        <w:fldChar w:fldCharType="separate"/>
      </w:r>
      <w:r>
        <w:t>113</w:t>
      </w:r>
      <w:r>
        <w:rPr>
          <w:rFonts w:hint="eastAsia"/>
        </w:rPr>
        <w:fldChar w:fldCharType="end"/>
      </w:r>
      <w:r>
        <w:rPr>
          <w:rFonts w:hint="eastAsia"/>
        </w:rPr>
        <w:fldChar w:fldCharType="end"/>
      </w:r>
    </w:p>
    <w:p w14:paraId="3C8F05CD">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"_Toc198803837" </w:instrText>
      </w:r>
      <w:r>
        <w:fldChar w:fldCharType="separate"/>
      </w:r>
      <w:r>
        <w:rPr>
          <w:rStyle w:val="71"/>
          <w:rFonts w:hint="eastAsia" w:ascii="宋体" w:hAnsi="宋体" w:eastAsia="宋体" w:cs="宋体"/>
          <w:bCs/>
        </w:rPr>
        <w:t>附件4：项目管理机构配备表</w:t>
      </w:r>
      <w:r>
        <w:rPr>
          <w:rFonts w:hint="eastAsia"/>
        </w:rPr>
        <w:tab/>
      </w:r>
      <w:r>
        <w:rPr>
          <w:rFonts w:hint="eastAsia"/>
        </w:rPr>
        <w:fldChar w:fldCharType="begin"/>
      </w:r>
      <w:r>
        <w:rPr>
          <w:rFonts w:hint="eastAsia"/>
        </w:rPr>
        <w:instrText xml:space="preserve"> </w:instrText>
      </w:r>
      <w:r>
        <w:instrText xml:space="preserve">PAGEREF _Toc198803837 \h</w:instrText>
      </w:r>
      <w:r>
        <w:rPr>
          <w:rFonts w:hint="eastAsia"/>
        </w:rPr>
        <w:instrText xml:space="preserve"> </w:instrText>
      </w:r>
      <w:r>
        <w:rPr>
          <w:rFonts w:hint="eastAsia"/>
        </w:rPr>
        <w:fldChar w:fldCharType="separate"/>
      </w:r>
      <w:r>
        <w:t>114</w:t>
      </w:r>
      <w:r>
        <w:rPr>
          <w:rFonts w:hint="eastAsia"/>
        </w:rPr>
        <w:fldChar w:fldCharType="end"/>
      </w:r>
      <w:r>
        <w:rPr>
          <w:rFonts w:hint="eastAsia"/>
        </w:rPr>
        <w:fldChar w:fldCharType="end"/>
      </w:r>
    </w:p>
    <w:p w14:paraId="084E992F">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"_Toc198803838" </w:instrText>
      </w:r>
      <w:r>
        <w:fldChar w:fldCharType="separate"/>
      </w:r>
      <w:r>
        <w:rPr>
          <w:rStyle w:val="71"/>
          <w:rFonts w:hint="eastAsia" w:ascii="宋体" w:hAnsi="宋体" w:eastAsia="宋体" w:cs="宋体"/>
          <w:bCs/>
        </w:rPr>
        <w:t>附件5：廉洁协议</w:t>
      </w:r>
      <w:r>
        <w:rPr>
          <w:rFonts w:hint="eastAsia"/>
        </w:rPr>
        <w:tab/>
      </w:r>
      <w:r>
        <w:rPr>
          <w:rFonts w:hint="eastAsia"/>
        </w:rPr>
        <w:fldChar w:fldCharType="begin"/>
      </w:r>
      <w:r>
        <w:rPr>
          <w:rFonts w:hint="eastAsia"/>
        </w:rPr>
        <w:instrText xml:space="preserve"> </w:instrText>
      </w:r>
      <w:r>
        <w:instrText xml:space="preserve">PAGEREF _Toc198803838 \h</w:instrText>
      </w:r>
      <w:r>
        <w:rPr>
          <w:rFonts w:hint="eastAsia"/>
        </w:rPr>
        <w:instrText xml:space="preserve"> </w:instrText>
      </w:r>
      <w:r>
        <w:rPr>
          <w:rFonts w:hint="eastAsia"/>
        </w:rPr>
        <w:fldChar w:fldCharType="separate"/>
      </w:r>
      <w:r>
        <w:t>115</w:t>
      </w:r>
      <w:r>
        <w:rPr>
          <w:rFonts w:hint="eastAsia"/>
        </w:rPr>
        <w:fldChar w:fldCharType="end"/>
      </w:r>
      <w:r>
        <w:rPr>
          <w:rFonts w:hint="eastAsia"/>
        </w:rPr>
        <w:fldChar w:fldCharType="end"/>
      </w:r>
    </w:p>
    <w:p w14:paraId="7467C371">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"_Toc198803839" </w:instrText>
      </w:r>
      <w:r>
        <w:fldChar w:fldCharType="separate"/>
      </w:r>
      <w:r>
        <w:rPr>
          <w:rStyle w:val="71"/>
          <w:rFonts w:hint="eastAsia" w:ascii="宋体" w:hAnsi="宋体" w:eastAsia="宋体" w:cs="宋体"/>
          <w:bCs/>
        </w:rPr>
        <w:t>附件6：保密协议</w:t>
      </w:r>
      <w:r>
        <w:rPr>
          <w:rFonts w:hint="eastAsia"/>
        </w:rPr>
        <w:tab/>
      </w:r>
      <w:r>
        <w:rPr>
          <w:rFonts w:hint="eastAsia"/>
        </w:rPr>
        <w:fldChar w:fldCharType="begin"/>
      </w:r>
      <w:r>
        <w:rPr>
          <w:rFonts w:hint="eastAsia"/>
        </w:rPr>
        <w:instrText xml:space="preserve"> </w:instrText>
      </w:r>
      <w:r>
        <w:instrText xml:space="preserve">PAGEREF _Toc198803839 \h</w:instrText>
      </w:r>
      <w:r>
        <w:rPr>
          <w:rFonts w:hint="eastAsia"/>
        </w:rPr>
        <w:instrText xml:space="preserve"> </w:instrText>
      </w:r>
      <w:r>
        <w:rPr>
          <w:rFonts w:hint="eastAsia"/>
        </w:rPr>
        <w:fldChar w:fldCharType="separate"/>
      </w:r>
      <w:r>
        <w:t>117</w:t>
      </w:r>
      <w:r>
        <w:rPr>
          <w:rFonts w:hint="eastAsia"/>
        </w:rPr>
        <w:fldChar w:fldCharType="end"/>
      </w:r>
      <w:r>
        <w:rPr>
          <w:rFonts w:hint="eastAsia"/>
        </w:rPr>
        <w:fldChar w:fldCharType="end"/>
      </w:r>
    </w:p>
    <w:p w14:paraId="6C8E7491">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"_Toc198803840" </w:instrText>
      </w:r>
      <w:r>
        <w:fldChar w:fldCharType="separate"/>
      </w:r>
      <w:r>
        <w:rPr>
          <w:rStyle w:val="71"/>
          <w:rFonts w:hint="eastAsia" w:ascii="宋体" w:hAnsi="宋体" w:eastAsia="宋体" w:cs="宋体"/>
          <w:bCs/>
        </w:rPr>
        <w:t>附件7：安全生产协议书</w:t>
      </w:r>
      <w:r>
        <w:rPr>
          <w:rFonts w:hint="eastAsia"/>
        </w:rPr>
        <w:tab/>
      </w:r>
      <w:r>
        <w:rPr>
          <w:rFonts w:hint="eastAsia"/>
        </w:rPr>
        <w:fldChar w:fldCharType="begin"/>
      </w:r>
      <w:r>
        <w:rPr>
          <w:rFonts w:hint="eastAsia"/>
        </w:rPr>
        <w:instrText xml:space="preserve"> </w:instrText>
      </w:r>
      <w:r>
        <w:instrText xml:space="preserve">PAGEREF _Toc198803840 \h</w:instrText>
      </w:r>
      <w:r>
        <w:rPr>
          <w:rFonts w:hint="eastAsia"/>
        </w:rPr>
        <w:instrText xml:space="preserve"> </w:instrText>
      </w:r>
      <w:r>
        <w:rPr>
          <w:rFonts w:hint="eastAsia"/>
        </w:rPr>
        <w:fldChar w:fldCharType="separate"/>
      </w:r>
      <w:r>
        <w:t>119</w:t>
      </w:r>
      <w:r>
        <w:rPr>
          <w:rFonts w:hint="eastAsia"/>
        </w:rPr>
        <w:fldChar w:fldCharType="end"/>
      </w:r>
      <w:r>
        <w:rPr>
          <w:rFonts w:hint="eastAsia"/>
        </w:rPr>
        <w:fldChar w:fldCharType="end"/>
      </w:r>
    </w:p>
    <w:p w14:paraId="12F82D18">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"_Toc198803841" </w:instrText>
      </w:r>
      <w:r>
        <w:fldChar w:fldCharType="separate"/>
      </w:r>
      <w:r>
        <w:rPr>
          <w:rStyle w:val="71"/>
          <w:rFonts w:hint="eastAsia" w:ascii="宋体" w:hAnsi="宋体" w:eastAsia="宋体" w:cs="宋体"/>
          <w:bCs/>
        </w:rPr>
        <w:t>附件8：工程质量保修书</w:t>
      </w:r>
      <w:r>
        <w:rPr>
          <w:rFonts w:hint="eastAsia"/>
        </w:rPr>
        <w:tab/>
      </w:r>
      <w:r>
        <w:rPr>
          <w:rFonts w:hint="eastAsia"/>
        </w:rPr>
        <w:fldChar w:fldCharType="begin"/>
      </w:r>
      <w:r>
        <w:rPr>
          <w:rFonts w:hint="eastAsia"/>
        </w:rPr>
        <w:instrText xml:space="preserve"> </w:instrText>
      </w:r>
      <w:r>
        <w:instrText xml:space="preserve">PAGEREF _Toc198803841 \h</w:instrText>
      </w:r>
      <w:r>
        <w:rPr>
          <w:rFonts w:hint="eastAsia"/>
        </w:rPr>
        <w:instrText xml:space="preserve"> </w:instrText>
      </w:r>
      <w:r>
        <w:rPr>
          <w:rFonts w:hint="eastAsia"/>
        </w:rPr>
        <w:fldChar w:fldCharType="separate"/>
      </w:r>
      <w:r>
        <w:t>121</w:t>
      </w:r>
      <w:r>
        <w:rPr>
          <w:rFonts w:hint="eastAsia"/>
        </w:rPr>
        <w:fldChar w:fldCharType="end"/>
      </w:r>
      <w:r>
        <w:rPr>
          <w:rFonts w:hint="eastAsia"/>
        </w:rPr>
        <w:fldChar w:fldCharType="end"/>
      </w:r>
    </w:p>
    <w:p w14:paraId="14CDE87F">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"_Toc198803842" </w:instrText>
      </w:r>
      <w:r>
        <w:fldChar w:fldCharType="separate"/>
      </w:r>
      <w:r>
        <w:rPr>
          <w:rStyle w:val="71"/>
          <w:rFonts w:hint="eastAsia" w:ascii="宋体" w:hAnsi="宋体" w:eastAsia="宋体" w:cs="宋体"/>
          <w:bCs/>
        </w:rPr>
        <w:t>附件9：投标报价表</w:t>
      </w:r>
      <w:r>
        <w:rPr>
          <w:rFonts w:hint="eastAsia"/>
        </w:rPr>
        <w:tab/>
      </w:r>
      <w:r>
        <w:rPr>
          <w:rFonts w:hint="eastAsia"/>
        </w:rPr>
        <w:fldChar w:fldCharType="begin"/>
      </w:r>
      <w:r>
        <w:rPr>
          <w:rFonts w:hint="eastAsia"/>
        </w:rPr>
        <w:instrText xml:space="preserve"> </w:instrText>
      </w:r>
      <w:r>
        <w:instrText xml:space="preserve">PAGEREF _Toc198803842 \h</w:instrText>
      </w:r>
      <w:r>
        <w:rPr>
          <w:rFonts w:hint="eastAsia"/>
        </w:rPr>
        <w:instrText xml:space="preserve"> </w:instrText>
      </w:r>
      <w:r>
        <w:rPr>
          <w:rFonts w:hint="eastAsia"/>
        </w:rPr>
        <w:fldChar w:fldCharType="separate"/>
      </w:r>
      <w:r>
        <w:t>123</w:t>
      </w:r>
      <w:r>
        <w:rPr>
          <w:rFonts w:hint="eastAsia"/>
        </w:rPr>
        <w:fldChar w:fldCharType="end"/>
      </w:r>
      <w:r>
        <w:rPr>
          <w:rFonts w:hint="eastAsia"/>
        </w:rPr>
        <w:fldChar w:fldCharType="end"/>
      </w:r>
    </w:p>
    <w:p w14:paraId="25EB2CE0">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"_Toc198803843" </w:instrText>
      </w:r>
      <w:r>
        <w:fldChar w:fldCharType="separate"/>
      </w:r>
      <w:r>
        <w:rPr>
          <w:rStyle w:val="71"/>
          <w:rFonts w:hint="eastAsia" w:ascii="宋体" w:hAnsi="宋体" w:eastAsia="宋体" w:cs="宋体"/>
          <w:bCs/>
        </w:rPr>
        <w:t>附件10：招标文件的修改、答疑或澄清（如有）</w:t>
      </w:r>
      <w:r>
        <w:rPr>
          <w:rFonts w:hint="eastAsia"/>
        </w:rPr>
        <w:tab/>
      </w:r>
      <w:r>
        <w:rPr>
          <w:rFonts w:hint="eastAsia"/>
        </w:rPr>
        <w:fldChar w:fldCharType="begin"/>
      </w:r>
      <w:r>
        <w:rPr>
          <w:rFonts w:hint="eastAsia"/>
        </w:rPr>
        <w:instrText xml:space="preserve"> </w:instrText>
      </w:r>
      <w:r>
        <w:instrText xml:space="preserve">PAGEREF _Toc198803843 \h</w:instrText>
      </w:r>
      <w:r>
        <w:rPr>
          <w:rFonts w:hint="eastAsia"/>
        </w:rPr>
        <w:instrText xml:space="preserve"> </w:instrText>
      </w:r>
      <w:r>
        <w:rPr>
          <w:rFonts w:hint="eastAsia"/>
        </w:rPr>
        <w:fldChar w:fldCharType="separate"/>
      </w:r>
      <w:r>
        <w:t>124</w:t>
      </w:r>
      <w:r>
        <w:rPr>
          <w:rFonts w:hint="eastAsia"/>
        </w:rPr>
        <w:fldChar w:fldCharType="end"/>
      </w:r>
      <w:r>
        <w:rPr>
          <w:rFonts w:hint="eastAsia"/>
        </w:rPr>
        <w:fldChar w:fldCharType="end"/>
      </w:r>
    </w:p>
    <w:p w14:paraId="56E6007D">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"_Toc198803844" </w:instrText>
      </w:r>
      <w:r>
        <w:fldChar w:fldCharType="separate"/>
      </w:r>
      <w:r>
        <w:rPr>
          <w:rStyle w:val="71"/>
          <w:rFonts w:hint="eastAsia" w:ascii="宋体" w:hAnsi="宋体" w:eastAsia="宋体" w:cs="宋体"/>
          <w:bCs/>
        </w:rPr>
        <w:t>附件11：承包人营业执照及资质证书</w:t>
      </w:r>
      <w:r>
        <w:rPr>
          <w:rFonts w:hint="eastAsia"/>
        </w:rPr>
        <w:tab/>
      </w:r>
      <w:r>
        <w:rPr>
          <w:rFonts w:hint="eastAsia"/>
        </w:rPr>
        <w:fldChar w:fldCharType="begin"/>
      </w:r>
      <w:r>
        <w:rPr>
          <w:rFonts w:hint="eastAsia"/>
        </w:rPr>
        <w:instrText xml:space="preserve"> </w:instrText>
      </w:r>
      <w:r>
        <w:instrText xml:space="preserve">PAGEREF _Toc198803844 \h</w:instrText>
      </w:r>
      <w:r>
        <w:rPr>
          <w:rFonts w:hint="eastAsia"/>
        </w:rPr>
        <w:instrText xml:space="preserve"> </w:instrText>
      </w:r>
      <w:r>
        <w:rPr>
          <w:rFonts w:hint="eastAsia"/>
        </w:rPr>
        <w:fldChar w:fldCharType="separate"/>
      </w:r>
      <w:r>
        <w:t>125</w:t>
      </w:r>
      <w:r>
        <w:rPr>
          <w:rFonts w:hint="eastAsia"/>
        </w:rPr>
        <w:fldChar w:fldCharType="end"/>
      </w:r>
      <w:r>
        <w:rPr>
          <w:rFonts w:hint="eastAsia"/>
        </w:rPr>
        <w:fldChar w:fldCharType="end"/>
      </w:r>
    </w:p>
    <w:p w14:paraId="52532E19">
      <w:pPr>
        <w:pStyle w:val="52"/>
        <w:tabs>
          <w:tab w:val="right" w:leader="dot" w:pos="8835"/>
        </w:tabs>
        <w:rPr>
          <w:rFonts w:hint="eastAsia" w:asciiTheme="minorHAnsi" w:hAnsiTheme="minorHAnsi" w:eastAsiaTheme="minorEastAsia" w:cstheme="minorBidi"/>
          <w:sz w:val="22"/>
          <w14:ligatures w14:val="standardContextual"/>
        </w:rPr>
      </w:pPr>
      <w:r>
        <w:fldChar w:fldCharType="begin"/>
      </w:r>
      <w:r>
        <w:instrText xml:space="preserve"> HYPERLINK \l "_Toc198803845" </w:instrText>
      </w:r>
      <w:r>
        <w:fldChar w:fldCharType="separate"/>
      </w:r>
      <w:r>
        <w:rPr>
          <w:rStyle w:val="71"/>
          <w:rFonts w:hint="eastAsia" w:ascii="宋体" w:hAnsi="宋体" w:eastAsia="宋体" w:cs="宋体"/>
          <w:bCs/>
        </w:rPr>
        <w:t>附件12：广州新中轴建设有限公司勘察设计服务管理评价办法（修订）</w:t>
      </w:r>
      <w:r>
        <w:rPr>
          <w:rFonts w:hint="eastAsia"/>
        </w:rPr>
        <w:tab/>
      </w:r>
      <w:r>
        <w:rPr>
          <w:rFonts w:hint="eastAsia"/>
        </w:rPr>
        <w:fldChar w:fldCharType="begin"/>
      </w:r>
      <w:r>
        <w:rPr>
          <w:rFonts w:hint="eastAsia"/>
        </w:rPr>
        <w:instrText xml:space="preserve"> </w:instrText>
      </w:r>
      <w:r>
        <w:instrText xml:space="preserve">PAGEREF _Toc198803845 \h</w:instrText>
      </w:r>
      <w:r>
        <w:rPr>
          <w:rFonts w:hint="eastAsia"/>
        </w:rPr>
        <w:instrText xml:space="preserve"> </w:instrText>
      </w:r>
      <w:r>
        <w:rPr>
          <w:rFonts w:hint="eastAsia"/>
        </w:rPr>
        <w:fldChar w:fldCharType="separate"/>
      </w:r>
      <w:r>
        <w:t>126</w:t>
      </w:r>
      <w:r>
        <w:rPr>
          <w:rFonts w:hint="eastAsia"/>
        </w:rPr>
        <w:fldChar w:fldCharType="end"/>
      </w:r>
      <w:r>
        <w:rPr>
          <w:rFonts w:hint="eastAsia"/>
        </w:rPr>
        <w:fldChar w:fldCharType="end"/>
      </w:r>
    </w:p>
    <w:p w14:paraId="3C01C14F">
      <w:pPr>
        <w:rPr>
          <w:rFonts w:hint="eastAsia" w:ascii="宋体" w:hAnsi="宋体" w:eastAsia="宋体" w:cs="宋体"/>
          <w:sz w:val="24"/>
        </w:rPr>
      </w:pPr>
      <w:r>
        <w:rPr>
          <w:rFonts w:hint="eastAsia" w:ascii="宋体" w:hAnsi="宋体" w:eastAsia="宋体" w:cs="宋体"/>
          <w:lang w:val="zh-CN"/>
        </w:rPr>
        <w:fldChar w:fldCharType="end"/>
      </w:r>
    </w:p>
    <w:p w14:paraId="39730FD1">
      <w:pPr>
        <w:pStyle w:val="403"/>
        <w:spacing w:line="460" w:lineRule="exact"/>
        <w:rPr>
          <w:rFonts w:hint="eastAsia" w:eastAsia="宋体" w:cs="宋体"/>
          <w:szCs w:val="24"/>
        </w:rPr>
        <w:sectPr>
          <w:pgSz w:w="11907" w:h="16840"/>
          <w:pgMar w:top="1417" w:right="1531" w:bottom="1304" w:left="1531" w:header="851" w:footer="992" w:gutter="0"/>
          <w:cols w:space="720" w:num="1"/>
          <w:docGrid w:linePitch="312" w:charSpace="0"/>
        </w:sectPr>
      </w:pPr>
      <w:bookmarkStart w:id="10" w:name="_Toc528255588"/>
      <w:bookmarkStart w:id="11" w:name="_Toc68594742"/>
      <w:bookmarkStart w:id="12" w:name="_Toc476860352"/>
      <w:bookmarkStart w:id="13" w:name="_Toc411736141"/>
      <w:bookmarkStart w:id="14" w:name="_Toc411736417"/>
    </w:p>
    <w:p w14:paraId="68F41F35">
      <w:pPr>
        <w:pStyle w:val="403"/>
        <w:spacing w:before="360" w:beforeLines="150" w:after="240" w:afterLines="100" w:line="460" w:lineRule="exact"/>
        <w:jc w:val="center"/>
        <w:outlineLvl w:val="0"/>
        <w:rPr>
          <w:rFonts w:hint="eastAsia" w:eastAsia="宋体" w:cs="宋体"/>
          <w:b/>
          <w:bCs/>
          <w:sz w:val="44"/>
          <w:szCs w:val="44"/>
        </w:rPr>
      </w:pPr>
      <w:bookmarkStart w:id="15" w:name="_Toc83220589"/>
      <w:bookmarkStart w:id="16" w:name="_Toc25190"/>
      <w:bookmarkStart w:id="17" w:name="_Toc176268718"/>
      <w:bookmarkStart w:id="18" w:name="_Toc198803785"/>
      <w:r>
        <w:rPr>
          <w:rFonts w:hint="eastAsia" w:eastAsia="宋体" w:cs="宋体"/>
          <w:b/>
          <w:bCs/>
          <w:sz w:val="44"/>
          <w:szCs w:val="44"/>
        </w:rPr>
        <w:t>第一部分  合同协议书</w:t>
      </w:r>
      <w:bookmarkEnd w:id="10"/>
      <w:bookmarkEnd w:id="11"/>
      <w:bookmarkEnd w:id="12"/>
      <w:bookmarkEnd w:id="13"/>
      <w:bookmarkEnd w:id="14"/>
      <w:bookmarkEnd w:id="15"/>
      <w:bookmarkEnd w:id="16"/>
      <w:bookmarkEnd w:id="17"/>
      <w:bookmarkEnd w:id="18"/>
    </w:p>
    <w:p w14:paraId="1933EA56">
      <w:pPr>
        <w:pStyle w:val="403"/>
        <w:spacing w:before="480" w:beforeLines="200" w:after="240" w:afterLines="100" w:line="460" w:lineRule="exact"/>
        <w:ind w:firstLine="480" w:firstLineChars="200"/>
        <w:rPr>
          <w:rFonts w:hint="eastAsia" w:eastAsia="宋体" w:cs="宋体"/>
          <w:u w:val="single"/>
        </w:rPr>
      </w:pPr>
      <w:r>
        <w:rPr>
          <w:rFonts w:hint="eastAsia" w:eastAsia="宋体" w:cs="宋体"/>
        </w:rPr>
        <w:t>依照《中华人民共和国民法典》、《中华人民共和国建筑法》、《中华人民共和国招投标法》及其他有关法律、行政法规、部门规章、地方性法规和规章，遵循平等、自愿、公平和诚实信用的原则，发包人、承包人双方就海心沙体验中心项目智能展示工程（以下简称“本项目”或“本工程”）协商一致，订立本合同。</w:t>
      </w:r>
    </w:p>
    <w:p w14:paraId="0E36160A">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1、</w:t>
      </w:r>
      <w:r>
        <w:rPr>
          <w:rFonts w:hint="eastAsia" w:eastAsia="宋体" w:cs="宋体"/>
          <w:b/>
          <w:bCs/>
          <w:snapToGrid w:val="0"/>
          <w:kern w:val="0"/>
        </w:rPr>
        <w:t>项目概况及规模</w:t>
      </w:r>
    </w:p>
    <w:p w14:paraId="515AB0F2">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【以招标文件为准】</w:t>
      </w:r>
    </w:p>
    <w:p w14:paraId="12428338">
      <w:pPr>
        <w:pStyle w:val="403"/>
        <w:spacing w:before="240" w:beforeLines="100" w:after="120" w:afterLines="50"/>
        <w:ind w:firstLine="482" w:firstLineChars="200"/>
        <w:rPr>
          <w:rFonts w:hint="eastAsia" w:eastAsia="宋体" w:cs="宋体"/>
          <w:b/>
          <w:bCs/>
        </w:rPr>
      </w:pPr>
      <w:bookmarkStart w:id="19" w:name="_Toc20877"/>
      <w:bookmarkStart w:id="20" w:name="_Toc176192714"/>
      <w:bookmarkStart w:id="21" w:name="_Toc298413075"/>
      <w:bookmarkStart w:id="22" w:name="_Toc298406488"/>
      <w:bookmarkStart w:id="23" w:name="_Toc396662263"/>
      <w:bookmarkStart w:id="24" w:name="_Toc23495"/>
      <w:bookmarkStart w:id="25" w:name="_Toc307908845"/>
      <w:bookmarkStart w:id="26" w:name="_Toc397364812"/>
      <w:r>
        <w:rPr>
          <w:rFonts w:hint="eastAsia" w:eastAsia="宋体" w:cs="宋体"/>
          <w:b/>
          <w:bCs/>
        </w:rPr>
        <w:t>2、承包范围、内容</w:t>
      </w:r>
      <w:bookmarkEnd w:id="19"/>
      <w:bookmarkEnd w:id="20"/>
      <w:bookmarkEnd w:id="21"/>
      <w:bookmarkEnd w:id="22"/>
      <w:bookmarkEnd w:id="23"/>
      <w:bookmarkEnd w:id="24"/>
      <w:bookmarkEnd w:id="25"/>
      <w:bookmarkEnd w:id="26"/>
    </w:p>
    <w:p w14:paraId="3A035A06">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2.1工程内容与承包范围</w:t>
      </w:r>
    </w:p>
    <w:p w14:paraId="1F5AF225">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【以招标文件为准】</w:t>
      </w:r>
    </w:p>
    <w:p w14:paraId="5EF44F94">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具体详见本合同附件《任务书及建设标准》。</w:t>
      </w:r>
    </w:p>
    <w:p w14:paraId="50AB2E9F">
      <w:pPr>
        <w:adjustRightInd w:val="0"/>
        <w:spacing w:line="440" w:lineRule="exact"/>
        <w:ind w:right="11" w:firstLine="600" w:firstLineChars="250"/>
        <w:rPr>
          <w:rFonts w:hint="eastAsia" w:ascii="宋体" w:hAnsi="宋体" w:eastAsia="宋体" w:cs="宋体"/>
          <w:sz w:val="24"/>
        </w:rPr>
      </w:pPr>
      <w:r>
        <w:rPr>
          <w:rFonts w:hint="eastAsia" w:ascii="宋体" w:hAnsi="宋体" w:eastAsia="宋体" w:cs="宋体"/>
          <w:sz w:val="24"/>
        </w:rPr>
        <w:t>发包人有权根据实际情况对建设内容进行调整；发包人减少的项目无论有无替代，发包人都不予补偿。</w:t>
      </w:r>
    </w:p>
    <w:p w14:paraId="0BF26C13">
      <w:pPr>
        <w:pStyle w:val="403"/>
        <w:spacing w:before="240" w:beforeLines="100" w:after="120" w:afterLines="50" w:line="460" w:lineRule="exact"/>
        <w:ind w:firstLine="482" w:firstLineChars="200"/>
        <w:rPr>
          <w:rFonts w:hint="eastAsia" w:eastAsia="宋体" w:cs="宋体"/>
          <w:b/>
          <w:bCs/>
        </w:rPr>
      </w:pPr>
      <w:bookmarkStart w:id="27" w:name="_Toc23467"/>
      <w:bookmarkStart w:id="28" w:name="_Toc176192715"/>
      <w:bookmarkStart w:id="29" w:name="_Toc397364813"/>
      <w:bookmarkStart w:id="30" w:name="_Toc396662267"/>
      <w:bookmarkStart w:id="31" w:name="_Toc29015"/>
      <w:r>
        <w:rPr>
          <w:rFonts w:hint="eastAsia" w:eastAsia="宋体" w:cs="宋体"/>
          <w:b/>
          <w:bCs/>
        </w:rPr>
        <w:t>3、合同工期</w:t>
      </w:r>
      <w:bookmarkEnd w:id="27"/>
      <w:bookmarkEnd w:id="28"/>
      <w:bookmarkEnd w:id="29"/>
      <w:bookmarkEnd w:id="30"/>
      <w:bookmarkEnd w:id="31"/>
    </w:p>
    <w:p w14:paraId="6928405B">
      <w:pPr>
        <w:tabs>
          <w:tab w:val="left" w:pos="540"/>
        </w:tabs>
        <w:spacing w:line="440" w:lineRule="exact"/>
        <w:ind w:firstLine="540" w:firstLineChars="225"/>
        <w:rPr>
          <w:rFonts w:hint="eastAsia" w:ascii="宋体" w:hAnsi="宋体" w:eastAsia="宋体" w:cs="宋体"/>
          <w:sz w:val="24"/>
          <w:szCs w:val="20"/>
        </w:rPr>
      </w:pPr>
      <w:r>
        <w:rPr>
          <w:rFonts w:hint="eastAsia" w:ascii="宋体" w:hAnsi="宋体" w:eastAsia="宋体" w:cs="宋体"/>
          <w:sz w:val="24"/>
          <w:szCs w:val="20"/>
        </w:rPr>
        <w:t>3.1计划总工期：勘察设计采购施工总工期为</w:t>
      </w:r>
      <w:r>
        <w:rPr>
          <w:rFonts w:hint="eastAsia" w:ascii="宋体" w:hAnsi="宋体" w:eastAsia="宋体" w:cs="宋体"/>
          <w:sz w:val="24"/>
          <w:szCs w:val="20"/>
          <w:u w:val="single"/>
        </w:rPr>
        <w:t xml:space="preserve">  </w:t>
      </w:r>
      <w:r>
        <w:rPr>
          <w:rFonts w:hint="eastAsia" w:ascii="宋体" w:hAnsi="宋体" w:eastAsia="宋体" w:cs="宋体"/>
          <w:sz w:val="24"/>
          <w:szCs w:val="20"/>
        </w:rPr>
        <w:t>个日历天（以中标通知书发出之日起计）。</w:t>
      </w:r>
    </w:p>
    <w:p w14:paraId="33A90180">
      <w:pPr>
        <w:pStyle w:val="403"/>
        <w:spacing w:before="240" w:beforeLines="100" w:after="120" w:afterLines="50" w:line="460" w:lineRule="exact"/>
        <w:ind w:firstLine="482" w:firstLineChars="200"/>
        <w:rPr>
          <w:rFonts w:hint="eastAsia" w:eastAsia="宋体" w:cs="宋体"/>
          <w:b/>
          <w:bCs/>
        </w:rPr>
      </w:pPr>
      <w:bookmarkStart w:id="32" w:name="_Toc12281"/>
      <w:bookmarkStart w:id="33" w:name="_Toc396662271"/>
      <w:bookmarkStart w:id="34" w:name="_Toc14036"/>
      <w:bookmarkStart w:id="35" w:name="_Toc397364814"/>
      <w:bookmarkStart w:id="36" w:name="_Toc176192716"/>
      <w:r>
        <w:rPr>
          <w:rFonts w:hint="eastAsia" w:eastAsia="宋体" w:cs="宋体"/>
          <w:b/>
          <w:bCs/>
        </w:rPr>
        <w:t>4、质量</w:t>
      </w:r>
      <w:bookmarkEnd w:id="32"/>
      <w:bookmarkEnd w:id="33"/>
      <w:bookmarkEnd w:id="34"/>
      <w:bookmarkEnd w:id="35"/>
      <w:r>
        <w:rPr>
          <w:rFonts w:hint="eastAsia" w:eastAsia="宋体" w:cs="宋体"/>
          <w:b/>
          <w:bCs/>
        </w:rPr>
        <w:t>要求</w:t>
      </w:r>
      <w:bookmarkEnd w:id="36"/>
    </w:p>
    <w:p w14:paraId="49AD1403">
      <w:pPr>
        <w:pStyle w:val="403"/>
        <w:spacing w:line="460" w:lineRule="exact"/>
        <w:ind w:firstLine="480" w:firstLineChars="200"/>
        <w:rPr>
          <w:rFonts w:hint="eastAsia" w:eastAsia="宋体" w:cs="宋体"/>
          <w:snapToGrid w:val="0"/>
        </w:rPr>
      </w:pPr>
      <w:r>
        <w:rPr>
          <w:rFonts w:hint="eastAsia" w:eastAsia="宋体" w:cs="宋体"/>
          <w:snapToGrid w:val="0"/>
        </w:rPr>
        <w:t>4.1勘察、设计质量要求</w:t>
      </w:r>
    </w:p>
    <w:p w14:paraId="2C797994">
      <w:pPr>
        <w:tabs>
          <w:tab w:val="left" w:pos="540"/>
        </w:tabs>
        <w:spacing w:line="440" w:lineRule="exact"/>
        <w:ind w:firstLine="540" w:firstLineChars="225"/>
        <w:rPr>
          <w:rFonts w:hint="eastAsia" w:ascii="宋体" w:hAnsi="宋体" w:eastAsia="宋体" w:cs="宋体"/>
          <w:sz w:val="24"/>
          <w:szCs w:val="20"/>
        </w:rPr>
      </w:pPr>
      <w:r>
        <w:rPr>
          <w:rFonts w:hint="eastAsia" w:ascii="宋体" w:hAnsi="宋体" w:eastAsia="宋体" w:cs="宋体"/>
          <w:sz w:val="24"/>
          <w:szCs w:val="20"/>
        </w:rPr>
        <w:t>符合国家及地方有关工程勘察设计管理法规和规章，达到行业相关规范技术标准等要求。如在项目实施过程中遇国家或地方颁布新的标准、规定、依据，按新标准、规定、依据执行。如遇国家和地方无相应规范、标准、依据的，由承包方提出建议，由发包方报送有关主管部门审查确认所采用的标准、规定、依据或其解释。其他</w:t>
      </w:r>
      <w:r>
        <w:rPr>
          <w:rFonts w:hint="eastAsia" w:ascii="宋体" w:hAnsi="宋体" w:eastAsia="宋体" w:cs="宋体"/>
          <w:snapToGrid w:val="0"/>
          <w:kern w:val="0"/>
          <w:sz w:val="24"/>
        </w:rPr>
        <w:t>要求</w:t>
      </w:r>
      <w:r>
        <w:rPr>
          <w:rFonts w:hint="eastAsia" w:ascii="宋体" w:hAnsi="宋体" w:eastAsia="宋体" w:cs="宋体"/>
          <w:sz w:val="24"/>
          <w:szCs w:val="20"/>
        </w:rPr>
        <w:t>详见</w:t>
      </w:r>
      <w:r>
        <w:rPr>
          <w:rFonts w:hint="eastAsia" w:ascii="宋体" w:hAnsi="宋体" w:eastAsia="宋体" w:cs="宋体"/>
          <w:sz w:val="24"/>
        </w:rPr>
        <w:t>本合同附件</w:t>
      </w:r>
      <w:r>
        <w:rPr>
          <w:rFonts w:hint="eastAsia" w:ascii="宋体" w:hAnsi="宋体" w:eastAsia="宋体" w:cs="宋体"/>
          <w:sz w:val="24"/>
          <w:szCs w:val="20"/>
        </w:rPr>
        <w:t>《任务书及建设标准》。</w:t>
      </w:r>
    </w:p>
    <w:p w14:paraId="31782761">
      <w:pPr>
        <w:pStyle w:val="403"/>
        <w:spacing w:line="460" w:lineRule="exact"/>
        <w:ind w:firstLine="480" w:firstLineChars="200"/>
        <w:rPr>
          <w:rFonts w:hint="eastAsia" w:eastAsia="宋体" w:cs="宋体"/>
          <w:snapToGrid w:val="0"/>
        </w:rPr>
      </w:pPr>
      <w:r>
        <w:rPr>
          <w:rFonts w:hint="eastAsia" w:eastAsia="宋体" w:cs="宋体"/>
          <w:snapToGrid w:val="0"/>
        </w:rPr>
        <w:t>4.2采购、施工质量要求</w:t>
      </w:r>
    </w:p>
    <w:p w14:paraId="4BFCA7DF">
      <w:pPr>
        <w:adjustRightInd w:val="0"/>
        <w:snapToGrid w:val="0"/>
        <w:spacing w:line="440" w:lineRule="exact"/>
        <w:ind w:right="11" w:firstLine="480" w:firstLineChars="200"/>
        <w:rPr>
          <w:rFonts w:eastAsia="宋体" w:cs="宋体"/>
          <w:snapToGrid w:val="0"/>
        </w:rPr>
      </w:pPr>
      <w:bookmarkStart w:id="37" w:name="_Toc26754"/>
      <w:bookmarkStart w:id="38" w:name="_Toc24520"/>
      <w:bookmarkStart w:id="39" w:name="_Toc396662273"/>
      <w:bookmarkStart w:id="40" w:name="_Toc397364816"/>
      <w:r>
        <w:rPr>
          <w:rFonts w:hint="eastAsia" w:ascii="宋体" w:hAnsi="宋体" w:eastAsia="宋体" w:cs="宋体"/>
          <w:snapToGrid w:val="0"/>
          <w:kern w:val="0"/>
          <w:sz w:val="24"/>
        </w:rPr>
        <w:t>符合设计图纸要求和国家、省、市相关法律法规规定要求及行业颁发的工程质量合格或以上标准，一次验收合格。</w:t>
      </w:r>
      <w:bookmarkEnd w:id="37"/>
      <w:bookmarkEnd w:id="38"/>
      <w:bookmarkEnd w:id="39"/>
      <w:bookmarkEnd w:id="40"/>
      <w:r>
        <w:rPr>
          <w:rFonts w:hint="eastAsia" w:ascii="宋体" w:hAnsi="宋体" w:eastAsia="宋体" w:cs="宋体"/>
          <w:sz w:val="24"/>
          <w:szCs w:val="20"/>
        </w:rPr>
        <w:t>其他</w:t>
      </w:r>
      <w:r>
        <w:rPr>
          <w:rFonts w:hint="eastAsia" w:ascii="宋体" w:hAnsi="宋体" w:eastAsia="宋体" w:cs="宋体"/>
          <w:snapToGrid w:val="0"/>
          <w:kern w:val="0"/>
          <w:sz w:val="24"/>
        </w:rPr>
        <w:t>要求</w:t>
      </w:r>
      <w:r>
        <w:rPr>
          <w:rFonts w:hint="eastAsia" w:ascii="宋体" w:hAnsi="宋体" w:eastAsia="宋体" w:cs="宋体"/>
          <w:sz w:val="24"/>
          <w:szCs w:val="20"/>
        </w:rPr>
        <w:t>详见</w:t>
      </w:r>
      <w:r>
        <w:rPr>
          <w:rFonts w:hint="eastAsia" w:ascii="宋体" w:hAnsi="宋体" w:eastAsia="宋体" w:cs="宋体"/>
          <w:sz w:val="24"/>
        </w:rPr>
        <w:t>本合同附件</w:t>
      </w:r>
      <w:r>
        <w:rPr>
          <w:rFonts w:hint="eastAsia" w:ascii="宋体" w:hAnsi="宋体" w:eastAsia="宋体" w:cs="宋体"/>
          <w:sz w:val="24"/>
          <w:szCs w:val="20"/>
        </w:rPr>
        <w:t>《任务书及建设标准》。</w:t>
      </w:r>
    </w:p>
    <w:p w14:paraId="63EBC650">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5、投资控制</w:t>
      </w:r>
    </w:p>
    <w:p w14:paraId="6DE6337F">
      <w:pPr>
        <w:pStyle w:val="403"/>
        <w:spacing w:line="460" w:lineRule="exact"/>
        <w:ind w:firstLine="480" w:firstLineChars="200"/>
        <w:rPr>
          <w:rFonts w:hint="eastAsia" w:eastAsia="宋体" w:cs="宋体"/>
          <w:snapToGrid w:val="0"/>
        </w:rPr>
      </w:pPr>
      <w:r>
        <w:rPr>
          <w:rFonts w:hint="eastAsia" w:eastAsia="宋体" w:cs="宋体"/>
          <w:snapToGrid w:val="0"/>
        </w:rPr>
        <w:t>承包人在不降低本合同附件《任务书及建设标准》中的主要设计指标的前提下进行设计，严禁擅自扩大规模或擅自提高标准。施工图以批复概算中的建安工程费为上限进行设计，施工图预算由承包人编制，施工图预算不得超过批复概算中的建安工程费，并由承包人报送发包人、项目业主单位（如需）审定。上述限额实际实施时如有调整（如应发包人或项目业主单位要求方案发生重大变化等原因），以发包人另行书面通知为准；承包人实际实施超出已约定限额的，发包人、项目业主单位有权不予计量与支付。</w:t>
      </w:r>
    </w:p>
    <w:p w14:paraId="2FF9A2FC">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6、职业健康安全管理目标和环境管理目标</w:t>
      </w:r>
    </w:p>
    <w:p w14:paraId="47B736BD">
      <w:pPr>
        <w:pStyle w:val="403"/>
        <w:spacing w:line="460" w:lineRule="exact"/>
        <w:ind w:firstLine="480" w:firstLineChars="200"/>
        <w:rPr>
          <w:rFonts w:hint="eastAsia" w:eastAsia="宋体" w:cs="宋体"/>
          <w:snapToGrid w:val="0"/>
        </w:rPr>
      </w:pPr>
      <w:r>
        <w:rPr>
          <w:rFonts w:hint="eastAsia" w:eastAsia="宋体" w:cs="宋体"/>
          <w:snapToGrid w:val="0"/>
        </w:rPr>
        <w:t>（1）职业健康安全管理目标：确保责任事故死亡率为零，杜绝发生一般事故等级及以上的伤亡事故且工伤责任事故死亡人数为零，工伤频率控制在广州市建筑施工安全管理法规规定的指标要求范围内，确保现场安全文明施工到达广州市相关规定要求。</w:t>
      </w:r>
    </w:p>
    <w:p w14:paraId="26185CF4">
      <w:pPr>
        <w:pStyle w:val="403"/>
        <w:spacing w:line="460" w:lineRule="exact"/>
        <w:ind w:firstLine="480" w:firstLineChars="200"/>
        <w:rPr>
          <w:rFonts w:hint="eastAsia" w:eastAsia="宋体" w:cs="宋体"/>
          <w:snapToGrid w:val="0"/>
        </w:rPr>
      </w:pPr>
      <w:r>
        <w:rPr>
          <w:rFonts w:hint="eastAsia" w:eastAsia="宋体" w:cs="宋体"/>
          <w:snapToGrid w:val="0"/>
        </w:rPr>
        <w:t>（2）环境管理目标：</w:t>
      </w:r>
      <w:r>
        <w:rPr>
          <w:rFonts w:hint="eastAsia" w:eastAsia="宋体" w:cs="宋体"/>
          <w:snapToGrid w:val="0"/>
          <w:kern w:val="0"/>
        </w:rPr>
        <w:t>严格执行</w:t>
      </w:r>
      <w:r>
        <w:rPr>
          <w:rFonts w:hint="eastAsia" w:eastAsia="宋体" w:cs="宋体"/>
          <w:bCs/>
          <w:snapToGrid w:val="0"/>
          <w:kern w:val="0"/>
        </w:rPr>
        <w:t>《广州市建设工程现场文明施工管理办法》（穗建质[2008]937号）、《广州市建设工程文明施工管理规定》（广州市人民政府令第62号）、《广州市城乡建设委员会关于印发广州市加强建筑工地环保管理工作方案的通知》（穗建质[2014]754号）、《广州市住房和城乡建设委员会关于进一步完善广州市建设工程施工围蔽管理要求的通知》（穗建质〔2015〕1347号）、《广州市住房和城乡建设局等9部门关于印发广州市建设工程绿色施工围蔽指导图集（V2.0版）的通知》（穗建质〔2020〕1号）、《广州市提升建设工程安全文明施工管理水平的工作指引》（穗建质[2017]815号）、《广州市住房和城乡建设局等8部门关于印发广州市建设工程扬尘防治“6个100%”管理标准图集（V2.0版）的通知》等相关现行文件要求。</w:t>
      </w:r>
    </w:p>
    <w:p w14:paraId="6A06D4A5">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7、合同价款及支付</w:t>
      </w:r>
    </w:p>
    <w:p w14:paraId="7F6622F0">
      <w:pPr>
        <w:pStyle w:val="403"/>
        <w:spacing w:line="460" w:lineRule="exact"/>
        <w:ind w:firstLine="480" w:firstLineChars="200"/>
        <w:rPr>
          <w:rFonts w:hint="eastAsia" w:eastAsia="宋体" w:cs="宋体"/>
          <w:snapToGrid w:val="0"/>
        </w:rPr>
      </w:pPr>
      <w:r>
        <w:rPr>
          <w:rFonts w:hint="eastAsia" w:eastAsia="宋体"/>
        </w:rPr>
        <w:t>7.1</w:t>
      </w:r>
      <w:r>
        <w:rPr>
          <w:rFonts w:hint="eastAsia" w:eastAsia="宋体" w:cs="宋体"/>
          <w:bCs/>
          <w:snapToGrid w:val="0"/>
          <w:kern w:val="0"/>
        </w:rPr>
        <w:t>本合同含税总价暂定为</w:t>
      </w:r>
      <w:r>
        <w:rPr>
          <w:rFonts w:hint="eastAsia" w:eastAsia="宋体" w:cs="宋体"/>
        </w:rPr>
        <w:t>¥</w:t>
      </w:r>
      <w:r>
        <w:rPr>
          <w:rFonts w:hint="eastAsia" w:eastAsia="宋体" w:cs="宋体"/>
          <w:b/>
          <w:bCs/>
          <w:snapToGrid w:val="0"/>
          <w:kern w:val="0"/>
          <w:u w:val="single"/>
        </w:rPr>
        <w:t xml:space="preserve">             </w:t>
      </w:r>
      <w:r>
        <w:rPr>
          <w:rFonts w:hint="eastAsia" w:eastAsia="宋体" w:cs="宋体"/>
          <w:snapToGrid w:val="0"/>
          <w:kern w:val="0"/>
        </w:rPr>
        <w:t>（大写人民币</w:t>
      </w:r>
      <w:r>
        <w:rPr>
          <w:rFonts w:hint="eastAsia" w:eastAsia="宋体" w:cs="宋体"/>
          <w:b/>
          <w:bCs/>
          <w:snapToGrid w:val="0"/>
          <w:kern w:val="0"/>
          <w:u w:val="single"/>
        </w:rPr>
        <w:t xml:space="preserve">                </w:t>
      </w:r>
      <w:r>
        <w:rPr>
          <w:rFonts w:hint="eastAsia" w:eastAsia="宋体" w:cs="宋体"/>
          <w:snapToGrid w:val="0"/>
          <w:kern w:val="0"/>
        </w:rPr>
        <w:t>）</w:t>
      </w:r>
      <w:r>
        <w:rPr>
          <w:rFonts w:hint="eastAsia" w:eastAsia="宋体"/>
        </w:rPr>
        <w:t>，</w:t>
      </w:r>
      <w:r>
        <w:rPr>
          <w:rFonts w:hint="eastAsia" w:eastAsia="宋体" w:cs="宋体"/>
          <w:snapToGrid w:val="0"/>
        </w:rPr>
        <w:t>其中：</w:t>
      </w:r>
    </w:p>
    <w:p w14:paraId="02C11D92">
      <w:pPr>
        <w:pStyle w:val="403"/>
        <w:spacing w:line="460" w:lineRule="exact"/>
        <w:ind w:firstLine="480" w:firstLineChars="200"/>
        <w:rPr>
          <w:rFonts w:hint="eastAsia" w:eastAsia="宋体" w:cs="宋体"/>
          <w:snapToGrid w:val="0"/>
        </w:rPr>
      </w:pPr>
      <w:r>
        <w:rPr>
          <w:rFonts w:hint="eastAsia" w:eastAsia="宋体" w:cs="宋体"/>
          <w:snapToGrid w:val="0"/>
        </w:rPr>
        <w:t>（1）勘察费含税价暂定为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，其中不含税金额为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，税率</w:t>
      </w:r>
      <w:r>
        <w:rPr>
          <w:rFonts w:hint="eastAsia" w:eastAsia="宋体" w:cs="宋体"/>
          <w:snapToGrid w:val="0"/>
          <w:kern w:val="0"/>
          <w:u w:val="single"/>
        </w:rPr>
        <w:t xml:space="preserve">   </w:t>
      </w:r>
      <w:r>
        <w:rPr>
          <w:rFonts w:hint="eastAsia" w:eastAsia="宋体" w:cs="宋体"/>
          <w:snapToGrid w:val="0"/>
          <w:kern w:val="0"/>
        </w:rPr>
        <w:t>%，税额</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w:t>
      </w:r>
    </w:p>
    <w:p w14:paraId="1C72F80C">
      <w:pPr>
        <w:pStyle w:val="403"/>
        <w:spacing w:line="460" w:lineRule="exact"/>
        <w:ind w:firstLine="480" w:firstLineChars="200"/>
        <w:rPr>
          <w:rFonts w:hint="eastAsia" w:eastAsia="宋体" w:cs="宋体"/>
          <w:snapToGrid w:val="0"/>
        </w:rPr>
      </w:pPr>
      <w:r>
        <w:rPr>
          <w:rFonts w:hint="eastAsia" w:eastAsia="宋体" w:cs="宋体"/>
          <w:snapToGrid w:val="0"/>
        </w:rPr>
        <w:t>（2）设计费（包括设计及相关服务费）含税价暂定为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，其中不含税金额为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，税率</w:t>
      </w:r>
      <w:r>
        <w:rPr>
          <w:rFonts w:hint="eastAsia" w:eastAsia="宋体" w:cs="宋体"/>
          <w:snapToGrid w:val="0"/>
          <w:kern w:val="0"/>
          <w:u w:val="single"/>
        </w:rPr>
        <w:t xml:space="preserve">   </w:t>
      </w:r>
      <w:r>
        <w:rPr>
          <w:rFonts w:hint="eastAsia" w:eastAsia="宋体" w:cs="宋体"/>
          <w:snapToGrid w:val="0"/>
          <w:kern w:val="0"/>
        </w:rPr>
        <w:t>%，税额</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w:t>
      </w:r>
    </w:p>
    <w:p w14:paraId="0BBD95D8">
      <w:pPr>
        <w:pStyle w:val="403"/>
        <w:spacing w:line="460" w:lineRule="exact"/>
        <w:ind w:firstLine="480" w:firstLineChars="200"/>
        <w:rPr>
          <w:rFonts w:hint="eastAsia" w:eastAsia="宋体" w:cs="宋体"/>
          <w:snapToGrid w:val="0"/>
        </w:rPr>
      </w:pPr>
      <w:r>
        <w:rPr>
          <w:rFonts w:hint="eastAsia" w:eastAsia="宋体" w:cs="宋体"/>
          <w:snapToGrid w:val="0"/>
        </w:rPr>
        <w:t>（3）</w:t>
      </w:r>
      <w:bookmarkStart w:id="41" w:name="_Hlk184138375"/>
      <w:r>
        <w:rPr>
          <w:rFonts w:hint="eastAsia" w:eastAsia="宋体" w:cs="宋体"/>
          <w:snapToGrid w:val="0"/>
        </w:rPr>
        <w:t>建安工程费</w:t>
      </w:r>
      <w:bookmarkEnd w:id="41"/>
      <w:r>
        <w:rPr>
          <w:rFonts w:hint="eastAsia" w:eastAsia="宋体" w:cs="宋体"/>
          <w:snapToGrid w:val="0"/>
        </w:rPr>
        <w:t>（以下简称“工程费”或“施工费”）含税价暂定为</w:t>
      </w:r>
      <w:r>
        <w:rPr>
          <w:rFonts w:hint="eastAsia" w:eastAsia="宋体" w:cs="宋体"/>
        </w:rPr>
        <w:t>¥</w:t>
      </w:r>
      <w:r>
        <w:rPr>
          <w:rFonts w:hint="eastAsia" w:eastAsia="宋体" w:cs="宋体"/>
          <w:b/>
          <w:bCs/>
          <w:snapToGrid w:val="0"/>
          <w:kern w:val="0"/>
          <w:u w:val="single"/>
        </w:rPr>
        <w:t xml:space="preserve">         </w:t>
      </w:r>
      <w:r>
        <w:rPr>
          <w:rFonts w:hint="eastAsia" w:eastAsia="宋体" w:cs="宋体"/>
          <w:snapToGrid w:val="0"/>
        </w:rPr>
        <w:t>，</w:t>
      </w:r>
      <w:r>
        <w:rPr>
          <w:rFonts w:hint="eastAsia" w:eastAsia="宋体" w:cs="宋体"/>
          <w:snapToGrid w:val="0"/>
          <w:kern w:val="0"/>
        </w:rPr>
        <w:t>其中不含税金额为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，税率</w:t>
      </w:r>
      <w:r>
        <w:rPr>
          <w:rFonts w:hint="eastAsia" w:eastAsia="宋体" w:cs="宋体"/>
          <w:snapToGrid w:val="0"/>
          <w:kern w:val="0"/>
          <w:u w:val="single"/>
        </w:rPr>
        <w:t xml:space="preserve">   </w:t>
      </w:r>
      <w:r>
        <w:rPr>
          <w:rFonts w:hint="eastAsia" w:eastAsia="宋体" w:cs="宋体"/>
          <w:snapToGrid w:val="0"/>
          <w:kern w:val="0"/>
        </w:rPr>
        <w:t>%，税额</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w:t>
      </w:r>
    </w:p>
    <w:p w14:paraId="1438965A">
      <w:pPr>
        <w:pStyle w:val="403"/>
        <w:spacing w:line="460" w:lineRule="exact"/>
        <w:ind w:right="11" w:firstLine="480" w:firstLineChars="200"/>
        <w:rPr>
          <w:rFonts w:hint="eastAsia" w:eastAsia="宋体"/>
        </w:rPr>
      </w:pPr>
      <w:r>
        <w:rPr>
          <w:rFonts w:hint="eastAsia" w:eastAsia="宋体"/>
        </w:rPr>
        <w:t>7.2本合同以人民币为报价和结算货币，除非发包人、承包人双方另有约定。</w:t>
      </w:r>
    </w:p>
    <w:p w14:paraId="48750830">
      <w:pPr>
        <w:pStyle w:val="403"/>
        <w:spacing w:line="460" w:lineRule="exact"/>
        <w:ind w:right="11" w:firstLine="480" w:firstLineChars="200"/>
        <w:rPr>
          <w:rFonts w:hint="eastAsia" w:eastAsia="宋体"/>
        </w:rPr>
      </w:pPr>
      <w:r>
        <w:rPr>
          <w:rFonts w:hint="eastAsia" w:eastAsia="宋体"/>
        </w:rPr>
        <w:t>7.3合同价款的支付</w:t>
      </w:r>
    </w:p>
    <w:p w14:paraId="234AAD4A">
      <w:pPr>
        <w:pStyle w:val="403"/>
        <w:spacing w:line="460" w:lineRule="exact"/>
        <w:ind w:right="11" w:firstLine="480" w:firstLineChars="200"/>
        <w:rPr>
          <w:rFonts w:hint="eastAsia" w:eastAsia="宋体"/>
        </w:rPr>
      </w:pPr>
      <w:r>
        <w:rPr>
          <w:rFonts w:hint="eastAsia" w:eastAsia="宋体"/>
        </w:rPr>
        <w:t>本合同价款由项目业主单位支付，后续由甲方、乙方、项目业主单位三方签订补充合同后，由乙方向甲方提交完整的合同请款资料（包括但不限于相关支付依据及合法等值的增值税专用发票；发票抬头应为项目业主单位），甲方于15个工作日内完成审核并向项目业主单位申报支付，项目业主单位对请款资料进行审定后直接支付给乙方。</w:t>
      </w:r>
    </w:p>
    <w:p w14:paraId="392F8EF0">
      <w:pPr>
        <w:pStyle w:val="403"/>
        <w:spacing w:line="460" w:lineRule="exact"/>
        <w:ind w:right="11" w:firstLine="480" w:firstLineChars="200"/>
        <w:rPr>
          <w:rFonts w:hint="eastAsia" w:eastAsia="宋体"/>
        </w:rPr>
      </w:pPr>
      <w:r>
        <w:rPr>
          <w:rFonts w:hint="eastAsia" w:eastAsia="宋体"/>
        </w:rPr>
        <w:t>承包人如为联合体，由联合体主办方统一办理合同付款申请，项目业主单位将统一支付合同价款至主办方银行账户，发包人及项目业主单位不因联合体之间的费用分摊方式及纠纷承担责任。</w:t>
      </w:r>
    </w:p>
    <w:p w14:paraId="07C92BBB">
      <w:pPr>
        <w:pStyle w:val="403"/>
        <w:spacing w:line="460" w:lineRule="exact"/>
        <w:ind w:right="11" w:firstLine="480" w:firstLineChars="200"/>
        <w:rPr>
          <w:rFonts w:hint="eastAsia" w:eastAsia="宋体"/>
        </w:rPr>
      </w:pPr>
      <w:r>
        <w:rPr>
          <w:rFonts w:hint="eastAsia" w:eastAsia="宋体"/>
        </w:rPr>
        <w:t>7.4合同价款的结算</w:t>
      </w:r>
    </w:p>
    <w:p w14:paraId="3861A782">
      <w:pPr>
        <w:pStyle w:val="403"/>
        <w:spacing w:line="460" w:lineRule="exact"/>
        <w:ind w:right="11" w:firstLine="480" w:firstLineChars="200"/>
        <w:rPr>
          <w:rFonts w:hint="eastAsia" w:eastAsia="宋体"/>
        </w:rPr>
      </w:pPr>
      <w:r>
        <w:rPr>
          <w:rFonts w:hint="eastAsia" w:eastAsia="宋体"/>
        </w:rPr>
        <w:t>本合同工程完工验收合格后90日历天内，承包人根据合同专用条款的结算规定，向发包人提交本合同的结算书及完整的结算资料。发包人收到承包人结算书及结算资料并审核确认后，由发包人按其管理制度组织工程结算终审，结算以有权终审单位审定为准。</w:t>
      </w:r>
    </w:p>
    <w:p w14:paraId="362BCBC5">
      <w:pPr>
        <w:pStyle w:val="403"/>
        <w:spacing w:before="240" w:beforeLines="100" w:after="120" w:afterLines="50" w:line="460" w:lineRule="exact"/>
        <w:ind w:firstLine="482" w:firstLineChars="200"/>
        <w:rPr>
          <w:rFonts w:hint="eastAsia" w:eastAsia="宋体" w:cs="宋体"/>
          <w:b/>
          <w:bCs/>
        </w:rPr>
      </w:pPr>
      <w:r>
        <w:rPr>
          <w:rFonts w:eastAsia="宋体" w:cs="宋体"/>
          <w:b/>
          <w:bCs/>
        </w:rPr>
        <w:t>8</w:t>
      </w:r>
      <w:r>
        <w:rPr>
          <w:rFonts w:hint="eastAsia" w:eastAsia="宋体" w:cs="宋体"/>
          <w:b/>
          <w:bCs/>
        </w:rPr>
        <w:t>、组成合同的文件</w:t>
      </w:r>
    </w:p>
    <w:p w14:paraId="56F57569">
      <w:pPr>
        <w:pStyle w:val="403"/>
        <w:spacing w:line="460" w:lineRule="exact"/>
        <w:ind w:firstLine="480" w:firstLineChars="200"/>
        <w:rPr>
          <w:rFonts w:hint="eastAsia" w:eastAsia="宋体" w:cs="宋体"/>
          <w:snapToGrid w:val="0"/>
        </w:rPr>
      </w:pPr>
      <w:r>
        <w:rPr>
          <w:rFonts w:hint="eastAsia" w:eastAsia="宋体" w:cs="宋体"/>
          <w:snapToGrid w:val="0"/>
        </w:rPr>
        <w:t>下列文件应被认为是组成本合同的一部分，并互为补充和解释，如各文件存在冲突之处，以如下排列次序在前者优先适用：</w:t>
      </w:r>
    </w:p>
    <w:p w14:paraId="0FDDA56E">
      <w:pPr>
        <w:pStyle w:val="403"/>
        <w:spacing w:line="460" w:lineRule="exact"/>
        <w:ind w:firstLine="480" w:firstLineChars="200"/>
        <w:rPr>
          <w:rFonts w:hint="eastAsia" w:eastAsia="宋体" w:cs="宋体"/>
          <w:snapToGrid w:val="0"/>
        </w:rPr>
      </w:pPr>
      <w:r>
        <w:rPr>
          <w:rFonts w:hint="eastAsia" w:eastAsia="宋体" w:cs="宋体"/>
          <w:snapToGrid w:val="0"/>
        </w:rPr>
        <w:t>（l）合同协议书；</w:t>
      </w:r>
    </w:p>
    <w:p w14:paraId="10C6D1F9">
      <w:pPr>
        <w:pStyle w:val="403"/>
        <w:spacing w:line="460" w:lineRule="exact"/>
        <w:ind w:firstLine="480" w:firstLineChars="200"/>
        <w:rPr>
          <w:rFonts w:hint="eastAsia" w:eastAsia="宋体" w:cs="宋体"/>
          <w:snapToGrid w:val="0"/>
        </w:rPr>
      </w:pPr>
      <w:r>
        <w:rPr>
          <w:rFonts w:hint="eastAsia" w:eastAsia="宋体" w:cs="宋体"/>
          <w:snapToGrid w:val="0"/>
        </w:rPr>
        <w:t>（2）中标通知书；</w:t>
      </w:r>
    </w:p>
    <w:p w14:paraId="4325D41C">
      <w:pPr>
        <w:pStyle w:val="403"/>
        <w:spacing w:line="460" w:lineRule="exact"/>
        <w:ind w:firstLine="480" w:firstLineChars="200"/>
        <w:rPr>
          <w:rFonts w:hint="eastAsia" w:eastAsia="宋体" w:cs="宋体"/>
          <w:snapToGrid w:val="0"/>
        </w:rPr>
      </w:pPr>
      <w:r>
        <w:rPr>
          <w:rFonts w:hint="eastAsia" w:eastAsia="宋体" w:cs="宋体"/>
          <w:snapToGrid w:val="0"/>
        </w:rPr>
        <w:t>（3）专用合同条款；</w:t>
      </w:r>
    </w:p>
    <w:p w14:paraId="03ABC760">
      <w:pPr>
        <w:pStyle w:val="403"/>
        <w:spacing w:line="460" w:lineRule="exact"/>
        <w:ind w:firstLine="480" w:firstLineChars="200"/>
        <w:rPr>
          <w:rFonts w:hint="eastAsia" w:eastAsia="宋体" w:cs="宋体"/>
          <w:snapToGrid w:val="0"/>
        </w:rPr>
      </w:pPr>
      <w:r>
        <w:rPr>
          <w:rFonts w:hint="eastAsia" w:eastAsia="宋体" w:cs="宋体"/>
          <w:snapToGrid w:val="0"/>
        </w:rPr>
        <w:t>（4）通用合同条款；</w:t>
      </w:r>
    </w:p>
    <w:p w14:paraId="21BEF0FB">
      <w:pPr>
        <w:pStyle w:val="403"/>
        <w:spacing w:line="460" w:lineRule="exact"/>
        <w:ind w:firstLine="480" w:firstLineChars="200"/>
        <w:rPr>
          <w:rFonts w:hint="eastAsia" w:eastAsia="宋体" w:cs="宋体"/>
          <w:snapToGrid w:val="0"/>
        </w:rPr>
      </w:pPr>
      <w:r>
        <w:rPr>
          <w:rFonts w:hint="eastAsia" w:eastAsia="宋体" w:cs="宋体"/>
          <w:snapToGrid w:val="0"/>
        </w:rPr>
        <w:t>（5）经双方确认的施工图预算；</w:t>
      </w:r>
    </w:p>
    <w:p w14:paraId="4C7F2828">
      <w:pPr>
        <w:pStyle w:val="403"/>
        <w:spacing w:line="460" w:lineRule="exact"/>
        <w:ind w:firstLine="480" w:firstLineChars="200"/>
        <w:rPr>
          <w:rFonts w:hint="eastAsia" w:eastAsia="宋体" w:cs="宋体"/>
          <w:snapToGrid w:val="0"/>
        </w:rPr>
      </w:pPr>
      <w:r>
        <w:rPr>
          <w:rFonts w:hint="eastAsia" w:eastAsia="宋体" w:cs="宋体"/>
          <w:snapToGrid w:val="0"/>
        </w:rPr>
        <w:t>（6）招标文件（含澄清文件）；</w:t>
      </w:r>
    </w:p>
    <w:p w14:paraId="248EB28A">
      <w:pPr>
        <w:pStyle w:val="403"/>
        <w:spacing w:line="460" w:lineRule="exact"/>
        <w:ind w:firstLine="480" w:firstLineChars="200"/>
        <w:rPr>
          <w:rFonts w:hint="eastAsia" w:eastAsia="宋体" w:cs="宋体"/>
          <w:snapToGrid w:val="0"/>
        </w:rPr>
      </w:pPr>
      <w:r>
        <w:rPr>
          <w:rFonts w:hint="eastAsia" w:eastAsia="宋体" w:cs="宋体"/>
          <w:snapToGrid w:val="0"/>
        </w:rPr>
        <w:t>（7）投标文件（含澄清文件）；</w:t>
      </w:r>
    </w:p>
    <w:p w14:paraId="21F09BEC">
      <w:pPr>
        <w:pStyle w:val="403"/>
        <w:spacing w:line="460" w:lineRule="exact"/>
        <w:ind w:firstLine="480" w:firstLineChars="200"/>
        <w:rPr>
          <w:rFonts w:hint="eastAsia" w:eastAsia="宋体" w:cs="宋体"/>
          <w:snapToGrid w:val="0"/>
        </w:rPr>
      </w:pPr>
      <w:r>
        <w:rPr>
          <w:rFonts w:hint="eastAsia" w:eastAsia="宋体" w:cs="宋体"/>
          <w:snapToGrid w:val="0"/>
        </w:rPr>
        <w:t>（8）其他合同文件。</w:t>
      </w:r>
    </w:p>
    <w:p w14:paraId="4985997A">
      <w:pPr>
        <w:pStyle w:val="403"/>
        <w:spacing w:line="460" w:lineRule="exact"/>
        <w:ind w:firstLine="480" w:firstLineChars="200"/>
        <w:rPr>
          <w:rFonts w:hint="eastAsia" w:eastAsia="宋体" w:cs="宋体"/>
          <w:snapToGrid w:val="0"/>
        </w:rPr>
      </w:pPr>
      <w:r>
        <w:rPr>
          <w:rFonts w:hint="eastAsia" w:eastAsia="宋体" w:cs="宋体"/>
          <w:snapToGrid w:val="0"/>
        </w:rPr>
        <w:t>通过上述顺序解释仍无法明确的事项，由发包人与承包人协商解决；如协商不成，由发包人按照公平合理和有利于本工程建设的原则做出决定，如承包人对此决定不服的，应在接到发包人决定之日起三日内提出书面异议。如期满不提出书面异议的，视为同意发包人的决定。发包人收到承包人的书面异议后应做出进一步的决定。在发包人做出决定之前，承包人必须无条件先行执行发包人的决定。</w:t>
      </w:r>
    </w:p>
    <w:p w14:paraId="1F660A3D">
      <w:pPr>
        <w:pStyle w:val="403"/>
        <w:spacing w:before="240" w:beforeLines="100" w:line="460" w:lineRule="exact"/>
        <w:ind w:firstLine="482" w:firstLineChars="200"/>
        <w:rPr>
          <w:rFonts w:hint="eastAsia" w:eastAsia="宋体" w:cs="宋体"/>
          <w:snapToGrid w:val="0"/>
        </w:rPr>
      </w:pPr>
      <w:r>
        <w:rPr>
          <w:rFonts w:hint="eastAsia" w:eastAsia="宋体" w:cs="宋体"/>
          <w:b/>
          <w:bCs/>
          <w:snapToGrid w:val="0"/>
        </w:rPr>
        <w:t>9、</w:t>
      </w:r>
      <w:r>
        <w:rPr>
          <w:rFonts w:hint="eastAsia" w:eastAsia="宋体" w:cs="宋体"/>
          <w:snapToGrid w:val="0"/>
        </w:rPr>
        <w:t>合同协议书中有关词语含义与合同条款中分别赋予它们的定义相同。</w:t>
      </w:r>
    </w:p>
    <w:p w14:paraId="39BC3A6D">
      <w:pPr>
        <w:pStyle w:val="403"/>
        <w:spacing w:before="240" w:beforeLines="100" w:line="460" w:lineRule="exact"/>
        <w:ind w:firstLine="482" w:firstLineChars="200"/>
        <w:rPr>
          <w:rFonts w:hint="eastAsia" w:eastAsia="宋体" w:cs="宋体"/>
          <w:snapToGrid w:val="0"/>
        </w:rPr>
      </w:pPr>
      <w:r>
        <w:rPr>
          <w:rFonts w:hint="eastAsia" w:eastAsia="宋体" w:cs="宋体"/>
          <w:b/>
          <w:bCs/>
          <w:snapToGrid w:val="0"/>
        </w:rPr>
        <w:t>10、</w:t>
      </w:r>
      <w:r>
        <w:rPr>
          <w:rFonts w:hint="eastAsia" w:eastAsia="宋体" w:cs="宋体"/>
          <w:snapToGrid w:val="0"/>
        </w:rPr>
        <w:t>承包人向发包人承诺按照合同约定进行勘察、设计、采购、施工、竣工验收、移交、结算、管理及配合服务，并在质量保修期内承担工程质量保修责任。承包人向发包人承诺已阅读、理解并接受本合同所有条款，按照本合同约定实施、完成并保修合同工程，履行本合同所约定的全部义务。各承包人同意对本合同所约定的义务及违约责任共同承担连带责任。承包人应按照发包人的管理制度（包括但不限于附件《广州新中轴建设有限公司勘察设计服务管理评价办法（修订）》）开展合同相关工作，发包人有权按照相关管理制度及办法对承包人进行管理。</w:t>
      </w:r>
    </w:p>
    <w:p w14:paraId="42CE66B6">
      <w:pPr>
        <w:pStyle w:val="403"/>
        <w:spacing w:before="240" w:beforeLines="100" w:line="460" w:lineRule="exact"/>
        <w:ind w:firstLine="482" w:firstLineChars="200"/>
        <w:rPr>
          <w:rFonts w:hint="eastAsia" w:eastAsia="宋体" w:cs="宋体"/>
          <w:snapToGrid w:val="0"/>
        </w:rPr>
      </w:pPr>
      <w:r>
        <w:rPr>
          <w:rFonts w:hint="eastAsia" w:eastAsia="宋体" w:cs="宋体"/>
          <w:b/>
          <w:bCs/>
          <w:snapToGrid w:val="0"/>
        </w:rPr>
        <w:t>11、</w:t>
      </w:r>
      <w:r>
        <w:rPr>
          <w:rFonts w:hint="eastAsia" w:eastAsia="宋体" w:cs="宋体"/>
          <w:snapToGrid w:val="0"/>
        </w:rPr>
        <w:t>发包人向承包人承诺按照合同约定的期限和方式申报或支付合同价款及按合同约定应支付的其它款项。</w:t>
      </w:r>
    </w:p>
    <w:p w14:paraId="458E52EE">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12、履约担保</w:t>
      </w:r>
    </w:p>
    <w:p w14:paraId="6999612E">
      <w:pPr>
        <w:pStyle w:val="403"/>
        <w:spacing w:line="460" w:lineRule="exact"/>
        <w:ind w:firstLine="480" w:firstLineChars="200"/>
        <w:rPr>
          <w:rFonts w:hint="eastAsia" w:eastAsia="宋体" w:cs="宋体"/>
          <w:snapToGrid w:val="0"/>
        </w:rPr>
      </w:pPr>
      <w:r>
        <w:rPr>
          <w:rFonts w:hint="eastAsia" w:eastAsia="宋体" w:cs="宋体"/>
          <w:snapToGrid w:val="0"/>
        </w:rPr>
        <w:t>承包人履约担保金额为中标价的10%，联合体投标的由联合体牵头方牵头办理。</w:t>
      </w:r>
    </w:p>
    <w:p w14:paraId="4B0396E5">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13、合同生效</w:t>
      </w:r>
    </w:p>
    <w:p w14:paraId="5745CC50">
      <w:pPr>
        <w:pStyle w:val="403"/>
        <w:spacing w:line="460" w:lineRule="exact"/>
        <w:ind w:firstLine="480" w:firstLineChars="200"/>
        <w:rPr>
          <w:rFonts w:hint="eastAsia" w:eastAsia="宋体" w:cs="宋体"/>
          <w:snapToGrid w:val="0"/>
        </w:rPr>
      </w:pPr>
      <w:r>
        <w:rPr>
          <w:rFonts w:hint="eastAsia" w:eastAsia="宋体" w:cs="宋体"/>
          <w:snapToGrid w:val="0"/>
        </w:rPr>
        <w:t>本合同自合同各方法定代表人或其授权代表签字，并加盖公章或合同专用章后生效，至本工程</w:t>
      </w:r>
      <w:r>
        <w:rPr>
          <w:rFonts w:eastAsia="宋体" w:cs="宋体"/>
          <w:snapToGrid w:val="0"/>
        </w:rPr>
        <w:t>竣</w:t>
      </w:r>
      <w:r>
        <w:rPr>
          <w:rFonts w:hint="eastAsia" w:eastAsia="宋体" w:cs="宋体"/>
          <w:snapToGrid w:val="0"/>
        </w:rPr>
        <w:t>工结算且质量保修期满60日且双方的责任、义务履行完毕时终止。</w:t>
      </w:r>
    </w:p>
    <w:p w14:paraId="2BAA8FB0">
      <w:pPr>
        <w:pStyle w:val="403"/>
        <w:spacing w:before="240" w:beforeLines="100" w:after="120" w:afterLines="50" w:line="460" w:lineRule="exact"/>
        <w:ind w:firstLine="482" w:firstLineChars="200"/>
        <w:rPr>
          <w:rFonts w:hint="eastAsia" w:eastAsia="宋体" w:cs="宋体"/>
          <w:b/>
          <w:bCs/>
        </w:rPr>
      </w:pPr>
      <w:r>
        <w:rPr>
          <w:rFonts w:hint="eastAsia" w:eastAsia="宋体" w:cs="宋体"/>
          <w:b/>
          <w:bCs/>
        </w:rPr>
        <w:t>14、合同份数</w:t>
      </w:r>
    </w:p>
    <w:p w14:paraId="3CBDDCB5">
      <w:pPr>
        <w:adjustRightInd w:val="0"/>
        <w:snapToGrid w:val="0"/>
        <w:spacing w:line="440" w:lineRule="exact"/>
        <w:ind w:right="11" w:firstLine="480" w:firstLineChars="200"/>
        <w:rPr>
          <w:rFonts w:hint="eastAsia" w:ascii="宋体" w:hAnsi="宋体" w:eastAsia="宋体" w:cs="宋体"/>
          <w:bCs/>
          <w:snapToGrid w:val="0"/>
          <w:kern w:val="0"/>
          <w:sz w:val="24"/>
        </w:rPr>
      </w:pPr>
      <w:r>
        <w:rPr>
          <w:rFonts w:hint="eastAsia" w:ascii="宋体" w:hAnsi="宋体" w:eastAsia="宋体" w:cs="宋体"/>
          <w:bCs/>
          <w:snapToGrid w:val="0"/>
          <w:kern w:val="0"/>
          <w:sz w:val="24"/>
        </w:rPr>
        <w:t>本合同正本一式</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份，发包人执</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份，承包人执</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份；副本</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份，发包人执</w:t>
      </w:r>
      <w:r>
        <w:rPr>
          <w:rFonts w:hint="eastAsia" w:ascii="宋体" w:hAnsi="宋体" w:eastAsia="宋体" w:cs="宋体"/>
          <w:snapToGrid w:val="0"/>
          <w:kern w:val="0"/>
          <w:sz w:val="24"/>
          <w:u w:val="single"/>
        </w:rPr>
        <w:t xml:space="preserve">    </w:t>
      </w:r>
      <w:r>
        <w:rPr>
          <w:rFonts w:hint="eastAsia" w:ascii="宋体" w:hAnsi="宋体" w:eastAsia="宋体" w:cs="宋体"/>
          <w:snapToGrid w:val="0"/>
          <w:kern w:val="0"/>
          <w:sz w:val="24"/>
        </w:rPr>
        <w:t>份，承包人执</w:t>
      </w:r>
      <w:r>
        <w:rPr>
          <w:rFonts w:hint="eastAsia" w:ascii="宋体" w:hAnsi="宋体" w:eastAsia="宋体" w:cs="宋体"/>
          <w:snapToGrid w:val="0"/>
          <w:kern w:val="0"/>
          <w:sz w:val="24"/>
          <w:u w:val="single"/>
        </w:rPr>
        <w:t xml:space="preserve">    </w:t>
      </w:r>
      <w:r>
        <w:rPr>
          <w:rFonts w:hint="eastAsia" w:ascii="宋体" w:hAnsi="宋体" w:eastAsia="宋体" w:cs="宋体"/>
          <w:bCs/>
          <w:snapToGrid w:val="0"/>
          <w:kern w:val="0"/>
          <w:sz w:val="24"/>
        </w:rPr>
        <w:t>份。</w:t>
      </w:r>
    </w:p>
    <w:p w14:paraId="3C40B24A">
      <w:pPr>
        <w:pStyle w:val="403"/>
        <w:spacing w:line="460" w:lineRule="exact"/>
        <w:ind w:firstLine="480" w:firstLineChars="200"/>
        <w:rPr>
          <w:rFonts w:hint="eastAsia" w:eastAsia="宋体" w:cs="宋体"/>
          <w:snapToGrid w:val="0"/>
        </w:rPr>
      </w:pPr>
      <w:r>
        <w:rPr>
          <w:rFonts w:hint="eastAsia" w:eastAsia="宋体" w:cs="宋体"/>
          <w:snapToGrid w:val="0"/>
        </w:rPr>
        <w:t>（以下无合同协议书正文）</w:t>
      </w:r>
    </w:p>
    <w:p w14:paraId="13F9E164">
      <w:pPr>
        <w:pStyle w:val="403"/>
        <w:spacing w:line="460" w:lineRule="exact"/>
        <w:ind w:firstLine="480" w:firstLineChars="200"/>
        <w:rPr>
          <w:rFonts w:hint="eastAsia" w:eastAsia="宋体" w:cs="宋体"/>
          <w:snapToGrid w:val="0"/>
        </w:rPr>
      </w:pPr>
    </w:p>
    <w:p w14:paraId="769501C7">
      <w:pPr>
        <w:pStyle w:val="403"/>
        <w:spacing w:line="460" w:lineRule="exact"/>
        <w:rPr>
          <w:rFonts w:hint="eastAsia" w:eastAsia="宋体" w:cs="宋体"/>
          <w:snapToGrid w:val="0"/>
        </w:rPr>
        <w:sectPr>
          <w:footerReference r:id="rId6" w:type="default"/>
          <w:pgSz w:w="11907" w:h="16840"/>
          <w:pgMar w:top="1417" w:right="1531" w:bottom="1304" w:left="1531" w:header="851" w:footer="992" w:gutter="0"/>
          <w:cols w:space="720" w:num="1"/>
          <w:docGrid w:linePitch="312" w:charSpace="0"/>
        </w:sectPr>
      </w:pPr>
    </w:p>
    <w:p w14:paraId="09872E68">
      <w:pPr>
        <w:pStyle w:val="403"/>
        <w:spacing w:line="460" w:lineRule="exact"/>
        <w:rPr>
          <w:rFonts w:hint="eastAsia" w:eastAsia="宋体" w:cs="宋体"/>
          <w:snapToGrid w:val="0"/>
        </w:rPr>
      </w:pPr>
      <w:r>
        <w:rPr>
          <w:rFonts w:hint="eastAsia" w:eastAsia="宋体" w:cs="宋体"/>
          <w:snapToGrid w:val="0"/>
        </w:rPr>
        <w:t>（本页无正文，为合同签署页）</w:t>
      </w:r>
    </w:p>
    <w:tbl>
      <w:tblPr>
        <w:tblStyle w:val="62"/>
        <w:tblpPr w:leftFromText="180" w:rightFromText="180" w:vertAnchor="text" w:horzAnchor="margin" w:tblpY="458"/>
        <w:tblW w:w="0" w:type="auto"/>
        <w:tblInd w:w="0" w:type="dxa"/>
        <w:tblLayout w:type="autofit"/>
        <w:tblCellMar>
          <w:top w:w="0" w:type="dxa"/>
          <w:left w:w="108" w:type="dxa"/>
          <w:bottom w:w="0" w:type="dxa"/>
          <w:right w:w="108" w:type="dxa"/>
        </w:tblCellMar>
      </w:tblPr>
      <w:tblGrid>
        <w:gridCol w:w="4104"/>
        <w:gridCol w:w="4424"/>
      </w:tblGrid>
      <w:tr w14:paraId="44CFC48B">
        <w:tblPrEx>
          <w:tblCellMar>
            <w:top w:w="0" w:type="dxa"/>
            <w:left w:w="108" w:type="dxa"/>
            <w:bottom w:w="0" w:type="dxa"/>
            <w:right w:w="108" w:type="dxa"/>
          </w:tblCellMar>
        </w:tblPrEx>
        <w:tc>
          <w:tcPr>
            <w:tcW w:w="4104" w:type="dxa"/>
          </w:tcPr>
          <w:p w14:paraId="3FD6AF25">
            <w:pPr>
              <w:adjustRightInd w:val="0"/>
              <w:snapToGrid w:val="0"/>
              <w:spacing w:line="400" w:lineRule="exact"/>
              <w:ind w:right="11"/>
              <w:rPr>
                <w:rFonts w:hint="eastAsia" w:ascii="黑体" w:hAnsi="黑体"/>
                <w:sz w:val="24"/>
              </w:rPr>
            </w:pPr>
            <w:r>
              <w:rPr>
                <w:rFonts w:hint="eastAsia" w:ascii="黑体" w:hAnsi="黑体"/>
                <w:sz w:val="24"/>
              </w:rPr>
              <w:t>发包人（甲方）：</w:t>
            </w:r>
          </w:p>
          <w:p w14:paraId="09F5A8BA">
            <w:pPr>
              <w:spacing w:line="400" w:lineRule="exact"/>
              <w:rPr>
                <w:rFonts w:hint="eastAsia" w:ascii="黑体" w:hAnsi="黑体"/>
                <w:sz w:val="24"/>
              </w:rPr>
            </w:pPr>
            <w:r>
              <w:rPr>
                <w:rFonts w:hint="eastAsia" w:ascii="黑体" w:hAnsi="黑体"/>
                <w:sz w:val="24"/>
              </w:rPr>
              <w:t>广州新中轴建设有限公司</w:t>
            </w:r>
          </w:p>
          <w:p w14:paraId="35FC2F38">
            <w:pPr>
              <w:spacing w:line="400" w:lineRule="exact"/>
              <w:rPr>
                <w:rFonts w:hint="eastAsia" w:ascii="黑体" w:hAnsi="黑体"/>
                <w:sz w:val="24"/>
              </w:rPr>
            </w:pPr>
            <w:r>
              <w:rPr>
                <w:rFonts w:hint="eastAsia" w:ascii="黑体" w:hAnsi="黑体"/>
                <w:sz w:val="24"/>
              </w:rPr>
              <w:t>（盖章）</w:t>
            </w:r>
          </w:p>
          <w:p w14:paraId="12341776">
            <w:pPr>
              <w:spacing w:line="400" w:lineRule="exact"/>
              <w:rPr>
                <w:rFonts w:hint="eastAsia" w:ascii="黑体" w:hAnsi="黑体"/>
                <w:sz w:val="24"/>
              </w:rPr>
            </w:pPr>
          </w:p>
        </w:tc>
        <w:tc>
          <w:tcPr>
            <w:tcW w:w="4424" w:type="dxa"/>
          </w:tcPr>
          <w:p w14:paraId="443DF997">
            <w:pPr>
              <w:adjustRightInd w:val="0"/>
              <w:snapToGrid w:val="0"/>
              <w:spacing w:line="400" w:lineRule="exact"/>
              <w:ind w:right="11"/>
              <w:rPr>
                <w:rFonts w:hint="eastAsia" w:ascii="黑体" w:hAnsi="黑体"/>
                <w:sz w:val="24"/>
              </w:rPr>
            </w:pPr>
            <w:r>
              <w:rPr>
                <w:rFonts w:hint="eastAsia" w:ascii="黑体" w:hAnsi="黑体"/>
                <w:sz w:val="24"/>
              </w:rPr>
              <w:t>承包人（乙方）：</w:t>
            </w:r>
          </w:p>
          <w:p w14:paraId="4A608FA6">
            <w:pPr>
              <w:spacing w:line="400" w:lineRule="exact"/>
              <w:rPr>
                <w:rFonts w:hint="eastAsia" w:ascii="黑体" w:hAnsi="黑体"/>
                <w:sz w:val="24"/>
              </w:rPr>
            </w:pPr>
            <w:r>
              <w:rPr>
                <w:rFonts w:hint="eastAsia" w:ascii="黑体" w:hAnsi="黑体"/>
                <w:sz w:val="24"/>
              </w:rPr>
              <w:t>【承包人单位名称】</w:t>
            </w:r>
          </w:p>
          <w:p w14:paraId="1FB3814E">
            <w:pPr>
              <w:adjustRightInd w:val="0"/>
              <w:snapToGrid w:val="0"/>
              <w:spacing w:line="400" w:lineRule="exact"/>
              <w:ind w:right="11"/>
              <w:rPr>
                <w:rFonts w:hint="eastAsia" w:ascii="黑体" w:hAnsi="黑体"/>
                <w:sz w:val="24"/>
              </w:rPr>
            </w:pPr>
            <w:r>
              <w:rPr>
                <w:rFonts w:hint="eastAsia" w:ascii="黑体" w:hAnsi="黑体"/>
                <w:sz w:val="24"/>
              </w:rPr>
              <w:t>（盖章）</w:t>
            </w:r>
          </w:p>
        </w:tc>
      </w:tr>
      <w:tr w14:paraId="148FD2D4">
        <w:tblPrEx>
          <w:tblCellMar>
            <w:top w:w="0" w:type="dxa"/>
            <w:left w:w="108" w:type="dxa"/>
            <w:bottom w:w="0" w:type="dxa"/>
            <w:right w:w="108" w:type="dxa"/>
          </w:tblCellMar>
        </w:tblPrEx>
        <w:tc>
          <w:tcPr>
            <w:tcW w:w="4104" w:type="dxa"/>
          </w:tcPr>
          <w:p w14:paraId="2D27C84C">
            <w:pPr>
              <w:spacing w:line="400" w:lineRule="exact"/>
              <w:rPr>
                <w:rFonts w:hint="eastAsia" w:ascii="黑体" w:hAnsi="黑体"/>
                <w:sz w:val="24"/>
              </w:rPr>
            </w:pPr>
            <w:r>
              <w:rPr>
                <w:rFonts w:hint="eastAsia" w:ascii="黑体" w:hAnsi="黑体"/>
                <w:sz w:val="24"/>
              </w:rPr>
              <w:t>法定代表人</w:t>
            </w:r>
          </w:p>
          <w:p w14:paraId="29D69A37">
            <w:pPr>
              <w:spacing w:line="400" w:lineRule="exact"/>
              <w:rPr>
                <w:rFonts w:hint="eastAsia" w:ascii="黑体" w:hAnsi="黑体"/>
                <w:sz w:val="24"/>
              </w:rPr>
            </w:pPr>
            <w:r>
              <w:rPr>
                <w:rFonts w:hint="eastAsia" w:ascii="黑体" w:hAnsi="黑体"/>
                <w:sz w:val="24"/>
              </w:rPr>
              <w:t>或委托代理人：</w:t>
            </w:r>
          </w:p>
          <w:p w14:paraId="389D15FB">
            <w:pPr>
              <w:spacing w:line="400" w:lineRule="exact"/>
              <w:rPr>
                <w:rFonts w:hint="eastAsia" w:ascii="黑体" w:hAnsi="黑体"/>
                <w:sz w:val="24"/>
              </w:rPr>
            </w:pPr>
            <w:r>
              <w:rPr>
                <w:rFonts w:hint="eastAsia" w:ascii="黑体" w:hAnsi="黑体"/>
                <w:sz w:val="24"/>
              </w:rPr>
              <w:t>（签字）</w:t>
            </w:r>
          </w:p>
          <w:p w14:paraId="3E1EABDB">
            <w:pPr>
              <w:spacing w:line="400" w:lineRule="exact"/>
              <w:rPr>
                <w:rFonts w:hint="eastAsia" w:ascii="黑体" w:hAnsi="黑体"/>
                <w:sz w:val="24"/>
              </w:rPr>
            </w:pPr>
          </w:p>
        </w:tc>
        <w:tc>
          <w:tcPr>
            <w:tcW w:w="4424" w:type="dxa"/>
          </w:tcPr>
          <w:p w14:paraId="41AB74AA">
            <w:pPr>
              <w:spacing w:line="400" w:lineRule="exact"/>
              <w:rPr>
                <w:rFonts w:hint="eastAsia" w:ascii="黑体" w:hAnsi="黑体"/>
                <w:sz w:val="24"/>
              </w:rPr>
            </w:pPr>
            <w:r>
              <w:rPr>
                <w:rFonts w:hint="eastAsia" w:ascii="黑体" w:hAnsi="黑体"/>
                <w:sz w:val="24"/>
              </w:rPr>
              <w:t>法定代表人</w:t>
            </w:r>
          </w:p>
          <w:p w14:paraId="67BD2047">
            <w:pPr>
              <w:spacing w:line="400" w:lineRule="exact"/>
              <w:rPr>
                <w:rFonts w:hint="eastAsia" w:ascii="黑体" w:hAnsi="黑体"/>
                <w:sz w:val="24"/>
              </w:rPr>
            </w:pPr>
            <w:r>
              <w:rPr>
                <w:rFonts w:hint="eastAsia" w:ascii="黑体" w:hAnsi="黑体"/>
                <w:sz w:val="24"/>
              </w:rPr>
              <w:t>或委托代理人：</w:t>
            </w:r>
          </w:p>
          <w:p w14:paraId="276BADA1">
            <w:pPr>
              <w:spacing w:line="400" w:lineRule="exact"/>
              <w:rPr>
                <w:rFonts w:hint="eastAsia" w:ascii="黑体" w:hAnsi="黑体"/>
                <w:sz w:val="24"/>
              </w:rPr>
            </w:pPr>
            <w:r>
              <w:rPr>
                <w:rFonts w:hint="eastAsia" w:ascii="黑体" w:hAnsi="黑体"/>
                <w:sz w:val="24"/>
              </w:rPr>
              <w:t>（签字）</w:t>
            </w:r>
          </w:p>
        </w:tc>
      </w:tr>
      <w:tr w14:paraId="1A57F7C9">
        <w:tblPrEx>
          <w:tblCellMar>
            <w:top w:w="0" w:type="dxa"/>
            <w:left w:w="108" w:type="dxa"/>
            <w:bottom w:w="0" w:type="dxa"/>
            <w:right w:w="108" w:type="dxa"/>
          </w:tblCellMar>
        </w:tblPrEx>
        <w:tc>
          <w:tcPr>
            <w:tcW w:w="4104" w:type="dxa"/>
          </w:tcPr>
          <w:p w14:paraId="5A4E2552">
            <w:pPr>
              <w:spacing w:line="400" w:lineRule="exact"/>
              <w:rPr>
                <w:rFonts w:hint="eastAsia" w:ascii="黑体" w:hAnsi="黑体"/>
                <w:sz w:val="24"/>
              </w:rPr>
            </w:pPr>
            <w:r>
              <w:rPr>
                <w:rFonts w:ascii="黑体" w:hAnsi="黑体"/>
                <w:sz w:val="24"/>
              </w:rPr>
              <w:t>地址：</w:t>
            </w:r>
            <w:r>
              <w:rPr>
                <w:rFonts w:hint="eastAsia" w:ascii="黑体" w:hAnsi="黑体"/>
                <w:sz w:val="24"/>
              </w:rPr>
              <w:t>广州市越秀区流花路117号</w:t>
            </w:r>
          </w:p>
          <w:p w14:paraId="66923EEF">
            <w:pPr>
              <w:spacing w:line="400" w:lineRule="exact"/>
              <w:ind w:firstLine="720" w:firstLineChars="300"/>
              <w:rPr>
                <w:rFonts w:hint="eastAsia" w:ascii="黑体" w:hAnsi="黑体"/>
                <w:sz w:val="24"/>
              </w:rPr>
            </w:pPr>
            <w:r>
              <w:rPr>
                <w:rFonts w:hint="eastAsia" w:ascii="黑体" w:hAnsi="黑体"/>
                <w:sz w:val="24"/>
              </w:rPr>
              <w:t>流花展馆15号馆6楼</w:t>
            </w:r>
          </w:p>
        </w:tc>
        <w:tc>
          <w:tcPr>
            <w:tcW w:w="4424" w:type="dxa"/>
          </w:tcPr>
          <w:p w14:paraId="71436400">
            <w:pPr>
              <w:spacing w:line="400" w:lineRule="exact"/>
              <w:rPr>
                <w:rFonts w:hint="eastAsia" w:ascii="黑体" w:hAnsi="黑体"/>
                <w:sz w:val="24"/>
              </w:rPr>
            </w:pPr>
            <w:r>
              <w:rPr>
                <w:rFonts w:hint="eastAsia" w:ascii="黑体" w:hAnsi="黑体"/>
                <w:sz w:val="24"/>
              </w:rPr>
              <w:t>地址：【承包人地址】</w:t>
            </w:r>
          </w:p>
        </w:tc>
      </w:tr>
      <w:tr w14:paraId="49F790B3">
        <w:tblPrEx>
          <w:tblCellMar>
            <w:top w:w="0" w:type="dxa"/>
            <w:left w:w="108" w:type="dxa"/>
            <w:bottom w:w="0" w:type="dxa"/>
            <w:right w:w="108" w:type="dxa"/>
          </w:tblCellMar>
        </w:tblPrEx>
        <w:tc>
          <w:tcPr>
            <w:tcW w:w="4104" w:type="dxa"/>
          </w:tcPr>
          <w:p w14:paraId="66AD0C6A">
            <w:pPr>
              <w:spacing w:line="400" w:lineRule="exact"/>
              <w:rPr>
                <w:rFonts w:hint="eastAsia" w:ascii="黑体" w:hAnsi="黑体"/>
                <w:sz w:val="24"/>
              </w:rPr>
            </w:pPr>
            <w:r>
              <w:rPr>
                <w:rFonts w:ascii="黑体" w:hAnsi="黑体"/>
                <w:sz w:val="24"/>
              </w:rPr>
              <w:t>电话：</w:t>
            </w:r>
            <w:r>
              <w:rPr>
                <w:rFonts w:hint="eastAsia" w:ascii="黑体" w:hAnsi="黑体"/>
                <w:sz w:val="24"/>
              </w:rPr>
              <w:t>【发包人电话】</w:t>
            </w:r>
          </w:p>
        </w:tc>
        <w:tc>
          <w:tcPr>
            <w:tcW w:w="4424" w:type="dxa"/>
          </w:tcPr>
          <w:p w14:paraId="47287CB4">
            <w:pPr>
              <w:adjustRightInd w:val="0"/>
              <w:snapToGrid w:val="0"/>
              <w:spacing w:line="400" w:lineRule="exact"/>
              <w:ind w:right="11"/>
              <w:rPr>
                <w:rFonts w:hint="eastAsia" w:ascii="黑体" w:hAnsi="黑体"/>
                <w:sz w:val="24"/>
              </w:rPr>
            </w:pPr>
            <w:r>
              <w:rPr>
                <w:rFonts w:hint="eastAsia" w:ascii="黑体" w:hAnsi="黑体"/>
                <w:sz w:val="24"/>
              </w:rPr>
              <w:t>电话：【承包人电话】</w:t>
            </w:r>
          </w:p>
        </w:tc>
      </w:tr>
      <w:tr w14:paraId="1426C4AF">
        <w:tblPrEx>
          <w:tblCellMar>
            <w:top w:w="0" w:type="dxa"/>
            <w:left w:w="108" w:type="dxa"/>
            <w:bottom w:w="0" w:type="dxa"/>
            <w:right w:w="108" w:type="dxa"/>
          </w:tblCellMar>
        </w:tblPrEx>
        <w:tc>
          <w:tcPr>
            <w:tcW w:w="4104" w:type="dxa"/>
          </w:tcPr>
          <w:p w14:paraId="404C1AE4">
            <w:pPr>
              <w:spacing w:line="400" w:lineRule="exact"/>
              <w:rPr>
                <w:rFonts w:hint="eastAsia" w:ascii="黑体" w:hAnsi="黑体"/>
                <w:sz w:val="24"/>
              </w:rPr>
            </w:pPr>
          </w:p>
        </w:tc>
        <w:tc>
          <w:tcPr>
            <w:tcW w:w="4424" w:type="dxa"/>
          </w:tcPr>
          <w:p w14:paraId="6009E246">
            <w:pPr>
              <w:adjustRightInd w:val="0"/>
              <w:snapToGrid w:val="0"/>
              <w:spacing w:line="400" w:lineRule="exact"/>
              <w:ind w:right="11"/>
              <w:rPr>
                <w:rFonts w:hint="eastAsia" w:ascii="黑体" w:hAnsi="黑体"/>
                <w:sz w:val="24"/>
              </w:rPr>
            </w:pPr>
            <w:r>
              <w:rPr>
                <w:rFonts w:hint="eastAsia" w:ascii="黑体" w:hAnsi="黑体"/>
                <w:sz w:val="24"/>
              </w:rPr>
              <w:t>开户银行：【承包人开户银行】</w:t>
            </w:r>
          </w:p>
        </w:tc>
      </w:tr>
      <w:tr w14:paraId="2CD734AA">
        <w:tblPrEx>
          <w:tblCellMar>
            <w:top w:w="0" w:type="dxa"/>
            <w:left w:w="108" w:type="dxa"/>
            <w:bottom w:w="0" w:type="dxa"/>
            <w:right w:w="108" w:type="dxa"/>
          </w:tblCellMar>
        </w:tblPrEx>
        <w:tc>
          <w:tcPr>
            <w:tcW w:w="4104" w:type="dxa"/>
          </w:tcPr>
          <w:p w14:paraId="6015264D">
            <w:pPr>
              <w:spacing w:line="400" w:lineRule="exact"/>
              <w:rPr>
                <w:rFonts w:hint="eastAsia" w:ascii="黑体" w:hAnsi="黑体"/>
                <w:sz w:val="24"/>
              </w:rPr>
            </w:pPr>
          </w:p>
        </w:tc>
        <w:tc>
          <w:tcPr>
            <w:tcW w:w="4424" w:type="dxa"/>
          </w:tcPr>
          <w:p w14:paraId="19ED7BB6">
            <w:pPr>
              <w:adjustRightInd w:val="0"/>
              <w:snapToGrid w:val="0"/>
              <w:spacing w:line="400" w:lineRule="exact"/>
              <w:ind w:right="11"/>
              <w:rPr>
                <w:rFonts w:hint="eastAsia" w:ascii="黑体" w:hAnsi="黑体"/>
                <w:sz w:val="24"/>
              </w:rPr>
            </w:pPr>
            <w:r>
              <w:rPr>
                <w:rFonts w:hint="eastAsia" w:ascii="黑体" w:hAnsi="黑体"/>
                <w:sz w:val="24"/>
              </w:rPr>
              <w:t>账号：【承包人账号】</w:t>
            </w:r>
          </w:p>
        </w:tc>
      </w:tr>
      <w:tr w14:paraId="3F3E4AA9">
        <w:tblPrEx>
          <w:tblCellMar>
            <w:top w:w="0" w:type="dxa"/>
            <w:left w:w="108" w:type="dxa"/>
            <w:bottom w:w="0" w:type="dxa"/>
            <w:right w:w="108" w:type="dxa"/>
          </w:tblCellMar>
        </w:tblPrEx>
        <w:tc>
          <w:tcPr>
            <w:tcW w:w="4104" w:type="dxa"/>
          </w:tcPr>
          <w:p w14:paraId="6A0638F2">
            <w:pPr>
              <w:spacing w:line="400" w:lineRule="exact"/>
              <w:rPr>
                <w:rFonts w:hint="eastAsia" w:ascii="黑体" w:hAnsi="黑体"/>
                <w:sz w:val="24"/>
              </w:rPr>
            </w:pPr>
          </w:p>
        </w:tc>
        <w:tc>
          <w:tcPr>
            <w:tcW w:w="4424" w:type="dxa"/>
          </w:tcPr>
          <w:p w14:paraId="2F2698A8">
            <w:pPr>
              <w:adjustRightInd w:val="0"/>
              <w:snapToGrid w:val="0"/>
              <w:spacing w:line="400" w:lineRule="exact"/>
              <w:ind w:right="11"/>
              <w:rPr>
                <w:rFonts w:hint="eastAsia" w:ascii="黑体" w:hAnsi="黑体"/>
                <w:sz w:val="24"/>
              </w:rPr>
            </w:pPr>
          </w:p>
        </w:tc>
      </w:tr>
      <w:tr w14:paraId="746FA7E2">
        <w:tblPrEx>
          <w:tblCellMar>
            <w:top w:w="0" w:type="dxa"/>
            <w:left w:w="108" w:type="dxa"/>
            <w:bottom w:w="0" w:type="dxa"/>
            <w:right w:w="108" w:type="dxa"/>
          </w:tblCellMar>
        </w:tblPrEx>
        <w:tc>
          <w:tcPr>
            <w:tcW w:w="4104" w:type="dxa"/>
          </w:tcPr>
          <w:p w14:paraId="53F9539B">
            <w:pPr>
              <w:spacing w:line="400" w:lineRule="exact"/>
              <w:rPr>
                <w:rFonts w:hint="eastAsia" w:ascii="黑体" w:hAnsi="黑体"/>
                <w:sz w:val="24"/>
              </w:rPr>
            </w:pPr>
          </w:p>
        </w:tc>
        <w:tc>
          <w:tcPr>
            <w:tcW w:w="4424" w:type="dxa"/>
          </w:tcPr>
          <w:p w14:paraId="2CB2562A">
            <w:pPr>
              <w:adjustRightInd w:val="0"/>
              <w:snapToGrid w:val="0"/>
              <w:spacing w:line="400" w:lineRule="exact"/>
              <w:ind w:right="11"/>
              <w:rPr>
                <w:rFonts w:hint="eastAsia" w:ascii="黑体" w:hAnsi="黑体"/>
                <w:sz w:val="24"/>
              </w:rPr>
            </w:pPr>
          </w:p>
        </w:tc>
      </w:tr>
      <w:tr w14:paraId="3764CF82">
        <w:tblPrEx>
          <w:tblCellMar>
            <w:top w:w="0" w:type="dxa"/>
            <w:left w:w="108" w:type="dxa"/>
            <w:bottom w:w="0" w:type="dxa"/>
            <w:right w:w="108" w:type="dxa"/>
          </w:tblCellMar>
        </w:tblPrEx>
        <w:tc>
          <w:tcPr>
            <w:tcW w:w="4104" w:type="dxa"/>
          </w:tcPr>
          <w:p w14:paraId="2CD5F7D6">
            <w:pPr>
              <w:spacing w:line="400" w:lineRule="exact"/>
              <w:rPr>
                <w:rFonts w:hint="eastAsia" w:ascii="黑体" w:hAnsi="黑体"/>
                <w:sz w:val="24"/>
              </w:rPr>
            </w:pPr>
          </w:p>
        </w:tc>
        <w:tc>
          <w:tcPr>
            <w:tcW w:w="4424" w:type="dxa"/>
          </w:tcPr>
          <w:p w14:paraId="5C77C6FD">
            <w:pPr>
              <w:adjustRightInd w:val="0"/>
              <w:snapToGrid w:val="0"/>
              <w:spacing w:line="400" w:lineRule="exact"/>
              <w:ind w:right="11"/>
              <w:rPr>
                <w:rFonts w:hint="eastAsia" w:ascii="黑体" w:hAnsi="黑体"/>
                <w:sz w:val="24"/>
              </w:rPr>
            </w:pPr>
          </w:p>
        </w:tc>
      </w:tr>
      <w:tr w14:paraId="3B1B1010">
        <w:tblPrEx>
          <w:tblCellMar>
            <w:top w:w="0" w:type="dxa"/>
            <w:left w:w="108" w:type="dxa"/>
            <w:bottom w:w="0" w:type="dxa"/>
            <w:right w:w="108" w:type="dxa"/>
          </w:tblCellMar>
        </w:tblPrEx>
        <w:tc>
          <w:tcPr>
            <w:tcW w:w="4104" w:type="dxa"/>
          </w:tcPr>
          <w:p w14:paraId="5BC8F6F5">
            <w:pPr>
              <w:spacing w:line="400" w:lineRule="exact"/>
              <w:rPr>
                <w:rFonts w:hint="eastAsia" w:ascii="黑体" w:hAnsi="黑体"/>
                <w:sz w:val="24"/>
              </w:rPr>
            </w:pPr>
            <w:r>
              <w:rPr>
                <w:rFonts w:hint="eastAsia" w:ascii="黑体" w:hAnsi="黑体"/>
                <w:sz w:val="24"/>
              </w:rPr>
              <w:t>合同订立时间：</w:t>
            </w:r>
            <w:bookmarkStart w:id="42" w:name="_Hlk176167377"/>
            <w:r>
              <w:rPr>
                <w:rFonts w:hint="eastAsia" w:ascii="黑体" w:hAnsi="黑体"/>
                <w:sz w:val="24"/>
              </w:rPr>
              <w:t>2025年   月   日</w:t>
            </w:r>
            <w:bookmarkEnd w:id="42"/>
          </w:p>
          <w:p w14:paraId="490E2F72">
            <w:pPr>
              <w:spacing w:line="400" w:lineRule="exact"/>
              <w:rPr>
                <w:rFonts w:hint="eastAsia" w:ascii="黑体" w:hAnsi="黑体"/>
                <w:sz w:val="24"/>
              </w:rPr>
            </w:pPr>
            <w:r>
              <w:rPr>
                <w:rFonts w:hint="eastAsia" w:ascii="黑体" w:hAnsi="黑体"/>
                <w:sz w:val="24"/>
              </w:rPr>
              <w:t>合同订立地点：广州市</w:t>
            </w:r>
          </w:p>
        </w:tc>
        <w:tc>
          <w:tcPr>
            <w:tcW w:w="4424" w:type="dxa"/>
          </w:tcPr>
          <w:p w14:paraId="30C369E0">
            <w:pPr>
              <w:adjustRightInd w:val="0"/>
              <w:snapToGrid w:val="0"/>
              <w:spacing w:line="400" w:lineRule="exact"/>
              <w:ind w:right="11"/>
              <w:rPr>
                <w:rFonts w:hint="eastAsia" w:ascii="黑体" w:hAnsi="黑体"/>
                <w:sz w:val="24"/>
              </w:rPr>
            </w:pPr>
            <w:r>
              <w:rPr>
                <w:rFonts w:hint="eastAsia" w:ascii="黑体" w:hAnsi="黑体"/>
                <w:szCs w:val="22"/>
              </w:rPr>
              <w:t xml:space="preserve"> </w:t>
            </w:r>
          </w:p>
        </w:tc>
      </w:tr>
    </w:tbl>
    <w:p w14:paraId="4F1BEF6E">
      <w:pPr>
        <w:pStyle w:val="403"/>
        <w:spacing w:line="400" w:lineRule="exact"/>
        <w:rPr>
          <w:rFonts w:hint="eastAsia" w:eastAsia="宋体" w:cs="宋体"/>
          <w:snapToGrid w:val="0"/>
        </w:rPr>
      </w:pPr>
    </w:p>
    <w:p w14:paraId="24E90F76">
      <w:pPr>
        <w:pStyle w:val="403"/>
        <w:spacing w:line="460" w:lineRule="exact"/>
        <w:rPr>
          <w:rFonts w:hint="eastAsia" w:eastAsia="宋体" w:cs="宋体"/>
          <w:snapToGrid w:val="0"/>
        </w:rPr>
      </w:pPr>
    </w:p>
    <w:p w14:paraId="48F7B5DD">
      <w:pPr>
        <w:pStyle w:val="403"/>
        <w:spacing w:line="460" w:lineRule="exact"/>
        <w:rPr>
          <w:rFonts w:hint="eastAsia" w:eastAsia="宋体" w:cs="宋体"/>
          <w:snapToGrid w:val="0"/>
        </w:rPr>
      </w:pPr>
    </w:p>
    <w:p w14:paraId="4121A3E6">
      <w:pPr>
        <w:spacing w:line="300" w:lineRule="auto"/>
        <w:rPr>
          <w:rFonts w:hint="eastAsia" w:ascii="宋体" w:hAnsi="宋体" w:eastAsia="宋体" w:cs="宋体"/>
          <w:sz w:val="24"/>
        </w:rPr>
        <w:sectPr>
          <w:footerReference r:id="rId7" w:type="default"/>
          <w:pgSz w:w="11906" w:h="16838"/>
          <w:pgMar w:top="1304" w:right="1418" w:bottom="1304" w:left="1701" w:header="1077" w:footer="794" w:gutter="0"/>
          <w:cols w:space="720" w:num="1"/>
          <w:docGrid w:type="lines" w:linePitch="312" w:charSpace="0"/>
        </w:sectPr>
      </w:pPr>
    </w:p>
    <w:p w14:paraId="492ABF8C">
      <w:pPr>
        <w:pStyle w:val="403"/>
        <w:spacing w:after="240" w:afterLines="100" w:line="460" w:lineRule="exact"/>
        <w:jc w:val="center"/>
        <w:outlineLvl w:val="0"/>
        <w:rPr>
          <w:rFonts w:hint="eastAsia" w:eastAsia="宋体" w:cs="宋体"/>
          <w:b/>
          <w:bCs/>
          <w:sz w:val="44"/>
          <w:szCs w:val="44"/>
        </w:rPr>
      </w:pPr>
      <w:bookmarkStart w:id="43" w:name="_Toc198803786"/>
      <w:bookmarkStart w:id="44" w:name="_Toc176268719"/>
      <w:bookmarkStart w:id="45" w:name="_Toc411736418"/>
      <w:bookmarkStart w:id="46" w:name="_Toc15115"/>
      <w:bookmarkStart w:id="47" w:name="_Toc411736142"/>
      <w:bookmarkStart w:id="48" w:name="_Toc83220590"/>
      <w:bookmarkStart w:id="49" w:name="_Toc68594743"/>
      <w:bookmarkStart w:id="50" w:name="_Toc528255590"/>
      <w:bookmarkStart w:id="51" w:name="_Toc476860353"/>
      <w:r>
        <w:rPr>
          <w:rFonts w:hint="eastAsia" w:eastAsia="宋体" w:cs="宋体"/>
          <w:b/>
          <w:bCs/>
          <w:sz w:val="44"/>
          <w:szCs w:val="44"/>
        </w:rPr>
        <w:t>第二部分  通用合同条款</w:t>
      </w:r>
      <w:bookmarkEnd w:id="43"/>
      <w:bookmarkEnd w:id="44"/>
      <w:bookmarkEnd w:id="45"/>
      <w:bookmarkEnd w:id="46"/>
      <w:bookmarkEnd w:id="47"/>
      <w:bookmarkEnd w:id="48"/>
      <w:bookmarkEnd w:id="49"/>
      <w:bookmarkEnd w:id="50"/>
      <w:bookmarkEnd w:id="51"/>
    </w:p>
    <w:p w14:paraId="248A2276">
      <w:pPr>
        <w:pStyle w:val="5"/>
        <w:spacing w:before="360" w:after="120" w:afterLines="50" w:line="480" w:lineRule="exact"/>
        <w:rPr>
          <w:rFonts w:hint="eastAsia" w:ascii="宋体" w:hAnsi="宋体" w:eastAsia="宋体" w:cs="宋体"/>
          <w:bCs/>
          <w:sz w:val="28"/>
          <w:szCs w:val="28"/>
        </w:rPr>
      </w:pPr>
      <w:bookmarkStart w:id="52" w:name="_Toc176268720"/>
      <w:bookmarkStart w:id="53" w:name="_Toc247514035"/>
      <w:bookmarkStart w:id="54" w:name="_Toc476860354"/>
      <w:bookmarkStart w:id="55" w:name="_Toc184635098"/>
      <w:bookmarkStart w:id="56" w:name="_Toc10731"/>
      <w:bookmarkStart w:id="57" w:name="_Toc83220591"/>
      <w:bookmarkStart w:id="58" w:name="_Toc198803787"/>
      <w:bookmarkStart w:id="59" w:name="_Toc68594744"/>
      <w:bookmarkStart w:id="60" w:name="_Toc247527636"/>
      <w:bookmarkStart w:id="61" w:name="_Toc411736419"/>
      <w:bookmarkStart w:id="62" w:name="_Toc411736143"/>
      <w:bookmarkStart w:id="63" w:name="_Toc300835032"/>
      <w:bookmarkStart w:id="64" w:name="_Toc410559337"/>
      <w:r>
        <w:rPr>
          <w:rFonts w:hint="eastAsia" w:ascii="宋体" w:hAnsi="宋体" w:eastAsia="宋体" w:cs="宋体"/>
          <w:bCs/>
          <w:sz w:val="28"/>
          <w:szCs w:val="28"/>
        </w:rPr>
        <w:t>1. 一般约定</w:t>
      </w:r>
      <w:bookmarkEnd w:id="52"/>
      <w:bookmarkEnd w:id="53"/>
      <w:bookmarkEnd w:id="54"/>
      <w:bookmarkEnd w:id="55"/>
      <w:bookmarkEnd w:id="56"/>
      <w:bookmarkEnd w:id="57"/>
      <w:bookmarkEnd w:id="58"/>
      <w:bookmarkEnd w:id="59"/>
      <w:bookmarkEnd w:id="60"/>
      <w:bookmarkEnd w:id="61"/>
      <w:bookmarkEnd w:id="62"/>
      <w:bookmarkEnd w:id="63"/>
      <w:bookmarkEnd w:id="64"/>
    </w:p>
    <w:p w14:paraId="1C92725B">
      <w:pPr>
        <w:pStyle w:val="403"/>
        <w:spacing w:line="460" w:lineRule="exact"/>
        <w:ind w:firstLine="480" w:firstLineChars="200"/>
        <w:rPr>
          <w:rFonts w:hint="eastAsia" w:eastAsia="宋体" w:cs="宋体"/>
          <w:snapToGrid w:val="0"/>
        </w:rPr>
      </w:pPr>
      <w:bookmarkStart w:id="65" w:name="_Toc411736144"/>
      <w:bookmarkStart w:id="66" w:name="_Toc300835033"/>
      <w:bookmarkStart w:id="67" w:name="_Toc247527637"/>
      <w:bookmarkStart w:id="68" w:name="_Toc247514036"/>
      <w:bookmarkStart w:id="69" w:name="_Toc476860355"/>
      <w:bookmarkStart w:id="70" w:name="_Toc68594745"/>
      <w:bookmarkStart w:id="71" w:name="_Toc411736420"/>
      <w:bookmarkStart w:id="72" w:name="_Toc410559338"/>
      <w:r>
        <w:rPr>
          <w:rFonts w:hint="eastAsia" w:eastAsia="宋体" w:cs="宋体"/>
          <w:snapToGrid w:val="0"/>
        </w:rPr>
        <w:t>1.1 词语定义</w:t>
      </w:r>
      <w:bookmarkEnd w:id="65"/>
      <w:bookmarkEnd w:id="66"/>
      <w:bookmarkEnd w:id="67"/>
      <w:bookmarkEnd w:id="68"/>
      <w:bookmarkEnd w:id="69"/>
      <w:bookmarkEnd w:id="70"/>
      <w:bookmarkEnd w:id="71"/>
      <w:bookmarkEnd w:id="72"/>
    </w:p>
    <w:p w14:paraId="14E4B73A">
      <w:pPr>
        <w:pStyle w:val="403"/>
        <w:spacing w:line="460" w:lineRule="exact"/>
        <w:ind w:firstLine="480" w:firstLineChars="200"/>
        <w:rPr>
          <w:rFonts w:hint="eastAsia" w:eastAsia="宋体" w:cs="宋体"/>
          <w:snapToGrid w:val="0"/>
        </w:rPr>
      </w:pPr>
      <w:r>
        <w:rPr>
          <w:rFonts w:hint="eastAsia" w:eastAsia="宋体" w:cs="宋体"/>
          <w:snapToGrid w:val="0"/>
        </w:rPr>
        <w:t>通用合同条款、专用合同条款中的下列词语应具有本款所赋予的含义。</w:t>
      </w:r>
    </w:p>
    <w:p w14:paraId="4E745FAD">
      <w:pPr>
        <w:pStyle w:val="403"/>
        <w:spacing w:line="460" w:lineRule="exact"/>
        <w:ind w:firstLine="480" w:firstLineChars="200"/>
        <w:rPr>
          <w:rFonts w:hint="eastAsia" w:eastAsia="宋体" w:cs="宋体"/>
          <w:snapToGrid w:val="0"/>
        </w:rPr>
      </w:pPr>
      <w:r>
        <w:rPr>
          <w:rFonts w:hint="eastAsia" w:eastAsia="宋体" w:cs="宋体"/>
          <w:snapToGrid w:val="0"/>
        </w:rPr>
        <w:t>1.1.1 合同</w:t>
      </w:r>
    </w:p>
    <w:p w14:paraId="08E9921C">
      <w:pPr>
        <w:pStyle w:val="403"/>
        <w:spacing w:line="460" w:lineRule="exact"/>
        <w:ind w:firstLine="480" w:firstLineChars="200"/>
        <w:rPr>
          <w:rFonts w:hint="eastAsia" w:eastAsia="宋体" w:cs="宋体"/>
          <w:snapToGrid w:val="0"/>
        </w:rPr>
      </w:pPr>
      <w:r>
        <w:rPr>
          <w:rFonts w:hint="eastAsia" w:eastAsia="宋体" w:cs="宋体"/>
          <w:snapToGrid w:val="0"/>
        </w:rPr>
        <w:t>1.1.1.1 合同文件（或称合同）：指合同协议书、中标通知书、投标函及投标函附录、专用合同条款、通用合同条款、发包人要求、价格清单、承包人建议书，以及其他构成合同组成部分的文件。</w:t>
      </w:r>
    </w:p>
    <w:p w14:paraId="743E8706">
      <w:pPr>
        <w:pStyle w:val="403"/>
        <w:spacing w:line="460" w:lineRule="exact"/>
        <w:ind w:firstLine="480" w:firstLineChars="200"/>
        <w:rPr>
          <w:rFonts w:hint="eastAsia" w:eastAsia="宋体" w:cs="宋体"/>
          <w:snapToGrid w:val="0"/>
        </w:rPr>
      </w:pPr>
      <w:r>
        <w:rPr>
          <w:rFonts w:hint="eastAsia" w:eastAsia="宋体" w:cs="宋体"/>
          <w:snapToGrid w:val="0"/>
        </w:rPr>
        <w:t>1.1.1.2 合同协议书：指第1.5 款所指的合同协议书。</w:t>
      </w:r>
    </w:p>
    <w:p w14:paraId="5E9ADFE0">
      <w:pPr>
        <w:pStyle w:val="403"/>
        <w:spacing w:line="460" w:lineRule="exact"/>
        <w:ind w:firstLine="480" w:firstLineChars="200"/>
        <w:rPr>
          <w:rFonts w:hint="eastAsia" w:eastAsia="宋体" w:cs="宋体"/>
          <w:snapToGrid w:val="0"/>
        </w:rPr>
      </w:pPr>
      <w:r>
        <w:rPr>
          <w:rFonts w:hint="eastAsia" w:eastAsia="宋体" w:cs="宋体"/>
          <w:snapToGrid w:val="0"/>
        </w:rPr>
        <w:t>1.1.1.3 中标通知书：指发包人通知承包人中标的函件。中标通知书随附的澄清、说明、补正事项纪要等，是中标通知书的组成部分。</w:t>
      </w:r>
    </w:p>
    <w:p w14:paraId="70D63D0C">
      <w:pPr>
        <w:pStyle w:val="403"/>
        <w:spacing w:line="460" w:lineRule="exact"/>
        <w:ind w:firstLine="480" w:firstLineChars="200"/>
        <w:rPr>
          <w:rFonts w:hint="eastAsia" w:eastAsia="宋体" w:cs="宋体"/>
          <w:snapToGrid w:val="0"/>
        </w:rPr>
      </w:pPr>
      <w:r>
        <w:rPr>
          <w:rFonts w:hint="eastAsia" w:eastAsia="宋体" w:cs="宋体"/>
          <w:snapToGrid w:val="0"/>
        </w:rPr>
        <w:t>1.1.1.4 投标函：指构成合同文件组成部分的由承包人填写并签署的投标函。</w:t>
      </w:r>
    </w:p>
    <w:p w14:paraId="70A02F7A">
      <w:pPr>
        <w:pStyle w:val="403"/>
        <w:spacing w:line="460" w:lineRule="exact"/>
        <w:ind w:firstLine="480" w:firstLineChars="200"/>
        <w:rPr>
          <w:rFonts w:hint="eastAsia" w:eastAsia="宋体" w:cs="宋体"/>
          <w:snapToGrid w:val="0"/>
        </w:rPr>
      </w:pPr>
      <w:r>
        <w:rPr>
          <w:rFonts w:hint="eastAsia" w:eastAsia="宋体" w:cs="宋体"/>
          <w:snapToGrid w:val="0"/>
        </w:rPr>
        <w:t>1.1.1.5 投标函附录：指附在投标函后构成合同文件的投标函附录。</w:t>
      </w:r>
    </w:p>
    <w:p w14:paraId="4261E9D8">
      <w:pPr>
        <w:pStyle w:val="403"/>
        <w:spacing w:line="460" w:lineRule="exact"/>
        <w:ind w:firstLine="480" w:firstLineChars="200"/>
        <w:rPr>
          <w:rFonts w:hint="eastAsia" w:eastAsia="宋体" w:cs="宋体"/>
          <w:snapToGrid w:val="0"/>
        </w:rPr>
      </w:pPr>
      <w:r>
        <w:rPr>
          <w:rFonts w:hint="eastAsia" w:eastAsia="宋体" w:cs="宋体"/>
          <w:snapToGrid w:val="0"/>
        </w:rPr>
        <w:t>1.1.1.6 发包人要求：指构成合同文件组成部分的名为发包人要求的文件，包括招标项目的目的、范围、设计与其他技术标准和要求，以及合同双方当事人约定对其所作的修改或补充。</w:t>
      </w:r>
    </w:p>
    <w:p w14:paraId="113CC2DD">
      <w:pPr>
        <w:pStyle w:val="403"/>
        <w:spacing w:line="460" w:lineRule="exact"/>
        <w:ind w:firstLine="480" w:firstLineChars="200"/>
        <w:rPr>
          <w:rFonts w:hint="eastAsia" w:eastAsia="宋体" w:cs="宋体"/>
          <w:snapToGrid w:val="0"/>
        </w:rPr>
      </w:pPr>
      <w:r>
        <w:rPr>
          <w:rFonts w:hint="eastAsia" w:eastAsia="宋体" w:cs="宋体"/>
          <w:snapToGrid w:val="0"/>
        </w:rPr>
        <w:t>1.1.1.7 价格清单：指构成合同文件组成部分的由承包人按规定的格式和要求填写并标明价格的清单。</w:t>
      </w:r>
    </w:p>
    <w:p w14:paraId="2198B485">
      <w:pPr>
        <w:pStyle w:val="403"/>
        <w:spacing w:line="460" w:lineRule="exact"/>
        <w:ind w:firstLine="480" w:firstLineChars="200"/>
        <w:rPr>
          <w:rFonts w:hint="eastAsia" w:eastAsia="宋体" w:cs="宋体"/>
          <w:snapToGrid w:val="0"/>
        </w:rPr>
      </w:pPr>
      <w:r>
        <w:rPr>
          <w:rFonts w:hint="eastAsia" w:eastAsia="宋体" w:cs="宋体"/>
          <w:snapToGrid w:val="0"/>
        </w:rPr>
        <w:t>1.1.1.8承包人建议书：指构成合同文件组成部分的名为承包人建议书的文件。承包人建议书由承包人随投标函一起提交。承包人建议书应包括承包人的设计图纸及相应说明等设计文件。</w:t>
      </w:r>
    </w:p>
    <w:p w14:paraId="563AEA45">
      <w:pPr>
        <w:pStyle w:val="403"/>
        <w:spacing w:line="460" w:lineRule="exact"/>
        <w:ind w:firstLine="480" w:firstLineChars="200"/>
        <w:rPr>
          <w:rFonts w:hint="eastAsia" w:eastAsia="宋体" w:cs="宋体"/>
          <w:snapToGrid w:val="0"/>
        </w:rPr>
      </w:pPr>
      <w:r>
        <w:rPr>
          <w:rFonts w:hint="eastAsia" w:eastAsia="宋体" w:cs="宋体"/>
          <w:snapToGrid w:val="0"/>
        </w:rPr>
        <w:t>1.1.1.9 其他合同文件：指经合同双方当事人确认构成合同文件的其他文件。</w:t>
      </w:r>
    </w:p>
    <w:p w14:paraId="15564E38">
      <w:pPr>
        <w:pStyle w:val="403"/>
        <w:spacing w:line="460" w:lineRule="exact"/>
        <w:ind w:firstLine="480" w:firstLineChars="200"/>
        <w:rPr>
          <w:rFonts w:hint="eastAsia" w:eastAsia="宋体" w:cs="宋体"/>
          <w:snapToGrid w:val="0"/>
        </w:rPr>
      </w:pPr>
      <w:r>
        <w:rPr>
          <w:rFonts w:hint="eastAsia" w:eastAsia="宋体" w:cs="宋体"/>
          <w:snapToGrid w:val="0"/>
        </w:rPr>
        <w:t>1.1.2 合同当事人和人员</w:t>
      </w:r>
    </w:p>
    <w:p w14:paraId="37506446">
      <w:pPr>
        <w:pStyle w:val="403"/>
        <w:spacing w:line="460" w:lineRule="exact"/>
        <w:ind w:firstLine="480" w:firstLineChars="200"/>
        <w:rPr>
          <w:rFonts w:hint="eastAsia" w:eastAsia="宋体" w:cs="宋体"/>
          <w:snapToGrid w:val="0"/>
        </w:rPr>
      </w:pPr>
      <w:r>
        <w:rPr>
          <w:rFonts w:hint="eastAsia" w:eastAsia="宋体" w:cs="宋体"/>
          <w:snapToGrid w:val="0"/>
        </w:rPr>
        <w:t>1.1.2.1 合同当事人：指发包人和（或）承包人。</w:t>
      </w:r>
    </w:p>
    <w:p w14:paraId="257EB39E">
      <w:pPr>
        <w:pStyle w:val="403"/>
        <w:spacing w:line="460" w:lineRule="exact"/>
        <w:ind w:firstLine="480" w:firstLineChars="200"/>
        <w:rPr>
          <w:rFonts w:hint="eastAsia" w:eastAsia="宋体" w:cs="宋体"/>
          <w:snapToGrid w:val="0"/>
        </w:rPr>
      </w:pPr>
      <w:r>
        <w:rPr>
          <w:rFonts w:hint="eastAsia" w:eastAsia="宋体" w:cs="宋体"/>
          <w:snapToGrid w:val="0"/>
        </w:rPr>
        <w:t>1.1.2.2 发包人：指专用合同条款中指明并与承包人在合同协议书中签字的当事人。</w:t>
      </w:r>
    </w:p>
    <w:p w14:paraId="342FC98A">
      <w:pPr>
        <w:pStyle w:val="403"/>
        <w:spacing w:line="460" w:lineRule="exact"/>
        <w:ind w:firstLine="480" w:firstLineChars="200"/>
        <w:rPr>
          <w:rFonts w:hint="eastAsia" w:eastAsia="宋体" w:cs="宋体"/>
          <w:snapToGrid w:val="0"/>
        </w:rPr>
      </w:pPr>
      <w:r>
        <w:rPr>
          <w:rFonts w:hint="eastAsia" w:eastAsia="宋体" w:cs="宋体"/>
          <w:snapToGrid w:val="0"/>
        </w:rPr>
        <w:t>1.1.2.3 承包人：指与发包人签订合同协议书的当事人。</w:t>
      </w:r>
    </w:p>
    <w:p w14:paraId="424BCF53">
      <w:pPr>
        <w:pStyle w:val="403"/>
        <w:spacing w:line="460" w:lineRule="exact"/>
        <w:ind w:firstLine="480" w:firstLineChars="200"/>
        <w:rPr>
          <w:rFonts w:hint="eastAsia" w:eastAsia="宋体" w:cs="宋体"/>
          <w:snapToGrid w:val="0"/>
        </w:rPr>
      </w:pPr>
      <w:r>
        <w:rPr>
          <w:rFonts w:hint="eastAsia" w:eastAsia="宋体" w:cs="宋体"/>
          <w:snapToGrid w:val="0"/>
        </w:rPr>
        <w:t>1.1.2.4 承包人项目经理：指承包人指定代表承包人履行义务的负责人。</w:t>
      </w:r>
    </w:p>
    <w:p w14:paraId="22C0E228">
      <w:pPr>
        <w:pStyle w:val="403"/>
        <w:spacing w:line="460" w:lineRule="exact"/>
        <w:ind w:firstLine="480" w:firstLineChars="200"/>
        <w:rPr>
          <w:rFonts w:hint="eastAsia" w:eastAsia="宋体" w:cs="宋体"/>
          <w:snapToGrid w:val="0"/>
        </w:rPr>
      </w:pPr>
      <w:r>
        <w:rPr>
          <w:rFonts w:hint="eastAsia" w:eastAsia="宋体" w:cs="宋体"/>
          <w:snapToGrid w:val="0"/>
        </w:rPr>
        <w:t>1.1.2.5 设计负责人：指承包人指定负责组织指导协调设计工作并具有相应资格的人员。</w:t>
      </w:r>
    </w:p>
    <w:p w14:paraId="6A8EB94D">
      <w:pPr>
        <w:pStyle w:val="403"/>
        <w:spacing w:line="460" w:lineRule="exact"/>
        <w:ind w:firstLine="480" w:firstLineChars="200"/>
        <w:rPr>
          <w:rFonts w:hint="eastAsia" w:eastAsia="宋体" w:cs="宋体"/>
          <w:snapToGrid w:val="0"/>
        </w:rPr>
      </w:pPr>
      <w:r>
        <w:rPr>
          <w:rFonts w:hint="eastAsia" w:eastAsia="宋体" w:cs="宋体"/>
          <w:snapToGrid w:val="0"/>
        </w:rPr>
        <w:t>1.1.2.6 施工负责人：指承包人指定负责组织指导协调施工工作并具有相应资格的人员。</w:t>
      </w:r>
    </w:p>
    <w:p w14:paraId="49E3B368">
      <w:pPr>
        <w:pStyle w:val="403"/>
        <w:spacing w:line="460" w:lineRule="exact"/>
        <w:ind w:firstLine="480" w:firstLineChars="200"/>
        <w:rPr>
          <w:rFonts w:hint="eastAsia" w:eastAsia="宋体" w:cs="宋体"/>
          <w:snapToGrid w:val="0"/>
        </w:rPr>
      </w:pPr>
      <w:r>
        <w:rPr>
          <w:rFonts w:hint="eastAsia" w:eastAsia="宋体" w:cs="宋体"/>
          <w:snapToGrid w:val="0"/>
        </w:rPr>
        <w:t>1.1.2.7 采购负责人：指承包人指定负责组织指导协调采购工作的人员。</w:t>
      </w:r>
    </w:p>
    <w:p w14:paraId="25C3CCCA">
      <w:pPr>
        <w:pStyle w:val="403"/>
        <w:spacing w:line="460" w:lineRule="exact"/>
        <w:ind w:firstLine="480" w:firstLineChars="200"/>
        <w:rPr>
          <w:rFonts w:hint="eastAsia" w:eastAsia="宋体" w:cs="宋体"/>
          <w:snapToGrid w:val="0"/>
        </w:rPr>
      </w:pPr>
      <w:r>
        <w:rPr>
          <w:rFonts w:hint="eastAsia" w:eastAsia="宋体" w:cs="宋体"/>
          <w:snapToGrid w:val="0"/>
        </w:rPr>
        <w:t>1.1.2.8 分包人：指从承包人处分包合同中某一部分工作，并与其签订分包合同的分包人。</w:t>
      </w:r>
    </w:p>
    <w:p w14:paraId="01EA8482">
      <w:pPr>
        <w:pStyle w:val="403"/>
        <w:spacing w:line="460" w:lineRule="exact"/>
        <w:ind w:firstLine="480" w:firstLineChars="200"/>
        <w:rPr>
          <w:rFonts w:hint="eastAsia" w:eastAsia="宋体" w:cs="宋体"/>
          <w:snapToGrid w:val="0"/>
        </w:rPr>
      </w:pPr>
      <w:r>
        <w:rPr>
          <w:rFonts w:hint="eastAsia" w:eastAsia="宋体" w:cs="宋体"/>
          <w:snapToGrid w:val="0"/>
        </w:rPr>
        <w:t>1.1.2.9 监理人：指在专用合同条款中指明的，受发包人委托对合同履行实施管理的法人或其他组织。属于国家强制监理的，监理人应当具有相应的监理资质。</w:t>
      </w:r>
    </w:p>
    <w:p w14:paraId="69E72C1C">
      <w:pPr>
        <w:pStyle w:val="403"/>
        <w:spacing w:line="460" w:lineRule="exact"/>
        <w:ind w:firstLine="480" w:firstLineChars="200"/>
        <w:rPr>
          <w:rFonts w:hint="eastAsia" w:eastAsia="宋体" w:cs="宋体"/>
          <w:snapToGrid w:val="0"/>
        </w:rPr>
      </w:pPr>
      <w:r>
        <w:rPr>
          <w:rFonts w:hint="eastAsia" w:eastAsia="宋体" w:cs="宋体"/>
          <w:snapToGrid w:val="0"/>
        </w:rPr>
        <w:t>1.1.2.10 总监理工程师：指由监理人委派对合同履行实施管理的全权负责人。</w:t>
      </w:r>
    </w:p>
    <w:p w14:paraId="0A954DF0">
      <w:pPr>
        <w:pStyle w:val="403"/>
        <w:spacing w:line="460" w:lineRule="exact"/>
        <w:ind w:firstLine="480" w:firstLineChars="200"/>
        <w:rPr>
          <w:rFonts w:hint="eastAsia" w:eastAsia="宋体" w:cs="宋体"/>
          <w:snapToGrid w:val="0"/>
        </w:rPr>
      </w:pPr>
      <w:r>
        <w:rPr>
          <w:rFonts w:hint="eastAsia" w:eastAsia="宋体" w:cs="宋体"/>
          <w:snapToGrid w:val="0"/>
        </w:rPr>
        <w:t>1.1.3 工程和设备</w:t>
      </w:r>
    </w:p>
    <w:p w14:paraId="6BFD5B87">
      <w:pPr>
        <w:pStyle w:val="403"/>
        <w:spacing w:line="460" w:lineRule="exact"/>
        <w:ind w:firstLine="480" w:firstLineChars="200"/>
        <w:rPr>
          <w:rFonts w:hint="eastAsia" w:eastAsia="宋体" w:cs="宋体"/>
          <w:snapToGrid w:val="0"/>
        </w:rPr>
      </w:pPr>
      <w:r>
        <w:rPr>
          <w:rFonts w:hint="eastAsia" w:eastAsia="宋体" w:cs="宋体"/>
          <w:snapToGrid w:val="0"/>
        </w:rPr>
        <w:t>1.1.3.1 工程：指永久工程和（或）临时工程。</w:t>
      </w:r>
    </w:p>
    <w:p w14:paraId="06B75F66">
      <w:pPr>
        <w:pStyle w:val="403"/>
        <w:spacing w:line="460" w:lineRule="exact"/>
        <w:ind w:firstLine="480" w:firstLineChars="200"/>
        <w:rPr>
          <w:rFonts w:hint="eastAsia" w:eastAsia="宋体" w:cs="宋体"/>
          <w:snapToGrid w:val="0"/>
        </w:rPr>
      </w:pPr>
      <w:r>
        <w:rPr>
          <w:rFonts w:hint="eastAsia" w:eastAsia="宋体" w:cs="宋体"/>
          <w:snapToGrid w:val="0"/>
        </w:rPr>
        <w:t>1.1.3.2 永久工程：指按合同约定建造并移交给发包人的工程，包括工程设备。</w:t>
      </w:r>
    </w:p>
    <w:p w14:paraId="2E633A8E">
      <w:pPr>
        <w:pStyle w:val="403"/>
        <w:spacing w:line="460" w:lineRule="exact"/>
        <w:ind w:firstLine="480" w:firstLineChars="200"/>
        <w:rPr>
          <w:rFonts w:hint="eastAsia" w:eastAsia="宋体" w:cs="宋体"/>
          <w:snapToGrid w:val="0"/>
        </w:rPr>
      </w:pPr>
      <w:r>
        <w:rPr>
          <w:rFonts w:hint="eastAsia" w:eastAsia="宋体" w:cs="宋体"/>
          <w:snapToGrid w:val="0"/>
        </w:rPr>
        <w:t>1.1.3.3 临时工程：指为完成合同约定的永久工程所修建的各类临时性工程，不包括施工设备。</w:t>
      </w:r>
    </w:p>
    <w:p w14:paraId="6FB56D45">
      <w:pPr>
        <w:pStyle w:val="403"/>
        <w:spacing w:line="460" w:lineRule="exact"/>
        <w:ind w:firstLine="480" w:firstLineChars="200"/>
        <w:rPr>
          <w:rFonts w:hint="eastAsia" w:eastAsia="宋体" w:cs="宋体"/>
          <w:snapToGrid w:val="0"/>
        </w:rPr>
      </w:pPr>
      <w:r>
        <w:rPr>
          <w:rFonts w:hint="eastAsia" w:eastAsia="宋体" w:cs="宋体"/>
          <w:snapToGrid w:val="0"/>
        </w:rPr>
        <w:t>1.1.3.4 区段工程：指专用合同条款中指明特定范围的能单独接收并使用的永久工程。</w:t>
      </w:r>
    </w:p>
    <w:p w14:paraId="0E81BFC6">
      <w:pPr>
        <w:pStyle w:val="403"/>
        <w:spacing w:line="460" w:lineRule="exact"/>
        <w:ind w:firstLine="480" w:firstLineChars="200"/>
        <w:rPr>
          <w:rFonts w:hint="eastAsia" w:eastAsia="宋体" w:cs="宋体"/>
          <w:snapToGrid w:val="0"/>
        </w:rPr>
      </w:pPr>
      <w:r>
        <w:rPr>
          <w:rFonts w:hint="eastAsia" w:eastAsia="宋体" w:cs="宋体"/>
          <w:snapToGrid w:val="0"/>
        </w:rPr>
        <w:t>1.1.3.5 工程设备：指构成或计划构成永久工程的机电设备、仪器装置、运载工具及其他类似的设备和装置。</w:t>
      </w:r>
    </w:p>
    <w:p w14:paraId="06D4E1EA">
      <w:pPr>
        <w:pStyle w:val="403"/>
        <w:spacing w:line="460" w:lineRule="exact"/>
        <w:ind w:firstLine="480" w:firstLineChars="200"/>
        <w:rPr>
          <w:rFonts w:hint="eastAsia" w:eastAsia="宋体" w:cs="宋体"/>
          <w:snapToGrid w:val="0"/>
        </w:rPr>
      </w:pPr>
      <w:r>
        <w:rPr>
          <w:rFonts w:hint="eastAsia" w:eastAsia="宋体" w:cs="宋体"/>
          <w:snapToGrid w:val="0"/>
        </w:rPr>
        <w:t>1.1.3.6 施工设备：指为完成合同约定的各项工作所需的设备、器具和其他物品，不包括临时工程和材料。</w:t>
      </w:r>
    </w:p>
    <w:p w14:paraId="784C3B94">
      <w:pPr>
        <w:pStyle w:val="403"/>
        <w:spacing w:line="460" w:lineRule="exact"/>
        <w:ind w:firstLine="480" w:firstLineChars="200"/>
        <w:rPr>
          <w:rFonts w:hint="eastAsia" w:eastAsia="宋体" w:cs="宋体"/>
          <w:snapToGrid w:val="0"/>
        </w:rPr>
      </w:pPr>
      <w:r>
        <w:rPr>
          <w:rFonts w:hint="eastAsia" w:eastAsia="宋体" w:cs="宋体"/>
          <w:snapToGrid w:val="0"/>
        </w:rPr>
        <w:t>1.1.3.7 临时设施：指为完成合同约定的各项工作所服务的临时性生产和生活设施。</w:t>
      </w:r>
    </w:p>
    <w:p w14:paraId="5C1093A3">
      <w:pPr>
        <w:pStyle w:val="403"/>
        <w:spacing w:line="460" w:lineRule="exact"/>
        <w:ind w:firstLine="480" w:firstLineChars="200"/>
        <w:rPr>
          <w:rFonts w:hint="eastAsia" w:eastAsia="宋体" w:cs="宋体"/>
          <w:snapToGrid w:val="0"/>
        </w:rPr>
      </w:pPr>
      <w:r>
        <w:rPr>
          <w:rFonts w:hint="eastAsia" w:eastAsia="宋体" w:cs="宋体"/>
          <w:snapToGrid w:val="0"/>
        </w:rPr>
        <w:t>1.1.3.8 承包人设备：指承包人为工程实施提供的施工设备。</w:t>
      </w:r>
    </w:p>
    <w:p w14:paraId="1519E983">
      <w:pPr>
        <w:pStyle w:val="403"/>
        <w:spacing w:line="460" w:lineRule="exact"/>
        <w:ind w:firstLine="480" w:firstLineChars="200"/>
        <w:rPr>
          <w:rFonts w:hint="eastAsia" w:eastAsia="宋体" w:cs="宋体"/>
          <w:snapToGrid w:val="0"/>
        </w:rPr>
      </w:pPr>
      <w:r>
        <w:rPr>
          <w:rFonts w:hint="eastAsia" w:eastAsia="宋体" w:cs="宋体"/>
          <w:snapToGrid w:val="0"/>
        </w:rPr>
        <w:t>1.1.3.9 施工场地（或称工地、现场）：指用于合同工程施工的场所，以及在合同中指定作为施工场地组成部分的其他场所，包括永久占地和临时占地。</w:t>
      </w:r>
    </w:p>
    <w:p w14:paraId="39110F10">
      <w:pPr>
        <w:pStyle w:val="403"/>
        <w:spacing w:line="460" w:lineRule="exact"/>
        <w:ind w:firstLine="480" w:firstLineChars="200"/>
        <w:rPr>
          <w:rFonts w:hint="eastAsia" w:eastAsia="宋体" w:cs="宋体"/>
          <w:snapToGrid w:val="0"/>
        </w:rPr>
      </w:pPr>
      <w:r>
        <w:rPr>
          <w:rFonts w:hint="eastAsia" w:eastAsia="宋体" w:cs="宋体"/>
          <w:snapToGrid w:val="0"/>
        </w:rPr>
        <w:t>1.1.3.10 永久占地：指专用合同条款中指明为实施合同工程需永久占用的土地。</w:t>
      </w:r>
    </w:p>
    <w:p w14:paraId="236FF9A5">
      <w:pPr>
        <w:pStyle w:val="403"/>
        <w:spacing w:line="460" w:lineRule="exact"/>
        <w:ind w:firstLine="480" w:firstLineChars="200"/>
        <w:rPr>
          <w:rFonts w:hint="eastAsia" w:eastAsia="宋体" w:cs="宋体"/>
          <w:snapToGrid w:val="0"/>
        </w:rPr>
      </w:pPr>
      <w:r>
        <w:rPr>
          <w:rFonts w:hint="eastAsia" w:eastAsia="宋体" w:cs="宋体"/>
          <w:snapToGrid w:val="0"/>
        </w:rPr>
        <w:t>1.1.3.11 临时占地：指专用合同条款中指明为实施合同工程需临时占用的土地。</w:t>
      </w:r>
    </w:p>
    <w:p w14:paraId="49E2C777">
      <w:pPr>
        <w:pStyle w:val="403"/>
        <w:spacing w:line="460" w:lineRule="exact"/>
        <w:ind w:firstLine="480" w:firstLineChars="200"/>
        <w:rPr>
          <w:rFonts w:hint="eastAsia" w:eastAsia="宋体" w:cs="宋体"/>
          <w:snapToGrid w:val="0"/>
        </w:rPr>
      </w:pPr>
      <w:r>
        <w:rPr>
          <w:rFonts w:hint="eastAsia" w:eastAsia="宋体" w:cs="宋体"/>
          <w:snapToGrid w:val="0"/>
        </w:rPr>
        <w:t>1.1.4 日期、检验和竣工</w:t>
      </w:r>
    </w:p>
    <w:p w14:paraId="67D7C4B5">
      <w:pPr>
        <w:pStyle w:val="403"/>
        <w:spacing w:line="460" w:lineRule="exact"/>
        <w:ind w:firstLine="480" w:firstLineChars="200"/>
        <w:rPr>
          <w:rFonts w:hint="eastAsia" w:eastAsia="宋体" w:cs="宋体"/>
          <w:snapToGrid w:val="0"/>
        </w:rPr>
      </w:pPr>
      <w:r>
        <w:rPr>
          <w:rFonts w:hint="eastAsia" w:eastAsia="宋体" w:cs="宋体"/>
          <w:snapToGrid w:val="0"/>
        </w:rPr>
        <w:t>1.1.4.1 开始工作通知：指监理人按第11.1款通知承包人开始工作的函件。</w:t>
      </w:r>
    </w:p>
    <w:p w14:paraId="204379FD">
      <w:pPr>
        <w:pStyle w:val="403"/>
        <w:spacing w:line="460" w:lineRule="exact"/>
        <w:ind w:firstLine="480" w:firstLineChars="200"/>
        <w:rPr>
          <w:rFonts w:hint="eastAsia" w:eastAsia="宋体" w:cs="宋体"/>
          <w:snapToGrid w:val="0"/>
        </w:rPr>
      </w:pPr>
      <w:r>
        <w:rPr>
          <w:rFonts w:hint="eastAsia" w:eastAsia="宋体" w:cs="宋体"/>
          <w:snapToGrid w:val="0"/>
        </w:rPr>
        <w:t>1.1.4.2 开始工作日期：指监理人按第11.1款发出的开始工作通知中写明的开始工作日期。</w:t>
      </w:r>
    </w:p>
    <w:p w14:paraId="0F58C4EC">
      <w:pPr>
        <w:pStyle w:val="403"/>
        <w:spacing w:line="460" w:lineRule="exact"/>
        <w:ind w:firstLine="480" w:firstLineChars="200"/>
        <w:rPr>
          <w:rFonts w:hint="eastAsia" w:eastAsia="宋体" w:cs="宋体"/>
          <w:snapToGrid w:val="0"/>
        </w:rPr>
      </w:pPr>
      <w:r>
        <w:rPr>
          <w:rFonts w:hint="eastAsia" w:eastAsia="宋体" w:cs="宋体"/>
          <w:snapToGrid w:val="0"/>
        </w:rPr>
        <w:t>1.1.4.3 工期：指承包人在投标函中承诺的完成合同工作所需的期限，包括按第11.3款、第11.4款和第11.6款约定所作的变更。</w:t>
      </w:r>
    </w:p>
    <w:p w14:paraId="51A07FD3">
      <w:pPr>
        <w:pStyle w:val="403"/>
        <w:spacing w:line="460" w:lineRule="exact"/>
        <w:ind w:firstLine="480" w:firstLineChars="200"/>
        <w:rPr>
          <w:rFonts w:hint="eastAsia" w:eastAsia="宋体" w:cs="宋体"/>
          <w:snapToGrid w:val="0"/>
        </w:rPr>
      </w:pPr>
      <w:r>
        <w:rPr>
          <w:rFonts w:hint="eastAsia" w:eastAsia="宋体" w:cs="宋体"/>
          <w:snapToGrid w:val="0"/>
        </w:rPr>
        <w:t>1.1.4.4 竣工日期：指第1.1.4.3目约定工期届满时的日期。实际竣工日期以工程接收证书中写明的日期为准。</w:t>
      </w:r>
    </w:p>
    <w:p w14:paraId="26ED76A1">
      <w:pPr>
        <w:pStyle w:val="403"/>
        <w:spacing w:line="460" w:lineRule="exact"/>
        <w:ind w:firstLine="480" w:firstLineChars="200"/>
        <w:rPr>
          <w:rFonts w:hint="eastAsia" w:eastAsia="宋体" w:cs="宋体"/>
          <w:snapToGrid w:val="0"/>
        </w:rPr>
      </w:pPr>
      <w:r>
        <w:rPr>
          <w:rFonts w:hint="eastAsia" w:eastAsia="宋体" w:cs="宋体"/>
          <w:snapToGrid w:val="0"/>
        </w:rPr>
        <w:t>1.1.4.5 缺陷责任期：指履行第19.2款约定的缺陷责任的期限，具体期限在发包人要求中明确的包括根据第19.3款约定所作的延长。</w:t>
      </w:r>
    </w:p>
    <w:p w14:paraId="3D897BF5">
      <w:pPr>
        <w:pStyle w:val="403"/>
        <w:spacing w:line="460" w:lineRule="exact"/>
        <w:ind w:firstLine="480" w:firstLineChars="200"/>
        <w:rPr>
          <w:rFonts w:hint="eastAsia" w:eastAsia="宋体" w:cs="宋体"/>
          <w:snapToGrid w:val="0"/>
        </w:rPr>
      </w:pPr>
      <w:r>
        <w:rPr>
          <w:rFonts w:hint="eastAsia" w:eastAsia="宋体" w:cs="宋体"/>
          <w:snapToGrid w:val="0"/>
        </w:rPr>
        <w:t>1.1.4.6 基准日期：指投标截止之日前28天的日期。</w:t>
      </w:r>
    </w:p>
    <w:p w14:paraId="1A6BF14F">
      <w:pPr>
        <w:pStyle w:val="403"/>
        <w:spacing w:line="460" w:lineRule="exact"/>
        <w:ind w:firstLine="480" w:firstLineChars="200"/>
        <w:rPr>
          <w:rFonts w:hint="eastAsia" w:eastAsia="宋体" w:cs="宋体"/>
          <w:snapToGrid w:val="0"/>
        </w:rPr>
      </w:pPr>
      <w:r>
        <w:rPr>
          <w:rFonts w:hint="eastAsia" w:eastAsia="宋体" w:cs="宋体"/>
          <w:snapToGrid w:val="0"/>
        </w:rPr>
        <w:t>1.1.4.7 天：除特别指明外，指日历天。合同中按天计算时间的，开始当天不计入，从次日开始计算。期限最后一天的截止时间为当天24：00。</w:t>
      </w:r>
    </w:p>
    <w:p w14:paraId="05A40F93">
      <w:pPr>
        <w:pStyle w:val="403"/>
        <w:spacing w:line="460" w:lineRule="exact"/>
        <w:ind w:firstLine="480" w:firstLineChars="200"/>
        <w:rPr>
          <w:rFonts w:hint="eastAsia" w:eastAsia="宋体" w:cs="宋体"/>
          <w:snapToGrid w:val="0"/>
        </w:rPr>
      </w:pPr>
      <w:r>
        <w:rPr>
          <w:rFonts w:hint="eastAsia" w:eastAsia="宋体" w:cs="宋体"/>
          <w:snapToGrid w:val="0"/>
        </w:rPr>
        <w:t>1.1.4.8 竣工试验：是指在工程竣工验收前，根据第18.1款要求进行的试验。</w:t>
      </w:r>
    </w:p>
    <w:p w14:paraId="5770A842">
      <w:pPr>
        <w:pStyle w:val="403"/>
        <w:spacing w:line="460" w:lineRule="exact"/>
        <w:ind w:firstLine="480" w:firstLineChars="200"/>
        <w:rPr>
          <w:rFonts w:hint="eastAsia" w:eastAsia="宋体" w:cs="宋体"/>
          <w:snapToGrid w:val="0"/>
        </w:rPr>
      </w:pPr>
      <w:r>
        <w:rPr>
          <w:rFonts w:hint="eastAsia" w:eastAsia="宋体" w:cs="宋体"/>
          <w:snapToGrid w:val="0"/>
        </w:rPr>
        <w:t>1.1.4.9 竣工验收：是指承包人完成了全部合同工作后，发包人按合同要求进行的验收。</w:t>
      </w:r>
    </w:p>
    <w:p w14:paraId="07E2BC03">
      <w:pPr>
        <w:pStyle w:val="403"/>
        <w:spacing w:line="460" w:lineRule="exact"/>
        <w:ind w:firstLine="480" w:firstLineChars="200"/>
        <w:rPr>
          <w:rFonts w:hint="eastAsia" w:eastAsia="宋体" w:cs="宋体"/>
          <w:snapToGrid w:val="0"/>
        </w:rPr>
      </w:pPr>
      <w:r>
        <w:rPr>
          <w:rFonts w:hint="eastAsia" w:eastAsia="宋体" w:cs="宋体"/>
          <w:snapToGrid w:val="0"/>
        </w:rPr>
        <w:t>1.1.4.10 竣工后试验：是指在工程竣工验收后，根据第18.9款约定进行的试验。</w:t>
      </w:r>
    </w:p>
    <w:p w14:paraId="51A36157">
      <w:pPr>
        <w:pStyle w:val="403"/>
        <w:spacing w:line="460" w:lineRule="exact"/>
        <w:ind w:firstLine="480" w:firstLineChars="200"/>
        <w:rPr>
          <w:rFonts w:hint="eastAsia" w:eastAsia="宋体" w:cs="宋体"/>
          <w:snapToGrid w:val="0"/>
        </w:rPr>
      </w:pPr>
      <w:r>
        <w:rPr>
          <w:rFonts w:hint="eastAsia" w:eastAsia="宋体" w:cs="宋体"/>
          <w:snapToGrid w:val="0"/>
        </w:rPr>
        <w:t>1.1.4.11国家验收：是指政府有关部门根据法律、规范、规程和政策要求，针对发包人全面组织实施的整个工程正式交付投运前的验收。</w:t>
      </w:r>
    </w:p>
    <w:p w14:paraId="1C9C8228">
      <w:pPr>
        <w:pStyle w:val="403"/>
        <w:spacing w:line="460" w:lineRule="exact"/>
        <w:ind w:firstLine="480" w:firstLineChars="200"/>
        <w:rPr>
          <w:rFonts w:hint="eastAsia" w:eastAsia="宋体" w:cs="宋体"/>
          <w:snapToGrid w:val="0"/>
        </w:rPr>
      </w:pPr>
      <w:r>
        <w:rPr>
          <w:rFonts w:hint="eastAsia" w:eastAsia="宋体" w:cs="宋体"/>
          <w:snapToGrid w:val="0"/>
        </w:rPr>
        <w:t>1.1.5 合同价格和费用</w:t>
      </w:r>
    </w:p>
    <w:p w14:paraId="758BB82D">
      <w:pPr>
        <w:pStyle w:val="403"/>
        <w:spacing w:line="460" w:lineRule="exact"/>
        <w:ind w:firstLine="480" w:firstLineChars="200"/>
        <w:rPr>
          <w:rFonts w:hint="eastAsia" w:eastAsia="宋体" w:cs="宋体"/>
          <w:snapToGrid w:val="0"/>
        </w:rPr>
      </w:pPr>
      <w:r>
        <w:rPr>
          <w:rFonts w:hint="eastAsia" w:eastAsia="宋体" w:cs="宋体"/>
          <w:snapToGrid w:val="0"/>
        </w:rPr>
        <w:t>1.1.5.1 签约合同价：指中标通知书明确的并在签定合同时于合同协议书中写明的，包括了暂列金额、暂估价的合同总金额。</w:t>
      </w:r>
    </w:p>
    <w:p w14:paraId="59DD2006">
      <w:pPr>
        <w:pStyle w:val="403"/>
        <w:spacing w:line="460" w:lineRule="exact"/>
        <w:ind w:firstLine="480" w:firstLineChars="200"/>
        <w:rPr>
          <w:rFonts w:hint="eastAsia" w:eastAsia="宋体" w:cs="宋体"/>
          <w:snapToGrid w:val="0"/>
        </w:rPr>
      </w:pPr>
      <w:r>
        <w:rPr>
          <w:rFonts w:hint="eastAsia" w:eastAsia="宋体" w:cs="宋体"/>
          <w:snapToGrid w:val="0"/>
        </w:rPr>
        <w:t>1.1.5.2 合同价格：指承包人按合同约定完成了包括缺陷责任期内的全部承包工作后，发包人应付给承包人的金额，包括在履行合同过程中按合同约定进行的变更和调整。</w:t>
      </w:r>
    </w:p>
    <w:p w14:paraId="27D7057F">
      <w:pPr>
        <w:pStyle w:val="403"/>
        <w:spacing w:line="460" w:lineRule="exact"/>
        <w:ind w:firstLine="480" w:firstLineChars="200"/>
        <w:rPr>
          <w:rFonts w:hint="eastAsia" w:eastAsia="宋体" w:cs="宋体"/>
          <w:snapToGrid w:val="0"/>
        </w:rPr>
      </w:pPr>
      <w:r>
        <w:rPr>
          <w:rFonts w:hint="eastAsia" w:eastAsia="宋体" w:cs="宋体"/>
          <w:snapToGrid w:val="0"/>
        </w:rPr>
        <w:t>1.1.5.3 费用：指为履行合同所发生的或将要发生的所有合理开支，包括管理费和应分摊的其他费用，但不包括利润。</w:t>
      </w:r>
    </w:p>
    <w:p w14:paraId="435225C7">
      <w:pPr>
        <w:pStyle w:val="403"/>
        <w:spacing w:line="460" w:lineRule="exact"/>
        <w:ind w:firstLine="480" w:firstLineChars="200"/>
        <w:rPr>
          <w:rFonts w:hint="eastAsia" w:eastAsia="宋体" w:cs="宋体"/>
          <w:snapToGrid w:val="0"/>
        </w:rPr>
      </w:pPr>
      <w:r>
        <w:rPr>
          <w:rFonts w:hint="eastAsia" w:eastAsia="宋体" w:cs="宋体"/>
          <w:snapToGrid w:val="0"/>
        </w:rPr>
        <w:t>1.1.5.4 暂列金额：指招标文件中给定的，用于在签订协议书时尚未确定或不可预见变更的设计、施工及其所需材料、工程设备、服务等的金额，包括以计日工方式支付的金额。</w:t>
      </w:r>
    </w:p>
    <w:p w14:paraId="058874DE">
      <w:pPr>
        <w:pStyle w:val="403"/>
        <w:spacing w:line="460" w:lineRule="exact"/>
        <w:ind w:firstLine="480" w:firstLineChars="200"/>
        <w:rPr>
          <w:rFonts w:hint="eastAsia" w:eastAsia="宋体" w:cs="宋体"/>
          <w:snapToGrid w:val="0"/>
        </w:rPr>
      </w:pPr>
      <w:r>
        <w:rPr>
          <w:rFonts w:hint="eastAsia" w:eastAsia="宋体" w:cs="宋体"/>
          <w:snapToGrid w:val="0"/>
        </w:rPr>
        <w:t>1.1.5.5 暂估价：指招标文件中给定的，用于支付必然发生但暂时不能确定价格的专业服务、材料、设备专业工程的金额。</w:t>
      </w:r>
    </w:p>
    <w:p w14:paraId="18DBB71B">
      <w:pPr>
        <w:pStyle w:val="403"/>
        <w:spacing w:line="460" w:lineRule="exact"/>
        <w:ind w:firstLine="480" w:firstLineChars="200"/>
        <w:rPr>
          <w:rFonts w:hint="eastAsia" w:eastAsia="宋体" w:cs="宋体"/>
          <w:snapToGrid w:val="0"/>
        </w:rPr>
      </w:pPr>
      <w:r>
        <w:rPr>
          <w:rFonts w:hint="eastAsia" w:eastAsia="宋体" w:cs="宋体"/>
          <w:snapToGrid w:val="0"/>
        </w:rPr>
        <w:t>1.1.5.6 计日工：指对零星工作采取的一种计价方式，按合同中的计日工子目及其单价计价付款。</w:t>
      </w:r>
    </w:p>
    <w:p w14:paraId="051EFC10">
      <w:pPr>
        <w:pStyle w:val="403"/>
        <w:spacing w:line="460" w:lineRule="exact"/>
        <w:ind w:firstLine="480" w:firstLineChars="200"/>
        <w:rPr>
          <w:rFonts w:hint="eastAsia" w:eastAsia="宋体" w:cs="宋体"/>
          <w:snapToGrid w:val="0"/>
        </w:rPr>
      </w:pPr>
      <w:r>
        <w:rPr>
          <w:rFonts w:hint="eastAsia" w:eastAsia="宋体" w:cs="宋体"/>
          <w:snapToGrid w:val="0"/>
        </w:rPr>
        <w:t>1.1.5.7 质量保证金：指按第17.4.1项约定用于保证在缺陷责任期内履行缺陷修复义务的金额。</w:t>
      </w:r>
    </w:p>
    <w:p w14:paraId="49B9CBBA">
      <w:pPr>
        <w:pStyle w:val="403"/>
        <w:spacing w:line="460" w:lineRule="exact"/>
        <w:ind w:firstLine="480" w:firstLineChars="200"/>
        <w:rPr>
          <w:rFonts w:hint="eastAsia" w:eastAsia="宋体" w:cs="宋体"/>
          <w:snapToGrid w:val="0"/>
        </w:rPr>
      </w:pPr>
      <w:r>
        <w:rPr>
          <w:rFonts w:hint="eastAsia" w:eastAsia="宋体" w:cs="宋体"/>
          <w:snapToGrid w:val="0"/>
        </w:rPr>
        <w:t>1.1.6 其他</w:t>
      </w:r>
    </w:p>
    <w:p w14:paraId="070046FD">
      <w:pPr>
        <w:pStyle w:val="403"/>
        <w:spacing w:line="460" w:lineRule="exact"/>
        <w:ind w:firstLine="480" w:firstLineChars="200"/>
        <w:rPr>
          <w:rFonts w:hint="eastAsia" w:eastAsia="宋体" w:cs="宋体"/>
          <w:snapToGrid w:val="0"/>
        </w:rPr>
      </w:pPr>
      <w:r>
        <w:rPr>
          <w:rFonts w:hint="eastAsia" w:eastAsia="宋体" w:cs="宋体"/>
          <w:snapToGrid w:val="0"/>
        </w:rPr>
        <w:t>1.1.6.1 书面形式：指合同文件、信函、电报、传真、数据电文、电子邮件、会议纪要等可以有形地表现所载内容的形式。</w:t>
      </w:r>
    </w:p>
    <w:p w14:paraId="1AC9A558">
      <w:pPr>
        <w:pStyle w:val="403"/>
        <w:spacing w:line="460" w:lineRule="exact"/>
        <w:ind w:firstLine="480" w:firstLineChars="200"/>
        <w:rPr>
          <w:rFonts w:hint="eastAsia" w:eastAsia="宋体" w:cs="宋体"/>
          <w:snapToGrid w:val="0"/>
        </w:rPr>
      </w:pPr>
      <w:r>
        <w:rPr>
          <w:rFonts w:hint="eastAsia" w:eastAsia="宋体" w:cs="宋体"/>
          <w:snapToGrid w:val="0"/>
        </w:rPr>
        <w:t>1.1.6.2 承包人文件：指由承包人根据合同应提交的所有图纸、手册、模型、计算书、软件和其他文件。</w:t>
      </w:r>
    </w:p>
    <w:p w14:paraId="3D9E6225">
      <w:pPr>
        <w:pStyle w:val="403"/>
        <w:spacing w:line="460" w:lineRule="exact"/>
        <w:ind w:firstLine="480" w:firstLineChars="200"/>
        <w:rPr>
          <w:rFonts w:hint="eastAsia" w:eastAsia="宋体" w:cs="宋体"/>
          <w:snapToGrid w:val="0"/>
        </w:rPr>
      </w:pPr>
      <w:r>
        <w:rPr>
          <w:rFonts w:hint="eastAsia" w:eastAsia="宋体" w:cs="宋体"/>
          <w:snapToGrid w:val="0"/>
        </w:rPr>
        <w:t>1.1.6.3 变更是指根据第15条的约定，经指示或批准对发包人要求或工程所做的改变。</w:t>
      </w:r>
    </w:p>
    <w:p w14:paraId="2C120B2D">
      <w:pPr>
        <w:pStyle w:val="403"/>
        <w:spacing w:line="460" w:lineRule="exact"/>
        <w:ind w:firstLine="480" w:firstLineChars="200"/>
        <w:rPr>
          <w:rFonts w:hint="eastAsia" w:eastAsia="宋体" w:cs="宋体"/>
          <w:snapToGrid w:val="0"/>
        </w:rPr>
      </w:pPr>
      <w:bookmarkStart w:id="73" w:name="_Toc411736421"/>
      <w:bookmarkStart w:id="74" w:name="_Toc247514037"/>
      <w:bookmarkStart w:id="75" w:name="_Toc300835034"/>
      <w:bookmarkStart w:id="76" w:name="_Toc476860356"/>
      <w:bookmarkStart w:id="77" w:name="_Toc411736145"/>
      <w:bookmarkStart w:id="78" w:name="_Toc247527638"/>
      <w:bookmarkStart w:id="79" w:name="_Toc410559339"/>
      <w:bookmarkStart w:id="80" w:name="_Toc68594746"/>
      <w:r>
        <w:rPr>
          <w:rFonts w:hint="eastAsia" w:eastAsia="宋体" w:cs="宋体"/>
          <w:snapToGrid w:val="0"/>
        </w:rPr>
        <w:t>1.2 语言文字</w:t>
      </w:r>
      <w:bookmarkEnd w:id="73"/>
      <w:bookmarkEnd w:id="74"/>
      <w:bookmarkEnd w:id="75"/>
      <w:bookmarkEnd w:id="76"/>
      <w:bookmarkEnd w:id="77"/>
      <w:bookmarkEnd w:id="78"/>
      <w:bookmarkEnd w:id="79"/>
      <w:bookmarkEnd w:id="80"/>
    </w:p>
    <w:p w14:paraId="020E0B2B">
      <w:pPr>
        <w:pStyle w:val="403"/>
        <w:spacing w:line="460" w:lineRule="exact"/>
        <w:ind w:firstLine="480" w:firstLineChars="200"/>
        <w:rPr>
          <w:rFonts w:hint="eastAsia" w:eastAsia="宋体" w:cs="宋体"/>
          <w:snapToGrid w:val="0"/>
        </w:rPr>
      </w:pPr>
      <w:r>
        <w:rPr>
          <w:rFonts w:hint="eastAsia" w:eastAsia="宋体" w:cs="宋体"/>
          <w:snapToGrid w:val="0"/>
        </w:rPr>
        <w:t>合同使用的语言文字为中文。专用术语使用外文的，应附有中文注释。</w:t>
      </w:r>
    </w:p>
    <w:p w14:paraId="2C57770C">
      <w:pPr>
        <w:pStyle w:val="403"/>
        <w:spacing w:line="460" w:lineRule="exact"/>
        <w:ind w:firstLine="480" w:firstLineChars="200"/>
        <w:rPr>
          <w:rFonts w:hint="eastAsia" w:eastAsia="宋体" w:cs="宋体"/>
          <w:snapToGrid w:val="0"/>
        </w:rPr>
      </w:pPr>
      <w:bookmarkStart w:id="81" w:name="_Toc247527639"/>
      <w:bookmarkStart w:id="82" w:name="_Toc410559340"/>
      <w:bookmarkStart w:id="83" w:name="_Toc476860357"/>
      <w:bookmarkStart w:id="84" w:name="_Toc411736146"/>
      <w:bookmarkStart w:id="85" w:name="_Toc247514038"/>
      <w:bookmarkStart w:id="86" w:name="_Toc411736422"/>
      <w:bookmarkStart w:id="87" w:name="_Toc68594747"/>
      <w:bookmarkStart w:id="88" w:name="_Toc300835035"/>
      <w:r>
        <w:rPr>
          <w:rFonts w:hint="eastAsia" w:eastAsia="宋体" w:cs="宋体"/>
          <w:snapToGrid w:val="0"/>
        </w:rPr>
        <w:t>1.3 法律</w:t>
      </w:r>
      <w:bookmarkEnd w:id="81"/>
      <w:bookmarkEnd w:id="82"/>
      <w:bookmarkEnd w:id="83"/>
      <w:bookmarkEnd w:id="84"/>
      <w:bookmarkEnd w:id="85"/>
      <w:bookmarkEnd w:id="86"/>
      <w:bookmarkEnd w:id="87"/>
      <w:bookmarkEnd w:id="88"/>
    </w:p>
    <w:p w14:paraId="2D729463">
      <w:pPr>
        <w:pStyle w:val="403"/>
        <w:spacing w:line="460" w:lineRule="exact"/>
        <w:ind w:firstLine="480" w:firstLineChars="200"/>
        <w:rPr>
          <w:rFonts w:hint="eastAsia" w:eastAsia="宋体" w:cs="宋体"/>
          <w:snapToGrid w:val="0"/>
        </w:rPr>
      </w:pPr>
      <w:r>
        <w:rPr>
          <w:rFonts w:hint="eastAsia" w:eastAsia="宋体" w:cs="宋体"/>
          <w:snapToGrid w:val="0"/>
        </w:rPr>
        <w:t>适用于合同的法律包括中华人民共和国法律、行政法规、部门规章，以及工程所在地的地方法规、自治条例、单行条例和地方政府规章。</w:t>
      </w:r>
    </w:p>
    <w:p w14:paraId="7F7C1CE1">
      <w:pPr>
        <w:pStyle w:val="403"/>
        <w:spacing w:line="460" w:lineRule="exact"/>
        <w:ind w:firstLine="480" w:firstLineChars="200"/>
        <w:rPr>
          <w:rFonts w:hint="eastAsia" w:eastAsia="宋体" w:cs="宋体"/>
          <w:snapToGrid w:val="0"/>
        </w:rPr>
      </w:pPr>
      <w:bookmarkStart w:id="89" w:name="_Toc410559341"/>
      <w:bookmarkStart w:id="90" w:name="_Toc68594748"/>
      <w:bookmarkStart w:id="91" w:name="_Toc247527640"/>
      <w:bookmarkStart w:id="92" w:name="_Toc411736147"/>
      <w:bookmarkStart w:id="93" w:name="_Toc411736423"/>
      <w:bookmarkStart w:id="94" w:name="_Toc476860358"/>
      <w:bookmarkStart w:id="95" w:name="_Toc247514039"/>
      <w:bookmarkStart w:id="96" w:name="_Toc300835036"/>
      <w:r>
        <w:rPr>
          <w:rFonts w:hint="eastAsia" w:eastAsia="宋体" w:cs="宋体"/>
          <w:snapToGrid w:val="0"/>
        </w:rPr>
        <w:t>1.4 合同文件的优先顺序</w:t>
      </w:r>
      <w:bookmarkEnd w:id="89"/>
      <w:bookmarkEnd w:id="90"/>
      <w:bookmarkEnd w:id="91"/>
      <w:bookmarkEnd w:id="92"/>
      <w:bookmarkEnd w:id="93"/>
      <w:bookmarkEnd w:id="94"/>
      <w:bookmarkEnd w:id="95"/>
      <w:bookmarkEnd w:id="96"/>
    </w:p>
    <w:p w14:paraId="284E7464">
      <w:pPr>
        <w:pStyle w:val="403"/>
        <w:spacing w:line="460" w:lineRule="exact"/>
        <w:ind w:firstLine="480" w:firstLineChars="200"/>
        <w:rPr>
          <w:rFonts w:hint="eastAsia" w:eastAsia="宋体" w:cs="宋体"/>
          <w:snapToGrid w:val="0"/>
        </w:rPr>
      </w:pPr>
      <w:r>
        <w:rPr>
          <w:rFonts w:hint="eastAsia" w:eastAsia="宋体" w:cs="宋体"/>
          <w:snapToGrid w:val="0"/>
        </w:rPr>
        <w:t>组成合同的各项文件应互相解释，互为说明。除专用合同条款另有约定外，解释合同文件的优先顺序如下：</w:t>
      </w:r>
    </w:p>
    <w:p w14:paraId="1D8D3CD8">
      <w:pPr>
        <w:pStyle w:val="403"/>
        <w:spacing w:line="460" w:lineRule="exact"/>
        <w:ind w:firstLine="480" w:firstLineChars="200"/>
        <w:rPr>
          <w:rFonts w:hint="eastAsia" w:eastAsia="宋体" w:cs="宋体"/>
          <w:snapToGrid w:val="0"/>
        </w:rPr>
      </w:pPr>
      <w:r>
        <w:rPr>
          <w:rFonts w:hint="eastAsia" w:eastAsia="宋体" w:cs="宋体"/>
          <w:snapToGrid w:val="0"/>
        </w:rPr>
        <w:t>（1）合同协议书；</w:t>
      </w:r>
    </w:p>
    <w:p w14:paraId="526974BC">
      <w:pPr>
        <w:pStyle w:val="403"/>
        <w:spacing w:line="460" w:lineRule="exact"/>
        <w:ind w:firstLine="480" w:firstLineChars="200"/>
        <w:rPr>
          <w:rFonts w:hint="eastAsia" w:eastAsia="宋体" w:cs="宋体"/>
          <w:snapToGrid w:val="0"/>
        </w:rPr>
      </w:pPr>
      <w:r>
        <w:rPr>
          <w:rFonts w:hint="eastAsia" w:eastAsia="宋体" w:cs="宋体"/>
          <w:snapToGrid w:val="0"/>
        </w:rPr>
        <w:t>（2）中标通知书；</w:t>
      </w:r>
    </w:p>
    <w:p w14:paraId="090EC9DE">
      <w:pPr>
        <w:pStyle w:val="403"/>
        <w:spacing w:line="460" w:lineRule="exact"/>
        <w:ind w:firstLine="480" w:firstLineChars="200"/>
        <w:rPr>
          <w:rFonts w:hint="eastAsia" w:eastAsia="宋体" w:cs="宋体"/>
          <w:snapToGrid w:val="0"/>
        </w:rPr>
      </w:pPr>
      <w:r>
        <w:rPr>
          <w:rFonts w:hint="eastAsia" w:eastAsia="宋体" w:cs="宋体"/>
          <w:snapToGrid w:val="0"/>
        </w:rPr>
        <w:t>（3）投标函及投标函附录；</w:t>
      </w:r>
    </w:p>
    <w:p w14:paraId="717FD113">
      <w:pPr>
        <w:pStyle w:val="403"/>
        <w:spacing w:line="460" w:lineRule="exact"/>
        <w:ind w:firstLine="480" w:firstLineChars="200"/>
        <w:rPr>
          <w:rFonts w:hint="eastAsia" w:eastAsia="宋体" w:cs="宋体"/>
          <w:snapToGrid w:val="0"/>
        </w:rPr>
      </w:pPr>
      <w:r>
        <w:rPr>
          <w:rFonts w:hint="eastAsia" w:eastAsia="宋体" w:cs="宋体"/>
          <w:snapToGrid w:val="0"/>
        </w:rPr>
        <w:t>（4）专用合同条款；</w:t>
      </w:r>
    </w:p>
    <w:p w14:paraId="684ABB2C">
      <w:pPr>
        <w:pStyle w:val="403"/>
        <w:spacing w:line="460" w:lineRule="exact"/>
        <w:ind w:firstLine="480" w:firstLineChars="200"/>
        <w:rPr>
          <w:rFonts w:hint="eastAsia" w:eastAsia="宋体" w:cs="宋体"/>
          <w:snapToGrid w:val="0"/>
        </w:rPr>
      </w:pPr>
      <w:r>
        <w:rPr>
          <w:rFonts w:hint="eastAsia" w:eastAsia="宋体" w:cs="宋体"/>
          <w:snapToGrid w:val="0"/>
        </w:rPr>
        <w:t>（5）通用合同条款；</w:t>
      </w:r>
    </w:p>
    <w:p w14:paraId="0FFE9156">
      <w:pPr>
        <w:pStyle w:val="403"/>
        <w:spacing w:line="460" w:lineRule="exact"/>
        <w:ind w:firstLine="480" w:firstLineChars="200"/>
        <w:rPr>
          <w:rFonts w:hint="eastAsia" w:eastAsia="宋体" w:cs="宋体"/>
          <w:snapToGrid w:val="0"/>
        </w:rPr>
      </w:pPr>
      <w:r>
        <w:rPr>
          <w:rFonts w:hint="eastAsia" w:eastAsia="宋体" w:cs="宋体"/>
          <w:snapToGrid w:val="0"/>
        </w:rPr>
        <w:t>（6）发包人要求；</w:t>
      </w:r>
    </w:p>
    <w:p w14:paraId="3A972134">
      <w:pPr>
        <w:pStyle w:val="403"/>
        <w:spacing w:line="460" w:lineRule="exact"/>
        <w:ind w:firstLine="480" w:firstLineChars="200"/>
        <w:rPr>
          <w:rFonts w:hint="eastAsia" w:eastAsia="宋体" w:cs="宋体"/>
          <w:snapToGrid w:val="0"/>
        </w:rPr>
      </w:pPr>
      <w:r>
        <w:rPr>
          <w:rFonts w:hint="eastAsia" w:eastAsia="宋体" w:cs="宋体"/>
          <w:snapToGrid w:val="0"/>
        </w:rPr>
        <w:t xml:space="preserve">（7）承包人建议书； </w:t>
      </w:r>
    </w:p>
    <w:p w14:paraId="43A579E2">
      <w:pPr>
        <w:pStyle w:val="403"/>
        <w:spacing w:line="460" w:lineRule="exact"/>
        <w:ind w:firstLine="480" w:firstLineChars="200"/>
        <w:rPr>
          <w:rFonts w:hint="eastAsia" w:eastAsia="宋体" w:cs="宋体"/>
          <w:snapToGrid w:val="0"/>
        </w:rPr>
      </w:pPr>
      <w:r>
        <w:rPr>
          <w:rFonts w:hint="eastAsia" w:eastAsia="宋体" w:cs="宋体"/>
          <w:snapToGrid w:val="0"/>
        </w:rPr>
        <w:t>（8）价格清单；</w:t>
      </w:r>
    </w:p>
    <w:p w14:paraId="7EE21E0B">
      <w:pPr>
        <w:pStyle w:val="403"/>
        <w:spacing w:line="460" w:lineRule="exact"/>
        <w:ind w:firstLine="480" w:firstLineChars="200"/>
        <w:rPr>
          <w:rFonts w:hint="eastAsia" w:eastAsia="宋体" w:cs="宋体"/>
          <w:snapToGrid w:val="0"/>
        </w:rPr>
      </w:pPr>
      <w:r>
        <w:rPr>
          <w:rFonts w:hint="eastAsia" w:eastAsia="宋体" w:cs="宋体"/>
          <w:snapToGrid w:val="0"/>
        </w:rPr>
        <w:t>（9）其他合同文件。</w:t>
      </w:r>
    </w:p>
    <w:p w14:paraId="6D370106">
      <w:pPr>
        <w:pStyle w:val="403"/>
        <w:spacing w:line="460" w:lineRule="exact"/>
        <w:ind w:firstLine="480" w:firstLineChars="200"/>
        <w:rPr>
          <w:rFonts w:hint="eastAsia" w:eastAsia="宋体" w:cs="宋体"/>
          <w:snapToGrid w:val="0"/>
        </w:rPr>
      </w:pPr>
      <w:bookmarkStart w:id="97" w:name="_Toc476860359"/>
      <w:bookmarkStart w:id="98" w:name="_Toc247514040"/>
      <w:bookmarkStart w:id="99" w:name="_Toc68594749"/>
      <w:bookmarkStart w:id="100" w:name="_Toc410559342"/>
      <w:bookmarkStart w:id="101" w:name="_Toc300835037"/>
      <w:bookmarkStart w:id="102" w:name="_Toc411736148"/>
      <w:bookmarkStart w:id="103" w:name="_Toc247527641"/>
      <w:bookmarkStart w:id="104" w:name="_Toc411736424"/>
      <w:r>
        <w:rPr>
          <w:rFonts w:hint="eastAsia" w:eastAsia="宋体" w:cs="宋体"/>
          <w:snapToGrid w:val="0"/>
        </w:rPr>
        <w:t>1.5 合同协议书</w:t>
      </w:r>
      <w:bookmarkEnd w:id="97"/>
      <w:bookmarkEnd w:id="98"/>
      <w:bookmarkEnd w:id="99"/>
      <w:bookmarkEnd w:id="100"/>
      <w:bookmarkEnd w:id="101"/>
      <w:bookmarkEnd w:id="102"/>
      <w:bookmarkEnd w:id="103"/>
      <w:bookmarkEnd w:id="104"/>
    </w:p>
    <w:p w14:paraId="2A6C179C">
      <w:pPr>
        <w:pStyle w:val="403"/>
        <w:spacing w:line="460" w:lineRule="exact"/>
        <w:ind w:firstLine="480" w:firstLineChars="200"/>
        <w:rPr>
          <w:rFonts w:hint="eastAsia" w:eastAsia="宋体" w:cs="宋体"/>
          <w:snapToGrid w:val="0"/>
        </w:rPr>
      </w:pPr>
      <w:r>
        <w:rPr>
          <w:rFonts w:hint="eastAsia" w:eastAsia="宋体" w:cs="宋体"/>
          <w:snapToGrid w:val="0"/>
        </w:rPr>
        <w:t>承包人按中标通知书规定的时间与发包人签订合同协议书。除法律另有规定或合同另有约定外，发包人和承包人的法定代表人或其委托代理人在合同协议书上签字并盖单位章后，合同生效。</w:t>
      </w:r>
    </w:p>
    <w:p w14:paraId="7BCB7FB5">
      <w:pPr>
        <w:pStyle w:val="403"/>
        <w:spacing w:line="460" w:lineRule="exact"/>
        <w:ind w:firstLine="480" w:firstLineChars="200"/>
        <w:rPr>
          <w:rFonts w:hint="eastAsia" w:eastAsia="宋体" w:cs="宋体"/>
          <w:snapToGrid w:val="0"/>
        </w:rPr>
      </w:pPr>
      <w:bookmarkStart w:id="105" w:name="_Toc247527642"/>
      <w:bookmarkStart w:id="106" w:name="_Toc247514041"/>
      <w:bookmarkStart w:id="107" w:name="_Toc411736149"/>
      <w:bookmarkStart w:id="108" w:name="_Toc476860360"/>
      <w:bookmarkStart w:id="109" w:name="_Toc68594750"/>
      <w:bookmarkStart w:id="110" w:name="_Toc411736425"/>
      <w:bookmarkStart w:id="111" w:name="_Toc300835038"/>
      <w:bookmarkStart w:id="112" w:name="_Toc410559343"/>
      <w:r>
        <w:rPr>
          <w:rFonts w:hint="eastAsia" w:eastAsia="宋体" w:cs="宋体"/>
          <w:snapToGrid w:val="0"/>
        </w:rPr>
        <w:t>1.6 文件的提供和</w:t>
      </w:r>
      <w:bookmarkEnd w:id="105"/>
      <w:bookmarkEnd w:id="106"/>
      <w:r>
        <w:rPr>
          <w:rFonts w:hint="eastAsia" w:eastAsia="宋体" w:cs="宋体"/>
          <w:snapToGrid w:val="0"/>
        </w:rPr>
        <w:t>照管</w:t>
      </w:r>
      <w:bookmarkEnd w:id="107"/>
      <w:bookmarkEnd w:id="108"/>
      <w:bookmarkEnd w:id="109"/>
      <w:bookmarkEnd w:id="110"/>
      <w:bookmarkEnd w:id="111"/>
      <w:bookmarkEnd w:id="112"/>
    </w:p>
    <w:p w14:paraId="408E5A38">
      <w:pPr>
        <w:pStyle w:val="403"/>
        <w:spacing w:line="460" w:lineRule="exact"/>
        <w:ind w:firstLine="480" w:firstLineChars="200"/>
        <w:rPr>
          <w:rFonts w:hint="eastAsia" w:eastAsia="宋体" w:cs="宋体"/>
          <w:snapToGrid w:val="0"/>
        </w:rPr>
      </w:pPr>
      <w:r>
        <w:rPr>
          <w:rFonts w:hint="eastAsia" w:eastAsia="宋体" w:cs="宋体"/>
          <w:snapToGrid w:val="0"/>
        </w:rPr>
        <w:t>1.6.1 承包人文件的提供</w:t>
      </w:r>
    </w:p>
    <w:p w14:paraId="6B1D8E60">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承包人应在合理的期限内按照合同约定的数量向监理人提供承包人文件。合同约定承包人文件应批准的，监理人应当在合同约定的期限内批复。承包人的设计文件的提供和审查按第5.3款和第5.5款的约定执行。</w:t>
      </w:r>
    </w:p>
    <w:p w14:paraId="59E6CC22">
      <w:pPr>
        <w:pStyle w:val="403"/>
        <w:spacing w:line="460" w:lineRule="exact"/>
        <w:ind w:firstLine="480" w:firstLineChars="200"/>
        <w:rPr>
          <w:rFonts w:hint="eastAsia" w:eastAsia="宋体" w:cs="宋体"/>
          <w:snapToGrid w:val="0"/>
        </w:rPr>
      </w:pPr>
      <w:r>
        <w:rPr>
          <w:rFonts w:hint="eastAsia" w:eastAsia="宋体" w:cs="宋体"/>
          <w:snapToGrid w:val="0"/>
        </w:rPr>
        <w:t>1.6.2 发包人提供的文件</w:t>
      </w:r>
    </w:p>
    <w:p w14:paraId="7AEDF4BF">
      <w:pPr>
        <w:pStyle w:val="403"/>
        <w:spacing w:line="460" w:lineRule="exact"/>
        <w:ind w:firstLine="480" w:firstLineChars="200"/>
        <w:rPr>
          <w:rFonts w:hint="eastAsia" w:eastAsia="宋体" w:cs="宋体"/>
          <w:snapToGrid w:val="0"/>
        </w:rPr>
      </w:pPr>
      <w:r>
        <w:rPr>
          <w:rFonts w:hint="eastAsia" w:eastAsia="宋体" w:cs="宋体"/>
          <w:snapToGrid w:val="0"/>
        </w:rPr>
        <w:t>按专用合同条款约定由发包人提供的文件，包括前期工作相关文件、环境保护、气象水文、地质条件等，发包人应按约定的数量和期限交给承包人。由于发包人未按时提供文件造成工期延误的，按第11.3款约定执行。</w:t>
      </w:r>
    </w:p>
    <w:p w14:paraId="5B216331">
      <w:pPr>
        <w:pStyle w:val="403"/>
        <w:spacing w:line="460" w:lineRule="exact"/>
        <w:ind w:firstLine="480" w:firstLineChars="200"/>
        <w:rPr>
          <w:rFonts w:hint="eastAsia" w:eastAsia="宋体" w:cs="宋体"/>
          <w:snapToGrid w:val="0"/>
        </w:rPr>
      </w:pPr>
      <w:r>
        <w:rPr>
          <w:rFonts w:hint="eastAsia" w:eastAsia="宋体" w:cs="宋体"/>
          <w:snapToGrid w:val="0"/>
        </w:rPr>
        <w:t>1.6.3 文件错误的通知</w:t>
      </w:r>
    </w:p>
    <w:p w14:paraId="0114F8C2">
      <w:pPr>
        <w:pStyle w:val="403"/>
        <w:spacing w:line="460" w:lineRule="exact"/>
        <w:ind w:firstLine="480" w:firstLineChars="200"/>
        <w:rPr>
          <w:rFonts w:hint="eastAsia" w:eastAsia="宋体" w:cs="宋体"/>
          <w:snapToGrid w:val="0"/>
        </w:rPr>
      </w:pPr>
      <w:r>
        <w:rPr>
          <w:rFonts w:hint="eastAsia" w:eastAsia="宋体" w:cs="宋体"/>
          <w:snapToGrid w:val="0"/>
        </w:rPr>
        <w:t>任何一方发现了文件中存在的明显错误或疏忽，应及时通知另一方。</w:t>
      </w:r>
    </w:p>
    <w:p w14:paraId="75097AB8">
      <w:pPr>
        <w:pStyle w:val="403"/>
        <w:spacing w:line="460" w:lineRule="exact"/>
        <w:ind w:firstLine="480" w:firstLineChars="200"/>
        <w:rPr>
          <w:rFonts w:hint="eastAsia" w:eastAsia="宋体" w:cs="宋体"/>
          <w:snapToGrid w:val="0"/>
        </w:rPr>
      </w:pPr>
      <w:r>
        <w:rPr>
          <w:rFonts w:hint="eastAsia" w:eastAsia="宋体" w:cs="宋体"/>
          <w:snapToGrid w:val="0"/>
        </w:rPr>
        <w:t>1.6.4 文件的照管</w:t>
      </w:r>
    </w:p>
    <w:p w14:paraId="20A04051">
      <w:pPr>
        <w:pStyle w:val="403"/>
        <w:spacing w:line="460" w:lineRule="exact"/>
        <w:ind w:firstLine="480" w:firstLineChars="200"/>
        <w:rPr>
          <w:rFonts w:hint="eastAsia" w:eastAsia="宋体" w:cs="宋体"/>
          <w:snapToGrid w:val="0"/>
        </w:rPr>
      </w:pPr>
      <w:r>
        <w:rPr>
          <w:rFonts w:hint="eastAsia" w:eastAsia="宋体" w:cs="宋体"/>
          <w:snapToGrid w:val="0"/>
        </w:rPr>
        <w:t>承包人应在现场保留一份合同、发包人要求中列出的所有文件、承包人文件、变更以及其它根据合同收发的往来信函。发包人有权在任何合理的时间查阅和使用上述所有文件。</w:t>
      </w:r>
      <w:bookmarkStart w:id="113" w:name="_Toc247514042"/>
      <w:bookmarkStart w:id="114" w:name="_Toc247527643"/>
    </w:p>
    <w:p w14:paraId="62C5711E">
      <w:pPr>
        <w:pStyle w:val="403"/>
        <w:spacing w:line="460" w:lineRule="exact"/>
        <w:ind w:firstLine="480" w:firstLineChars="200"/>
        <w:rPr>
          <w:rFonts w:hint="eastAsia" w:eastAsia="宋体" w:cs="宋体"/>
          <w:snapToGrid w:val="0"/>
        </w:rPr>
      </w:pPr>
      <w:bookmarkStart w:id="115" w:name="_Toc411736426"/>
      <w:bookmarkStart w:id="116" w:name="_Toc300835039"/>
      <w:bookmarkStart w:id="117" w:name="_Toc411736150"/>
      <w:bookmarkStart w:id="118" w:name="_Toc410559344"/>
      <w:bookmarkStart w:id="119" w:name="_Toc476860361"/>
      <w:bookmarkStart w:id="120" w:name="_Toc68594751"/>
      <w:r>
        <w:rPr>
          <w:rFonts w:hint="eastAsia" w:eastAsia="宋体" w:cs="宋体"/>
          <w:snapToGrid w:val="0"/>
        </w:rPr>
        <w:t>1.7 联络</w:t>
      </w:r>
      <w:bookmarkEnd w:id="113"/>
      <w:bookmarkEnd w:id="114"/>
      <w:bookmarkEnd w:id="115"/>
      <w:bookmarkEnd w:id="116"/>
      <w:bookmarkEnd w:id="117"/>
      <w:bookmarkEnd w:id="118"/>
      <w:bookmarkEnd w:id="119"/>
      <w:bookmarkEnd w:id="120"/>
    </w:p>
    <w:p w14:paraId="49D9AF8B">
      <w:pPr>
        <w:pStyle w:val="403"/>
        <w:spacing w:line="460" w:lineRule="exact"/>
        <w:ind w:firstLine="480" w:firstLineChars="200"/>
        <w:rPr>
          <w:rFonts w:hint="eastAsia" w:eastAsia="宋体" w:cs="宋体"/>
          <w:snapToGrid w:val="0"/>
        </w:rPr>
      </w:pPr>
      <w:r>
        <w:rPr>
          <w:rFonts w:hint="eastAsia" w:eastAsia="宋体" w:cs="宋体"/>
          <w:snapToGrid w:val="0"/>
        </w:rPr>
        <w:t>1.7.1 与合同有关的通知、批准、证明、证书、指示、要求、请求、同意、意见、确定和决定等，均应采用书面形式。</w:t>
      </w:r>
    </w:p>
    <w:p w14:paraId="173E6064">
      <w:pPr>
        <w:pStyle w:val="403"/>
        <w:spacing w:line="460" w:lineRule="exact"/>
        <w:ind w:firstLine="480" w:firstLineChars="200"/>
        <w:rPr>
          <w:rFonts w:hint="eastAsia" w:eastAsia="宋体" w:cs="宋体"/>
          <w:snapToGrid w:val="0"/>
        </w:rPr>
      </w:pPr>
      <w:r>
        <w:rPr>
          <w:rFonts w:hint="eastAsia" w:eastAsia="宋体" w:cs="宋体"/>
          <w:snapToGrid w:val="0"/>
        </w:rPr>
        <w:t>1.7.2 第1.7.1项中的通知、批准、证明、证书、指示、要求、请求、同意、意见、确定和决定等来往函件，均应在合同约定的期限内送达指定的地点和指定的接收人，并办理签收手续。</w:t>
      </w:r>
    </w:p>
    <w:p w14:paraId="38257474">
      <w:pPr>
        <w:pStyle w:val="403"/>
        <w:spacing w:line="460" w:lineRule="exact"/>
        <w:ind w:firstLine="480" w:firstLineChars="200"/>
        <w:rPr>
          <w:rFonts w:hint="eastAsia" w:eastAsia="宋体" w:cs="宋体"/>
          <w:snapToGrid w:val="0"/>
        </w:rPr>
      </w:pPr>
      <w:bookmarkStart w:id="121" w:name="_Toc410559345"/>
      <w:bookmarkStart w:id="122" w:name="_Toc300835040"/>
      <w:bookmarkStart w:id="123" w:name="_Toc247527644"/>
      <w:bookmarkStart w:id="124" w:name="_Toc68594752"/>
      <w:bookmarkStart w:id="125" w:name="_Toc247514043"/>
      <w:bookmarkStart w:id="126" w:name="_Toc476860362"/>
      <w:bookmarkStart w:id="127" w:name="_Toc411736151"/>
      <w:bookmarkStart w:id="128" w:name="_Toc411736427"/>
      <w:r>
        <w:rPr>
          <w:rFonts w:hint="eastAsia" w:eastAsia="宋体" w:cs="宋体"/>
          <w:snapToGrid w:val="0"/>
        </w:rPr>
        <w:t>1.8 转让</w:t>
      </w:r>
      <w:bookmarkEnd w:id="121"/>
      <w:bookmarkEnd w:id="122"/>
      <w:bookmarkEnd w:id="123"/>
      <w:bookmarkEnd w:id="124"/>
      <w:bookmarkEnd w:id="125"/>
      <w:bookmarkEnd w:id="126"/>
      <w:bookmarkEnd w:id="127"/>
      <w:bookmarkEnd w:id="128"/>
    </w:p>
    <w:p w14:paraId="20BCDF31">
      <w:pPr>
        <w:pStyle w:val="403"/>
        <w:spacing w:line="460" w:lineRule="exact"/>
        <w:ind w:firstLine="480" w:firstLineChars="200"/>
        <w:rPr>
          <w:rFonts w:hint="eastAsia" w:eastAsia="宋体" w:cs="宋体"/>
          <w:snapToGrid w:val="0"/>
        </w:rPr>
      </w:pPr>
      <w:r>
        <w:rPr>
          <w:rFonts w:hint="eastAsia" w:eastAsia="宋体" w:cs="宋体"/>
          <w:snapToGrid w:val="0"/>
        </w:rPr>
        <w:t>除合同另有约定外，未经承包人同意，发包人不得将合同权利全部或部分转让给第三人，也不得全部或部分转让合同义务。承包人不得将合同权利和义务全部转让给第三人，也不得将合同的义务全部或部分转让给第三人，法律另有规定的除外。</w:t>
      </w:r>
    </w:p>
    <w:p w14:paraId="5FA4EC3B">
      <w:pPr>
        <w:pStyle w:val="403"/>
        <w:spacing w:line="460" w:lineRule="exact"/>
        <w:ind w:firstLine="480" w:firstLineChars="200"/>
        <w:rPr>
          <w:rFonts w:hint="eastAsia" w:eastAsia="宋体" w:cs="宋体"/>
          <w:snapToGrid w:val="0"/>
        </w:rPr>
      </w:pPr>
      <w:bookmarkStart w:id="129" w:name="_Toc411736428"/>
      <w:bookmarkStart w:id="130" w:name="_Toc68594753"/>
      <w:bookmarkStart w:id="131" w:name="_Toc476860363"/>
      <w:bookmarkStart w:id="132" w:name="_Toc411736152"/>
      <w:bookmarkStart w:id="133" w:name="_Toc410559346"/>
      <w:bookmarkStart w:id="134" w:name="_Toc247514044"/>
      <w:bookmarkStart w:id="135" w:name="_Toc300835041"/>
      <w:bookmarkStart w:id="136" w:name="_Toc247527645"/>
      <w:r>
        <w:rPr>
          <w:rFonts w:hint="eastAsia" w:eastAsia="宋体" w:cs="宋体"/>
          <w:snapToGrid w:val="0"/>
        </w:rPr>
        <w:t>1.9 严禁贿赂</w:t>
      </w:r>
      <w:bookmarkEnd w:id="129"/>
      <w:bookmarkEnd w:id="130"/>
      <w:bookmarkEnd w:id="131"/>
      <w:bookmarkEnd w:id="132"/>
      <w:bookmarkEnd w:id="133"/>
      <w:bookmarkEnd w:id="134"/>
      <w:bookmarkEnd w:id="135"/>
      <w:bookmarkEnd w:id="136"/>
    </w:p>
    <w:p w14:paraId="6711C254">
      <w:pPr>
        <w:pStyle w:val="403"/>
        <w:spacing w:line="460" w:lineRule="exact"/>
        <w:ind w:firstLine="480" w:firstLineChars="200"/>
        <w:rPr>
          <w:rFonts w:hint="eastAsia" w:eastAsia="宋体" w:cs="宋体"/>
          <w:snapToGrid w:val="0"/>
        </w:rPr>
      </w:pPr>
      <w:r>
        <w:rPr>
          <w:rFonts w:hint="eastAsia" w:eastAsia="宋体" w:cs="宋体"/>
          <w:snapToGrid w:val="0"/>
        </w:rPr>
        <w:t>合同双方当事人不得以贿赂或变相贿赂的方式，谋取不当利益或损害对方权益。因贿赂造成对方损失的，行为人应赔偿损失，并承担相应的法律责任。</w:t>
      </w:r>
    </w:p>
    <w:p w14:paraId="3B60AC29">
      <w:pPr>
        <w:pStyle w:val="403"/>
        <w:spacing w:line="460" w:lineRule="exact"/>
        <w:ind w:firstLine="480" w:firstLineChars="200"/>
        <w:rPr>
          <w:rFonts w:hint="eastAsia" w:eastAsia="宋体" w:cs="宋体"/>
          <w:snapToGrid w:val="0"/>
        </w:rPr>
      </w:pPr>
      <w:bookmarkStart w:id="137" w:name="_Toc410559347"/>
      <w:bookmarkStart w:id="138" w:name="_Toc411736153"/>
      <w:bookmarkStart w:id="139" w:name="_Toc247514045"/>
      <w:bookmarkStart w:id="140" w:name="_Toc411736429"/>
      <w:bookmarkStart w:id="141" w:name="_Toc300835042"/>
      <w:bookmarkStart w:id="142" w:name="_Toc247527646"/>
      <w:bookmarkStart w:id="143" w:name="_Toc68594754"/>
      <w:bookmarkStart w:id="144" w:name="_Toc476860364"/>
      <w:r>
        <w:rPr>
          <w:rFonts w:hint="eastAsia" w:eastAsia="宋体" w:cs="宋体"/>
          <w:snapToGrid w:val="0"/>
        </w:rPr>
        <w:t>1.10 化石、文物</w:t>
      </w:r>
      <w:bookmarkEnd w:id="137"/>
      <w:bookmarkEnd w:id="138"/>
      <w:bookmarkEnd w:id="139"/>
      <w:bookmarkEnd w:id="140"/>
      <w:bookmarkEnd w:id="141"/>
      <w:bookmarkEnd w:id="142"/>
      <w:bookmarkEnd w:id="143"/>
      <w:bookmarkEnd w:id="144"/>
    </w:p>
    <w:p w14:paraId="62A4DC1A">
      <w:pPr>
        <w:pStyle w:val="403"/>
        <w:spacing w:line="460" w:lineRule="exact"/>
        <w:ind w:firstLine="480" w:firstLineChars="200"/>
        <w:rPr>
          <w:rFonts w:hint="eastAsia" w:eastAsia="宋体" w:cs="宋体"/>
          <w:snapToGrid w:val="0"/>
        </w:rPr>
      </w:pPr>
      <w:r>
        <w:rPr>
          <w:rFonts w:hint="eastAsia" w:eastAsia="宋体" w:cs="宋体"/>
          <w:snapToGrid w:val="0"/>
        </w:rPr>
        <w:t>1.10.1 在施工场地发掘的所有文物、古迹以及具有地质研究或考古价值的其他遗迹、化石、钱币或物品属于国家所有。一旦发现上述文物，承包人应采取有效合理的保护措施，防止任何人员移动或损坏上述物品，并立即报告当地文物行政部门，同时通知监理人和发包人。发包人、监理人和承包人应按文物行政部门要求采取妥善保护措施，由此导致费用增加和（或）工期延误由发包人承担。</w:t>
      </w:r>
    </w:p>
    <w:p w14:paraId="573AFCB3">
      <w:pPr>
        <w:pStyle w:val="403"/>
        <w:spacing w:line="460" w:lineRule="exact"/>
        <w:ind w:firstLine="480" w:firstLineChars="200"/>
        <w:rPr>
          <w:rFonts w:hint="eastAsia" w:eastAsia="宋体" w:cs="宋体"/>
          <w:snapToGrid w:val="0"/>
        </w:rPr>
      </w:pPr>
      <w:r>
        <w:rPr>
          <w:rFonts w:hint="eastAsia" w:eastAsia="宋体" w:cs="宋体"/>
          <w:snapToGrid w:val="0"/>
        </w:rPr>
        <w:t>1.10.2 承包人发现文物后不及时报告或隐瞒不报，致使文物丢失或损坏的，应赔偿损失，并承担相应的法律责任。</w:t>
      </w:r>
    </w:p>
    <w:p w14:paraId="6FD8909D">
      <w:pPr>
        <w:pStyle w:val="403"/>
        <w:spacing w:line="460" w:lineRule="exact"/>
        <w:ind w:firstLine="480" w:firstLineChars="200"/>
        <w:rPr>
          <w:rFonts w:hint="eastAsia" w:eastAsia="宋体" w:cs="宋体"/>
          <w:snapToGrid w:val="0"/>
        </w:rPr>
      </w:pPr>
      <w:bookmarkStart w:id="145" w:name="_Toc247527647"/>
      <w:bookmarkStart w:id="146" w:name="_Toc247514046"/>
      <w:bookmarkStart w:id="147" w:name="_Toc411736154"/>
      <w:bookmarkStart w:id="148" w:name="_Toc68594755"/>
      <w:bookmarkStart w:id="149" w:name="_Toc411736430"/>
      <w:bookmarkStart w:id="150" w:name="_Toc300835043"/>
      <w:bookmarkStart w:id="151" w:name="_Toc476860365"/>
      <w:bookmarkStart w:id="152" w:name="_Toc410559348"/>
      <w:r>
        <w:rPr>
          <w:rFonts w:hint="eastAsia" w:eastAsia="宋体" w:cs="宋体"/>
          <w:snapToGrid w:val="0"/>
        </w:rPr>
        <w:t xml:space="preserve">1.11 </w:t>
      </w:r>
      <w:bookmarkEnd w:id="145"/>
      <w:bookmarkEnd w:id="146"/>
      <w:r>
        <w:rPr>
          <w:rFonts w:hint="eastAsia" w:eastAsia="宋体" w:cs="宋体"/>
          <w:snapToGrid w:val="0"/>
        </w:rPr>
        <w:t>知识产权</w:t>
      </w:r>
      <w:bookmarkEnd w:id="147"/>
      <w:bookmarkEnd w:id="148"/>
      <w:bookmarkEnd w:id="149"/>
      <w:bookmarkEnd w:id="150"/>
      <w:bookmarkEnd w:id="151"/>
      <w:bookmarkEnd w:id="152"/>
    </w:p>
    <w:p w14:paraId="22BFBFFA">
      <w:pPr>
        <w:pStyle w:val="403"/>
        <w:spacing w:line="460" w:lineRule="exact"/>
        <w:ind w:firstLine="480" w:firstLineChars="200"/>
        <w:rPr>
          <w:rFonts w:hint="eastAsia" w:eastAsia="宋体" w:cs="宋体"/>
          <w:snapToGrid w:val="0"/>
        </w:rPr>
      </w:pPr>
      <w:r>
        <w:rPr>
          <w:rFonts w:hint="eastAsia" w:eastAsia="宋体" w:cs="宋体"/>
          <w:snapToGrid w:val="0"/>
        </w:rPr>
        <w:t>1.11.1除专用合同条款另有约定外，承包人完成的设计工作成果和建造完成的建筑物，除署名权以外的著作权以及建筑物形象使用收益等其他知识产权均归发包人享有。</w:t>
      </w:r>
    </w:p>
    <w:p w14:paraId="54A5C065">
      <w:pPr>
        <w:pStyle w:val="403"/>
        <w:spacing w:line="460" w:lineRule="exact"/>
        <w:ind w:firstLine="480" w:firstLineChars="200"/>
        <w:rPr>
          <w:rFonts w:hint="eastAsia" w:eastAsia="宋体" w:cs="宋体"/>
          <w:snapToGrid w:val="0"/>
        </w:rPr>
      </w:pPr>
      <w:r>
        <w:rPr>
          <w:rFonts w:hint="eastAsia" w:eastAsia="宋体" w:cs="宋体"/>
          <w:snapToGrid w:val="0"/>
        </w:rPr>
        <w:t>1.11.2 承包人在进行设计，以及使用任何材料、承包人设备、工程设备或采用施工工艺时，因侵犯专利权或其他知识产权所引起的责任，由承包人承担。</w:t>
      </w:r>
    </w:p>
    <w:p w14:paraId="422F4ABA">
      <w:pPr>
        <w:pStyle w:val="403"/>
        <w:spacing w:line="460" w:lineRule="exact"/>
        <w:ind w:firstLine="480" w:firstLineChars="200"/>
        <w:rPr>
          <w:rFonts w:hint="eastAsia" w:eastAsia="宋体" w:cs="宋体"/>
          <w:snapToGrid w:val="0"/>
        </w:rPr>
      </w:pPr>
      <w:r>
        <w:rPr>
          <w:rFonts w:hint="eastAsia" w:eastAsia="宋体" w:cs="宋体"/>
          <w:snapToGrid w:val="0"/>
        </w:rPr>
        <w:t>1.11.3 承包人在投标文件中采用专利技术的，专利技术的使用费包含在投标报价内。</w:t>
      </w:r>
      <w:bookmarkStart w:id="153" w:name="_Toc247527648"/>
      <w:bookmarkStart w:id="154" w:name="_Toc247514047"/>
    </w:p>
    <w:p w14:paraId="5768E7C4">
      <w:pPr>
        <w:pStyle w:val="403"/>
        <w:spacing w:line="460" w:lineRule="exact"/>
        <w:ind w:firstLine="480" w:firstLineChars="200"/>
        <w:rPr>
          <w:rFonts w:hint="eastAsia" w:eastAsia="宋体" w:cs="宋体"/>
          <w:snapToGrid w:val="0"/>
        </w:rPr>
      </w:pPr>
      <w:bookmarkStart w:id="155" w:name="_Toc68594756"/>
      <w:bookmarkStart w:id="156" w:name="_Toc476860366"/>
      <w:bookmarkStart w:id="157" w:name="_Toc411736431"/>
      <w:bookmarkStart w:id="158" w:name="_Toc411736155"/>
      <w:bookmarkStart w:id="159" w:name="_Toc410559349"/>
      <w:bookmarkStart w:id="160" w:name="_Toc300835044"/>
      <w:r>
        <w:rPr>
          <w:rFonts w:hint="eastAsia" w:eastAsia="宋体" w:cs="宋体"/>
          <w:snapToGrid w:val="0"/>
        </w:rPr>
        <w:t>1.12 文件及信息的保密</w:t>
      </w:r>
      <w:bookmarkEnd w:id="153"/>
      <w:bookmarkEnd w:id="154"/>
      <w:bookmarkEnd w:id="155"/>
      <w:bookmarkEnd w:id="156"/>
      <w:bookmarkEnd w:id="157"/>
      <w:bookmarkEnd w:id="158"/>
      <w:bookmarkEnd w:id="159"/>
      <w:bookmarkEnd w:id="160"/>
    </w:p>
    <w:p w14:paraId="437E4A89">
      <w:pPr>
        <w:pStyle w:val="403"/>
        <w:spacing w:line="460" w:lineRule="exact"/>
        <w:ind w:firstLine="480" w:firstLineChars="200"/>
        <w:rPr>
          <w:rFonts w:hint="eastAsia" w:eastAsia="宋体" w:cs="宋体"/>
          <w:snapToGrid w:val="0"/>
        </w:rPr>
      </w:pPr>
      <w:r>
        <w:rPr>
          <w:rFonts w:hint="eastAsia" w:eastAsia="宋体" w:cs="宋体"/>
          <w:snapToGrid w:val="0"/>
        </w:rPr>
        <w:t>未经对方同意，任何一方当事人不得将有关文件、技术秘密、需要保密的资料和信息泄露给他人或公开发表与引用。</w:t>
      </w:r>
    </w:p>
    <w:p w14:paraId="4E5CC896">
      <w:pPr>
        <w:pStyle w:val="403"/>
        <w:spacing w:line="460" w:lineRule="exact"/>
        <w:ind w:firstLine="480" w:firstLineChars="200"/>
        <w:rPr>
          <w:rFonts w:hint="eastAsia" w:eastAsia="宋体" w:cs="宋体"/>
          <w:snapToGrid w:val="0"/>
        </w:rPr>
      </w:pPr>
      <w:bookmarkStart w:id="161" w:name="_Toc411736432"/>
      <w:bookmarkStart w:id="162" w:name="_Toc300835046"/>
      <w:bookmarkStart w:id="163" w:name="_Toc68594757"/>
      <w:bookmarkStart w:id="164" w:name="_Toc410559350"/>
      <w:bookmarkStart w:id="165" w:name="_Toc411736156"/>
      <w:bookmarkStart w:id="166" w:name="_Toc476860367"/>
      <w:r>
        <w:rPr>
          <w:rFonts w:hint="eastAsia" w:eastAsia="宋体" w:cs="宋体"/>
          <w:snapToGrid w:val="0"/>
        </w:rPr>
        <w:t>1.13 发包人要求中的错误（B）</w:t>
      </w:r>
      <w:bookmarkEnd w:id="161"/>
      <w:bookmarkEnd w:id="162"/>
      <w:bookmarkEnd w:id="163"/>
      <w:bookmarkEnd w:id="164"/>
      <w:bookmarkEnd w:id="165"/>
      <w:bookmarkEnd w:id="166"/>
    </w:p>
    <w:p w14:paraId="05F4341F">
      <w:pPr>
        <w:pStyle w:val="403"/>
        <w:spacing w:line="460" w:lineRule="exact"/>
        <w:ind w:firstLine="480" w:firstLineChars="200"/>
        <w:rPr>
          <w:rFonts w:hint="eastAsia" w:eastAsia="宋体" w:cs="宋体"/>
          <w:snapToGrid w:val="0"/>
        </w:rPr>
      </w:pPr>
      <w:r>
        <w:rPr>
          <w:rFonts w:hint="eastAsia" w:eastAsia="宋体" w:cs="宋体"/>
          <w:snapToGrid w:val="0"/>
        </w:rPr>
        <w:t>1.13.1 承包人应认真阅读、复核发包人要求，发现错误的，应及时书面通知发包人。发包人作相应修改的，按照第15条约定处理。对确实存在的错误，发包人坚持不作修改的，应承担由此导致承包人增加的费用和（或）延误的工期。</w:t>
      </w:r>
    </w:p>
    <w:p w14:paraId="7120DE51">
      <w:pPr>
        <w:pStyle w:val="403"/>
        <w:spacing w:line="460" w:lineRule="exact"/>
        <w:ind w:firstLine="480" w:firstLineChars="200"/>
        <w:rPr>
          <w:rFonts w:hint="eastAsia" w:eastAsia="宋体" w:cs="宋体"/>
          <w:snapToGrid w:val="0"/>
        </w:rPr>
      </w:pPr>
      <w:r>
        <w:rPr>
          <w:rFonts w:hint="eastAsia" w:eastAsia="宋体" w:cs="宋体"/>
          <w:snapToGrid w:val="0"/>
        </w:rPr>
        <w:t>1.13.2 承包人未发现发包人要求中存在错误的，承包人自行承担由此导致的费用增加和（或） 工期延误，但专用合同条款另有约定的除外。</w:t>
      </w:r>
    </w:p>
    <w:p w14:paraId="309A68FC">
      <w:pPr>
        <w:pStyle w:val="403"/>
        <w:spacing w:line="460" w:lineRule="exact"/>
        <w:ind w:firstLine="480" w:firstLineChars="200"/>
        <w:rPr>
          <w:rFonts w:hint="eastAsia" w:eastAsia="宋体" w:cs="宋体"/>
          <w:snapToGrid w:val="0"/>
        </w:rPr>
      </w:pPr>
      <w:r>
        <w:rPr>
          <w:rFonts w:hint="eastAsia" w:eastAsia="宋体" w:cs="宋体"/>
          <w:snapToGrid w:val="0"/>
        </w:rPr>
        <w:t>1.13.3 无论承包人发现与否，在任何情况下，发包人要求中的下列错误导致承包人增加的费用和（或）延误的工期，由发包人承担，并向承包人支付合理利润。</w:t>
      </w:r>
    </w:p>
    <w:p w14:paraId="47A2AFF3">
      <w:pPr>
        <w:pStyle w:val="403"/>
        <w:spacing w:line="460" w:lineRule="exact"/>
        <w:ind w:firstLine="480" w:firstLineChars="200"/>
        <w:rPr>
          <w:rFonts w:hint="eastAsia" w:eastAsia="宋体" w:cs="宋体"/>
          <w:snapToGrid w:val="0"/>
        </w:rPr>
      </w:pPr>
      <w:r>
        <w:rPr>
          <w:rFonts w:hint="eastAsia" w:eastAsia="宋体" w:cs="宋体"/>
          <w:snapToGrid w:val="0"/>
        </w:rPr>
        <w:t>（1）发包人要求中引用的原始数据和资料；</w:t>
      </w:r>
    </w:p>
    <w:p w14:paraId="2CF42455">
      <w:pPr>
        <w:pStyle w:val="403"/>
        <w:spacing w:line="460" w:lineRule="exact"/>
        <w:ind w:firstLine="480" w:firstLineChars="200"/>
        <w:rPr>
          <w:rFonts w:hint="eastAsia" w:eastAsia="宋体" w:cs="宋体"/>
          <w:snapToGrid w:val="0"/>
        </w:rPr>
      </w:pPr>
      <w:r>
        <w:rPr>
          <w:rFonts w:hint="eastAsia" w:eastAsia="宋体" w:cs="宋体"/>
          <w:snapToGrid w:val="0"/>
        </w:rPr>
        <w:t>（2）对工程或其任何部分的功能要求；</w:t>
      </w:r>
    </w:p>
    <w:p w14:paraId="7B92F0C9">
      <w:pPr>
        <w:pStyle w:val="403"/>
        <w:spacing w:line="460" w:lineRule="exact"/>
        <w:ind w:firstLine="480" w:firstLineChars="200"/>
        <w:rPr>
          <w:rFonts w:hint="eastAsia" w:eastAsia="宋体" w:cs="宋体"/>
          <w:snapToGrid w:val="0"/>
        </w:rPr>
      </w:pPr>
      <w:r>
        <w:rPr>
          <w:rFonts w:hint="eastAsia" w:eastAsia="宋体" w:cs="宋体"/>
          <w:snapToGrid w:val="0"/>
        </w:rPr>
        <w:t>（3）对工程的工艺安排或要求；</w:t>
      </w:r>
    </w:p>
    <w:p w14:paraId="047C3951">
      <w:pPr>
        <w:pStyle w:val="403"/>
        <w:spacing w:line="460" w:lineRule="exact"/>
        <w:ind w:firstLine="480" w:firstLineChars="200"/>
        <w:rPr>
          <w:rFonts w:hint="eastAsia" w:eastAsia="宋体" w:cs="宋体"/>
          <w:snapToGrid w:val="0"/>
        </w:rPr>
      </w:pPr>
      <w:r>
        <w:rPr>
          <w:rFonts w:hint="eastAsia" w:eastAsia="宋体" w:cs="宋体"/>
          <w:snapToGrid w:val="0"/>
        </w:rPr>
        <w:t>（4）试验和检验标准；</w:t>
      </w:r>
    </w:p>
    <w:p w14:paraId="644C4B5C">
      <w:pPr>
        <w:pStyle w:val="403"/>
        <w:spacing w:line="460" w:lineRule="exact"/>
        <w:ind w:firstLine="480" w:firstLineChars="200"/>
        <w:rPr>
          <w:rFonts w:hint="eastAsia" w:eastAsia="宋体" w:cs="宋体"/>
          <w:snapToGrid w:val="0"/>
        </w:rPr>
      </w:pPr>
      <w:r>
        <w:rPr>
          <w:rFonts w:hint="eastAsia" w:eastAsia="宋体" w:cs="宋体"/>
          <w:snapToGrid w:val="0"/>
        </w:rPr>
        <w:t>（5）除合同另有约定外，承包人无法核实的数据和资料。</w:t>
      </w:r>
    </w:p>
    <w:p w14:paraId="5D3ADC3B">
      <w:pPr>
        <w:pStyle w:val="403"/>
        <w:spacing w:line="460" w:lineRule="exact"/>
        <w:ind w:firstLine="480" w:firstLineChars="200"/>
        <w:rPr>
          <w:rFonts w:hint="eastAsia" w:eastAsia="宋体" w:cs="宋体"/>
          <w:snapToGrid w:val="0"/>
        </w:rPr>
      </w:pPr>
      <w:bookmarkStart w:id="167" w:name="_Toc68594758"/>
      <w:bookmarkStart w:id="168" w:name="_Toc476860368"/>
      <w:bookmarkStart w:id="169" w:name="_Toc300835047"/>
      <w:bookmarkStart w:id="170" w:name="_Toc410559351"/>
      <w:bookmarkStart w:id="171" w:name="_Toc411736157"/>
      <w:bookmarkStart w:id="172" w:name="_Toc411736433"/>
      <w:r>
        <w:rPr>
          <w:rFonts w:hint="eastAsia" w:eastAsia="宋体" w:cs="宋体"/>
          <w:snapToGrid w:val="0"/>
        </w:rPr>
        <w:t>1.14 发包人要求违法</w:t>
      </w:r>
      <w:bookmarkEnd w:id="167"/>
      <w:bookmarkEnd w:id="168"/>
      <w:bookmarkEnd w:id="169"/>
      <w:bookmarkEnd w:id="170"/>
      <w:bookmarkEnd w:id="171"/>
      <w:bookmarkEnd w:id="172"/>
    </w:p>
    <w:p w14:paraId="03EE9662">
      <w:pPr>
        <w:pStyle w:val="403"/>
        <w:spacing w:line="460" w:lineRule="exact"/>
        <w:ind w:firstLine="480" w:firstLineChars="200"/>
        <w:rPr>
          <w:rFonts w:hint="eastAsia" w:eastAsia="宋体" w:cs="宋体"/>
          <w:snapToGrid w:val="0"/>
        </w:rPr>
      </w:pPr>
      <w:r>
        <w:rPr>
          <w:rFonts w:hint="eastAsia" w:eastAsia="宋体" w:cs="宋体"/>
          <w:snapToGrid w:val="0"/>
        </w:rPr>
        <w:t>发包人要求违反法律规定的，承包人发现后应书面通知发包人，并要求其改正。发包人收到通知书后不予改正或不予答复的，承包人有权拒绝履行合同义务，直至解除合同。发包人应承担由此引起的承包人全部损失。</w:t>
      </w:r>
    </w:p>
    <w:p w14:paraId="2F706CF3">
      <w:pPr>
        <w:pStyle w:val="5"/>
        <w:spacing w:before="360" w:after="120" w:afterLines="50" w:line="480" w:lineRule="exact"/>
        <w:rPr>
          <w:rFonts w:hint="eastAsia" w:ascii="宋体" w:hAnsi="宋体" w:eastAsia="宋体" w:cs="宋体"/>
          <w:bCs/>
          <w:sz w:val="28"/>
          <w:szCs w:val="28"/>
        </w:rPr>
      </w:pPr>
      <w:bookmarkStart w:id="173" w:name="_Toc198803788"/>
      <w:bookmarkStart w:id="174" w:name="_Toc21010"/>
      <w:bookmarkStart w:id="175" w:name="_Toc68594759"/>
      <w:bookmarkStart w:id="176" w:name="_Toc410559352"/>
      <w:bookmarkStart w:id="177" w:name="_Toc476860369"/>
      <w:bookmarkStart w:id="178" w:name="_Toc247514049"/>
      <w:bookmarkStart w:id="179" w:name="_Toc247527650"/>
      <w:bookmarkStart w:id="180" w:name="_Toc411736434"/>
      <w:bookmarkStart w:id="181" w:name="_Toc411736158"/>
      <w:bookmarkStart w:id="182" w:name="_Toc83220592"/>
      <w:bookmarkStart w:id="183" w:name="_Toc184635099"/>
      <w:bookmarkStart w:id="184" w:name="_Toc176268721"/>
      <w:bookmarkStart w:id="185" w:name="_Toc300835048"/>
      <w:r>
        <w:rPr>
          <w:rFonts w:hint="eastAsia" w:ascii="宋体" w:hAnsi="宋体" w:eastAsia="宋体" w:cs="宋体"/>
          <w:bCs/>
          <w:sz w:val="28"/>
          <w:szCs w:val="28"/>
        </w:rPr>
        <w:t>2. 发包人义务</w:t>
      </w:r>
      <w:bookmarkEnd w:id="173"/>
      <w:bookmarkEnd w:id="174"/>
      <w:bookmarkEnd w:id="175"/>
      <w:bookmarkEnd w:id="176"/>
      <w:bookmarkEnd w:id="177"/>
      <w:bookmarkEnd w:id="178"/>
      <w:bookmarkEnd w:id="179"/>
      <w:bookmarkEnd w:id="180"/>
      <w:bookmarkEnd w:id="181"/>
      <w:bookmarkEnd w:id="182"/>
      <w:bookmarkEnd w:id="183"/>
      <w:bookmarkEnd w:id="184"/>
      <w:bookmarkEnd w:id="185"/>
    </w:p>
    <w:p w14:paraId="2E9F0375">
      <w:pPr>
        <w:pStyle w:val="403"/>
        <w:spacing w:line="460" w:lineRule="exact"/>
        <w:ind w:firstLine="480" w:firstLineChars="200"/>
        <w:rPr>
          <w:rFonts w:hint="eastAsia" w:eastAsia="宋体" w:cs="宋体"/>
          <w:snapToGrid w:val="0"/>
        </w:rPr>
      </w:pPr>
      <w:bookmarkStart w:id="186" w:name="_Toc247527651"/>
      <w:bookmarkStart w:id="187" w:name="_Toc300835049"/>
      <w:bookmarkStart w:id="188" w:name="_Toc411736159"/>
      <w:bookmarkStart w:id="189" w:name="_Toc247514050"/>
      <w:bookmarkStart w:id="190" w:name="_Toc476860370"/>
      <w:bookmarkStart w:id="191" w:name="_Toc411736435"/>
      <w:bookmarkStart w:id="192" w:name="_Toc68594760"/>
      <w:bookmarkStart w:id="193" w:name="_Toc410559353"/>
      <w:r>
        <w:rPr>
          <w:rFonts w:hint="eastAsia" w:eastAsia="宋体" w:cs="宋体"/>
          <w:snapToGrid w:val="0"/>
        </w:rPr>
        <w:t>2.1 遵守法律</w:t>
      </w:r>
      <w:bookmarkEnd w:id="186"/>
      <w:bookmarkEnd w:id="187"/>
      <w:bookmarkEnd w:id="188"/>
      <w:bookmarkEnd w:id="189"/>
      <w:bookmarkEnd w:id="190"/>
      <w:bookmarkEnd w:id="191"/>
      <w:bookmarkEnd w:id="192"/>
      <w:bookmarkEnd w:id="193"/>
    </w:p>
    <w:p w14:paraId="57CE39D1">
      <w:pPr>
        <w:pStyle w:val="403"/>
        <w:spacing w:line="460" w:lineRule="exact"/>
        <w:ind w:firstLine="480" w:firstLineChars="200"/>
        <w:rPr>
          <w:rFonts w:hint="eastAsia" w:eastAsia="宋体" w:cs="宋体"/>
          <w:snapToGrid w:val="0"/>
        </w:rPr>
      </w:pPr>
      <w:r>
        <w:rPr>
          <w:rFonts w:hint="eastAsia" w:eastAsia="宋体" w:cs="宋体"/>
          <w:snapToGrid w:val="0"/>
        </w:rPr>
        <w:t>发包人在履行合同过程中应遵守法律，并保证承包人免于承担因发包人违反法律而引起的任何责任。</w:t>
      </w:r>
    </w:p>
    <w:p w14:paraId="732EA6E2">
      <w:pPr>
        <w:pStyle w:val="403"/>
        <w:spacing w:line="460" w:lineRule="exact"/>
        <w:ind w:firstLine="480" w:firstLineChars="200"/>
        <w:rPr>
          <w:rFonts w:hint="eastAsia" w:eastAsia="宋体" w:cs="宋体"/>
          <w:snapToGrid w:val="0"/>
        </w:rPr>
      </w:pPr>
      <w:bookmarkStart w:id="194" w:name="_Toc476860371"/>
      <w:bookmarkStart w:id="195" w:name="_Toc247527652"/>
      <w:bookmarkStart w:id="196" w:name="_Toc300835050"/>
      <w:bookmarkStart w:id="197" w:name="_Toc411736436"/>
      <w:bookmarkStart w:id="198" w:name="_Toc411736160"/>
      <w:bookmarkStart w:id="199" w:name="_Toc68594761"/>
      <w:bookmarkStart w:id="200" w:name="_Toc247514051"/>
      <w:bookmarkStart w:id="201" w:name="_Toc410559354"/>
      <w:r>
        <w:rPr>
          <w:rFonts w:hint="eastAsia" w:eastAsia="宋体" w:cs="宋体"/>
          <w:snapToGrid w:val="0"/>
        </w:rPr>
        <w:t>2.2 发出承包人开始工作通知</w:t>
      </w:r>
      <w:bookmarkEnd w:id="194"/>
      <w:bookmarkEnd w:id="195"/>
      <w:bookmarkEnd w:id="196"/>
      <w:bookmarkEnd w:id="197"/>
      <w:bookmarkEnd w:id="198"/>
      <w:bookmarkEnd w:id="199"/>
      <w:bookmarkEnd w:id="200"/>
      <w:bookmarkEnd w:id="201"/>
    </w:p>
    <w:p w14:paraId="481FC9FC">
      <w:pPr>
        <w:pStyle w:val="403"/>
        <w:spacing w:line="460" w:lineRule="exact"/>
        <w:ind w:firstLine="480" w:firstLineChars="200"/>
        <w:rPr>
          <w:rFonts w:hint="eastAsia" w:eastAsia="宋体" w:cs="宋体"/>
          <w:snapToGrid w:val="0"/>
        </w:rPr>
      </w:pPr>
      <w:r>
        <w:rPr>
          <w:rFonts w:hint="eastAsia" w:eastAsia="宋体" w:cs="宋体"/>
          <w:snapToGrid w:val="0"/>
        </w:rPr>
        <w:t>发包人应委托监理人按第11.1 款的约定向承包人发出开始工作通知。</w:t>
      </w:r>
    </w:p>
    <w:p w14:paraId="7A0E1D38">
      <w:pPr>
        <w:pStyle w:val="403"/>
        <w:spacing w:line="460" w:lineRule="exact"/>
        <w:ind w:firstLine="480" w:firstLineChars="200"/>
        <w:rPr>
          <w:rFonts w:hint="eastAsia" w:eastAsia="宋体" w:cs="宋体"/>
          <w:snapToGrid w:val="0"/>
        </w:rPr>
      </w:pPr>
      <w:bookmarkStart w:id="202" w:name="_Toc300835051"/>
      <w:bookmarkStart w:id="203" w:name="_Toc411736161"/>
      <w:bookmarkStart w:id="204" w:name="_Toc411736437"/>
      <w:bookmarkStart w:id="205" w:name="_Toc410559355"/>
      <w:bookmarkStart w:id="206" w:name="_Toc247527653"/>
      <w:bookmarkStart w:id="207" w:name="_Toc68594762"/>
      <w:bookmarkStart w:id="208" w:name="_Toc476860372"/>
      <w:bookmarkStart w:id="209" w:name="_Toc247514052"/>
      <w:r>
        <w:rPr>
          <w:rFonts w:hint="eastAsia" w:eastAsia="宋体" w:cs="宋体"/>
          <w:snapToGrid w:val="0"/>
        </w:rPr>
        <w:t>2.3 提供施工场地</w:t>
      </w:r>
      <w:bookmarkEnd w:id="202"/>
      <w:bookmarkEnd w:id="203"/>
      <w:bookmarkEnd w:id="204"/>
      <w:bookmarkEnd w:id="205"/>
      <w:bookmarkEnd w:id="206"/>
      <w:bookmarkEnd w:id="207"/>
      <w:bookmarkEnd w:id="208"/>
      <w:bookmarkEnd w:id="209"/>
    </w:p>
    <w:p w14:paraId="1B27704E">
      <w:pPr>
        <w:pStyle w:val="403"/>
        <w:spacing w:line="460" w:lineRule="exact"/>
        <w:ind w:firstLine="480" w:firstLineChars="200"/>
        <w:rPr>
          <w:rFonts w:hint="eastAsia" w:eastAsia="宋体" w:cs="宋体"/>
          <w:snapToGrid w:val="0"/>
        </w:rPr>
      </w:pPr>
      <w:r>
        <w:rPr>
          <w:rFonts w:hint="eastAsia" w:eastAsia="宋体" w:cs="宋体"/>
          <w:snapToGrid w:val="0"/>
        </w:rPr>
        <w:t>发包人应按专用合同条款约定向承包人提供施工场地及进场施工条件，并明确与承包人的交接界面。</w:t>
      </w:r>
    </w:p>
    <w:p w14:paraId="00704D05">
      <w:pPr>
        <w:pStyle w:val="403"/>
        <w:spacing w:line="460" w:lineRule="exact"/>
        <w:ind w:firstLine="480" w:firstLineChars="200"/>
        <w:rPr>
          <w:rFonts w:hint="eastAsia" w:eastAsia="宋体" w:cs="宋体"/>
          <w:snapToGrid w:val="0"/>
        </w:rPr>
      </w:pPr>
      <w:bookmarkStart w:id="210" w:name="_Toc247514053"/>
      <w:bookmarkStart w:id="211" w:name="_Toc411736162"/>
      <w:bookmarkStart w:id="212" w:name="_Toc68594763"/>
      <w:bookmarkStart w:id="213" w:name="_Toc247527654"/>
      <w:bookmarkStart w:id="214" w:name="_Toc411736438"/>
      <w:bookmarkStart w:id="215" w:name="_Toc300835052"/>
      <w:bookmarkStart w:id="216" w:name="_Toc410559356"/>
      <w:bookmarkStart w:id="217" w:name="_Toc476860373"/>
      <w:r>
        <w:rPr>
          <w:rFonts w:hint="eastAsia" w:eastAsia="宋体" w:cs="宋体"/>
          <w:snapToGrid w:val="0"/>
        </w:rPr>
        <w:t>2.4 办理证件和批件</w:t>
      </w:r>
      <w:bookmarkEnd w:id="210"/>
      <w:bookmarkEnd w:id="211"/>
      <w:bookmarkEnd w:id="212"/>
      <w:bookmarkEnd w:id="213"/>
      <w:bookmarkEnd w:id="214"/>
      <w:bookmarkEnd w:id="215"/>
      <w:bookmarkEnd w:id="216"/>
      <w:bookmarkEnd w:id="217"/>
    </w:p>
    <w:p w14:paraId="4555148A">
      <w:pPr>
        <w:pStyle w:val="403"/>
        <w:spacing w:line="460" w:lineRule="exact"/>
        <w:ind w:firstLine="480" w:firstLineChars="200"/>
        <w:rPr>
          <w:rFonts w:hint="eastAsia" w:eastAsia="宋体" w:cs="宋体"/>
          <w:snapToGrid w:val="0"/>
        </w:rPr>
      </w:pPr>
      <w:r>
        <w:rPr>
          <w:rFonts w:hint="eastAsia" w:eastAsia="宋体" w:cs="宋体"/>
          <w:snapToGrid w:val="0"/>
        </w:rPr>
        <w:t>法律规定和（或）合同约定由发包人负责办理的工程建设项目必须履行的各类审批、核准或备案手续，发包人应按时办理。</w:t>
      </w:r>
    </w:p>
    <w:p w14:paraId="23995C3D">
      <w:pPr>
        <w:pStyle w:val="403"/>
        <w:spacing w:line="460" w:lineRule="exact"/>
        <w:ind w:firstLine="480" w:firstLineChars="200"/>
        <w:rPr>
          <w:rFonts w:hint="eastAsia" w:eastAsia="宋体" w:cs="宋体"/>
          <w:snapToGrid w:val="0"/>
        </w:rPr>
      </w:pPr>
      <w:r>
        <w:rPr>
          <w:rFonts w:hint="eastAsia" w:eastAsia="宋体" w:cs="宋体"/>
          <w:snapToGrid w:val="0"/>
        </w:rPr>
        <w:t>法律规定和（或）合同约定由承包人负责的有关设计、施工证件和批件，发包人应给予必要的协助。</w:t>
      </w:r>
    </w:p>
    <w:p w14:paraId="2DAB971C">
      <w:pPr>
        <w:pStyle w:val="403"/>
        <w:spacing w:line="460" w:lineRule="exact"/>
        <w:ind w:firstLine="480" w:firstLineChars="200"/>
        <w:rPr>
          <w:rFonts w:hint="eastAsia" w:eastAsia="宋体" w:cs="宋体"/>
          <w:snapToGrid w:val="0"/>
        </w:rPr>
      </w:pPr>
      <w:bookmarkStart w:id="218" w:name="_Toc247514054"/>
      <w:bookmarkStart w:id="219" w:name="_Toc247527655"/>
      <w:bookmarkStart w:id="220" w:name="_Toc411736163"/>
      <w:bookmarkStart w:id="221" w:name="_Toc68594764"/>
      <w:bookmarkStart w:id="222" w:name="_Toc300835053"/>
      <w:bookmarkStart w:id="223" w:name="_Toc411736439"/>
      <w:bookmarkStart w:id="224" w:name="_Toc410559357"/>
      <w:bookmarkStart w:id="225" w:name="_Toc476860374"/>
      <w:r>
        <w:rPr>
          <w:rFonts w:hint="eastAsia" w:eastAsia="宋体" w:cs="宋体"/>
          <w:snapToGrid w:val="0"/>
        </w:rPr>
        <w:t>2.5</w:t>
      </w:r>
      <w:bookmarkEnd w:id="218"/>
      <w:bookmarkEnd w:id="219"/>
      <w:bookmarkStart w:id="226" w:name="_Toc247527656"/>
      <w:bookmarkStart w:id="227" w:name="_Toc247514055"/>
      <w:r>
        <w:rPr>
          <w:rFonts w:hint="eastAsia" w:eastAsia="宋体" w:cs="宋体"/>
          <w:snapToGrid w:val="0"/>
        </w:rPr>
        <w:t xml:space="preserve"> 支付合同价款</w:t>
      </w:r>
      <w:bookmarkEnd w:id="220"/>
      <w:bookmarkEnd w:id="221"/>
      <w:bookmarkEnd w:id="222"/>
      <w:bookmarkEnd w:id="223"/>
      <w:bookmarkEnd w:id="224"/>
      <w:bookmarkEnd w:id="225"/>
      <w:bookmarkEnd w:id="226"/>
      <w:bookmarkEnd w:id="227"/>
    </w:p>
    <w:p w14:paraId="4947596F">
      <w:pPr>
        <w:pStyle w:val="403"/>
        <w:spacing w:line="460" w:lineRule="exact"/>
        <w:ind w:firstLine="480" w:firstLineChars="200"/>
        <w:rPr>
          <w:rFonts w:hint="eastAsia" w:eastAsia="宋体" w:cs="宋体"/>
          <w:snapToGrid w:val="0"/>
        </w:rPr>
      </w:pPr>
      <w:r>
        <w:rPr>
          <w:rFonts w:hint="eastAsia" w:eastAsia="宋体" w:cs="宋体"/>
          <w:snapToGrid w:val="0"/>
        </w:rPr>
        <w:t>发包人应按合同约定向承包人及时支付合同价款。专用合同条款对发包人工程款支付担保有约定的，从其约定。</w:t>
      </w:r>
    </w:p>
    <w:p w14:paraId="2E71BC63">
      <w:pPr>
        <w:pStyle w:val="403"/>
        <w:spacing w:line="460" w:lineRule="exact"/>
        <w:ind w:firstLine="480" w:firstLineChars="200"/>
        <w:rPr>
          <w:rFonts w:hint="eastAsia" w:eastAsia="宋体" w:cs="宋体"/>
          <w:snapToGrid w:val="0"/>
        </w:rPr>
      </w:pPr>
      <w:bookmarkStart w:id="228" w:name="_Toc410559358"/>
      <w:bookmarkStart w:id="229" w:name="_Toc247527657"/>
      <w:bookmarkStart w:id="230" w:name="_Toc300835054"/>
      <w:bookmarkStart w:id="231" w:name="_Toc411736164"/>
      <w:bookmarkStart w:id="232" w:name="_Toc411736440"/>
      <w:bookmarkStart w:id="233" w:name="_Toc247514056"/>
      <w:bookmarkStart w:id="234" w:name="_Toc68594765"/>
      <w:bookmarkStart w:id="235" w:name="_Toc476860375"/>
      <w:r>
        <w:rPr>
          <w:rFonts w:hint="eastAsia" w:eastAsia="宋体" w:cs="宋体"/>
          <w:snapToGrid w:val="0"/>
        </w:rPr>
        <w:t>2.6 组织竣工验收</w:t>
      </w:r>
      <w:bookmarkEnd w:id="228"/>
      <w:bookmarkEnd w:id="229"/>
      <w:bookmarkEnd w:id="230"/>
      <w:bookmarkEnd w:id="231"/>
      <w:bookmarkEnd w:id="232"/>
      <w:bookmarkEnd w:id="233"/>
      <w:bookmarkEnd w:id="234"/>
      <w:bookmarkEnd w:id="235"/>
    </w:p>
    <w:p w14:paraId="005ABC34">
      <w:pPr>
        <w:pStyle w:val="403"/>
        <w:spacing w:line="460" w:lineRule="exact"/>
        <w:ind w:firstLine="480" w:firstLineChars="200"/>
        <w:rPr>
          <w:rFonts w:hint="eastAsia" w:eastAsia="宋体" w:cs="宋体"/>
          <w:snapToGrid w:val="0"/>
        </w:rPr>
      </w:pPr>
      <w:r>
        <w:rPr>
          <w:rFonts w:hint="eastAsia" w:eastAsia="宋体" w:cs="宋体"/>
          <w:snapToGrid w:val="0"/>
        </w:rPr>
        <w:t>发包人应按合同约定及时组织竣工验收。</w:t>
      </w:r>
    </w:p>
    <w:p w14:paraId="1BD56DAF">
      <w:pPr>
        <w:pStyle w:val="403"/>
        <w:spacing w:line="460" w:lineRule="exact"/>
        <w:ind w:firstLine="480" w:firstLineChars="200"/>
        <w:rPr>
          <w:rFonts w:hint="eastAsia" w:eastAsia="宋体" w:cs="宋体"/>
          <w:snapToGrid w:val="0"/>
        </w:rPr>
      </w:pPr>
      <w:bookmarkStart w:id="236" w:name="_Toc68594766"/>
      <w:bookmarkStart w:id="237" w:name="_Toc410559359"/>
      <w:bookmarkStart w:id="238" w:name="_Toc300835055"/>
      <w:bookmarkStart w:id="239" w:name="_Toc247514057"/>
      <w:bookmarkStart w:id="240" w:name="_Toc411736441"/>
      <w:bookmarkStart w:id="241" w:name="_Toc476860376"/>
      <w:bookmarkStart w:id="242" w:name="_Toc247527658"/>
      <w:bookmarkStart w:id="243" w:name="_Toc411736165"/>
      <w:r>
        <w:rPr>
          <w:rFonts w:hint="eastAsia" w:eastAsia="宋体" w:cs="宋体"/>
          <w:snapToGrid w:val="0"/>
        </w:rPr>
        <w:t>2.7 其他义务</w:t>
      </w:r>
      <w:bookmarkEnd w:id="236"/>
      <w:bookmarkEnd w:id="237"/>
      <w:bookmarkEnd w:id="238"/>
      <w:bookmarkEnd w:id="239"/>
      <w:bookmarkEnd w:id="240"/>
      <w:bookmarkEnd w:id="241"/>
      <w:bookmarkEnd w:id="242"/>
      <w:bookmarkEnd w:id="243"/>
    </w:p>
    <w:p w14:paraId="7EDA2CCB">
      <w:pPr>
        <w:pStyle w:val="403"/>
        <w:spacing w:line="460" w:lineRule="exact"/>
        <w:ind w:firstLine="480" w:firstLineChars="200"/>
        <w:rPr>
          <w:rFonts w:hint="eastAsia" w:eastAsia="宋体" w:cs="宋体"/>
          <w:snapToGrid w:val="0"/>
        </w:rPr>
      </w:pPr>
      <w:r>
        <w:rPr>
          <w:rFonts w:hint="eastAsia" w:eastAsia="宋体" w:cs="宋体"/>
          <w:snapToGrid w:val="0"/>
        </w:rPr>
        <w:t>发包人应履行合同约定的其他义务。</w:t>
      </w:r>
    </w:p>
    <w:p w14:paraId="447FB751">
      <w:pPr>
        <w:pStyle w:val="5"/>
        <w:spacing w:before="360" w:after="120" w:afterLines="50" w:line="480" w:lineRule="exact"/>
        <w:rPr>
          <w:rFonts w:hint="eastAsia" w:ascii="宋体" w:hAnsi="宋体" w:eastAsia="宋体" w:cs="宋体"/>
          <w:bCs/>
          <w:sz w:val="28"/>
          <w:szCs w:val="28"/>
        </w:rPr>
      </w:pPr>
      <w:bookmarkStart w:id="244" w:name="_Toc68594767"/>
      <w:bookmarkStart w:id="245" w:name="_Toc7610"/>
      <w:bookmarkStart w:id="246" w:name="_Toc247514058"/>
      <w:bookmarkStart w:id="247" w:name="_Toc83220593"/>
      <w:bookmarkStart w:id="248" w:name="_Toc411736166"/>
      <w:bookmarkStart w:id="249" w:name="_Toc198803789"/>
      <w:bookmarkStart w:id="250" w:name="_Toc176268722"/>
      <w:bookmarkStart w:id="251" w:name="_Toc410559360"/>
      <w:bookmarkStart w:id="252" w:name="_Toc411736442"/>
      <w:bookmarkStart w:id="253" w:name="_Toc184635100"/>
      <w:bookmarkStart w:id="254" w:name="_Toc247527659"/>
      <w:bookmarkStart w:id="255" w:name="_Toc476860377"/>
      <w:bookmarkStart w:id="256" w:name="_Toc300835056"/>
      <w:r>
        <w:rPr>
          <w:rFonts w:hint="eastAsia" w:ascii="宋体" w:hAnsi="宋体" w:eastAsia="宋体" w:cs="宋体"/>
          <w:bCs/>
          <w:sz w:val="28"/>
          <w:szCs w:val="28"/>
        </w:rPr>
        <w:t>3. 监理人</w:t>
      </w:r>
      <w:bookmarkEnd w:id="244"/>
      <w:bookmarkEnd w:id="245"/>
      <w:bookmarkEnd w:id="246"/>
      <w:bookmarkEnd w:id="247"/>
      <w:bookmarkEnd w:id="248"/>
      <w:bookmarkEnd w:id="249"/>
      <w:bookmarkEnd w:id="250"/>
      <w:bookmarkEnd w:id="251"/>
      <w:bookmarkEnd w:id="252"/>
      <w:bookmarkEnd w:id="253"/>
      <w:bookmarkEnd w:id="254"/>
      <w:bookmarkEnd w:id="255"/>
      <w:bookmarkEnd w:id="256"/>
    </w:p>
    <w:p w14:paraId="42568F47">
      <w:pPr>
        <w:pStyle w:val="403"/>
        <w:spacing w:line="460" w:lineRule="exact"/>
        <w:ind w:firstLine="480" w:firstLineChars="200"/>
        <w:rPr>
          <w:rFonts w:hint="eastAsia" w:eastAsia="宋体" w:cs="宋体"/>
          <w:snapToGrid w:val="0"/>
        </w:rPr>
      </w:pPr>
      <w:bookmarkStart w:id="257" w:name="_Toc411736167"/>
      <w:bookmarkStart w:id="258" w:name="_Toc410559361"/>
      <w:bookmarkStart w:id="259" w:name="_Toc300835057"/>
      <w:bookmarkStart w:id="260" w:name="_Toc68594768"/>
      <w:bookmarkStart w:id="261" w:name="_Toc247527660"/>
      <w:bookmarkStart w:id="262" w:name="_Toc411736443"/>
      <w:bookmarkStart w:id="263" w:name="_Toc247514059"/>
      <w:bookmarkStart w:id="264" w:name="_Toc476860378"/>
      <w:r>
        <w:rPr>
          <w:rFonts w:hint="eastAsia" w:eastAsia="宋体" w:cs="宋体"/>
          <w:snapToGrid w:val="0"/>
        </w:rPr>
        <w:t>3.1 监理人的职责和权力</w:t>
      </w:r>
      <w:bookmarkEnd w:id="257"/>
      <w:bookmarkEnd w:id="258"/>
      <w:bookmarkEnd w:id="259"/>
      <w:bookmarkEnd w:id="260"/>
      <w:bookmarkEnd w:id="261"/>
      <w:bookmarkEnd w:id="262"/>
      <w:bookmarkEnd w:id="263"/>
      <w:bookmarkEnd w:id="264"/>
    </w:p>
    <w:p w14:paraId="209729DF">
      <w:pPr>
        <w:pStyle w:val="403"/>
        <w:spacing w:line="460" w:lineRule="exact"/>
        <w:ind w:firstLine="480" w:firstLineChars="200"/>
        <w:rPr>
          <w:rFonts w:hint="eastAsia" w:eastAsia="宋体" w:cs="宋体"/>
          <w:snapToGrid w:val="0"/>
        </w:rPr>
      </w:pPr>
      <w:r>
        <w:rPr>
          <w:rFonts w:hint="eastAsia" w:eastAsia="宋体" w:cs="宋体"/>
          <w:snapToGrid w:val="0"/>
        </w:rPr>
        <w:t>3.1.1 监理人受发包人委托，享有合同约定的权力，其所发出的任何指示应视为已得到发包人的批准。监理人在行使某项权力前需要经发包人事先批准而通用合同条款没有指明的，应在专用合同条款中指明。未经发包人批准，监理人无权修改合同。</w:t>
      </w:r>
    </w:p>
    <w:p w14:paraId="03159A82">
      <w:pPr>
        <w:pStyle w:val="403"/>
        <w:spacing w:line="460" w:lineRule="exact"/>
        <w:ind w:firstLine="480" w:firstLineChars="200"/>
        <w:rPr>
          <w:rFonts w:hint="eastAsia" w:eastAsia="宋体" w:cs="宋体"/>
          <w:snapToGrid w:val="0"/>
        </w:rPr>
      </w:pPr>
      <w:r>
        <w:rPr>
          <w:rFonts w:hint="eastAsia" w:eastAsia="宋体" w:cs="宋体"/>
          <w:snapToGrid w:val="0"/>
        </w:rPr>
        <w:t>3.1.2 合同约定应由承包人承担的义务和责任，不因监理人对承包人文件的审查或批准，对工程、材料和工程设备的检查和检验，以及为实施监理作出的指示等职务行为而减轻或解除。</w:t>
      </w:r>
    </w:p>
    <w:p w14:paraId="5C4F46F5">
      <w:pPr>
        <w:pStyle w:val="403"/>
        <w:spacing w:line="460" w:lineRule="exact"/>
        <w:ind w:firstLine="480" w:firstLineChars="200"/>
        <w:rPr>
          <w:rFonts w:hint="eastAsia" w:eastAsia="宋体" w:cs="宋体"/>
          <w:snapToGrid w:val="0"/>
        </w:rPr>
      </w:pPr>
      <w:bookmarkStart w:id="265" w:name="_Toc68594769"/>
      <w:bookmarkStart w:id="266" w:name="_Toc410559362"/>
      <w:bookmarkStart w:id="267" w:name="_Toc300835058"/>
      <w:bookmarkStart w:id="268" w:name="_Toc476860379"/>
      <w:bookmarkStart w:id="269" w:name="_Toc247527661"/>
      <w:bookmarkStart w:id="270" w:name="_Toc411736168"/>
      <w:bookmarkStart w:id="271" w:name="_Toc411736444"/>
      <w:bookmarkStart w:id="272" w:name="_Toc247514060"/>
      <w:r>
        <w:rPr>
          <w:rFonts w:hint="eastAsia" w:eastAsia="宋体" w:cs="宋体"/>
          <w:snapToGrid w:val="0"/>
        </w:rPr>
        <w:t>3.2 总监理工程师</w:t>
      </w:r>
      <w:bookmarkEnd w:id="265"/>
      <w:bookmarkEnd w:id="266"/>
      <w:bookmarkEnd w:id="267"/>
      <w:bookmarkEnd w:id="268"/>
      <w:bookmarkEnd w:id="269"/>
      <w:bookmarkEnd w:id="270"/>
      <w:bookmarkEnd w:id="271"/>
      <w:bookmarkEnd w:id="272"/>
    </w:p>
    <w:p w14:paraId="7EEF2FB8">
      <w:pPr>
        <w:pStyle w:val="403"/>
        <w:spacing w:line="460" w:lineRule="exact"/>
        <w:ind w:firstLine="480" w:firstLineChars="200"/>
        <w:rPr>
          <w:rFonts w:hint="eastAsia" w:eastAsia="宋体" w:cs="宋体"/>
          <w:snapToGrid w:val="0"/>
        </w:rPr>
      </w:pPr>
      <w:r>
        <w:rPr>
          <w:rFonts w:hint="eastAsia" w:eastAsia="宋体" w:cs="宋体"/>
          <w:snapToGrid w:val="0"/>
        </w:rPr>
        <w:t>发包人应在发出开始工作通知前将总监理工程师的任命通知承包人。总监理工程师更换时，应提前14天通知承包人。总监理工程师超过2天不能履行职责的，应委派代表代行其职责，并通知承包人。</w:t>
      </w:r>
    </w:p>
    <w:p w14:paraId="53287A20">
      <w:pPr>
        <w:pStyle w:val="403"/>
        <w:spacing w:line="460" w:lineRule="exact"/>
        <w:ind w:firstLine="480" w:firstLineChars="200"/>
        <w:rPr>
          <w:rFonts w:hint="eastAsia" w:eastAsia="宋体" w:cs="宋体"/>
          <w:snapToGrid w:val="0"/>
        </w:rPr>
      </w:pPr>
      <w:bookmarkStart w:id="273" w:name="_Toc247527662"/>
      <w:bookmarkStart w:id="274" w:name="_Toc411736169"/>
      <w:bookmarkStart w:id="275" w:name="_Toc68594770"/>
      <w:bookmarkStart w:id="276" w:name="_Toc410559363"/>
      <w:bookmarkStart w:id="277" w:name="_Toc411736445"/>
      <w:bookmarkStart w:id="278" w:name="_Toc476860380"/>
      <w:bookmarkStart w:id="279" w:name="_Toc247514061"/>
      <w:bookmarkStart w:id="280" w:name="_Toc300835059"/>
      <w:r>
        <w:rPr>
          <w:rFonts w:hint="eastAsia" w:eastAsia="宋体" w:cs="宋体"/>
          <w:snapToGrid w:val="0"/>
        </w:rPr>
        <w:t>3.3 监理人员</w:t>
      </w:r>
      <w:bookmarkEnd w:id="273"/>
      <w:bookmarkEnd w:id="274"/>
      <w:bookmarkEnd w:id="275"/>
      <w:bookmarkEnd w:id="276"/>
      <w:bookmarkEnd w:id="277"/>
      <w:bookmarkEnd w:id="278"/>
      <w:bookmarkEnd w:id="279"/>
      <w:bookmarkEnd w:id="280"/>
    </w:p>
    <w:p w14:paraId="5C4B7131">
      <w:pPr>
        <w:pStyle w:val="403"/>
        <w:spacing w:line="460" w:lineRule="exact"/>
        <w:ind w:firstLine="480" w:firstLineChars="200"/>
        <w:rPr>
          <w:rFonts w:hint="eastAsia" w:eastAsia="宋体" w:cs="宋体"/>
          <w:snapToGrid w:val="0"/>
        </w:rPr>
      </w:pPr>
      <w:r>
        <w:rPr>
          <w:rFonts w:hint="eastAsia" w:eastAsia="宋体" w:cs="宋体"/>
          <w:snapToGrid w:val="0"/>
        </w:rPr>
        <w:t>3.3.1 总监理工程师可以授权其他监理人员负责执行其指派的一项或多项监理工作。总监理工程师应将被授权监理人员的姓名及其授权范围通知承包人。被授权的监理人员在授权范围内发出的指示视为已得到总监理工程师的同意，与总监理工程师发出的指示具有同等效力。总监理工程师撤销某项授权时，应将撤销授权的决定及时通知发包人和承包人。</w:t>
      </w:r>
    </w:p>
    <w:p w14:paraId="7A789D16">
      <w:pPr>
        <w:pStyle w:val="403"/>
        <w:spacing w:line="460" w:lineRule="exact"/>
        <w:ind w:firstLine="480" w:firstLineChars="200"/>
        <w:rPr>
          <w:rFonts w:hint="eastAsia" w:eastAsia="宋体" w:cs="宋体"/>
          <w:snapToGrid w:val="0"/>
        </w:rPr>
      </w:pPr>
      <w:r>
        <w:rPr>
          <w:rFonts w:hint="eastAsia" w:eastAsia="宋体" w:cs="宋体"/>
          <w:snapToGrid w:val="0"/>
        </w:rPr>
        <w:t>3.3.2 总监理工程师授权的监理人员对承包人文件、工程或其采用的材料和工程设备未在约定的或合理的期限内提出否定意见的，视为已获批准，但不影响监理人在以后拒绝该项工作、工程、材料或工程设备的权利，监理人的拒绝应当符合法律规定和合同约定。</w:t>
      </w:r>
    </w:p>
    <w:p w14:paraId="7300262B">
      <w:pPr>
        <w:pStyle w:val="403"/>
        <w:spacing w:line="460" w:lineRule="exact"/>
        <w:ind w:firstLine="480" w:firstLineChars="200"/>
        <w:rPr>
          <w:rFonts w:hint="eastAsia" w:eastAsia="宋体" w:cs="宋体"/>
          <w:snapToGrid w:val="0"/>
        </w:rPr>
      </w:pPr>
      <w:r>
        <w:rPr>
          <w:rFonts w:hint="eastAsia" w:eastAsia="宋体" w:cs="宋体"/>
          <w:snapToGrid w:val="0"/>
        </w:rPr>
        <w:t>3.3.3 承包人对总监理工程师授权的监理人员发出的指示有疑问的，可在该指示发出的48小时内向总监理工程师提出书面异议，总监理工程师应在48小时内对该指示予以确认、更改或撤销。</w:t>
      </w:r>
    </w:p>
    <w:p w14:paraId="2B0C63AB">
      <w:pPr>
        <w:pStyle w:val="403"/>
        <w:spacing w:line="460" w:lineRule="exact"/>
        <w:ind w:firstLine="480" w:firstLineChars="200"/>
        <w:rPr>
          <w:rFonts w:hint="eastAsia" w:eastAsia="宋体" w:cs="宋体"/>
          <w:snapToGrid w:val="0"/>
        </w:rPr>
      </w:pPr>
      <w:r>
        <w:rPr>
          <w:rFonts w:hint="eastAsia" w:eastAsia="宋体" w:cs="宋体"/>
          <w:snapToGrid w:val="0"/>
        </w:rPr>
        <w:t>3.3.4 除专用合同条款另有约定外，总监理工程师不应将第3.5款约定应由总监理工程师作出确定的权力授权或委托给其他监理人员。</w:t>
      </w:r>
    </w:p>
    <w:p w14:paraId="41D9BBA6">
      <w:pPr>
        <w:pStyle w:val="403"/>
        <w:spacing w:line="460" w:lineRule="exact"/>
        <w:ind w:firstLine="480" w:firstLineChars="200"/>
        <w:rPr>
          <w:rFonts w:hint="eastAsia" w:eastAsia="宋体" w:cs="宋体"/>
          <w:snapToGrid w:val="0"/>
        </w:rPr>
      </w:pPr>
      <w:bookmarkStart w:id="281" w:name="_Toc411736446"/>
      <w:bookmarkStart w:id="282" w:name="_Toc410559364"/>
      <w:bookmarkStart w:id="283" w:name="_Toc411736170"/>
      <w:bookmarkStart w:id="284" w:name="_Toc476860381"/>
      <w:bookmarkStart w:id="285" w:name="_Toc68594771"/>
      <w:bookmarkStart w:id="286" w:name="_Toc247514062"/>
      <w:bookmarkStart w:id="287" w:name="_Toc300835060"/>
      <w:bookmarkStart w:id="288" w:name="_Toc247527663"/>
      <w:r>
        <w:rPr>
          <w:rFonts w:hint="eastAsia" w:eastAsia="宋体" w:cs="宋体"/>
          <w:snapToGrid w:val="0"/>
        </w:rPr>
        <w:t>3.4 监理人的指示</w:t>
      </w:r>
      <w:bookmarkEnd w:id="281"/>
      <w:bookmarkEnd w:id="282"/>
      <w:bookmarkEnd w:id="283"/>
      <w:bookmarkEnd w:id="284"/>
      <w:bookmarkEnd w:id="285"/>
      <w:bookmarkEnd w:id="286"/>
      <w:bookmarkEnd w:id="287"/>
      <w:bookmarkEnd w:id="288"/>
    </w:p>
    <w:p w14:paraId="25AE7917">
      <w:pPr>
        <w:pStyle w:val="403"/>
        <w:spacing w:line="460" w:lineRule="exact"/>
        <w:ind w:firstLine="480" w:firstLineChars="200"/>
        <w:rPr>
          <w:rFonts w:hint="eastAsia" w:eastAsia="宋体" w:cs="宋体"/>
          <w:snapToGrid w:val="0"/>
        </w:rPr>
      </w:pPr>
      <w:r>
        <w:rPr>
          <w:rFonts w:hint="eastAsia" w:eastAsia="宋体" w:cs="宋体"/>
          <w:snapToGrid w:val="0"/>
        </w:rPr>
        <w:t>3.4.1 监理人应按第3.1款的约定向承包人发出指示，监理人的指示应盖有监理人授权的项目管理机构章，并由总监理工程师或总监理工程师约定授权的监理人员签字。</w:t>
      </w:r>
    </w:p>
    <w:p w14:paraId="07B1FF43">
      <w:pPr>
        <w:pStyle w:val="403"/>
        <w:spacing w:line="460" w:lineRule="exact"/>
        <w:ind w:firstLine="480" w:firstLineChars="200"/>
        <w:rPr>
          <w:rFonts w:hint="eastAsia" w:eastAsia="宋体" w:cs="宋体"/>
          <w:snapToGrid w:val="0"/>
        </w:rPr>
      </w:pPr>
      <w:r>
        <w:rPr>
          <w:rFonts w:hint="eastAsia" w:eastAsia="宋体" w:cs="宋体"/>
          <w:snapToGrid w:val="0"/>
        </w:rPr>
        <w:t>3.4.2 承包人收到监理人作出的指示后应遵照执行。指示构成变更的，应按第15条执行。</w:t>
      </w:r>
    </w:p>
    <w:p w14:paraId="3B8A583B">
      <w:pPr>
        <w:pStyle w:val="403"/>
        <w:spacing w:line="460" w:lineRule="exact"/>
        <w:ind w:firstLine="480" w:firstLineChars="200"/>
        <w:rPr>
          <w:rFonts w:hint="eastAsia" w:eastAsia="宋体" w:cs="宋体"/>
          <w:snapToGrid w:val="0"/>
        </w:rPr>
      </w:pPr>
      <w:r>
        <w:rPr>
          <w:rFonts w:hint="eastAsia" w:eastAsia="宋体" w:cs="宋体"/>
          <w:snapToGrid w:val="0"/>
        </w:rPr>
        <w:t>3.4.3 在紧急情况下，总监理工程师或其授权的监理人员可以当场签发临时书面指示，承包人应遵照执行。监理应在临时书面指示发出后24小时内发出书面确认函，监理人在24小时内未发出书面确认函的，该临时书面指示应被视为监理人的正式指示。</w:t>
      </w:r>
    </w:p>
    <w:p w14:paraId="4E2AF3A5">
      <w:pPr>
        <w:pStyle w:val="403"/>
        <w:spacing w:line="460" w:lineRule="exact"/>
        <w:ind w:firstLine="480" w:firstLineChars="200"/>
        <w:rPr>
          <w:rFonts w:hint="eastAsia" w:eastAsia="宋体" w:cs="宋体"/>
          <w:snapToGrid w:val="0"/>
        </w:rPr>
      </w:pPr>
      <w:r>
        <w:rPr>
          <w:rFonts w:hint="eastAsia" w:eastAsia="宋体" w:cs="宋体"/>
          <w:snapToGrid w:val="0"/>
        </w:rPr>
        <w:t>3.4.4 除合同另有约定外，承包人只从总监理工程师或按第3.3.1项被授权的监理人员处取得指示。</w:t>
      </w:r>
    </w:p>
    <w:p w14:paraId="0270DFE8">
      <w:pPr>
        <w:pStyle w:val="403"/>
        <w:spacing w:line="460" w:lineRule="exact"/>
        <w:ind w:firstLine="480" w:firstLineChars="200"/>
        <w:rPr>
          <w:rFonts w:hint="eastAsia" w:eastAsia="宋体" w:cs="宋体"/>
          <w:snapToGrid w:val="0"/>
        </w:rPr>
      </w:pPr>
      <w:r>
        <w:rPr>
          <w:rFonts w:hint="eastAsia" w:eastAsia="宋体" w:cs="宋体"/>
          <w:snapToGrid w:val="0"/>
        </w:rPr>
        <w:t>3.4.5 由于监理人未能按合同约定发出指示、指示延误或指示错误而导致承包人费用增加和（或）工期延误的，发包人应承担由此增加的费用和（或）工期延误，并向承包人支付合理利润。</w:t>
      </w:r>
    </w:p>
    <w:p w14:paraId="19CC79B2">
      <w:pPr>
        <w:pStyle w:val="403"/>
        <w:spacing w:line="460" w:lineRule="exact"/>
        <w:ind w:firstLine="480" w:firstLineChars="200"/>
        <w:rPr>
          <w:rFonts w:hint="eastAsia" w:eastAsia="宋体" w:cs="宋体"/>
          <w:snapToGrid w:val="0"/>
        </w:rPr>
      </w:pPr>
      <w:bookmarkStart w:id="289" w:name="_Toc410559365"/>
      <w:bookmarkStart w:id="290" w:name="_Toc247514063"/>
      <w:bookmarkStart w:id="291" w:name="_Toc411736447"/>
      <w:bookmarkStart w:id="292" w:name="_Toc476860382"/>
      <w:bookmarkStart w:id="293" w:name="_Toc247527664"/>
      <w:bookmarkStart w:id="294" w:name="_Toc300835061"/>
      <w:bookmarkStart w:id="295" w:name="_Toc68594772"/>
      <w:bookmarkStart w:id="296" w:name="_Toc411736171"/>
      <w:r>
        <w:rPr>
          <w:rFonts w:hint="eastAsia" w:eastAsia="宋体" w:cs="宋体"/>
          <w:snapToGrid w:val="0"/>
        </w:rPr>
        <w:t>3.5 商定或确定</w:t>
      </w:r>
      <w:bookmarkEnd w:id="289"/>
      <w:bookmarkEnd w:id="290"/>
      <w:bookmarkEnd w:id="291"/>
      <w:bookmarkEnd w:id="292"/>
      <w:bookmarkEnd w:id="293"/>
      <w:bookmarkEnd w:id="294"/>
      <w:bookmarkEnd w:id="295"/>
      <w:bookmarkEnd w:id="296"/>
    </w:p>
    <w:p w14:paraId="3597754A">
      <w:pPr>
        <w:pStyle w:val="403"/>
        <w:spacing w:line="460" w:lineRule="exact"/>
        <w:ind w:firstLine="480" w:firstLineChars="200"/>
        <w:rPr>
          <w:rFonts w:hint="eastAsia" w:eastAsia="宋体" w:cs="宋体"/>
          <w:snapToGrid w:val="0"/>
        </w:rPr>
      </w:pPr>
      <w:r>
        <w:rPr>
          <w:rFonts w:hint="eastAsia" w:eastAsia="宋体" w:cs="宋体"/>
          <w:snapToGrid w:val="0"/>
        </w:rPr>
        <w:t>3.5.1 合同约定总监理工程师应按照本款对任何事项进行商定或确定时，总监理工程师应与合同当事人协商，尽量达成一致。不能达成一致的，总监理工程师应认真研究后审慎确定。</w:t>
      </w:r>
    </w:p>
    <w:p w14:paraId="44D243FC">
      <w:pPr>
        <w:pStyle w:val="403"/>
        <w:spacing w:line="460" w:lineRule="exact"/>
        <w:ind w:firstLine="480" w:firstLineChars="200"/>
        <w:rPr>
          <w:rFonts w:hint="eastAsia" w:eastAsia="宋体" w:cs="宋体"/>
          <w:snapToGrid w:val="0"/>
        </w:rPr>
      </w:pPr>
      <w:r>
        <w:rPr>
          <w:rFonts w:hint="eastAsia" w:eastAsia="宋体" w:cs="宋体"/>
          <w:snapToGrid w:val="0"/>
        </w:rPr>
        <w:t>3.5.2 总监理工程师应将商定或确定的事项通知合同当事人，并附详细依据。对总监理工程师的确定有异议的，构成争议，按照第24条的约定处理。在争议解决前，双方应暂按总监理工程师的确定执行，按照第24条的约定对总监理工程师的确定作出修改的，按修改后的结果执行，由此导致承包人增加的费用和（或）延误的工期由发包人承担。</w:t>
      </w:r>
    </w:p>
    <w:p w14:paraId="1DFA6A3C">
      <w:pPr>
        <w:pStyle w:val="5"/>
        <w:spacing w:before="360" w:after="120" w:afterLines="50" w:line="480" w:lineRule="exact"/>
        <w:rPr>
          <w:rFonts w:hint="eastAsia" w:ascii="宋体" w:hAnsi="宋体" w:eastAsia="宋体" w:cs="宋体"/>
          <w:bCs/>
          <w:sz w:val="28"/>
          <w:szCs w:val="28"/>
        </w:rPr>
      </w:pPr>
      <w:bookmarkStart w:id="297" w:name="_Toc300835062"/>
      <w:bookmarkStart w:id="298" w:name="_Toc176268723"/>
      <w:bookmarkStart w:id="299" w:name="_Toc247527665"/>
      <w:bookmarkStart w:id="300" w:name="_Toc411736448"/>
      <w:bookmarkStart w:id="301" w:name="_Toc247514064"/>
      <w:bookmarkStart w:id="302" w:name="_Toc83220594"/>
      <w:bookmarkStart w:id="303" w:name="_Toc410559366"/>
      <w:bookmarkStart w:id="304" w:name="_Toc411736172"/>
      <w:bookmarkStart w:id="305" w:name="_Toc184635101"/>
      <w:bookmarkStart w:id="306" w:name="_Toc476860383"/>
      <w:bookmarkStart w:id="307" w:name="_Toc18201"/>
      <w:bookmarkStart w:id="308" w:name="_Toc68594773"/>
      <w:bookmarkStart w:id="309" w:name="_Toc198803790"/>
      <w:r>
        <w:rPr>
          <w:rFonts w:hint="eastAsia" w:ascii="宋体" w:hAnsi="宋体" w:eastAsia="宋体" w:cs="宋体"/>
          <w:bCs/>
          <w:sz w:val="28"/>
          <w:szCs w:val="28"/>
        </w:rPr>
        <w:t>4. 承包人</w:t>
      </w:r>
      <w:bookmarkEnd w:id="297"/>
      <w:bookmarkEnd w:id="298"/>
      <w:bookmarkEnd w:id="299"/>
      <w:bookmarkEnd w:id="300"/>
      <w:bookmarkEnd w:id="301"/>
      <w:bookmarkEnd w:id="302"/>
      <w:bookmarkEnd w:id="303"/>
      <w:bookmarkEnd w:id="304"/>
      <w:bookmarkEnd w:id="305"/>
      <w:bookmarkEnd w:id="306"/>
      <w:bookmarkEnd w:id="307"/>
      <w:bookmarkEnd w:id="308"/>
      <w:bookmarkEnd w:id="309"/>
    </w:p>
    <w:p w14:paraId="51C89E0B">
      <w:pPr>
        <w:pStyle w:val="403"/>
        <w:spacing w:line="460" w:lineRule="exact"/>
        <w:ind w:firstLine="480" w:firstLineChars="200"/>
        <w:rPr>
          <w:rFonts w:hint="eastAsia" w:eastAsia="宋体" w:cs="宋体"/>
          <w:snapToGrid w:val="0"/>
        </w:rPr>
      </w:pPr>
      <w:bookmarkStart w:id="310" w:name="_Toc410559367"/>
      <w:bookmarkStart w:id="311" w:name="_Toc247514065"/>
      <w:bookmarkStart w:id="312" w:name="_Toc411736173"/>
      <w:bookmarkStart w:id="313" w:name="_Toc247527666"/>
      <w:bookmarkStart w:id="314" w:name="_Toc411736449"/>
      <w:bookmarkStart w:id="315" w:name="_Toc68594774"/>
      <w:bookmarkStart w:id="316" w:name="_Toc300835063"/>
      <w:bookmarkStart w:id="317" w:name="_Toc476860384"/>
      <w:r>
        <w:rPr>
          <w:rFonts w:hint="eastAsia" w:eastAsia="宋体" w:cs="宋体"/>
          <w:snapToGrid w:val="0"/>
        </w:rPr>
        <w:t>4.1 承包人的一般义务</w:t>
      </w:r>
      <w:bookmarkEnd w:id="310"/>
      <w:bookmarkEnd w:id="311"/>
      <w:bookmarkEnd w:id="312"/>
      <w:bookmarkEnd w:id="313"/>
      <w:bookmarkEnd w:id="314"/>
      <w:bookmarkEnd w:id="315"/>
      <w:bookmarkEnd w:id="316"/>
      <w:bookmarkEnd w:id="317"/>
    </w:p>
    <w:p w14:paraId="4E2A4A9C">
      <w:pPr>
        <w:pStyle w:val="403"/>
        <w:spacing w:line="460" w:lineRule="exact"/>
        <w:ind w:firstLine="480" w:firstLineChars="200"/>
        <w:rPr>
          <w:rFonts w:hint="eastAsia" w:eastAsia="宋体" w:cs="宋体"/>
          <w:snapToGrid w:val="0"/>
        </w:rPr>
      </w:pPr>
      <w:r>
        <w:rPr>
          <w:rFonts w:hint="eastAsia" w:eastAsia="宋体" w:cs="宋体"/>
          <w:snapToGrid w:val="0"/>
        </w:rPr>
        <w:t>4.1.1 遵守法律</w:t>
      </w:r>
    </w:p>
    <w:p w14:paraId="4B7A672E">
      <w:pPr>
        <w:pStyle w:val="403"/>
        <w:spacing w:line="460" w:lineRule="exact"/>
        <w:ind w:firstLine="480" w:firstLineChars="200"/>
        <w:rPr>
          <w:rFonts w:hint="eastAsia" w:eastAsia="宋体" w:cs="宋体"/>
          <w:snapToGrid w:val="0"/>
        </w:rPr>
      </w:pPr>
      <w:r>
        <w:rPr>
          <w:rFonts w:hint="eastAsia" w:eastAsia="宋体" w:cs="宋体"/>
          <w:snapToGrid w:val="0"/>
        </w:rPr>
        <w:t>承包人在履行合同过程中应遵守法律，并保证发包人免于承担因承包人违反法律而引起的任何责任。</w:t>
      </w:r>
    </w:p>
    <w:p w14:paraId="0496CE41">
      <w:pPr>
        <w:pStyle w:val="403"/>
        <w:spacing w:line="460" w:lineRule="exact"/>
        <w:ind w:firstLine="480" w:firstLineChars="200"/>
        <w:rPr>
          <w:rFonts w:hint="eastAsia" w:eastAsia="宋体" w:cs="宋体"/>
          <w:snapToGrid w:val="0"/>
        </w:rPr>
      </w:pPr>
      <w:r>
        <w:rPr>
          <w:rFonts w:hint="eastAsia" w:eastAsia="宋体" w:cs="宋体"/>
          <w:snapToGrid w:val="0"/>
        </w:rPr>
        <w:t>4.1.2 依法纳税</w:t>
      </w:r>
    </w:p>
    <w:p w14:paraId="50597BAD">
      <w:pPr>
        <w:pStyle w:val="403"/>
        <w:spacing w:line="460" w:lineRule="exact"/>
        <w:ind w:firstLine="480" w:firstLineChars="200"/>
        <w:rPr>
          <w:rFonts w:hint="eastAsia" w:eastAsia="宋体" w:cs="宋体"/>
          <w:snapToGrid w:val="0"/>
        </w:rPr>
      </w:pPr>
      <w:r>
        <w:rPr>
          <w:rFonts w:hint="eastAsia" w:eastAsia="宋体" w:cs="宋体"/>
          <w:snapToGrid w:val="0"/>
        </w:rPr>
        <w:t>承包人应按有关法律规定纳税，应缴纳的税金包括在合同价格内。</w:t>
      </w:r>
    </w:p>
    <w:p w14:paraId="2ED0F247">
      <w:pPr>
        <w:pStyle w:val="403"/>
        <w:spacing w:line="460" w:lineRule="exact"/>
        <w:ind w:firstLine="480" w:firstLineChars="200"/>
        <w:rPr>
          <w:rFonts w:hint="eastAsia" w:eastAsia="宋体" w:cs="宋体"/>
          <w:snapToGrid w:val="0"/>
        </w:rPr>
      </w:pPr>
      <w:r>
        <w:rPr>
          <w:rFonts w:hint="eastAsia" w:eastAsia="宋体" w:cs="宋体"/>
          <w:snapToGrid w:val="0"/>
        </w:rPr>
        <w:t>4.1.3 完成各项承包工作</w:t>
      </w:r>
    </w:p>
    <w:p w14:paraId="013CC286">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以及监理人根据第3.4款作出的指示，完成合同约定的全部工作，并对工作中的任何缺陷进行整改、完善和修补，使其满足合同约定的目的。除专用合同条款另有约定外，承包人应提供合同约定的工程设备和承包人文件，以及为完成合同工作所需的劳务、材料、施工设备和其他物品，并按合同约定负责临时设施的设计、施工、运行、维护、管理和拆除。</w:t>
      </w:r>
    </w:p>
    <w:p w14:paraId="2D1D804B">
      <w:pPr>
        <w:pStyle w:val="403"/>
        <w:spacing w:line="460" w:lineRule="exact"/>
        <w:ind w:firstLine="480" w:firstLineChars="200"/>
        <w:rPr>
          <w:rFonts w:hint="eastAsia" w:eastAsia="宋体" w:cs="宋体"/>
          <w:snapToGrid w:val="0"/>
        </w:rPr>
      </w:pPr>
      <w:r>
        <w:rPr>
          <w:rFonts w:hint="eastAsia" w:eastAsia="宋体" w:cs="宋体"/>
          <w:snapToGrid w:val="0"/>
        </w:rPr>
        <w:t>4.1.4 对设计、施工作业和施工方法，以及工程的完备性负责</w:t>
      </w:r>
    </w:p>
    <w:p w14:paraId="2325C61A">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承包人应按合同约定的工作内容和进度要求，编制设计、施工的组织和实施计划，并对所有设计、施工作业和施工方法，以及全部工程的完备性和安全可靠性负责。</w:t>
      </w:r>
    </w:p>
    <w:p w14:paraId="181CB78C">
      <w:pPr>
        <w:pStyle w:val="403"/>
        <w:spacing w:line="460" w:lineRule="exact"/>
        <w:ind w:firstLine="480" w:firstLineChars="200"/>
        <w:rPr>
          <w:rFonts w:hint="eastAsia" w:eastAsia="宋体" w:cs="宋体"/>
          <w:snapToGrid w:val="0"/>
        </w:rPr>
      </w:pPr>
      <w:r>
        <w:rPr>
          <w:rFonts w:hint="eastAsia" w:eastAsia="宋体" w:cs="宋体"/>
          <w:snapToGrid w:val="0"/>
        </w:rPr>
        <w:t>4.1.5 保证工程施工和人员的安全</w:t>
      </w:r>
    </w:p>
    <w:p w14:paraId="7B18955D">
      <w:pPr>
        <w:pStyle w:val="403"/>
        <w:spacing w:line="460" w:lineRule="exact"/>
        <w:ind w:firstLine="480" w:firstLineChars="200"/>
        <w:rPr>
          <w:rFonts w:hint="eastAsia" w:eastAsia="宋体" w:cs="宋体"/>
          <w:snapToGrid w:val="0"/>
        </w:rPr>
      </w:pPr>
      <w:r>
        <w:rPr>
          <w:rFonts w:hint="eastAsia" w:eastAsia="宋体" w:cs="宋体"/>
          <w:snapToGrid w:val="0"/>
        </w:rPr>
        <w:t>承包人应按第10.2 款约定采取施工安全措施，确保工程及其人员、材料、设备和设施的安全，防止因工程施工造成的人身伤害和财产损失。</w:t>
      </w:r>
    </w:p>
    <w:p w14:paraId="10468AEF">
      <w:pPr>
        <w:pStyle w:val="403"/>
        <w:spacing w:line="460" w:lineRule="exact"/>
        <w:ind w:firstLine="480" w:firstLineChars="200"/>
        <w:rPr>
          <w:rFonts w:hint="eastAsia" w:eastAsia="宋体" w:cs="宋体"/>
          <w:snapToGrid w:val="0"/>
        </w:rPr>
      </w:pPr>
      <w:r>
        <w:rPr>
          <w:rFonts w:hint="eastAsia" w:eastAsia="宋体" w:cs="宋体"/>
          <w:snapToGrid w:val="0"/>
        </w:rPr>
        <w:t>4.1.6 负责施工场地及其周边环境与生态的保护工作</w:t>
      </w:r>
    </w:p>
    <w:p w14:paraId="7697AF52">
      <w:pPr>
        <w:pStyle w:val="403"/>
        <w:spacing w:line="460" w:lineRule="exact"/>
        <w:ind w:firstLine="480" w:firstLineChars="200"/>
        <w:rPr>
          <w:rFonts w:hint="eastAsia" w:eastAsia="宋体" w:cs="宋体"/>
          <w:snapToGrid w:val="0"/>
        </w:rPr>
      </w:pPr>
      <w:r>
        <w:rPr>
          <w:rFonts w:hint="eastAsia" w:eastAsia="宋体" w:cs="宋体"/>
          <w:snapToGrid w:val="0"/>
        </w:rPr>
        <w:t>承包人应按照第10.4 款约定负责施工场地及其周边环境与生态的保护工作。</w:t>
      </w:r>
    </w:p>
    <w:p w14:paraId="3A4C3DE4">
      <w:pPr>
        <w:pStyle w:val="403"/>
        <w:spacing w:line="460" w:lineRule="exact"/>
        <w:ind w:firstLine="480" w:firstLineChars="200"/>
        <w:rPr>
          <w:rFonts w:hint="eastAsia" w:eastAsia="宋体" w:cs="宋体"/>
          <w:snapToGrid w:val="0"/>
        </w:rPr>
      </w:pPr>
      <w:r>
        <w:rPr>
          <w:rFonts w:hint="eastAsia" w:eastAsia="宋体" w:cs="宋体"/>
          <w:snapToGrid w:val="0"/>
        </w:rPr>
        <w:t>4.1.7 避免施工对公众与他人的利益造成损害</w:t>
      </w:r>
    </w:p>
    <w:p w14:paraId="33E42BC5">
      <w:pPr>
        <w:pStyle w:val="403"/>
        <w:spacing w:line="460" w:lineRule="exact"/>
        <w:ind w:firstLine="480" w:firstLineChars="200"/>
        <w:rPr>
          <w:rFonts w:hint="eastAsia" w:eastAsia="宋体" w:cs="宋体"/>
          <w:snapToGrid w:val="0"/>
        </w:rPr>
      </w:pPr>
      <w:r>
        <w:rPr>
          <w:rFonts w:hint="eastAsia" w:eastAsia="宋体" w:cs="宋体"/>
          <w:snapToGrid w:val="0"/>
        </w:rPr>
        <w:t>承包人在进行合同约定的各项工作时，不得侵害发包人与他人使用公用道路、水源、市政管网等公共设施的权利，避免对邻近的公共设施产生干扰。承包人占用或使用他人的施工场地，影响他人作业或生活的，应承担相应责任。</w:t>
      </w:r>
    </w:p>
    <w:p w14:paraId="62DA5C9E">
      <w:pPr>
        <w:pStyle w:val="403"/>
        <w:spacing w:line="460" w:lineRule="exact"/>
        <w:ind w:firstLine="480" w:firstLineChars="200"/>
        <w:rPr>
          <w:rFonts w:hint="eastAsia" w:eastAsia="宋体" w:cs="宋体"/>
          <w:snapToGrid w:val="0"/>
        </w:rPr>
      </w:pPr>
      <w:r>
        <w:rPr>
          <w:rFonts w:hint="eastAsia" w:eastAsia="宋体" w:cs="宋体"/>
          <w:snapToGrid w:val="0"/>
        </w:rPr>
        <w:t>4.1.8 为他人提供方便</w:t>
      </w:r>
    </w:p>
    <w:p w14:paraId="5FF5D6FA">
      <w:pPr>
        <w:pStyle w:val="403"/>
        <w:spacing w:line="460" w:lineRule="exact"/>
        <w:ind w:firstLine="480" w:firstLineChars="200"/>
        <w:rPr>
          <w:rFonts w:hint="eastAsia" w:eastAsia="宋体" w:cs="宋体"/>
          <w:snapToGrid w:val="0"/>
        </w:rPr>
      </w:pPr>
      <w:r>
        <w:rPr>
          <w:rFonts w:hint="eastAsia" w:eastAsia="宋体" w:cs="宋体"/>
          <w:snapToGrid w:val="0"/>
        </w:rPr>
        <w:t>承包人应按监理人的指示为他人在施工场地或附近实施与工程有关的其他各项工作提供可能的条件。除合同另有约定外，提供有关条件的内容和可能发生的费用，由监理人按第3.5 款商定或确定。</w:t>
      </w:r>
    </w:p>
    <w:p w14:paraId="622B4EC5">
      <w:pPr>
        <w:pStyle w:val="403"/>
        <w:spacing w:line="460" w:lineRule="exact"/>
        <w:ind w:firstLine="480" w:firstLineChars="200"/>
        <w:rPr>
          <w:rFonts w:hint="eastAsia" w:eastAsia="宋体" w:cs="宋体"/>
          <w:snapToGrid w:val="0"/>
        </w:rPr>
      </w:pPr>
      <w:r>
        <w:rPr>
          <w:rFonts w:hint="eastAsia" w:eastAsia="宋体" w:cs="宋体"/>
          <w:snapToGrid w:val="0"/>
        </w:rPr>
        <w:t>4.1.9 工程的维护和照管</w:t>
      </w:r>
    </w:p>
    <w:p w14:paraId="1BAEFAEC">
      <w:pPr>
        <w:pStyle w:val="403"/>
        <w:spacing w:line="460" w:lineRule="exact"/>
        <w:ind w:firstLine="480" w:firstLineChars="200"/>
        <w:rPr>
          <w:rFonts w:hint="eastAsia" w:eastAsia="宋体" w:cs="宋体"/>
          <w:snapToGrid w:val="0"/>
        </w:rPr>
      </w:pPr>
      <w:r>
        <w:rPr>
          <w:rFonts w:hint="eastAsia" w:eastAsia="宋体" w:cs="宋体"/>
          <w:snapToGrid w:val="0"/>
        </w:rPr>
        <w:t>工程接收证书颁发前，承包人应负责照管和维护工程。工程接收证书颁发时尚有部分未竣工工程的，承包人还应负责该未竣工工程的照管和维护工作，直至竣工后移交给发包人。</w:t>
      </w:r>
    </w:p>
    <w:p w14:paraId="46432980">
      <w:pPr>
        <w:pStyle w:val="403"/>
        <w:spacing w:line="460" w:lineRule="exact"/>
        <w:ind w:firstLine="480" w:firstLineChars="200"/>
        <w:rPr>
          <w:rFonts w:hint="eastAsia" w:eastAsia="宋体" w:cs="宋体"/>
          <w:snapToGrid w:val="0"/>
        </w:rPr>
      </w:pPr>
      <w:r>
        <w:rPr>
          <w:rFonts w:hint="eastAsia" w:eastAsia="宋体" w:cs="宋体"/>
          <w:snapToGrid w:val="0"/>
        </w:rPr>
        <w:t>4.1.10 其他义务</w:t>
      </w:r>
    </w:p>
    <w:p w14:paraId="012846FD">
      <w:pPr>
        <w:pStyle w:val="403"/>
        <w:spacing w:line="460" w:lineRule="exact"/>
        <w:ind w:firstLine="480" w:firstLineChars="200"/>
        <w:rPr>
          <w:rFonts w:hint="eastAsia" w:eastAsia="宋体" w:cs="宋体"/>
          <w:snapToGrid w:val="0"/>
        </w:rPr>
      </w:pPr>
      <w:r>
        <w:rPr>
          <w:rFonts w:hint="eastAsia" w:eastAsia="宋体" w:cs="宋体"/>
          <w:snapToGrid w:val="0"/>
        </w:rPr>
        <w:t>承包人应履行合同约定的其他义务。</w:t>
      </w:r>
    </w:p>
    <w:p w14:paraId="7039BBC2">
      <w:pPr>
        <w:pStyle w:val="403"/>
        <w:spacing w:line="460" w:lineRule="exact"/>
        <w:ind w:firstLine="480" w:firstLineChars="200"/>
        <w:rPr>
          <w:rFonts w:hint="eastAsia" w:eastAsia="宋体" w:cs="宋体"/>
          <w:snapToGrid w:val="0"/>
        </w:rPr>
      </w:pPr>
      <w:bookmarkStart w:id="318" w:name="_Toc410559368"/>
      <w:bookmarkStart w:id="319" w:name="_Toc68594775"/>
      <w:bookmarkStart w:id="320" w:name="_Toc247527667"/>
      <w:bookmarkStart w:id="321" w:name="_Toc411736450"/>
      <w:bookmarkStart w:id="322" w:name="_Toc300835064"/>
      <w:bookmarkStart w:id="323" w:name="_Toc411736174"/>
      <w:bookmarkStart w:id="324" w:name="_Toc476860385"/>
      <w:bookmarkStart w:id="325" w:name="_Toc247514066"/>
      <w:r>
        <w:rPr>
          <w:rFonts w:hint="eastAsia" w:eastAsia="宋体" w:cs="宋体"/>
          <w:snapToGrid w:val="0"/>
        </w:rPr>
        <w:t>4.2 履约担保</w:t>
      </w:r>
      <w:bookmarkEnd w:id="318"/>
      <w:bookmarkEnd w:id="319"/>
      <w:bookmarkEnd w:id="320"/>
      <w:bookmarkEnd w:id="321"/>
      <w:bookmarkEnd w:id="322"/>
      <w:bookmarkEnd w:id="323"/>
      <w:bookmarkEnd w:id="324"/>
      <w:bookmarkEnd w:id="325"/>
    </w:p>
    <w:p w14:paraId="3AF4B0FC">
      <w:pPr>
        <w:pStyle w:val="403"/>
        <w:spacing w:line="460" w:lineRule="exact"/>
        <w:ind w:firstLine="480" w:firstLineChars="200"/>
        <w:rPr>
          <w:rFonts w:hint="eastAsia" w:eastAsia="宋体" w:cs="宋体"/>
          <w:snapToGrid w:val="0"/>
        </w:rPr>
      </w:pPr>
      <w:r>
        <w:rPr>
          <w:rFonts w:hint="eastAsia" w:eastAsia="宋体" w:cs="宋体"/>
          <w:snapToGrid w:val="0"/>
        </w:rPr>
        <w:t>4.2.1 承包人应保证其履约担保在发包人颁发工程接收证书前一直有效。发包人应在工程接收证书颁发后28 天内将履约担保退还给承包人。需进行竣工后试验的，承包人应保证其履约担保在竣工后试验通过前一直有效，发包人应在通过竣工验收后7天内将履约担保退还给承包人。</w:t>
      </w:r>
    </w:p>
    <w:p w14:paraId="55160194">
      <w:pPr>
        <w:pStyle w:val="403"/>
        <w:spacing w:line="460" w:lineRule="exact"/>
        <w:ind w:firstLine="480" w:firstLineChars="200"/>
        <w:rPr>
          <w:rFonts w:hint="eastAsia" w:eastAsia="宋体" w:cs="宋体"/>
          <w:snapToGrid w:val="0"/>
        </w:rPr>
      </w:pPr>
      <w:r>
        <w:rPr>
          <w:rFonts w:hint="eastAsia" w:eastAsia="宋体" w:cs="宋体"/>
          <w:snapToGrid w:val="0"/>
        </w:rPr>
        <w:t>4.2.2 如工程延期，承包人有义务继续提供履约担保。由于发包人原因导致延期的，继续提供履约担保所需的费用由发包人承担；由于承包人原因导致延期的，继续提供履约担保所需费用由承包人承担。</w:t>
      </w:r>
    </w:p>
    <w:p w14:paraId="6FE7CFBF">
      <w:pPr>
        <w:pStyle w:val="403"/>
        <w:spacing w:line="460" w:lineRule="exact"/>
        <w:ind w:firstLine="480" w:firstLineChars="200"/>
        <w:rPr>
          <w:rFonts w:hint="eastAsia" w:eastAsia="宋体" w:cs="宋体"/>
          <w:snapToGrid w:val="0"/>
        </w:rPr>
      </w:pPr>
      <w:bookmarkStart w:id="326" w:name="_Toc247527668"/>
      <w:bookmarkStart w:id="327" w:name="_Toc247514067"/>
      <w:bookmarkStart w:id="328" w:name="_Toc410559369"/>
      <w:bookmarkStart w:id="329" w:name="_Toc476860386"/>
      <w:bookmarkStart w:id="330" w:name="_Toc300835065"/>
      <w:bookmarkStart w:id="331" w:name="_Toc411736451"/>
      <w:bookmarkStart w:id="332" w:name="_Toc411736175"/>
      <w:bookmarkStart w:id="333" w:name="_Toc68594776"/>
      <w:r>
        <w:rPr>
          <w:rFonts w:hint="eastAsia" w:eastAsia="宋体" w:cs="宋体"/>
          <w:snapToGrid w:val="0"/>
        </w:rPr>
        <w:t>4.3 分包</w:t>
      </w:r>
      <w:bookmarkEnd w:id="326"/>
      <w:bookmarkEnd w:id="327"/>
      <w:r>
        <w:rPr>
          <w:rFonts w:hint="eastAsia" w:eastAsia="宋体" w:cs="宋体"/>
          <w:snapToGrid w:val="0"/>
        </w:rPr>
        <w:t>和不得转包</w:t>
      </w:r>
      <w:bookmarkEnd w:id="328"/>
      <w:bookmarkEnd w:id="329"/>
      <w:bookmarkEnd w:id="330"/>
      <w:bookmarkEnd w:id="331"/>
      <w:bookmarkEnd w:id="332"/>
      <w:bookmarkEnd w:id="333"/>
    </w:p>
    <w:p w14:paraId="58D9FD08">
      <w:pPr>
        <w:pStyle w:val="403"/>
        <w:spacing w:line="460" w:lineRule="exact"/>
        <w:ind w:firstLine="480" w:firstLineChars="200"/>
        <w:rPr>
          <w:rFonts w:hint="eastAsia" w:eastAsia="宋体" w:cs="宋体"/>
          <w:snapToGrid w:val="0"/>
        </w:rPr>
      </w:pPr>
      <w:r>
        <w:rPr>
          <w:rFonts w:hint="eastAsia" w:eastAsia="宋体" w:cs="宋体"/>
          <w:snapToGrid w:val="0"/>
        </w:rPr>
        <w:t>4.3.1 承包人不得将其承包的全部工程转包给第三人，也不得将其承包的全部工程肢解后以分包的名义分别转包给第三人。</w:t>
      </w:r>
    </w:p>
    <w:p w14:paraId="57FCE4C1">
      <w:pPr>
        <w:pStyle w:val="403"/>
        <w:spacing w:line="460" w:lineRule="exact"/>
        <w:ind w:firstLine="480" w:firstLineChars="200"/>
        <w:rPr>
          <w:rFonts w:hint="eastAsia" w:eastAsia="宋体" w:cs="宋体"/>
          <w:snapToGrid w:val="0"/>
        </w:rPr>
      </w:pPr>
      <w:r>
        <w:rPr>
          <w:rFonts w:hint="eastAsia" w:eastAsia="宋体" w:cs="宋体"/>
          <w:snapToGrid w:val="0"/>
        </w:rPr>
        <w:t>4.3.2 承包人不得将设计和施工的主体、关键性工作分包给第三人。除专用合同条款另有约定外，未经发包人同意，承包人也不得将非主体、非关键性工作分包给第三人。</w:t>
      </w:r>
    </w:p>
    <w:p w14:paraId="458B6E9B">
      <w:pPr>
        <w:pStyle w:val="403"/>
        <w:spacing w:line="460" w:lineRule="exact"/>
        <w:ind w:firstLine="480" w:firstLineChars="200"/>
        <w:rPr>
          <w:rFonts w:hint="eastAsia" w:eastAsia="宋体" w:cs="宋体"/>
          <w:snapToGrid w:val="0"/>
        </w:rPr>
      </w:pPr>
      <w:r>
        <w:rPr>
          <w:rFonts w:hint="eastAsia" w:eastAsia="宋体" w:cs="宋体"/>
          <w:snapToGrid w:val="0"/>
        </w:rPr>
        <w:t>4.3.3 分包人的资格能力应与其分包工作的标准和规模相适应。</w:t>
      </w:r>
    </w:p>
    <w:p w14:paraId="567D3AA4">
      <w:pPr>
        <w:pStyle w:val="403"/>
        <w:spacing w:line="460" w:lineRule="exact"/>
        <w:ind w:firstLine="480" w:firstLineChars="200"/>
        <w:rPr>
          <w:rFonts w:hint="eastAsia" w:eastAsia="宋体" w:cs="宋体"/>
          <w:snapToGrid w:val="0"/>
        </w:rPr>
      </w:pPr>
      <w:r>
        <w:rPr>
          <w:rFonts w:hint="eastAsia" w:eastAsia="宋体" w:cs="宋体"/>
          <w:snapToGrid w:val="0"/>
        </w:rPr>
        <w:t>4.3.4 发包人同意承包人分包工作的，承包人应向发包人和监理人提交分包合同副本。</w:t>
      </w:r>
    </w:p>
    <w:p w14:paraId="4BCCFDAE">
      <w:pPr>
        <w:pStyle w:val="403"/>
        <w:spacing w:line="460" w:lineRule="exact"/>
        <w:ind w:firstLine="480" w:firstLineChars="200"/>
        <w:rPr>
          <w:rFonts w:hint="eastAsia" w:eastAsia="宋体" w:cs="宋体"/>
          <w:snapToGrid w:val="0"/>
        </w:rPr>
      </w:pPr>
      <w:bookmarkStart w:id="334" w:name="_Toc247527669"/>
      <w:bookmarkStart w:id="335" w:name="_Toc411736452"/>
      <w:bookmarkStart w:id="336" w:name="_Toc300835066"/>
      <w:bookmarkStart w:id="337" w:name="_Toc247514068"/>
      <w:bookmarkStart w:id="338" w:name="_Toc68594777"/>
      <w:bookmarkStart w:id="339" w:name="_Toc476860387"/>
      <w:bookmarkStart w:id="340" w:name="_Toc410559370"/>
      <w:bookmarkStart w:id="341" w:name="_Toc411736176"/>
      <w:r>
        <w:rPr>
          <w:rFonts w:hint="eastAsia" w:eastAsia="宋体" w:cs="宋体"/>
          <w:snapToGrid w:val="0"/>
        </w:rPr>
        <w:t>4.4 联合体</w:t>
      </w:r>
      <w:bookmarkEnd w:id="334"/>
      <w:bookmarkEnd w:id="335"/>
      <w:bookmarkEnd w:id="336"/>
      <w:bookmarkEnd w:id="337"/>
      <w:bookmarkEnd w:id="338"/>
      <w:bookmarkEnd w:id="339"/>
      <w:bookmarkEnd w:id="340"/>
      <w:bookmarkEnd w:id="341"/>
    </w:p>
    <w:p w14:paraId="51523F7C">
      <w:pPr>
        <w:pStyle w:val="403"/>
        <w:spacing w:line="460" w:lineRule="exact"/>
        <w:ind w:firstLine="480" w:firstLineChars="200"/>
        <w:rPr>
          <w:rFonts w:hint="eastAsia" w:eastAsia="宋体" w:cs="宋体"/>
          <w:snapToGrid w:val="0"/>
        </w:rPr>
      </w:pPr>
      <w:r>
        <w:rPr>
          <w:rFonts w:hint="eastAsia" w:eastAsia="宋体" w:cs="宋体"/>
          <w:snapToGrid w:val="0"/>
        </w:rPr>
        <w:t>4.4.1 联合体各方应共同与发包人签订合同。联合体各方应为履行合同承担连带责任。</w:t>
      </w:r>
    </w:p>
    <w:p w14:paraId="1EC84B9D">
      <w:pPr>
        <w:pStyle w:val="403"/>
        <w:spacing w:line="460" w:lineRule="exact"/>
        <w:ind w:firstLine="480" w:firstLineChars="200"/>
        <w:rPr>
          <w:rFonts w:hint="eastAsia" w:eastAsia="宋体" w:cs="宋体"/>
          <w:snapToGrid w:val="0"/>
        </w:rPr>
      </w:pPr>
      <w:r>
        <w:rPr>
          <w:rFonts w:hint="eastAsia" w:eastAsia="宋体" w:cs="宋体"/>
          <w:snapToGrid w:val="0"/>
        </w:rPr>
        <w:t>4.4.2 联合体协议经发包人确认后作为合同附件。在履行合同过程中，未经发包人同意，不得修改联合体协议。</w:t>
      </w:r>
    </w:p>
    <w:p w14:paraId="3DDA21D7">
      <w:pPr>
        <w:pStyle w:val="403"/>
        <w:spacing w:line="460" w:lineRule="exact"/>
        <w:ind w:firstLine="480" w:firstLineChars="200"/>
        <w:rPr>
          <w:rFonts w:hint="eastAsia" w:eastAsia="宋体" w:cs="宋体"/>
          <w:snapToGrid w:val="0"/>
        </w:rPr>
      </w:pPr>
      <w:r>
        <w:rPr>
          <w:rFonts w:hint="eastAsia" w:eastAsia="宋体" w:cs="宋体"/>
          <w:snapToGrid w:val="0"/>
        </w:rPr>
        <w:t>4.4.3 联合体牵头人或联合体授权的代表负责与发包人和监理人联系，并接受指示，负责组织联合体各成员全面履行合同。</w:t>
      </w:r>
    </w:p>
    <w:p w14:paraId="73FB1D05">
      <w:pPr>
        <w:pStyle w:val="403"/>
        <w:spacing w:line="460" w:lineRule="exact"/>
        <w:ind w:firstLine="480" w:firstLineChars="200"/>
        <w:rPr>
          <w:rFonts w:hint="eastAsia" w:eastAsia="宋体" w:cs="宋体"/>
          <w:snapToGrid w:val="0"/>
        </w:rPr>
      </w:pPr>
      <w:bookmarkStart w:id="342" w:name="_Toc247514069"/>
      <w:bookmarkStart w:id="343" w:name="_Toc411736177"/>
      <w:bookmarkStart w:id="344" w:name="_Toc410559371"/>
      <w:bookmarkStart w:id="345" w:name="_Toc476860388"/>
      <w:bookmarkStart w:id="346" w:name="_Toc300835067"/>
      <w:bookmarkStart w:id="347" w:name="_Toc247527670"/>
      <w:bookmarkStart w:id="348" w:name="_Toc68594778"/>
      <w:bookmarkStart w:id="349" w:name="_Toc411736453"/>
      <w:r>
        <w:rPr>
          <w:rFonts w:hint="eastAsia" w:eastAsia="宋体" w:cs="宋体"/>
          <w:snapToGrid w:val="0"/>
        </w:rPr>
        <w:t>4.5 承包人项目经理</w:t>
      </w:r>
      <w:bookmarkEnd w:id="342"/>
      <w:bookmarkEnd w:id="343"/>
      <w:bookmarkEnd w:id="344"/>
      <w:bookmarkEnd w:id="345"/>
      <w:bookmarkEnd w:id="346"/>
      <w:bookmarkEnd w:id="347"/>
      <w:bookmarkEnd w:id="348"/>
      <w:bookmarkEnd w:id="349"/>
    </w:p>
    <w:p w14:paraId="2AF52E22">
      <w:pPr>
        <w:pStyle w:val="403"/>
        <w:spacing w:line="460" w:lineRule="exact"/>
        <w:ind w:firstLine="480" w:firstLineChars="200"/>
        <w:rPr>
          <w:rFonts w:hint="eastAsia" w:eastAsia="宋体" w:cs="宋体"/>
          <w:snapToGrid w:val="0"/>
        </w:rPr>
      </w:pPr>
      <w:r>
        <w:rPr>
          <w:rFonts w:hint="eastAsia" w:eastAsia="宋体" w:cs="宋体"/>
          <w:snapToGrid w:val="0"/>
        </w:rPr>
        <w:t>4.5.1 承包人应按合同协议书的约定指派项目经理，并在约定的期限内到职。承包人更换项目经理应事先征得发包人同意，并应在更换14天前将拟更换的项目经理的姓名和详细资料提交发包人和监理人。承包人项目经理2天内不能履行职责的，应事先征得监理人同意，并委派代表代行其职责。</w:t>
      </w:r>
    </w:p>
    <w:p w14:paraId="3D9A2D96">
      <w:pPr>
        <w:pStyle w:val="403"/>
        <w:spacing w:line="460" w:lineRule="exact"/>
        <w:ind w:firstLine="480" w:firstLineChars="200"/>
        <w:rPr>
          <w:rFonts w:hint="eastAsia" w:eastAsia="宋体" w:cs="宋体"/>
          <w:snapToGrid w:val="0"/>
        </w:rPr>
      </w:pPr>
      <w:r>
        <w:rPr>
          <w:rFonts w:hint="eastAsia" w:eastAsia="宋体" w:cs="宋体"/>
          <w:snapToGrid w:val="0"/>
        </w:rPr>
        <w:t>4.5.2 承包人项目经理应按合同约定以及监理人按第3.4 款作出的指示，负责组织合同工作的实施。在情况紧急且无法与监理人取得联系时，可采取保证工程和人员生命财产安全的紧急措施，并在采取措施后24小时内向监理人提交书面报告。</w:t>
      </w:r>
    </w:p>
    <w:p w14:paraId="21D1F0D1">
      <w:pPr>
        <w:pStyle w:val="403"/>
        <w:spacing w:line="460" w:lineRule="exact"/>
        <w:ind w:firstLine="480" w:firstLineChars="200"/>
        <w:rPr>
          <w:rFonts w:hint="eastAsia" w:eastAsia="宋体" w:cs="宋体"/>
          <w:snapToGrid w:val="0"/>
        </w:rPr>
      </w:pPr>
      <w:r>
        <w:rPr>
          <w:rFonts w:hint="eastAsia" w:eastAsia="宋体" w:cs="宋体"/>
          <w:snapToGrid w:val="0"/>
        </w:rPr>
        <w:t>4.5.3 承包人为履行合同发出的一切函件均应盖有承包人单位章或由承包人项目经理签字。</w:t>
      </w:r>
    </w:p>
    <w:p w14:paraId="2E9FAD8A">
      <w:pPr>
        <w:pStyle w:val="403"/>
        <w:spacing w:line="460" w:lineRule="exact"/>
        <w:ind w:firstLine="480" w:firstLineChars="200"/>
        <w:rPr>
          <w:rFonts w:hint="eastAsia" w:eastAsia="宋体" w:cs="宋体"/>
          <w:snapToGrid w:val="0"/>
        </w:rPr>
      </w:pPr>
      <w:r>
        <w:rPr>
          <w:rFonts w:hint="eastAsia" w:eastAsia="宋体" w:cs="宋体"/>
          <w:snapToGrid w:val="0"/>
        </w:rPr>
        <w:t>4.5.4 承包人项目经理可以授权其下属人员履行其某项职责，但事先应将这些人员的姓名和授权范围书面通知发包人和监理人。</w:t>
      </w:r>
    </w:p>
    <w:p w14:paraId="0648B8DF">
      <w:pPr>
        <w:pStyle w:val="403"/>
        <w:spacing w:line="460" w:lineRule="exact"/>
        <w:ind w:firstLine="480" w:firstLineChars="200"/>
        <w:rPr>
          <w:rFonts w:hint="eastAsia" w:eastAsia="宋体" w:cs="宋体"/>
          <w:snapToGrid w:val="0"/>
        </w:rPr>
      </w:pPr>
      <w:bookmarkStart w:id="350" w:name="_Toc410559372"/>
      <w:bookmarkStart w:id="351" w:name="_Toc247527671"/>
      <w:bookmarkStart w:id="352" w:name="_Toc411736178"/>
      <w:bookmarkStart w:id="353" w:name="_Toc247514070"/>
      <w:bookmarkStart w:id="354" w:name="_Toc411736454"/>
      <w:bookmarkStart w:id="355" w:name="_Toc68594779"/>
      <w:bookmarkStart w:id="356" w:name="_Toc476860389"/>
      <w:bookmarkStart w:id="357" w:name="_Toc300835068"/>
      <w:r>
        <w:rPr>
          <w:rFonts w:hint="eastAsia" w:eastAsia="宋体" w:cs="宋体"/>
          <w:snapToGrid w:val="0"/>
        </w:rPr>
        <w:t>4.6 承包人人员的管理</w:t>
      </w:r>
      <w:bookmarkEnd w:id="350"/>
      <w:bookmarkEnd w:id="351"/>
      <w:bookmarkEnd w:id="352"/>
      <w:bookmarkEnd w:id="353"/>
      <w:bookmarkEnd w:id="354"/>
      <w:bookmarkEnd w:id="355"/>
      <w:bookmarkEnd w:id="356"/>
      <w:bookmarkEnd w:id="357"/>
    </w:p>
    <w:p w14:paraId="7088F280">
      <w:pPr>
        <w:pStyle w:val="403"/>
        <w:spacing w:line="460" w:lineRule="exact"/>
        <w:ind w:firstLine="480" w:firstLineChars="200"/>
        <w:rPr>
          <w:rFonts w:hint="eastAsia" w:eastAsia="宋体" w:cs="宋体"/>
          <w:snapToGrid w:val="0"/>
        </w:rPr>
      </w:pPr>
      <w:r>
        <w:rPr>
          <w:rFonts w:hint="eastAsia" w:eastAsia="宋体" w:cs="宋体"/>
          <w:snapToGrid w:val="0"/>
        </w:rPr>
        <w:t>4.6.1 承包人应在接到开始工作通知之日起28天内，向监理人提交承包人的项目管理机构以及人员安排的报告，其内容应包括项目管理机构的设置、各主要岗位的技术和管理人员名单及其资格，以及设计人员和各工种技术工人的安排状况。承包人安排的主要管理人员和技术人员应相对稳定，更换主要管理人员和技术人员的，应取得监理人的同意，并向监理人提交继任人员的资格、管理经验等资料。项目经理的更换，应按照本章第4.5款规定执行。</w:t>
      </w:r>
    </w:p>
    <w:p w14:paraId="5D8446A6">
      <w:pPr>
        <w:pStyle w:val="403"/>
        <w:spacing w:line="460" w:lineRule="exact"/>
        <w:ind w:firstLine="480" w:firstLineChars="200"/>
        <w:rPr>
          <w:rFonts w:hint="eastAsia" w:eastAsia="宋体" w:cs="宋体"/>
          <w:snapToGrid w:val="0"/>
        </w:rPr>
      </w:pPr>
      <w:r>
        <w:rPr>
          <w:rFonts w:hint="eastAsia" w:eastAsia="宋体" w:cs="宋体"/>
          <w:snapToGrid w:val="0"/>
        </w:rPr>
        <w:t>4.6.2 承包人安排的主要管理人员包括项目经理、设计负责人、施工负责人、采购负责人以及专职质量、安全生产管理人员等；技术人员包括设计师、建筑师、土木工程师、设备工程师、建造师等。</w:t>
      </w:r>
    </w:p>
    <w:p w14:paraId="7B1E432E">
      <w:pPr>
        <w:pStyle w:val="403"/>
        <w:spacing w:line="460" w:lineRule="exact"/>
        <w:ind w:firstLine="480" w:firstLineChars="200"/>
        <w:rPr>
          <w:rFonts w:hint="eastAsia" w:eastAsia="宋体" w:cs="宋体"/>
          <w:snapToGrid w:val="0"/>
        </w:rPr>
      </w:pPr>
      <w:r>
        <w:rPr>
          <w:rFonts w:hint="eastAsia" w:eastAsia="宋体" w:cs="宋体"/>
          <w:snapToGrid w:val="0"/>
        </w:rPr>
        <w:t>4.6.3 承包人的设计人员应由具有国家规定和发包人要求中约定的资格，并具有从事设计所必需的经验与能力。</w:t>
      </w:r>
    </w:p>
    <w:p w14:paraId="3E560B39">
      <w:pPr>
        <w:pStyle w:val="403"/>
        <w:spacing w:line="460" w:lineRule="exact"/>
        <w:ind w:firstLine="480" w:firstLineChars="200"/>
        <w:rPr>
          <w:rFonts w:hint="eastAsia" w:eastAsia="宋体" w:cs="宋体"/>
          <w:snapToGrid w:val="0"/>
        </w:rPr>
      </w:pPr>
      <w:r>
        <w:rPr>
          <w:rFonts w:hint="eastAsia" w:eastAsia="宋体" w:cs="宋体"/>
          <w:snapToGrid w:val="0"/>
        </w:rPr>
        <w:t>承包人应保证其设计人员（包括分包人的设计人员）在合同期限内的任何时候，都能按时参加发包人或其委托的监理人组织的工作会议。</w:t>
      </w:r>
    </w:p>
    <w:p w14:paraId="774D7DAD">
      <w:pPr>
        <w:pStyle w:val="403"/>
        <w:spacing w:line="460" w:lineRule="exact"/>
        <w:ind w:firstLine="480" w:firstLineChars="200"/>
        <w:rPr>
          <w:rFonts w:hint="eastAsia" w:eastAsia="宋体" w:cs="宋体"/>
          <w:snapToGrid w:val="0"/>
        </w:rPr>
      </w:pPr>
      <w:r>
        <w:rPr>
          <w:rFonts w:hint="eastAsia" w:eastAsia="宋体" w:cs="宋体"/>
          <w:snapToGrid w:val="0"/>
        </w:rPr>
        <w:t>4.6.4 国家规定应当持证上岗的工作人员均应持有相应的资格证明，监理人有权随时检查。监理人认为有必要时，可进行现场考核。</w:t>
      </w:r>
    </w:p>
    <w:p w14:paraId="5E7CD5A5">
      <w:pPr>
        <w:pStyle w:val="403"/>
        <w:spacing w:line="460" w:lineRule="exact"/>
        <w:ind w:firstLine="480" w:firstLineChars="200"/>
        <w:rPr>
          <w:rFonts w:hint="eastAsia" w:eastAsia="宋体" w:cs="宋体"/>
          <w:snapToGrid w:val="0"/>
        </w:rPr>
      </w:pPr>
      <w:r>
        <w:rPr>
          <w:rFonts w:hint="eastAsia" w:eastAsia="宋体" w:cs="宋体"/>
          <w:snapToGrid w:val="0"/>
        </w:rPr>
        <w:t>4.6.5 除专用合同条款另有约定外，承包人的主要施工管理人员离开施工现场连续超过3天的，应事先征得监理人同意。承包人擅自更换项目经理或主要施工管理人员，或前述人员未经监理人许可擅自离开施工现场连续超过3天的，应按照专用合同条款约定承担违约责任。</w:t>
      </w:r>
    </w:p>
    <w:p w14:paraId="06AE19DE">
      <w:pPr>
        <w:pStyle w:val="403"/>
        <w:spacing w:line="460" w:lineRule="exact"/>
        <w:ind w:firstLine="480" w:firstLineChars="200"/>
        <w:rPr>
          <w:rFonts w:hint="eastAsia" w:eastAsia="宋体" w:cs="宋体"/>
          <w:snapToGrid w:val="0"/>
        </w:rPr>
      </w:pPr>
      <w:bookmarkStart w:id="358" w:name="_Toc410559373"/>
      <w:bookmarkStart w:id="359" w:name="_Toc476860390"/>
      <w:bookmarkStart w:id="360" w:name="_Toc411736455"/>
      <w:bookmarkStart w:id="361" w:name="_Toc247527672"/>
      <w:bookmarkStart w:id="362" w:name="_Toc300835069"/>
      <w:bookmarkStart w:id="363" w:name="_Toc411736179"/>
      <w:bookmarkStart w:id="364" w:name="_Toc247514071"/>
      <w:bookmarkStart w:id="365" w:name="_Toc68594780"/>
      <w:r>
        <w:rPr>
          <w:rFonts w:hint="eastAsia" w:eastAsia="宋体" w:cs="宋体"/>
          <w:snapToGrid w:val="0"/>
        </w:rPr>
        <w:t>4.7 撤换承包人项目经理和其他人员</w:t>
      </w:r>
      <w:bookmarkEnd w:id="358"/>
      <w:bookmarkEnd w:id="359"/>
      <w:bookmarkEnd w:id="360"/>
      <w:bookmarkEnd w:id="361"/>
      <w:bookmarkEnd w:id="362"/>
      <w:bookmarkEnd w:id="363"/>
      <w:bookmarkEnd w:id="364"/>
      <w:bookmarkEnd w:id="365"/>
    </w:p>
    <w:p w14:paraId="04C64CB9">
      <w:pPr>
        <w:pStyle w:val="403"/>
        <w:spacing w:line="460" w:lineRule="exact"/>
        <w:ind w:firstLine="480" w:firstLineChars="200"/>
        <w:rPr>
          <w:rFonts w:hint="eastAsia" w:eastAsia="宋体" w:cs="宋体"/>
          <w:snapToGrid w:val="0"/>
        </w:rPr>
      </w:pPr>
      <w:r>
        <w:rPr>
          <w:rFonts w:hint="eastAsia" w:eastAsia="宋体" w:cs="宋体"/>
          <w:snapToGrid w:val="0"/>
        </w:rPr>
        <w:t>承包人应对其项目经理和其他人员进行有效管理。监理人要求撤换不能胜任本职工作、行为不端或玩忽职守的承包人项目经理和其他人员的，承包人应予以撤换。</w:t>
      </w:r>
    </w:p>
    <w:p w14:paraId="330C24F6">
      <w:pPr>
        <w:pStyle w:val="403"/>
        <w:spacing w:line="460" w:lineRule="exact"/>
        <w:ind w:firstLine="480" w:firstLineChars="200"/>
        <w:rPr>
          <w:rFonts w:hint="eastAsia" w:eastAsia="宋体" w:cs="宋体"/>
          <w:snapToGrid w:val="0"/>
        </w:rPr>
      </w:pPr>
      <w:bookmarkStart w:id="366" w:name="_Toc411736456"/>
      <w:bookmarkStart w:id="367" w:name="_Toc300835070"/>
      <w:bookmarkStart w:id="368" w:name="_Toc247527673"/>
      <w:bookmarkStart w:id="369" w:name="_Toc247514072"/>
      <w:bookmarkStart w:id="370" w:name="_Toc411736180"/>
      <w:bookmarkStart w:id="371" w:name="_Toc410559374"/>
      <w:bookmarkStart w:id="372" w:name="_Toc476860391"/>
      <w:bookmarkStart w:id="373" w:name="_Toc68594781"/>
      <w:r>
        <w:rPr>
          <w:rFonts w:hint="eastAsia" w:eastAsia="宋体" w:cs="宋体"/>
          <w:snapToGrid w:val="0"/>
        </w:rPr>
        <w:t>4.8 保障承包人人员的合法权益</w:t>
      </w:r>
      <w:bookmarkEnd w:id="366"/>
      <w:bookmarkEnd w:id="367"/>
      <w:bookmarkEnd w:id="368"/>
      <w:bookmarkEnd w:id="369"/>
      <w:bookmarkEnd w:id="370"/>
      <w:bookmarkEnd w:id="371"/>
      <w:bookmarkEnd w:id="372"/>
      <w:bookmarkEnd w:id="373"/>
    </w:p>
    <w:p w14:paraId="5EAEC97D">
      <w:pPr>
        <w:pStyle w:val="403"/>
        <w:spacing w:line="460" w:lineRule="exact"/>
        <w:ind w:firstLine="480" w:firstLineChars="200"/>
        <w:rPr>
          <w:rFonts w:hint="eastAsia" w:eastAsia="宋体" w:cs="宋体"/>
          <w:snapToGrid w:val="0"/>
        </w:rPr>
      </w:pPr>
      <w:r>
        <w:rPr>
          <w:rFonts w:hint="eastAsia" w:eastAsia="宋体" w:cs="宋体"/>
          <w:snapToGrid w:val="0"/>
        </w:rPr>
        <w:t>4.8.1 承包人应与其雇佣的人员签订劳动合同，并按时发放工资。</w:t>
      </w:r>
    </w:p>
    <w:p w14:paraId="5749C21F">
      <w:pPr>
        <w:pStyle w:val="403"/>
        <w:spacing w:line="460" w:lineRule="exact"/>
        <w:ind w:firstLine="480" w:firstLineChars="200"/>
        <w:rPr>
          <w:rFonts w:hint="eastAsia" w:eastAsia="宋体" w:cs="宋体"/>
          <w:snapToGrid w:val="0"/>
        </w:rPr>
      </w:pPr>
      <w:r>
        <w:rPr>
          <w:rFonts w:hint="eastAsia" w:eastAsia="宋体" w:cs="宋体"/>
          <w:snapToGrid w:val="0"/>
        </w:rPr>
        <w:t>4.8.2 承包人应按劳动法的规定安排工作时间，保证其雇佣人员享有休息和休假的权利。因设计、施工的特殊需要占用休假日或延长工作时间的，应不超过法律规定的限度，并按法律规定给予补休或付酬。</w:t>
      </w:r>
    </w:p>
    <w:p w14:paraId="45DD8607">
      <w:pPr>
        <w:pStyle w:val="403"/>
        <w:spacing w:line="460" w:lineRule="exact"/>
        <w:ind w:firstLine="480" w:firstLineChars="200"/>
        <w:rPr>
          <w:rFonts w:hint="eastAsia" w:eastAsia="宋体" w:cs="宋体"/>
          <w:snapToGrid w:val="0"/>
        </w:rPr>
      </w:pPr>
      <w:r>
        <w:rPr>
          <w:rFonts w:hint="eastAsia" w:eastAsia="宋体" w:cs="宋体"/>
          <w:snapToGrid w:val="0"/>
        </w:rPr>
        <w:t>4.8.3 承包人应为其雇佣人员提供必要的食宿条件，以及符合环境保护和卫生要求的生活环境，在远离城镇的施工场地，还应配备必要的伤病防治和急救的医务人员与医疗设施。</w:t>
      </w:r>
    </w:p>
    <w:p w14:paraId="0A4831D7">
      <w:pPr>
        <w:pStyle w:val="403"/>
        <w:spacing w:line="460" w:lineRule="exact"/>
        <w:ind w:firstLine="480" w:firstLineChars="200"/>
        <w:rPr>
          <w:rFonts w:hint="eastAsia" w:eastAsia="宋体" w:cs="宋体"/>
          <w:snapToGrid w:val="0"/>
        </w:rPr>
      </w:pPr>
      <w:r>
        <w:rPr>
          <w:rFonts w:hint="eastAsia" w:eastAsia="宋体" w:cs="宋体"/>
          <w:snapToGrid w:val="0"/>
        </w:rPr>
        <w:t>4.8.4 承包人应按国家有关劳动保护的规定，采取有效的防止粉尘、降低噪声、控制有害气体和保障高温、高寒、高空作业安全等劳动保护措施。其雇佣人员在施工中受到伤害的，承包人应立即采取有效措施进行抢救和治疗。</w:t>
      </w:r>
    </w:p>
    <w:p w14:paraId="2E35D176">
      <w:pPr>
        <w:pStyle w:val="403"/>
        <w:spacing w:line="460" w:lineRule="exact"/>
        <w:ind w:firstLine="480" w:firstLineChars="200"/>
        <w:rPr>
          <w:rFonts w:hint="eastAsia" w:eastAsia="宋体" w:cs="宋体"/>
          <w:snapToGrid w:val="0"/>
        </w:rPr>
      </w:pPr>
      <w:r>
        <w:rPr>
          <w:rFonts w:hint="eastAsia" w:eastAsia="宋体" w:cs="宋体"/>
          <w:snapToGrid w:val="0"/>
        </w:rPr>
        <w:t>4.8.5 承包人应按有关法律规定和合同约定，为其雇佣人员办理保险。</w:t>
      </w:r>
    </w:p>
    <w:p w14:paraId="209CDF98">
      <w:pPr>
        <w:pStyle w:val="403"/>
        <w:spacing w:line="460" w:lineRule="exact"/>
        <w:ind w:firstLine="480" w:firstLineChars="200"/>
        <w:rPr>
          <w:rFonts w:hint="eastAsia" w:eastAsia="宋体" w:cs="宋体"/>
          <w:snapToGrid w:val="0"/>
        </w:rPr>
      </w:pPr>
      <w:r>
        <w:rPr>
          <w:rFonts w:hint="eastAsia" w:eastAsia="宋体" w:cs="宋体"/>
          <w:snapToGrid w:val="0"/>
        </w:rPr>
        <w:t>4.8.6 承包人应负责处理其雇佣人员因工伤亡事故的善后事宜。</w:t>
      </w:r>
    </w:p>
    <w:p w14:paraId="1F43092D">
      <w:pPr>
        <w:pStyle w:val="403"/>
        <w:spacing w:line="460" w:lineRule="exact"/>
        <w:ind w:firstLine="480" w:firstLineChars="200"/>
        <w:rPr>
          <w:rFonts w:hint="eastAsia" w:eastAsia="宋体" w:cs="宋体"/>
          <w:snapToGrid w:val="0"/>
        </w:rPr>
      </w:pPr>
      <w:bookmarkStart w:id="374" w:name="_Toc247527674"/>
      <w:bookmarkStart w:id="375" w:name="_Toc410559375"/>
      <w:bookmarkStart w:id="376" w:name="_Toc411736457"/>
      <w:bookmarkStart w:id="377" w:name="_Toc300835071"/>
      <w:bookmarkStart w:id="378" w:name="_Toc68594782"/>
      <w:bookmarkStart w:id="379" w:name="_Toc247514073"/>
      <w:bookmarkStart w:id="380" w:name="_Toc411736181"/>
      <w:bookmarkStart w:id="381" w:name="_Toc476860392"/>
      <w:r>
        <w:rPr>
          <w:rFonts w:hint="eastAsia" w:eastAsia="宋体" w:cs="宋体"/>
          <w:snapToGrid w:val="0"/>
        </w:rPr>
        <w:t>4.9 工程价款应专款专用</w:t>
      </w:r>
      <w:bookmarkEnd w:id="374"/>
      <w:bookmarkEnd w:id="375"/>
      <w:bookmarkEnd w:id="376"/>
      <w:bookmarkEnd w:id="377"/>
      <w:bookmarkEnd w:id="378"/>
      <w:bookmarkEnd w:id="379"/>
      <w:bookmarkEnd w:id="380"/>
      <w:bookmarkEnd w:id="381"/>
    </w:p>
    <w:p w14:paraId="597E463B">
      <w:pPr>
        <w:pStyle w:val="403"/>
        <w:spacing w:line="460" w:lineRule="exact"/>
        <w:ind w:firstLine="480" w:firstLineChars="200"/>
        <w:rPr>
          <w:rFonts w:hint="eastAsia" w:eastAsia="宋体" w:cs="宋体"/>
          <w:snapToGrid w:val="0"/>
        </w:rPr>
      </w:pPr>
      <w:r>
        <w:rPr>
          <w:rFonts w:hint="eastAsia" w:eastAsia="宋体" w:cs="宋体"/>
          <w:snapToGrid w:val="0"/>
        </w:rPr>
        <w:t>发包人按合同约定支付给承包人的各项价款应专用于合同工作。</w:t>
      </w:r>
    </w:p>
    <w:p w14:paraId="5E214B9C">
      <w:pPr>
        <w:pStyle w:val="403"/>
        <w:spacing w:line="460" w:lineRule="exact"/>
        <w:ind w:firstLine="480" w:firstLineChars="200"/>
        <w:rPr>
          <w:rFonts w:hint="eastAsia" w:eastAsia="宋体" w:cs="宋体"/>
          <w:snapToGrid w:val="0"/>
        </w:rPr>
      </w:pPr>
      <w:bookmarkStart w:id="382" w:name="_Toc247527675"/>
      <w:bookmarkStart w:id="383" w:name="_Toc411736182"/>
      <w:bookmarkStart w:id="384" w:name="_Toc476860393"/>
      <w:bookmarkStart w:id="385" w:name="_Toc300835072"/>
      <w:bookmarkStart w:id="386" w:name="_Toc247514074"/>
      <w:bookmarkStart w:id="387" w:name="_Toc410559376"/>
      <w:bookmarkStart w:id="388" w:name="_Toc68594783"/>
      <w:bookmarkStart w:id="389" w:name="_Toc411736458"/>
      <w:r>
        <w:rPr>
          <w:rFonts w:hint="eastAsia" w:eastAsia="宋体" w:cs="宋体"/>
          <w:snapToGrid w:val="0"/>
        </w:rPr>
        <w:t>4.10 承包人现场查勘</w:t>
      </w:r>
      <w:bookmarkEnd w:id="382"/>
      <w:bookmarkEnd w:id="383"/>
      <w:bookmarkEnd w:id="384"/>
      <w:bookmarkEnd w:id="385"/>
      <w:bookmarkEnd w:id="386"/>
      <w:bookmarkEnd w:id="387"/>
      <w:bookmarkEnd w:id="388"/>
      <w:bookmarkEnd w:id="389"/>
    </w:p>
    <w:p w14:paraId="2F5D8DAF">
      <w:pPr>
        <w:pStyle w:val="403"/>
        <w:spacing w:line="460" w:lineRule="exact"/>
        <w:ind w:firstLine="480" w:firstLineChars="200"/>
        <w:rPr>
          <w:rFonts w:hint="eastAsia" w:eastAsia="宋体" w:cs="宋体"/>
          <w:snapToGrid w:val="0"/>
        </w:rPr>
      </w:pPr>
      <w:r>
        <w:rPr>
          <w:rFonts w:hint="eastAsia" w:eastAsia="宋体" w:cs="宋体"/>
          <w:snapToGrid w:val="0"/>
        </w:rPr>
        <w:t>4.10.1 发包人应向承包人提供施工场地及毗邻区域内的供水、排水、供电、供气、供热、通信、广播电视等地下管线资料、气象和水文观测资料，相邻建筑物和构筑物、地下工程的有关资料，以及其他与建设工程有关的原始资料，并承担原始资料错误造成的全部责任，但承包人应对其阅读上述有关资料后所作出的解释和推断负责。</w:t>
      </w:r>
    </w:p>
    <w:p w14:paraId="489DD52E">
      <w:pPr>
        <w:pStyle w:val="403"/>
        <w:spacing w:line="460" w:lineRule="exact"/>
        <w:ind w:firstLine="480" w:firstLineChars="200"/>
        <w:rPr>
          <w:rFonts w:hint="eastAsia" w:eastAsia="宋体" w:cs="宋体"/>
          <w:snapToGrid w:val="0"/>
        </w:rPr>
      </w:pPr>
      <w:r>
        <w:rPr>
          <w:rFonts w:hint="eastAsia" w:eastAsia="宋体" w:cs="宋体"/>
          <w:snapToGrid w:val="0"/>
        </w:rPr>
        <w:t>4.10.2 承包人应对施工场地和周围环境进行查勘，并收集除发包人提供外为完成合同工作有关的当地资料。在全部合同工作中，视为承包人已充分估计了应承担的责任和风险。</w:t>
      </w:r>
    </w:p>
    <w:p w14:paraId="26762D9E">
      <w:pPr>
        <w:pStyle w:val="403"/>
        <w:spacing w:line="460" w:lineRule="exact"/>
        <w:ind w:firstLine="480" w:firstLineChars="200"/>
        <w:rPr>
          <w:rFonts w:hint="eastAsia" w:eastAsia="宋体" w:cs="宋体"/>
          <w:snapToGrid w:val="0"/>
        </w:rPr>
      </w:pPr>
      <w:bookmarkStart w:id="390" w:name="_Toc247705004"/>
      <w:bookmarkStart w:id="391" w:name="_Toc265955416"/>
      <w:bookmarkStart w:id="392" w:name="_Toc68594784"/>
      <w:bookmarkStart w:id="393" w:name="_Toc411736459"/>
      <w:bookmarkStart w:id="394" w:name="_Toc410559377"/>
      <w:bookmarkStart w:id="395" w:name="_Toc476860394"/>
      <w:bookmarkStart w:id="396" w:name="_Toc300835074"/>
      <w:bookmarkStart w:id="397" w:name="_Toc411736183"/>
      <w:r>
        <w:rPr>
          <w:rFonts w:hint="eastAsia" w:eastAsia="宋体" w:cs="宋体"/>
          <w:snapToGrid w:val="0"/>
        </w:rPr>
        <w:t>4.11 不可预见的困难和费用</w:t>
      </w:r>
      <w:bookmarkEnd w:id="390"/>
      <w:bookmarkEnd w:id="391"/>
      <w:r>
        <w:rPr>
          <w:rFonts w:hint="eastAsia" w:eastAsia="宋体" w:cs="宋体"/>
          <w:snapToGrid w:val="0"/>
        </w:rPr>
        <w:t>（B）</w:t>
      </w:r>
      <w:bookmarkEnd w:id="392"/>
      <w:bookmarkEnd w:id="393"/>
      <w:bookmarkEnd w:id="394"/>
      <w:bookmarkEnd w:id="395"/>
      <w:bookmarkEnd w:id="396"/>
      <w:bookmarkEnd w:id="397"/>
    </w:p>
    <w:p w14:paraId="4C7B6471">
      <w:pPr>
        <w:pStyle w:val="403"/>
        <w:spacing w:line="460" w:lineRule="exact"/>
        <w:ind w:firstLine="480" w:firstLineChars="200"/>
        <w:rPr>
          <w:rFonts w:hint="eastAsia" w:eastAsia="宋体" w:cs="宋体"/>
          <w:snapToGrid w:val="0"/>
        </w:rPr>
      </w:pPr>
      <w:r>
        <w:rPr>
          <w:rFonts w:hint="eastAsia" w:eastAsia="宋体" w:cs="宋体"/>
          <w:snapToGrid w:val="0"/>
        </w:rPr>
        <w:t>除合同另有约定外，承包人应视为已取得工程有关风险、意外事件和其他情况的全部必要资料，并预见工程所有困难和费用。承包人遇到不可预见的困难和费用时，合同价格不予调整。</w:t>
      </w:r>
    </w:p>
    <w:p w14:paraId="0E48D86E">
      <w:pPr>
        <w:pStyle w:val="403"/>
        <w:spacing w:line="460" w:lineRule="exact"/>
        <w:ind w:firstLine="480" w:firstLineChars="200"/>
        <w:rPr>
          <w:rFonts w:hint="eastAsia" w:eastAsia="宋体" w:cs="宋体"/>
          <w:snapToGrid w:val="0"/>
        </w:rPr>
      </w:pPr>
      <w:bookmarkStart w:id="398" w:name="_Toc68594785"/>
      <w:bookmarkStart w:id="399" w:name="_Toc300835075"/>
      <w:bookmarkStart w:id="400" w:name="_Toc411736184"/>
      <w:bookmarkStart w:id="401" w:name="_Toc411736460"/>
      <w:bookmarkStart w:id="402" w:name="_Toc247527677"/>
      <w:bookmarkStart w:id="403" w:name="_Toc247514076"/>
      <w:bookmarkStart w:id="404" w:name="_Toc410559378"/>
      <w:bookmarkStart w:id="405" w:name="_Toc476860395"/>
      <w:r>
        <w:rPr>
          <w:rFonts w:hint="eastAsia" w:eastAsia="宋体" w:cs="宋体"/>
          <w:snapToGrid w:val="0"/>
        </w:rPr>
        <w:t>4.12 进度计划</w:t>
      </w:r>
      <w:bookmarkEnd w:id="398"/>
      <w:bookmarkEnd w:id="399"/>
      <w:bookmarkEnd w:id="400"/>
      <w:bookmarkEnd w:id="401"/>
      <w:bookmarkEnd w:id="402"/>
      <w:bookmarkEnd w:id="403"/>
      <w:bookmarkEnd w:id="404"/>
      <w:bookmarkEnd w:id="405"/>
    </w:p>
    <w:p w14:paraId="4A9200B2">
      <w:pPr>
        <w:pStyle w:val="403"/>
        <w:spacing w:line="460" w:lineRule="exact"/>
        <w:ind w:firstLine="480" w:firstLineChars="200"/>
        <w:rPr>
          <w:rFonts w:hint="eastAsia" w:eastAsia="宋体" w:cs="宋体"/>
          <w:snapToGrid w:val="0"/>
        </w:rPr>
      </w:pPr>
      <w:r>
        <w:rPr>
          <w:rFonts w:hint="eastAsia" w:eastAsia="宋体" w:cs="宋体"/>
          <w:snapToGrid w:val="0"/>
        </w:rPr>
        <w:t>4.12.1 合同进度计划</w:t>
      </w:r>
    </w:p>
    <w:p w14:paraId="24645B93">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的内容和期限，编制详细的进度计划，包括设计、承包人文件提交、采购、制造、检验、运达现场、施工、安装、试验的各个阶段的预期时间以及设计和施工组织方案说明等报送监理人。监理人应在专用合同条款约定的期限内批复或提出修改意见，否则该进度计划视为已得到批准。经监理人批准的进度计划称合同进度计划，是控制合同工程进度的依据。承包人还应根据合同进度计划，编制更为详细的分阶段或分项进度计划，报监理人批准。</w:t>
      </w:r>
    </w:p>
    <w:p w14:paraId="6E0376C3">
      <w:pPr>
        <w:pStyle w:val="403"/>
        <w:spacing w:line="460" w:lineRule="exact"/>
        <w:ind w:firstLine="480" w:firstLineChars="200"/>
        <w:rPr>
          <w:rFonts w:hint="eastAsia" w:eastAsia="宋体" w:cs="宋体"/>
          <w:snapToGrid w:val="0"/>
        </w:rPr>
      </w:pPr>
      <w:r>
        <w:rPr>
          <w:rFonts w:hint="eastAsia" w:eastAsia="宋体" w:cs="宋体"/>
          <w:snapToGrid w:val="0"/>
        </w:rPr>
        <w:t>4.12.2 合同进度计划的修订</w:t>
      </w:r>
    </w:p>
    <w:p w14:paraId="3C526552">
      <w:pPr>
        <w:pStyle w:val="403"/>
        <w:spacing w:line="460" w:lineRule="exact"/>
        <w:ind w:firstLine="480" w:firstLineChars="200"/>
        <w:rPr>
          <w:rFonts w:hint="eastAsia" w:eastAsia="宋体" w:cs="宋体"/>
          <w:snapToGrid w:val="0"/>
        </w:rPr>
      </w:pPr>
      <w:r>
        <w:rPr>
          <w:rFonts w:hint="eastAsia" w:eastAsia="宋体" w:cs="宋体"/>
          <w:snapToGrid w:val="0"/>
        </w:rPr>
        <w:t>不论何种原因造成工程的实际进度与第4.12.1项的合同进度计划不符时，承包人可以在专用合同条款约定的期限内向监理人提交修订合同进度计划的申请报告，并附有关措施和相关资料，报监理人批准；监理人也可以直接向承包人作出修订合同进度计划的指示，承包人应按该指示修订合同进度计划，报监理人批准。监理人应在专用合同条款约定的期限内批复。监理人在批复前应获得发包人同意。</w:t>
      </w:r>
    </w:p>
    <w:p w14:paraId="3FC95E84">
      <w:pPr>
        <w:pStyle w:val="403"/>
        <w:spacing w:line="460" w:lineRule="exact"/>
        <w:ind w:firstLine="480" w:firstLineChars="200"/>
        <w:rPr>
          <w:rFonts w:hint="eastAsia" w:eastAsia="宋体" w:cs="宋体"/>
          <w:snapToGrid w:val="0"/>
        </w:rPr>
      </w:pPr>
      <w:bookmarkStart w:id="406" w:name="_Toc476860396"/>
      <w:bookmarkStart w:id="407" w:name="_Toc68594786"/>
      <w:bookmarkStart w:id="408" w:name="_Toc411736185"/>
      <w:bookmarkStart w:id="409" w:name="_Toc410559379"/>
      <w:bookmarkStart w:id="410" w:name="_Toc411736461"/>
      <w:bookmarkStart w:id="411" w:name="_Toc300835076"/>
      <w:r>
        <w:rPr>
          <w:rFonts w:hint="eastAsia" w:eastAsia="宋体" w:cs="宋体"/>
          <w:snapToGrid w:val="0"/>
        </w:rPr>
        <w:t>4.13 质量保证</w:t>
      </w:r>
      <w:bookmarkEnd w:id="406"/>
      <w:bookmarkEnd w:id="407"/>
      <w:bookmarkEnd w:id="408"/>
      <w:bookmarkEnd w:id="409"/>
      <w:bookmarkEnd w:id="410"/>
      <w:bookmarkEnd w:id="411"/>
    </w:p>
    <w:p w14:paraId="1E52E561">
      <w:pPr>
        <w:pStyle w:val="403"/>
        <w:spacing w:line="460" w:lineRule="exact"/>
        <w:ind w:firstLine="480" w:firstLineChars="200"/>
        <w:rPr>
          <w:rFonts w:hint="eastAsia" w:eastAsia="宋体" w:cs="宋体"/>
          <w:snapToGrid w:val="0"/>
        </w:rPr>
      </w:pPr>
      <w:r>
        <w:rPr>
          <w:rFonts w:hint="eastAsia" w:eastAsia="宋体" w:cs="宋体"/>
          <w:snapToGrid w:val="0"/>
        </w:rPr>
        <w:t>4.13.1 为保证工程质量，承包人应按照合同要求建立质量保证体系。监理人有权对承包人的质量保证体系进行审查。</w:t>
      </w:r>
    </w:p>
    <w:p w14:paraId="1BC559F1">
      <w:pPr>
        <w:pStyle w:val="403"/>
        <w:spacing w:line="460" w:lineRule="exact"/>
        <w:ind w:firstLine="480" w:firstLineChars="200"/>
        <w:rPr>
          <w:rFonts w:hint="eastAsia" w:eastAsia="宋体" w:cs="宋体"/>
          <w:snapToGrid w:val="0"/>
        </w:rPr>
      </w:pPr>
      <w:r>
        <w:rPr>
          <w:rFonts w:hint="eastAsia" w:eastAsia="宋体" w:cs="宋体"/>
          <w:snapToGrid w:val="0"/>
        </w:rPr>
        <w:t>4.13.2 承包人应在各设计和实施阶段开始前，向监理人提交其具体的质量保证细则和工作程序。</w:t>
      </w:r>
    </w:p>
    <w:p w14:paraId="63E58F30">
      <w:pPr>
        <w:pStyle w:val="403"/>
        <w:spacing w:line="460" w:lineRule="exact"/>
        <w:ind w:firstLine="480" w:firstLineChars="200"/>
        <w:rPr>
          <w:rFonts w:hint="eastAsia" w:eastAsia="宋体" w:cs="宋体"/>
          <w:snapToGrid w:val="0"/>
        </w:rPr>
      </w:pPr>
      <w:r>
        <w:rPr>
          <w:rFonts w:hint="eastAsia" w:eastAsia="宋体" w:cs="宋体"/>
          <w:snapToGrid w:val="0"/>
        </w:rPr>
        <w:t>4.13.3 遵守质量保证体系，不应免除合同约定的承包人的义务和责任。</w:t>
      </w:r>
    </w:p>
    <w:p w14:paraId="081CDA7F">
      <w:pPr>
        <w:pStyle w:val="5"/>
        <w:spacing w:before="360" w:after="120" w:afterLines="50" w:line="480" w:lineRule="exact"/>
        <w:rPr>
          <w:rFonts w:hint="eastAsia" w:ascii="宋体" w:hAnsi="宋体" w:eastAsia="宋体" w:cs="宋体"/>
          <w:bCs/>
          <w:sz w:val="28"/>
          <w:szCs w:val="28"/>
        </w:rPr>
      </w:pPr>
      <w:bookmarkStart w:id="412" w:name="_Toc300835077"/>
      <w:bookmarkStart w:id="413" w:name="_Toc410559380"/>
      <w:bookmarkStart w:id="414" w:name="_Toc476860397"/>
      <w:bookmarkStart w:id="415" w:name="_Toc247514077"/>
      <w:bookmarkStart w:id="416" w:name="_Toc176268724"/>
      <w:bookmarkStart w:id="417" w:name="_Toc247527678"/>
      <w:bookmarkStart w:id="418" w:name="_Toc83220595"/>
      <w:bookmarkStart w:id="419" w:name="_Toc411736462"/>
      <w:bookmarkStart w:id="420" w:name="_Toc68594787"/>
      <w:bookmarkStart w:id="421" w:name="_Toc411736186"/>
      <w:bookmarkStart w:id="422" w:name="_Toc198803791"/>
      <w:bookmarkStart w:id="423" w:name="_Toc23533"/>
      <w:r>
        <w:rPr>
          <w:rFonts w:hint="eastAsia" w:ascii="宋体" w:hAnsi="宋体" w:eastAsia="宋体" w:cs="宋体"/>
          <w:bCs/>
          <w:sz w:val="28"/>
          <w:szCs w:val="28"/>
        </w:rPr>
        <w:t>5. 设计</w:t>
      </w:r>
      <w:bookmarkEnd w:id="412"/>
      <w:bookmarkEnd w:id="413"/>
      <w:bookmarkEnd w:id="414"/>
      <w:bookmarkEnd w:id="415"/>
      <w:bookmarkEnd w:id="416"/>
      <w:bookmarkEnd w:id="417"/>
      <w:bookmarkEnd w:id="418"/>
      <w:bookmarkEnd w:id="419"/>
      <w:bookmarkEnd w:id="420"/>
      <w:bookmarkEnd w:id="421"/>
      <w:bookmarkEnd w:id="422"/>
      <w:bookmarkEnd w:id="423"/>
    </w:p>
    <w:p w14:paraId="713F3B19">
      <w:pPr>
        <w:pStyle w:val="403"/>
        <w:spacing w:line="460" w:lineRule="exact"/>
        <w:ind w:firstLine="480" w:firstLineChars="200"/>
        <w:rPr>
          <w:rFonts w:hint="eastAsia" w:eastAsia="宋体" w:cs="宋体"/>
          <w:snapToGrid w:val="0"/>
        </w:rPr>
      </w:pPr>
      <w:bookmarkStart w:id="424" w:name="_Toc476860398"/>
      <w:bookmarkStart w:id="425" w:name="_Toc411736463"/>
      <w:bookmarkStart w:id="426" w:name="_Toc259552511"/>
      <w:bookmarkStart w:id="427" w:name="_Toc258440543"/>
      <w:bookmarkStart w:id="428" w:name="_Toc300835078"/>
      <w:bookmarkStart w:id="429" w:name="_Toc411736187"/>
      <w:bookmarkStart w:id="430" w:name="_Toc410559381"/>
      <w:bookmarkStart w:id="431" w:name="_Toc68594788"/>
      <w:bookmarkStart w:id="432" w:name="_Toc264373498"/>
      <w:bookmarkStart w:id="433" w:name="_Toc257880849"/>
      <w:bookmarkStart w:id="434" w:name="_Toc259350427"/>
      <w:bookmarkStart w:id="435" w:name="_Toc487072795"/>
      <w:bookmarkStart w:id="436" w:name="_Toc247527679"/>
      <w:bookmarkStart w:id="437" w:name="_Toc468936969"/>
      <w:bookmarkStart w:id="438" w:name="_Toc297347661"/>
      <w:bookmarkStart w:id="439" w:name="_Toc247514078"/>
      <w:r>
        <w:rPr>
          <w:rFonts w:hint="eastAsia" w:eastAsia="宋体" w:cs="宋体"/>
          <w:snapToGrid w:val="0"/>
        </w:rPr>
        <w:t>5.1 承包人的设计义务</w:t>
      </w:r>
      <w:bookmarkEnd w:id="424"/>
      <w:bookmarkEnd w:id="425"/>
      <w:bookmarkEnd w:id="426"/>
      <w:bookmarkEnd w:id="427"/>
      <w:bookmarkEnd w:id="428"/>
      <w:bookmarkEnd w:id="429"/>
      <w:bookmarkEnd w:id="430"/>
      <w:bookmarkEnd w:id="431"/>
      <w:bookmarkEnd w:id="432"/>
      <w:bookmarkEnd w:id="433"/>
      <w:bookmarkEnd w:id="434"/>
    </w:p>
    <w:p w14:paraId="6DCF183B">
      <w:pPr>
        <w:pStyle w:val="403"/>
        <w:spacing w:line="460" w:lineRule="exact"/>
        <w:ind w:firstLine="480" w:firstLineChars="200"/>
        <w:rPr>
          <w:rFonts w:hint="eastAsia" w:eastAsia="宋体" w:cs="宋体"/>
          <w:snapToGrid w:val="0"/>
        </w:rPr>
      </w:pPr>
      <w:bookmarkStart w:id="440" w:name="_Toc259552512"/>
      <w:bookmarkStart w:id="441" w:name="_Toc258440544"/>
      <w:bookmarkStart w:id="442" w:name="_Toc259350428"/>
      <w:bookmarkStart w:id="443" w:name="_Toc264373499"/>
      <w:r>
        <w:rPr>
          <w:rFonts w:hint="eastAsia" w:eastAsia="宋体" w:cs="宋体"/>
          <w:snapToGrid w:val="0"/>
        </w:rPr>
        <w:t>5.1.1 设计义务</w:t>
      </w:r>
      <w:bookmarkEnd w:id="440"/>
      <w:bookmarkEnd w:id="441"/>
      <w:bookmarkEnd w:id="442"/>
      <w:bookmarkEnd w:id="443"/>
      <w:r>
        <w:rPr>
          <w:rFonts w:hint="eastAsia" w:eastAsia="宋体" w:cs="宋体"/>
          <w:snapToGrid w:val="0"/>
        </w:rPr>
        <w:t>的一般要求</w:t>
      </w:r>
    </w:p>
    <w:p w14:paraId="7A6FE489">
      <w:pPr>
        <w:pStyle w:val="403"/>
        <w:spacing w:line="460" w:lineRule="exact"/>
        <w:ind w:firstLine="480" w:firstLineChars="200"/>
        <w:rPr>
          <w:rFonts w:hint="eastAsia" w:eastAsia="宋体" w:cs="宋体"/>
          <w:snapToGrid w:val="0"/>
        </w:rPr>
      </w:pPr>
      <w:r>
        <w:rPr>
          <w:rFonts w:hint="eastAsia" w:eastAsia="宋体" w:cs="宋体"/>
          <w:snapToGrid w:val="0"/>
        </w:rPr>
        <w:t>承包人应按照法律规定，以及国家、行业和地方的规范和标准完成设计工作，并符合发包人要求。</w:t>
      </w:r>
    </w:p>
    <w:p w14:paraId="71E35FE4">
      <w:pPr>
        <w:pStyle w:val="403"/>
        <w:spacing w:line="460" w:lineRule="exact"/>
        <w:ind w:firstLine="480" w:firstLineChars="200"/>
        <w:rPr>
          <w:rFonts w:hint="eastAsia" w:eastAsia="宋体" w:cs="宋体"/>
          <w:snapToGrid w:val="0"/>
        </w:rPr>
      </w:pPr>
      <w:r>
        <w:rPr>
          <w:rFonts w:hint="eastAsia" w:eastAsia="宋体" w:cs="宋体"/>
          <w:snapToGrid w:val="0"/>
        </w:rPr>
        <w:t>5.1.2 法律和标准的变化</w:t>
      </w:r>
    </w:p>
    <w:p w14:paraId="0C676E3B">
      <w:pPr>
        <w:pStyle w:val="403"/>
        <w:spacing w:line="460" w:lineRule="exact"/>
        <w:ind w:firstLine="480" w:firstLineChars="200"/>
        <w:rPr>
          <w:rFonts w:hint="eastAsia" w:eastAsia="宋体" w:cs="宋体"/>
          <w:snapToGrid w:val="0"/>
        </w:rPr>
      </w:pPr>
      <w:r>
        <w:rPr>
          <w:rFonts w:hint="eastAsia" w:eastAsia="宋体" w:cs="宋体"/>
          <w:snapToGrid w:val="0"/>
        </w:rPr>
        <w:t>除合同另有约定外，承包人完成设计工作所应遵守的法律规定，以及国家、行业和地方的规范和标准，均应视为在基准日适用的版本。基准日之后，前述版本发生重大变化，或者有新的法律，以及国家、行业和地方的规范和标准实施的，承包人应向发包人或发包人委托的监理人提出遵守新规定的建议。发包人或其委托的监理人应在收到建议后7天内发出是否遵守新规定的指示。发包人或其委托的监理人指示遵守新规定的，按照第15条或第16.2款约定执行。</w:t>
      </w:r>
    </w:p>
    <w:p w14:paraId="258C5D4B">
      <w:pPr>
        <w:pStyle w:val="403"/>
        <w:spacing w:line="460" w:lineRule="exact"/>
        <w:ind w:firstLine="480" w:firstLineChars="200"/>
        <w:rPr>
          <w:rFonts w:hint="eastAsia" w:eastAsia="宋体" w:cs="宋体"/>
          <w:snapToGrid w:val="0"/>
        </w:rPr>
      </w:pPr>
      <w:bookmarkStart w:id="444" w:name="_Toc257880851"/>
      <w:bookmarkStart w:id="445" w:name="_Toc411736188"/>
      <w:bookmarkStart w:id="446" w:name="_Toc68594789"/>
      <w:bookmarkStart w:id="447" w:name="_Toc258440550"/>
      <w:bookmarkStart w:id="448" w:name="_Toc411736464"/>
      <w:bookmarkStart w:id="449" w:name="_Toc410559382"/>
      <w:bookmarkStart w:id="450" w:name="_Toc300835079"/>
      <w:bookmarkStart w:id="451" w:name="_Toc264373505"/>
      <w:bookmarkStart w:id="452" w:name="_Toc476860399"/>
      <w:bookmarkStart w:id="453" w:name="_Toc259552518"/>
      <w:bookmarkStart w:id="454" w:name="_Toc259350434"/>
      <w:r>
        <w:rPr>
          <w:rFonts w:hint="eastAsia" w:eastAsia="宋体" w:cs="宋体"/>
          <w:snapToGrid w:val="0"/>
        </w:rPr>
        <w:t xml:space="preserve">5.2 </w:t>
      </w:r>
      <w:bookmarkEnd w:id="444"/>
      <w:r>
        <w:rPr>
          <w:rFonts w:hint="eastAsia" w:eastAsia="宋体" w:cs="宋体"/>
          <w:snapToGrid w:val="0"/>
        </w:rPr>
        <w:t>承包人设计进度计划</w:t>
      </w:r>
      <w:bookmarkEnd w:id="445"/>
      <w:bookmarkEnd w:id="446"/>
      <w:bookmarkEnd w:id="447"/>
      <w:bookmarkEnd w:id="448"/>
      <w:bookmarkEnd w:id="449"/>
      <w:bookmarkEnd w:id="450"/>
      <w:bookmarkEnd w:id="451"/>
      <w:bookmarkEnd w:id="452"/>
      <w:bookmarkEnd w:id="453"/>
      <w:bookmarkEnd w:id="454"/>
    </w:p>
    <w:p w14:paraId="402B6B0C">
      <w:pPr>
        <w:pStyle w:val="403"/>
        <w:spacing w:line="460" w:lineRule="exact"/>
        <w:ind w:firstLine="480" w:firstLineChars="200"/>
        <w:rPr>
          <w:rFonts w:hint="eastAsia" w:eastAsia="宋体" w:cs="宋体"/>
          <w:snapToGrid w:val="0"/>
        </w:rPr>
      </w:pPr>
      <w:r>
        <w:rPr>
          <w:rFonts w:hint="eastAsia" w:eastAsia="宋体" w:cs="宋体"/>
          <w:snapToGrid w:val="0"/>
        </w:rPr>
        <w:t>承包人应按照发包人要求，在合同进度计划中专门列出设计进度计划，报发包人批准后执行。承包人需按照经批准后的计划开展设计工作。</w:t>
      </w:r>
    </w:p>
    <w:p w14:paraId="06BBE4FB">
      <w:pPr>
        <w:pStyle w:val="403"/>
        <w:spacing w:line="460" w:lineRule="exact"/>
        <w:ind w:firstLine="480" w:firstLineChars="200"/>
        <w:rPr>
          <w:rFonts w:hint="eastAsia" w:eastAsia="宋体" w:cs="宋体"/>
          <w:snapToGrid w:val="0"/>
        </w:rPr>
      </w:pPr>
      <w:bookmarkStart w:id="455" w:name="_Toc247593033"/>
      <w:r>
        <w:rPr>
          <w:rFonts w:hint="eastAsia" w:eastAsia="宋体" w:cs="宋体"/>
          <w:snapToGrid w:val="0"/>
        </w:rPr>
        <w:t>因承包人原因影响设计进度的，按第11.5款</w:t>
      </w:r>
      <w:bookmarkEnd w:id="455"/>
      <w:r>
        <w:rPr>
          <w:rFonts w:hint="eastAsia" w:eastAsia="宋体" w:cs="宋体"/>
          <w:snapToGrid w:val="0"/>
        </w:rPr>
        <w:t>的约定执行。因发包人原因影响设计进度的，按第15条变更处理。</w:t>
      </w:r>
    </w:p>
    <w:p w14:paraId="71B794FE">
      <w:pPr>
        <w:pStyle w:val="403"/>
        <w:spacing w:line="460" w:lineRule="exact"/>
        <w:ind w:firstLine="480" w:firstLineChars="200"/>
        <w:rPr>
          <w:rFonts w:hint="eastAsia" w:eastAsia="宋体" w:cs="宋体"/>
          <w:snapToGrid w:val="0"/>
        </w:rPr>
      </w:pPr>
      <w:r>
        <w:rPr>
          <w:rFonts w:hint="eastAsia" w:eastAsia="宋体" w:cs="宋体"/>
          <w:snapToGrid w:val="0"/>
        </w:rPr>
        <w:t>发包人或其委托的监理人有权要求承包人根据第11.5款提交修正的进度计划、增加投入资源并加快设计进度。</w:t>
      </w:r>
    </w:p>
    <w:p w14:paraId="1B6533A0">
      <w:pPr>
        <w:pStyle w:val="403"/>
        <w:spacing w:line="460" w:lineRule="exact"/>
        <w:ind w:firstLine="480" w:firstLineChars="200"/>
        <w:rPr>
          <w:rFonts w:hint="eastAsia" w:eastAsia="宋体" w:cs="宋体"/>
          <w:snapToGrid w:val="0"/>
        </w:rPr>
      </w:pPr>
      <w:bookmarkStart w:id="456" w:name="_Toc476860400"/>
      <w:bookmarkStart w:id="457" w:name="_Toc259350439"/>
      <w:bookmarkStart w:id="458" w:name="_Toc259552523"/>
      <w:bookmarkStart w:id="459" w:name="_Toc300835080"/>
      <w:bookmarkStart w:id="460" w:name="_Toc68594790"/>
      <w:bookmarkStart w:id="461" w:name="_Toc264373507"/>
      <w:bookmarkStart w:id="462" w:name="_Toc411736189"/>
      <w:bookmarkStart w:id="463" w:name="_Toc257880852"/>
      <w:bookmarkStart w:id="464" w:name="_Toc410559383"/>
      <w:bookmarkStart w:id="465" w:name="_Toc411736465"/>
      <w:bookmarkStart w:id="466" w:name="_Toc258440555"/>
      <w:r>
        <w:rPr>
          <w:rFonts w:hint="eastAsia" w:eastAsia="宋体" w:cs="宋体"/>
          <w:snapToGrid w:val="0"/>
        </w:rPr>
        <w:t>5.3 设计审查</w:t>
      </w:r>
      <w:bookmarkEnd w:id="456"/>
      <w:bookmarkEnd w:id="457"/>
      <w:bookmarkEnd w:id="458"/>
      <w:bookmarkEnd w:id="459"/>
      <w:bookmarkEnd w:id="460"/>
      <w:bookmarkEnd w:id="461"/>
      <w:bookmarkEnd w:id="462"/>
      <w:bookmarkEnd w:id="463"/>
      <w:bookmarkEnd w:id="464"/>
      <w:bookmarkEnd w:id="465"/>
      <w:bookmarkEnd w:id="466"/>
    </w:p>
    <w:p w14:paraId="50E336BB">
      <w:pPr>
        <w:pStyle w:val="403"/>
        <w:spacing w:line="460" w:lineRule="exact"/>
        <w:ind w:firstLine="480" w:firstLineChars="200"/>
        <w:rPr>
          <w:rFonts w:hint="eastAsia" w:eastAsia="宋体" w:cs="宋体"/>
          <w:snapToGrid w:val="0"/>
        </w:rPr>
      </w:pPr>
      <w:r>
        <w:rPr>
          <w:rFonts w:hint="eastAsia" w:eastAsia="宋体" w:cs="宋体"/>
          <w:snapToGrid w:val="0"/>
        </w:rPr>
        <w:t>5.3.1 承包人的设计文件应报发包人审查同意。审查的范围和内容在发包人要求中约定。</w:t>
      </w:r>
    </w:p>
    <w:p w14:paraId="765DCE9A">
      <w:pPr>
        <w:pStyle w:val="403"/>
        <w:spacing w:line="460" w:lineRule="exact"/>
        <w:ind w:firstLine="480" w:firstLineChars="200"/>
        <w:rPr>
          <w:rFonts w:hint="eastAsia" w:eastAsia="宋体" w:cs="宋体"/>
          <w:snapToGrid w:val="0"/>
        </w:rPr>
      </w:pPr>
      <w:r>
        <w:rPr>
          <w:rFonts w:hint="eastAsia" w:eastAsia="宋体" w:cs="宋体"/>
          <w:snapToGrid w:val="0"/>
        </w:rPr>
        <w:t>除合同另有约定外，自监理人收到承包人的设计文件以及承包人的通知之日起，发包人对承包人的设计文件审查期不超过21天。承包人的设计文件对于合同约定有偏离的，应在通知中说明。承包人需要修改已提交的承包人文件的，应立即通知监理人，并向监理人提交修改后的承包人的设计文件，审查期重新起算。</w:t>
      </w:r>
    </w:p>
    <w:p w14:paraId="2B301A54">
      <w:pPr>
        <w:pStyle w:val="403"/>
        <w:spacing w:line="460" w:lineRule="exact"/>
        <w:ind w:firstLine="480" w:firstLineChars="200"/>
        <w:rPr>
          <w:rFonts w:hint="eastAsia" w:eastAsia="宋体" w:cs="宋体"/>
          <w:snapToGrid w:val="0"/>
        </w:rPr>
      </w:pPr>
      <w:r>
        <w:rPr>
          <w:rFonts w:hint="eastAsia" w:eastAsia="宋体" w:cs="宋体"/>
          <w:snapToGrid w:val="0"/>
        </w:rPr>
        <w:t>发包人不同意设计文件的，应通过监理人以书面形式通知承包人，并说明不符合合同要求的具体内容。承包人应根据监理人的书面说明，对承包人文件进行修改后重新报送发包人审查，审查期重新起算。</w:t>
      </w:r>
    </w:p>
    <w:p w14:paraId="569E9CFB">
      <w:pPr>
        <w:pStyle w:val="403"/>
        <w:spacing w:line="460" w:lineRule="exact"/>
        <w:ind w:firstLine="480" w:firstLineChars="200"/>
        <w:rPr>
          <w:rFonts w:hint="eastAsia" w:eastAsia="宋体" w:cs="宋体"/>
          <w:snapToGrid w:val="0"/>
        </w:rPr>
      </w:pPr>
      <w:r>
        <w:rPr>
          <w:rFonts w:hint="eastAsia" w:eastAsia="宋体" w:cs="宋体"/>
          <w:snapToGrid w:val="0"/>
        </w:rPr>
        <w:t>合同约定的审查期满，发包人没有做出审查结论也没有提出异议的，视为承包人的设计文件已获发包人同意。</w:t>
      </w:r>
    </w:p>
    <w:p w14:paraId="4ED0FEE8">
      <w:pPr>
        <w:pStyle w:val="403"/>
        <w:spacing w:line="460" w:lineRule="exact"/>
        <w:ind w:firstLine="480" w:firstLineChars="200"/>
        <w:rPr>
          <w:rFonts w:hint="eastAsia" w:eastAsia="宋体" w:cs="宋体"/>
          <w:snapToGrid w:val="0"/>
        </w:rPr>
      </w:pPr>
      <w:r>
        <w:rPr>
          <w:rFonts w:hint="eastAsia" w:eastAsia="宋体" w:cs="宋体"/>
          <w:snapToGrid w:val="0"/>
        </w:rPr>
        <w:t>5.3.2 承包人的设计文件不需要政府有关部门审查或批准的，承包人应当严格按照经发包人审查同意的设计文件设计和实施工程。</w:t>
      </w:r>
    </w:p>
    <w:p w14:paraId="30FDD334">
      <w:pPr>
        <w:pStyle w:val="403"/>
        <w:spacing w:line="460" w:lineRule="exact"/>
        <w:ind w:firstLine="480" w:firstLineChars="200"/>
        <w:rPr>
          <w:rFonts w:hint="eastAsia" w:eastAsia="宋体" w:cs="宋体"/>
          <w:snapToGrid w:val="0"/>
        </w:rPr>
      </w:pPr>
      <w:r>
        <w:rPr>
          <w:rFonts w:hint="eastAsia" w:eastAsia="宋体" w:cs="宋体"/>
          <w:snapToGrid w:val="0"/>
        </w:rPr>
        <w:t>5.3.3 设计文件需政府有关部门审查或批准的，发包人应在审查同意承包人的设计文件后7天内，向政府有关部门报送设计文件，承包人应予以协助。</w:t>
      </w:r>
    </w:p>
    <w:p w14:paraId="1A1F4EA4">
      <w:pPr>
        <w:pStyle w:val="403"/>
        <w:spacing w:line="460" w:lineRule="exact"/>
        <w:ind w:firstLine="480" w:firstLineChars="200"/>
        <w:rPr>
          <w:rFonts w:hint="eastAsia" w:eastAsia="宋体" w:cs="宋体"/>
          <w:snapToGrid w:val="0"/>
        </w:rPr>
      </w:pPr>
      <w:r>
        <w:rPr>
          <w:rFonts w:hint="eastAsia" w:eastAsia="宋体" w:cs="宋体"/>
          <w:snapToGrid w:val="0"/>
        </w:rPr>
        <w:t>对于政府有关部门的审查意见，不需要修改发包人要求的，承包人需按该审查意见修改承包人的设计文件；需要修改发包人要求的，发包人应重新提出发包人要求，承包人应根据新提出的发包人要求修改承包人文件。上述情形还应适用第15条、第1.13款的有关约定。</w:t>
      </w:r>
    </w:p>
    <w:p w14:paraId="5CF5C493">
      <w:pPr>
        <w:pStyle w:val="403"/>
        <w:spacing w:line="460" w:lineRule="exact"/>
        <w:ind w:firstLine="480" w:firstLineChars="200"/>
        <w:rPr>
          <w:rFonts w:hint="eastAsia" w:eastAsia="宋体" w:cs="宋体"/>
          <w:snapToGrid w:val="0"/>
        </w:rPr>
      </w:pPr>
      <w:r>
        <w:rPr>
          <w:rFonts w:hint="eastAsia" w:eastAsia="宋体" w:cs="宋体"/>
          <w:snapToGrid w:val="0"/>
        </w:rPr>
        <w:t>政府有关部门审查批准的，承包人应当严格按照批准后的承包人的设计文件设计和实施工程。</w:t>
      </w:r>
    </w:p>
    <w:p w14:paraId="111003FB">
      <w:pPr>
        <w:pStyle w:val="403"/>
        <w:spacing w:line="460" w:lineRule="exact"/>
        <w:ind w:firstLine="480" w:firstLineChars="200"/>
        <w:rPr>
          <w:rFonts w:hint="eastAsia" w:eastAsia="宋体" w:cs="宋体"/>
          <w:snapToGrid w:val="0"/>
        </w:rPr>
      </w:pPr>
      <w:bookmarkStart w:id="467" w:name="_Toc411736466"/>
      <w:bookmarkStart w:id="468" w:name="_Toc410559384"/>
      <w:bookmarkStart w:id="469" w:name="_Toc476860401"/>
      <w:bookmarkStart w:id="470" w:name="_Toc411736190"/>
      <w:bookmarkStart w:id="471" w:name="_Toc300835081"/>
      <w:bookmarkStart w:id="472" w:name="_Toc68594791"/>
      <w:r>
        <w:rPr>
          <w:rFonts w:hint="eastAsia" w:eastAsia="宋体" w:cs="宋体"/>
          <w:snapToGrid w:val="0"/>
        </w:rPr>
        <w:t>5.4 培训</w:t>
      </w:r>
      <w:bookmarkEnd w:id="467"/>
      <w:bookmarkEnd w:id="468"/>
      <w:bookmarkEnd w:id="469"/>
      <w:bookmarkEnd w:id="470"/>
      <w:bookmarkEnd w:id="471"/>
      <w:bookmarkEnd w:id="472"/>
    </w:p>
    <w:p w14:paraId="1645298D">
      <w:pPr>
        <w:pStyle w:val="403"/>
        <w:spacing w:line="460" w:lineRule="exact"/>
        <w:ind w:firstLine="480" w:firstLineChars="200"/>
        <w:rPr>
          <w:rFonts w:hint="eastAsia" w:eastAsia="宋体" w:cs="宋体"/>
          <w:snapToGrid w:val="0"/>
        </w:rPr>
      </w:pPr>
      <w:r>
        <w:rPr>
          <w:rFonts w:hint="eastAsia" w:eastAsia="宋体" w:cs="宋体"/>
          <w:snapToGrid w:val="0"/>
        </w:rPr>
        <w:t>承包人应按照发包人要求，对发包人的人员进行工程操作和维修方面的培训。合同约定接收之前进行培训的，应在第18.3款约定的竣工验收前完成培训。</w:t>
      </w:r>
    </w:p>
    <w:bookmarkEnd w:id="435"/>
    <w:bookmarkEnd w:id="436"/>
    <w:bookmarkEnd w:id="437"/>
    <w:bookmarkEnd w:id="438"/>
    <w:bookmarkEnd w:id="439"/>
    <w:p w14:paraId="10F09E07">
      <w:pPr>
        <w:pStyle w:val="403"/>
        <w:spacing w:line="460" w:lineRule="exact"/>
        <w:ind w:firstLine="480" w:firstLineChars="200"/>
        <w:rPr>
          <w:rFonts w:hint="eastAsia" w:eastAsia="宋体" w:cs="宋体"/>
          <w:snapToGrid w:val="0"/>
        </w:rPr>
      </w:pPr>
      <w:bookmarkStart w:id="473" w:name="_Toc300835082"/>
      <w:bookmarkStart w:id="474" w:name="_Toc68594792"/>
      <w:bookmarkStart w:id="475" w:name="_Toc476860402"/>
      <w:bookmarkStart w:id="476" w:name="_Toc411736467"/>
      <w:bookmarkStart w:id="477" w:name="_Toc411736191"/>
      <w:bookmarkStart w:id="478" w:name="_Toc410559385"/>
      <w:bookmarkStart w:id="479" w:name="_Toc487072797"/>
      <w:bookmarkStart w:id="480" w:name="_Toc247527681"/>
      <w:bookmarkStart w:id="481" w:name="_Toc468936971"/>
      <w:bookmarkStart w:id="482" w:name="_Toc247514080"/>
      <w:bookmarkStart w:id="483" w:name="_Toc297347663"/>
      <w:r>
        <w:rPr>
          <w:rFonts w:hint="eastAsia" w:eastAsia="宋体" w:cs="宋体"/>
          <w:snapToGrid w:val="0"/>
        </w:rPr>
        <w:t>5.5 竣工文件</w:t>
      </w:r>
      <w:bookmarkEnd w:id="473"/>
      <w:bookmarkEnd w:id="474"/>
      <w:bookmarkEnd w:id="475"/>
      <w:bookmarkEnd w:id="476"/>
      <w:bookmarkEnd w:id="477"/>
      <w:bookmarkEnd w:id="478"/>
    </w:p>
    <w:p w14:paraId="37307E9D">
      <w:pPr>
        <w:pStyle w:val="403"/>
        <w:spacing w:line="460" w:lineRule="exact"/>
        <w:ind w:firstLine="480" w:firstLineChars="200"/>
        <w:rPr>
          <w:rFonts w:hint="eastAsia" w:eastAsia="宋体" w:cs="宋体"/>
          <w:snapToGrid w:val="0"/>
        </w:rPr>
      </w:pPr>
      <w:r>
        <w:rPr>
          <w:rFonts w:hint="eastAsia" w:eastAsia="宋体" w:cs="宋体"/>
          <w:snapToGrid w:val="0"/>
        </w:rPr>
        <w:t>5.5.1 承包人应编制并及时更新反映工程实施结果的竣工记录，如实记载竣工工程的确切位置、尺寸和已实施工作的详细说明。竣工记录应保存在施工场地，并在竣工试验开始前，按照专用合同条款约定的份数提交给监理人。</w:t>
      </w:r>
    </w:p>
    <w:p w14:paraId="65E38811">
      <w:pPr>
        <w:pStyle w:val="403"/>
        <w:spacing w:line="460" w:lineRule="exact"/>
        <w:ind w:firstLine="480" w:firstLineChars="200"/>
        <w:rPr>
          <w:rFonts w:hint="eastAsia" w:eastAsia="宋体" w:cs="宋体"/>
          <w:snapToGrid w:val="0"/>
        </w:rPr>
      </w:pPr>
      <w:r>
        <w:rPr>
          <w:rFonts w:hint="eastAsia" w:eastAsia="宋体" w:cs="宋体"/>
          <w:snapToGrid w:val="0"/>
        </w:rPr>
        <w:t>5.5.2 在颁发工程接收证书之前，承包人应按照发包人要求的份数和形式向监理人提交相应竣工图纸，并取得监理人对尺寸、参照系统及其他有关细节的认可。监理人应按照第5.3款的约定进行审查。</w:t>
      </w:r>
    </w:p>
    <w:p w14:paraId="13975238">
      <w:pPr>
        <w:pStyle w:val="403"/>
        <w:spacing w:line="460" w:lineRule="exact"/>
        <w:ind w:firstLine="480" w:firstLineChars="200"/>
        <w:rPr>
          <w:rFonts w:hint="eastAsia" w:eastAsia="宋体" w:cs="宋体"/>
          <w:snapToGrid w:val="0"/>
        </w:rPr>
      </w:pPr>
      <w:r>
        <w:rPr>
          <w:rFonts w:hint="eastAsia" w:eastAsia="宋体" w:cs="宋体"/>
          <w:snapToGrid w:val="0"/>
        </w:rPr>
        <w:t>5.5.3 在监理人收到上述文件前，不应认为工程已根据第18.3款和第18.5款约定完成验收。</w:t>
      </w:r>
    </w:p>
    <w:p w14:paraId="3BA40F6F">
      <w:pPr>
        <w:pStyle w:val="403"/>
        <w:spacing w:line="460" w:lineRule="exact"/>
        <w:ind w:firstLine="480" w:firstLineChars="200"/>
        <w:rPr>
          <w:rFonts w:hint="eastAsia" w:eastAsia="宋体" w:cs="宋体"/>
          <w:snapToGrid w:val="0"/>
        </w:rPr>
      </w:pPr>
      <w:bookmarkStart w:id="484" w:name="_Toc300835083"/>
      <w:bookmarkStart w:id="485" w:name="_Toc410559386"/>
      <w:bookmarkStart w:id="486" w:name="_Toc411736192"/>
      <w:bookmarkStart w:id="487" w:name="_Toc411736468"/>
      <w:bookmarkStart w:id="488" w:name="_Toc476860403"/>
      <w:bookmarkStart w:id="489" w:name="_Toc68594793"/>
      <w:r>
        <w:rPr>
          <w:rFonts w:hint="eastAsia" w:eastAsia="宋体" w:cs="宋体"/>
          <w:snapToGrid w:val="0"/>
        </w:rPr>
        <w:t>5.6 操作和维修手册</w:t>
      </w:r>
      <w:bookmarkEnd w:id="484"/>
      <w:bookmarkEnd w:id="485"/>
      <w:bookmarkEnd w:id="486"/>
      <w:bookmarkEnd w:id="487"/>
      <w:bookmarkEnd w:id="488"/>
      <w:bookmarkEnd w:id="489"/>
    </w:p>
    <w:p w14:paraId="1A9931C3">
      <w:pPr>
        <w:pStyle w:val="403"/>
        <w:spacing w:line="460" w:lineRule="exact"/>
        <w:ind w:firstLine="480" w:firstLineChars="200"/>
        <w:rPr>
          <w:rFonts w:hint="eastAsia" w:eastAsia="宋体" w:cs="宋体"/>
          <w:snapToGrid w:val="0"/>
        </w:rPr>
      </w:pPr>
      <w:r>
        <w:rPr>
          <w:rFonts w:hint="eastAsia" w:eastAsia="宋体" w:cs="宋体"/>
          <w:snapToGrid w:val="0"/>
        </w:rPr>
        <w:t>5.6.1 在竣工试验开始前，承包人应向监理人提交暂行的操作和维修手册，该手册应足够详细，以便发包人能够对生产设备进行操作、维修、拆卸、重新安装、调整及修理。</w:t>
      </w:r>
    </w:p>
    <w:p w14:paraId="43A6446D">
      <w:pPr>
        <w:pStyle w:val="403"/>
        <w:spacing w:line="460" w:lineRule="exact"/>
        <w:ind w:firstLine="480" w:firstLineChars="200"/>
        <w:rPr>
          <w:rFonts w:hint="eastAsia" w:eastAsia="宋体" w:cs="宋体"/>
          <w:snapToGrid w:val="0"/>
        </w:rPr>
      </w:pPr>
      <w:r>
        <w:rPr>
          <w:rFonts w:hint="eastAsia" w:eastAsia="宋体" w:cs="宋体"/>
          <w:snapToGrid w:val="0"/>
        </w:rPr>
        <w:t>5.6.2 承包人应提交足够详细的最终操作和维修手册，以及在发包人要求中明确的相关操作和维修手册。在监理人收到上述文件前，不应认为工程已根据第18.3款和第18.5款约定完成验收。</w:t>
      </w:r>
    </w:p>
    <w:bookmarkEnd w:id="479"/>
    <w:bookmarkEnd w:id="480"/>
    <w:bookmarkEnd w:id="481"/>
    <w:bookmarkEnd w:id="482"/>
    <w:bookmarkEnd w:id="483"/>
    <w:p w14:paraId="0C3DC077">
      <w:pPr>
        <w:pStyle w:val="403"/>
        <w:spacing w:line="460" w:lineRule="exact"/>
        <w:ind w:firstLine="480" w:firstLineChars="200"/>
        <w:rPr>
          <w:rFonts w:hint="eastAsia" w:eastAsia="宋体" w:cs="宋体"/>
          <w:snapToGrid w:val="0"/>
        </w:rPr>
      </w:pPr>
      <w:bookmarkStart w:id="490" w:name="_Toc247527686"/>
      <w:bookmarkStart w:id="491" w:name="_Toc476860404"/>
      <w:bookmarkStart w:id="492" w:name="_Toc411736193"/>
      <w:bookmarkStart w:id="493" w:name="_Toc411736469"/>
      <w:bookmarkStart w:id="494" w:name="_Toc68594794"/>
      <w:bookmarkStart w:id="495" w:name="_Toc300835084"/>
      <w:bookmarkStart w:id="496" w:name="_Toc410559387"/>
      <w:bookmarkStart w:id="497" w:name="_Toc247514085"/>
      <w:r>
        <w:rPr>
          <w:rFonts w:hint="eastAsia" w:eastAsia="宋体" w:cs="宋体"/>
          <w:snapToGrid w:val="0"/>
        </w:rPr>
        <w:t>5.7 承包人文件错误</w:t>
      </w:r>
      <w:bookmarkEnd w:id="490"/>
      <w:bookmarkEnd w:id="491"/>
      <w:bookmarkEnd w:id="492"/>
      <w:bookmarkEnd w:id="493"/>
      <w:bookmarkEnd w:id="494"/>
      <w:bookmarkEnd w:id="495"/>
      <w:bookmarkEnd w:id="496"/>
      <w:bookmarkEnd w:id="497"/>
    </w:p>
    <w:p w14:paraId="58CDBBCE">
      <w:pPr>
        <w:pStyle w:val="403"/>
        <w:spacing w:line="460" w:lineRule="exact"/>
        <w:ind w:firstLine="480" w:firstLineChars="200"/>
        <w:rPr>
          <w:rFonts w:hint="eastAsia" w:eastAsia="宋体" w:cs="宋体"/>
          <w:snapToGrid w:val="0"/>
        </w:rPr>
      </w:pPr>
      <w:r>
        <w:rPr>
          <w:rFonts w:hint="eastAsia" w:eastAsia="宋体" w:cs="宋体"/>
          <w:snapToGrid w:val="0"/>
        </w:rPr>
        <w:t>承包人文件存在错误、遗漏、含混、矛盾、不充分之处或其他缺陷，无论承包人是否根据本款获得了批准，承包人均应自费对前述问题带来的缺陷和工程问题进行改正。第1.13款发包人要求的错误导致承包人文件错误、遗漏、含混、矛盾、不充分或其他缺陷的除外。</w:t>
      </w:r>
    </w:p>
    <w:p w14:paraId="38E59FB6">
      <w:pPr>
        <w:pStyle w:val="5"/>
        <w:spacing w:before="360" w:after="120" w:afterLines="50" w:line="480" w:lineRule="exact"/>
        <w:rPr>
          <w:rFonts w:hint="eastAsia" w:ascii="宋体" w:hAnsi="宋体" w:eastAsia="宋体" w:cs="宋体"/>
          <w:bCs/>
          <w:sz w:val="28"/>
          <w:szCs w:val="28"/>
        </w:rPr>
      </w:pPr>
      <w:bookmarkStart w:id="498" w:name="_Toc300835085"/>
      <w:bookmarkStart w:id="499" w:name="_Toc2250"/>
      <w:bookmarkStart w:id="500" w:name="_Toc184635102"/>
      <w:bookmarkStart w:id="501" w:name="_Toc83220596"/>
      <w:bookmarkStart w:id="502" w:name="_Toc247527687"/>
      <w:bookmarkStart w:id="503" w:name="_Toc247514086"/>
      <w:bookmarkStart w:id="504" w:name="_Toc410559388"/>
      <w:bookmarkStart w:id="505" w:name="_Toc411736470"/>
      <w:bookmarkStart w:id="506" w:name="_Toc68594795"/>
      <w:bookmarkStart w:id="507" w:name="_Toc411736194"/>
      <w:bookmarkStart w:id="508" w:name="_Toc476860405"/>
      <w:bookmarkStart w:id="509" w:name="_Toc198803792"/>
      <w:bookmarkStart w:id="510" w:name="_Toc176268725"/>
      <w:r>
        <w:rPr>
          <w:rFonts w:hint="eastAsia" w:ascii="宋体" w:hAnsi="宋体" w:eastAsia="宋体" w:cs="宋体"/>
          <w:bCs/>
          <w:sz w:val="28"/>
          <w:szCs w:val="28"/>
        </w:rPr>
        <w:t>6. 材料和工程设备</w:t>
      </w:r>
      <w:bookmarkEnd w:id="498"/>
      <w:bookmarkEnd w:id="499"/>
      <w:bookmarkEnd w:id="500"/>
      <w:bookmarkEnd w:id="501"/>
      <w:bookmarkEnd w:id="502"/>
      <w:bookmarkEnd w:id="503"/>
      <w:bookmarkEnd w:id="504"/>
      <w:bookmarkEnd w:id="505"/>
      <w:bookmarkEnd w:id="506"/>
      <w:bookmarkEnd w:id="507"/>
      <w:bookmarkEnd w:id="508"/>
      <w:bookmarkEnd w:id="509"/>
      <w:bookmarkEnd w:id="510"/>
    </w:p>
    <w:p w14:paraId="32CA3DE9">
      <w:pPr>
        <w:pStyle w:val="403"/>
        <w:spacing w:line="460" w:lineRule="exact"/>
        <w:ind w:firstLine="480" w:firstLineChars="200"/>
        <w:rPr>
          <w:rFonts w:hint="eastAsia" w:eastAsia="宋体" w:cs="宋体"/>
          <w:snapToGrid w:val="0"/>
        </w:rPr>
      </w:pPr>
      <w:bookmarkStart w:id="511" w:name="_Toc476860406"/>
      <w:bookmarkStart w:id="512" w:name="_Toc411736195"/>
      <w:bookmarkStart w:id="513" w:name="_Toc68594796"/>
      <w:bookmarkStart w:id="514" w:name="_Toc410559389"/>
      <w:bookmarkStart w:id="515" w:name="_Toc411736471"/>
      <w:bookmarkStart w:id="516" w:name="_Toc300835086"/>
      <w:bookmarkStart w:id="517" w:name="_Toc247514087"/>
      <w:bookmarkStart w:id="518" w:name="_Toc247527688"/>
      <w:r>
        <w:rPr>
          <w:rFonts w:hint="eastAsia" w:eastAsia="宋体" w:cs="宋体"/>
          <w:snapToGrid w:val="0"/>
        </w:rPr>
        <w:t>6.1 承包人提供的材料和工程设备</w:t>
      </w:r>
      <w:bookmarkEnd w:id="511"/>
      <w:bookmarkEnd w:id="512"/>
      <w:bookmarkEnd w:id="513"/>
      <w:bookmarkEnd w:id="514"/>
      <w:bookmarkEnd w:id="515"/>
      <w:bookmarkEnd w:id="516"/>
      <w:bookmarkEnd w:id="517"/>
      <w:bookmarkEnd w:id="518"/>
    </w:p>
    <w:p w14:paraId="7A7B523E">
      <w:pPr>
        <w:pStyle w:val="403"/>
        <w:spacing w:line="460" w:lineRule="exact"/>
        <w:ind w:firstLine="480" w:firstLineChars="200"/>
        <w:rPr>
          <w:rFonts w:hint="eastAsia" w:eastAsia="宋体" w:cs="宋体"/>
          <w:snapToGrid w:val="0"/>
        </w:rPr>
      </w:pPr>
      <w:r>
        <w:rPr>
          <w:rFonts w:hint="eastAsia" w:eastAsia="宋体" w:cs="宋体"/>
          <w:snapToGrid w:val="0"/>
        </w:rPr>
        <w:t>6.1.1 除专用合同条款另有约定外，承包人提供的材料和工程设备均由承包人负责采购、运输和保管。承包人应对其采购的材料和工程设备负责。</w:t>
      </w:r>
    </w:p>
    <w:p w14:paraId="19D60FC4">
      <w:pPr>
        <w:pStyle w:val="403"/>
        <w:spacing w:line="460" w:lineRule="exact"/>
        <w:ind w:firstLine="480" w:firstLineChars="200"/>
        <w:rPr>
          <w:rFonts w:hint="eastAsia" w:eastAsia="宋体" w:cs="宋体"/>
          <w:snapToGrid w:val="0"/>
        </w:rPr>
      </w:pPr>
      <w:r>
        <w:rPr>
          <w:rFonts w:hint="eastAsia" w:eastAsia="宋体" w:cs="宋体"/>
          <w:snapToGrid w:val="0"/>
        </w:rPr>
        <w:t>6.1.2 承包人应按专用合同条款的约定，将各项材料和工程设备的供货人及品种、技术要求、规格、数量和供货时间等报送监理人批准。承包人应向监理人提交其负责提供的材料和工程设备的质量证明文件，并满足合同约定的质量标准。</w:t>
      </w:r>
    </w:p>
    <w:p w14:paraId="300BE2B6">
      <w:pPr>
        <w:pStyle w:val="403"/>
        <w:spacing w:line="460" w:lineRule="exact"/>
        <w:ind w:firstLine="480" w:firstLineChars="200"/>
        <w:rPr>
          <w:rFonts w:hint="eastAsia" w:eastAsia="宋体" w:cs="宋体"/>
          <w:snapToGrid w:val="0"/>
        </w:rPr>
      </w:pPr>
      <w:r>
        <w:rPr>
          <w:rFonts w:hint="eastAsia" w:eastAsia="宋体" w:cs="宋体"/>
          <w:snapToGrid w:val="0"/>
        </w:rPr>
        <w:t>6.1.3 对承包人提供的材料和工程设备，承包人应会同监理人进行检验和交货验收，查验材料合格证明和产品合格证书，并按合同约定和监理人指示，进行材料的抽样检验和工程设备的检验测试，检验和测试结果应提交监理人，所需费用由承包人承担。</w:t>
      </w:r>
    </w:p>
    <w:p w14:paraId="5DAA6210">
      <w:pPr>
        <w:pStyle w:val="403"/>
        <w:spacing w:line="460" w:lineRule="exact"/>
        <w:ind w:firstLine="480" w:firstLineChars="200"/>
        <w:rPr>
          <w:rFonts w:hint="eastAsia" w:eastAsia="宋体" w:cs="宋体"/>
          <w:snapToGrid w:val="0"/>
        </w:rPr>
      </w:pPr>
      <w:bookmarkStart w:id="519" w:name="_Toc411736196"/>
      <w:bookmarkStart w:id="520" w:name="_Toc68594797"/>
      <w:bookmarkStart w:id="521" w:name="_Toc411736472"/>
      <w:bookmarkStart w:id="522" w:name="_Toc476860407"/>
      <w:bookmarkStart w:id="523" w:name="_Toc300835088"/>
      <w:bookmarkStart w:id="524" w:name="_Toc410559390"/>
      <w:r>
        <w:rPr>
          <w:rFonts w:hint="eastAsia" w:eastAsia="宋体" w:cs="宋体"/>
          <w:snapToGrid w:val="0"/>
        </w:rPr>
        <w:t>6.2 发包人提供的材料和工程设备（B）</w:t>
      </w:r>
      <w:bookmarkEnd w:id="519"/>
      <w:bookmarkEnd w:id="520"/>
      <w:bookmarkEnd w:id="521"/>
      <w:bookmarkEnd w:id="522"/>
      <w:bookmarkEnd w:id="523"/>
      <w:bookmarkEnd w:id="524"/>
    </w:p>
    <w:p w14:paraId="22024AB6">
      <w:pPr>
        <w:pStyle w:val="403"/>
        <w:spacing w:line="460" w:lineRule="exact"/>
        <w:ind w:firstLine="480" w:firstLineChars="200"/>
        <w:rPr>
          <w:rFonts w:hint="eastAsia" w:eastAsia="宋体" w:cs="宋体"/>
          <w:snapToGrid w:val="0"/>
        </w:rPr>
      </w:pPr>
      <w:r>
        <w:rPr>
          <w:rFonts w:hint="eastAsia" w:eastAsia="宋体" w:cs="宋体"/>
          <w:snapToGrid w:val="0"/>
        </w:rPr>
        <w:t>发包人不提供材料和工程设备。</w:t>
      </w:r>
    </w:p>
    <w:p w14:paraId="17492A57">
      <w:pPr>
        <w:pStyle w:val="403"/>
        <w:spacing w:line="460" w:lineRule="exact"/>
        <w:ind w:firstLine="480" w:firstLineChars="200"/>
        <w:rPr>
          <w:rFonts w:hint="eastAsia" w:eastAsia="宋体" w:cs="宋体"/>
          <w:snapToGrid w:val="0"/>
        </w:rPr>
      </w:pPr>
      <w:bookmarkStart w:id="525" w:name="_Toc247514089"/>
      <w:bookmarkStart w:id="526" w:name="_Toc247527690"/>
      <w:bookmarkStart w:id="527" w:name="_Toc410559391"/>
      <w:bookmarkStart w:id="528" w:name="_Toc68594798"/>
      <w:bookmarkStart w:id="529" w:name="_Toc411736197"/>
      <w:bookmarkStart w:id="530" w:name="_Toc476860408"/>
      <w:bookmarkStart w:id="531" w:name="_Toc300835089"/>
      <w:bookmarkStart w:id="532" w:name="_Toc411736473"/>
      <w:r>
        <w:rPr>
          <w:rFonts w:hint="eastAsia" w:eastAsia="宋体" w:cs="宋体"/>
          <w:snapToGrid w:val="0"/>
        </w:rPr>
        <w:t>6.3 专用于工程的</w:t>
      </w:r>
      <w:bookmarkEnd w:id="525"/>
      <w:bookmarkEnd w:id="526"/>
      <w:r>
        <w:rPr>
          <w:rFonts w:hint="eastAsia" w:eastAsia="宋体" w:cs="宋体"/>
          <w:snapToGrid w:val="0"/>
        </w:rPr>
        <w:t>材料和工程设备</w:t>
      </w:r>
      <w:bookmarkEnd w:id="527"/>
      <w:bookmarkEnd w:id="528"/>
      <w:bookmarkEnd w:id="529"/>
      <w:bookmarkEnd w:id="530"/>
      <w:bookmarkEnd w:id="531"/>
      <w:bookmarkEnd w:id="532"/>
    </w:p>
    <w:p w14:paraId="504248C6">
      <w:pPr>
        <w:pStyle w:val="403"/>
        <w:spacing w:line="460" w:lineRule="exact"/>
        <w:ind w:firstLine="480" w:firstLineChars="200"/>
        <w:rPr>
          <w:rFonts w:hint="eastAsia" w:eastAsia="宋体" w:cs="宋体"/>
          <w:snapToGrid w:val="0"/>
        </w:rPr>
      </w:pPr>
      <w:r>
        <w:rPr>
          <w:rFonts w:hint="eastAsia" w:eastAsia="宋体" w:cs="宋体"/>
          <w:snapToGrid w:val="0"/>
        </w:rPr>
        <w:t>6.3.1 运入施工场地的材料、工程设备，包括备品备件、安装专用工器具与随机资料，必须专用于合同约定范围内的工程，未经监理人同意，承包人不得运出施工场地或挪作他用。</w:t>
      </w:r>
    </w:p>
    <w:p w14:paraId="40238C98">
      <w:pPr>
        <w:pStyle w:val="403"/>
        <w:spacing w:line="460" w:lineRule="exact"/>
        <w:ind w:firstLine="480" w:firstLineChars="200"/>
        <w:rPr>
          <w:rFonts w:hint="eastAsia" w:eastAsia="宋体" w:cs="宋体"/>
          <w:snapToGrid w:val="0"/>
        </w:rPr>
      </w:pPr>
      <w:r>
        <w:rPr>
          <w:rFonts w:hint="eastAsia" w:eastAsia="宋体" w:cs="宋体"/>
          <w:snapToGrid w:val="0"/>
        </w:rPr>
        <w:t>6.3.2 随同工程设备运入施工场地的备品备件、专用工器具与随机资料，应由承包人会同监理人按供货人的装箱单清点后共同封存，未经监理人同意不得启用。承包人因合同工作需要使用上述物品时，应向监理人提出申请。</w:t>
      </w:r>
    </w:p>
    <w:p w14:paraId="10098F12">
      <w:pPr>
        <w:pStyle w:val="403"/>
        <w:spacing w:line="460" w:lineRule="exact"/>
        <w:ind w:firstLine="480" w:firstLineChars="200"/>
        <w:rPr>
          <w:rFonts w:hint="eastAsia" w:eastAsia="宋体" w:cs="宋体"/>
          <w:snapToGrid w:val="0"/>
        </w:rPr>
      </w:pPr>
      <w:bookmarkStart w:id="533" w:name="_Toc476860409"/>
      <w:bookmarkStart w:id="534" w:name="_Toc300835090"/>
      <w:bookmarkStart w:id="535" w:name="_Toc411736198"/>
      <w:bookmarkStart w:id="536" w:name="_Toc411736474"/>
      <w:bookmarkStart w:id="537" w:name="_Toc410559392"/>
      <w:bookmarkStart w:id="538" w:name="_Toc68594799"/>
      <w:bookmarkStart w:id="539" w:name="_Toc247527691"/>
      <w:bookmarkStart w:id="540" w:name="_Toc247514090"/>
      <w:r>
        <w:rPr>
          <w:rFonts w:hint="eastAsia" w:eastAsia="宋体" w:cs="宋体"/>
          <w:snapToGrid w:val="0"/>
        </w:rPr>
        <w:t>6.4 实施方法</w:t>
      </w:r>
      <w:bookmarkEnd w:id="533"/>
      <w:bookmarkEnd w:id="534"/>
      <w:bookmarkEnd w:id="535"/>
      <w:bookmarkEnd w:id="536"/>
      <w:bookmarkEnd w:id="537"/>
      <w:bookmarkEnd w:id="538"/>
    </w:p>
    <w:p w14:paraId="1B9A258D">
      <w:pPr>
        <w:pStyle w:val="403"/>
        <w:spacing w:line="460" w:lineRule="exact"/>
        <w:ind w:firstLine="480" w:firstLineChars="200"/>
        <w:rPr>
          <w:rFonts w:hint="eastAsia" w:eastAsia="宋体" w:cs="宋体"/>
          <w:snapToGrid w:val="0"/>
        </w:rPr>
      </w:pPr>
      <w:r>
        <w:rPr>
          <w:rFonts w:hint="eastAsia" w:eastAsia="宋体" w:cs="宋体"/>
          <w:snapToGrid w:val="0"/>
        </w:rPr>
        <w:t>承包人对材料的加工、工程设备的采购、制造、安装应当按照法律规定、合同约定以及行业习惯来实施。</w:t>
      </w:r>
    </w:p>
    <w:p w14:paraId="247B356D">
      <w:pPr>
        <w:pStyle w:val="403"/>
        <w:spacing w:line="460" w:lineRule="exact"/>
        <w:ind w:firstLine="480" w:firstLineChars="200"/>
        <w:rPr>
          <w:rFonts w:hint="eastAsia" w:eastAsia="宋体" w:cs="宋体"/>
          <w:snapToGrid w:val="0"/>
        </w:rPr>
      </w:pPr>
      <w:bookmarkStart w:id="541" w:name="_Toc300835091"/>
      <w:bookmarkStart w:id="542" w:name="_Toc476860410"/>
      <w:bookmarkStart w:id="543" w:name="_Toc411736475"/>
      <w:bookmarkStart w:id="544" w:name="_Toc410559393"/>
      <w:bookmarkStart w:id="545" w:name="_Toc68594800"/>
      <w:bookmarkStart w:id="546" w:name="_Toc411736199"/>
      <w:r>
        <w:rPr>
          <w:rFonts w:hint="eastAsia" w:eastAsia="宋体" w:cs="宋体"/>
          <w:snapToGrid w:val="0"/>
        </w:rPr>
        <w:t>6.5 禁止使用不合格的材料和工程设备</w:t>
      </w:r>
      <w:bookmarkEnd w:id="539"/>
      <w:bookmarkEnd w:id="540"/>
      <w:bookmarkEnd w:id="541"/>
      <w:bookmarkEnd w:id="542"/>
      <w:bookmarkEnd w:id="543"/>
      <w:bookmarkEnd w:id="544"/>
      <w:bookmarkEnd w:id="545"/>
      <w:bookmarkEnd w:id="546"/>
    </w:p>
    <w:p w14:paraId="221BE7E6">
      <w:pPr>
        <w:pStyle w:val="403"/>
        <w:spacing w:line="460" w:lineRule="exact"/>
        <w:ind w:firstLine="480" w:firstLineChars="200"/>
        <w:rPr>
          <w:rFonts w:hint="eastAsia" w:eastAsia="宋体" w:cs="宋体"/>
          <w:snapToGrid w:val="0"/>
        </w:rPr>
      </w:pPr>
      <w:r>
        <w:rPr>
          <w:rFonts w:hint="eastAsia" w:eastAsia="宋体" w:cs="宋体"/>
          <w:snapToGrid w:val="0"/>
        </w:rPr>
        <w:t>6.5.1 监理人有权拒绝承包人提供的不合格材料或工程设备，并要求承包人立即进行更换。监理人应在更换后再次进行检查和检验，由此增加的费用和（或）工期延误由承包人承担。</w:t>
      </w:r>
    </w:p>
    <w:p w14:paraId="429FB3BC">
      <w:pPr>
        <w:pStyle w:val="403"/>
        <w:spacing w:line="460" w:lineRule="exact"/>
        <w:ind w:firstLine="480" w:firstLineChars="200"/>
        <w:rPr>
          <w:rFonts w:hint="eastAsia" w:eastAsia="宋体" w:cs="宋体"/>
          <w:snapToGrid w:val="0"/>
        </w:rPr>
      </w:pPr>
      <w:r>
        <w:rPr>
          <w:rFonts w:hint="eastAsia" w:eastAsia="宋体" w:cs="宋体"/>
          <w:snapToGrid w:val="0"/>
        </w:rPr>
        <w:t>6.5.2 监理人发现承包人使用了不合格的材料和工程设备，应即时发出指示要求承包人立即改正，并禁止在工程中继续使用不合格的材料和工程设备。</w:t>
      </w:r>
    </w:p>
    <w:p w14:paraId="01B02479">
      <w:pPr>
        <w:pStyle w:val="403"/>
        <w:spacing w:line="460" w:lineRule="exact"/>
        <w:ind w:firstLine="480" w:firstLineChars="200"/>
        <w:rPr>
          <w:rFonts w:hint="eastAsia" w:eastAsia="宋体" w:cs="宋体"/>
          <w:snapToGrid w:val="0"/>
        </w:rPr>
      </w:pPr>
      <w:r>
        <w:rPr>
          <w:rFonts w:hint="eastAsia" w:eastAsia="宋体" w:cs="宋体"/>
          <w:snapToGrid w:val="0"/>
        </w:rPr>
        <w:t>6.5.3 发包人提供的材料或工程设备不符合合同要求的，承包人有权拒绝，并可要求发包人更换，由此增加的费用和（或）工期延误由发包人承担。</w:t>
      </w:r>
    </w:p>
    <w:p w14:paraId="087A2450">
      <w:pPr>
        <w:pStyle w:val="5"/>
        <w:spacing w:before="360" w:after="120" w:afterLines="50" w:line="480" w:lineRule="exact"/>
        <w:rPr>
          <w:rFonts w:hint="eastAsia" w:ascii="宋体" w:hAnsi="宋体" w:eastAsia="宋体" w:cs="宋体"/>
          <w:bCs/>
          <w:sz w:val="28"/>
          <w:szCs w:val="28"/>
        </w:rPr>
      </w:pPr>
      <w:bookmarkStart w:id="547" w:name="_Toc247527692"/>
      <w:bookmarkStart w:id="548" w:name="_Toc68594801"/>
      <w:bookmarkStart w:id="549" w:name="_Toc198803793"/>
      <w:bookmarkStart w:id="550" w:name="_Toc184635103"/>
      <w:bookmarkStart w:id="551" w:name="_Toc476860411"/>
      <w:bookmarkStart w:id="552" w:name="_Toc411736476"/>
      <w:bookmarkStart w:id="553" w:name="_Toc176268726"/>
      <w:bookmarkStart w:id="554" w:name="_Toc247514091"/>
      <w:bookmarkStart w:id="555" w:name="_Toc300835092"/>
      <w:bookmarkStart w:id="556" w:name="_Toc411736200"/>
      <w:bookmarkStart w:id="557" w:name="_Toc9619"/>
      <w:bookmarkStart w:id="558" w:name="_Toc410559394"/>
      <w:bookmarkStart w:id="559" w:name="_Toc83220597"/>
      <w:r>
        <w:rPr>
          <w:rFonts w:hint="eastAsia" w:ascii="宋体" w:hAnsi="宋体" w:eastAsia="宋体" w:cs="宋体"/>
          <w:bCs/>
          <w:sz w:val="28"/>
          <w:szCs w:val="28"/>
        </w:rPr>
        <w:t>7. 施工设备和临时设施</w:t>
      </w:r>
      <w:bookmarkEnd w:id="547"/>
      <w:bookmarkEnd w:id="548"/>
      <w:bookmarkEnd w:id="549"/>
      <w:bookmarkEnd w:id="550"/>
      <w:bookmarkEnd w:id="551"/>
      <w:bookmarkEnd w:id="552"/>
      <w:bookmarkEnd w:id="553"/>
      <w:bookmarkEnd w:id="554"/>
      <w:bookmarkEnd w:id="555"/>
      <w:bookmarkEnd w:id="556"/>
      <w:bookmarkEnd w:id="557"/>
      <w:bookmarkEnd w:id="558"/>
      <w:bookmarkEnd w:id="559"/>
    </w:p>
    <w:p w14:paraId="575EAAB9">
      <w:pPr>
        <w:pStyle w:val="403"/>
        <w:spacing w:line="460" w:lineRule="exact"/>
        <w:ind w:firstLine="480" w:firstLineChars="200"/>
        <w:rPr>
          <w:rFonts w:hint="eastAsia" w:eastAsia="宋体" w:cs="宋体"/>
          <w:snapToGrid w:val="0"/>
        </w:rPr>
      </w:pPr>
      <w:bookmarkStart w:id="560" w:name="_Toc410559395"/>
      <w:bookmarkStart w:id="561" w:name="_Toc411736477"/>
      <w:bookmarkStart w:id="562" w:name="_Toc247527693"/>
      <w:bookmarkStart w:id="563" w:name="_Toc476860412"/>
      <w:bookmarkStart w:id="564" w:name="_Toc411736201"/>
      <w:bookmarkStart w:id="565" w:name="_Toc300835093"/>
      <w:bookmarkStart w:id="566" w:name="_Toc68594802"/>
      <w:bookmarkStart w:id="567" w:name="_Toc247514092"/>
      <w:r>
        <w:rPr>
          <w:rFonts w:hint="eastAsia" w:eastAsia="宋体" w:cs="宋体"/>
          <w:snapToGrid w:val="0"/>
        </w:rPr>
        <w:t>7.1 承包人提供的施工设备和临时设施</w:t>
      </w:r>
      <w:bookmarkEnd w:id="560"/>
      <w:bookmarkEnd w:id="561"/>
      <w:bookmarkEnd w:id="562"/>
      <w:bookmarkEnd w:id="563"/>
      <w:bookmarkEnd w:id="564"/>
      <w:bookmarkEnd w:id="565"/>
      <w:bookmarkEnd w:id="566"/>
      <w:bookmarkEnd w:id="567"/>
    </w:p>
    <w:p w14:paraId="2AEE9434">
      <w:pPr>
        <w:pStyle w:val="403"/>
        <w:spacing w:line="460" w:lineRule="exact"/>
        <w:ind w:firstLine="480" w:firstLineChars="200"/>
        <w:rPr>
          <w:rFonts w:hint="eastAsia" w:eastAsia="宋体" w:cs="宋体"/>
          <w:snapToGrid w:val="0"/>
        </w:rPr>
      </w:pPr>
      <w:r>
        <w:rPr>
          <w:rFonts w:hint="eastAsia" w:eastAsia="宋体" w:cs="宋体"/>
          <w:snapToGrid w:val="0"/>
        </w:rPr>
        <w:t>7.1.1 承包人应按合同进度计划的要求，及时配置施工设备和修建临时设施。进入施工场地的承包人设备需经监理人核查后才能投入使用。承包人更换合同约定的承包人设备的，应报监理人批准。</w:t>
      </w:r>
    </w:p>
    <w:p w14:paraId="62FAAD70">
      <w:pPr>
        <w:pStyle w:val="403"/>
        <w:spacing w:line="460" w:lineRule="exact"/>
        <w:ind w:firstLine="480" w:firstLineChars="200"/>
        <w:rPr>
          <w:rFonts w:hint="eastAsia" w:eastAsia="宋体" w:cs="宋体"/>
          <w:snapToGrid w:val="0"/>
        </w:rPr>
      </w:pPr>
      <w:r>
        <w:rPr>
          <w:rFonts w:hint="eastAsia" w:eastAsia="宋体" w:cs="宋体"/>
          <w:snapToGrid w:val="0"/>
        </w:rPr>
        <w:t>7.1.2 除专用合同条款另有约定外，承包人应自行承担修建临时设施的费用。需要临时占地的，应由发包人办理申请手续并承担相应费用。</w:t>
      </w:r>
    </w:p>
    <w:p w14:paraId="2056E59A">
      <w:pPr>
        <w:pStyle w:val="403"/>
        <w:spacing w:line="460" w:lineRule="exact"/>
        <w:ind w:firstLine="480" w:firstLineChars="200"/>
        <w:rPr>
          <w:rFonts w:hint="eastAsia" w:eastAsia="宋体" w:cs="宋体"/>
          <w:snapToGrid w:val="0"/>
        </w:rPr>
      </w:pPr>
      <w:bookmarkStart w:id="568" w:name="_Toc68594803"/>
      <w:bookmarkStart w:id="569" w:name="_Toc411736478"/>
      <w:bookmarkStart w:id="570" w:name="_Toc410559396"/>
      <w:bookmarkStart w:id="571" w:name="_Toc300835095"/>
      <w:bookmarkStart w:id="572" w:name="_Toc411736202"/>
      <w:bookmarkStart w:id="573" w:name="_Toc476860413"/>
      <w:r>
        <w:rPr>
          <w:rFonts w:hint="eastAsia" w:eastAsia="宋体" w:cs="宋体"/>
          <w:snapToGrid w:val="0"/>
        </w:rPr>
        <w:t>7.2 发包人提供的施工设备和临时设施（B）</w:t>
      </w:r>
      <w:bookmarkEnd w:id="568"/>
      <w:bookmarkEnd w:id="569"/>
      <w:bookmarkEnd w:id="570"/>
      <w:bookmarkEnd w:id="571"/>
      <w:bookmarkEnd w:id="572"/>
      <w:bookmarkEnd w:id="573"/>
    </w:p>
    <w:p w14:paraId="66A10700">
      <w:pPr>
        <w:pStyle w:val="403"/>
        <w:spacing w:line="460" w:lineRule="exact"/>
        <w:ind w:firstLine="480" w:firstLineChars="200"/>
        <w:rPr>
          <w:rFonts w:hint="eastAsia" w:eastAsia="宋体" w:cs="宋体"/>
          <w:snapToGrid w:val="0"/>
        </w:rPr>
      </w:pPr>
      <w:r>
        <w:rPr>
          <w:rFonts w:hint="eastAsia" w:eastAsia="宋体" w:cs="宋体"/>
          <w:snapToGrid w:val="0"/>
        </w:rPr>
        <w:t>发包人不提供施工设备或临时设施。</w:t>
      </w:r>
    </w:p>
    <w:p w14:paraId="0AEB5974">
      <w:pPr>
        <w:pStyle w:val="403"/>
        <w:spacing w:line="460" w:lineRule="exact"/>
        <w:ind w:firstLine="480" w:firstLineChars="200"/>
        <w:rPr>
          <w:rFonts w:hint="eastAsia" w:eastAsia="宋体" w:cs="宋体"/>
          <w:snapToGrid w:val="0"/>
        </w:rPr>
      </w:pPr>
      <w:bookmarkStart w:id="574" w:name="_Toc410559397"/>
      <w:bookmarkStart w:id="575" w:name="_Toc476860414"/>
      <w:bookmarkStart w:id="576" w:name="_Toc411736203"/>
      <w:bookmarkStart w:id="577" w:name="_Toc247527695"/>
      <w:bookmarkStart w:id="578" w:name="_Toc247514094"/>
      <w:bookmarkStart w:id="579" w:name="_Toc411736479"/>
      <w:bookmarkStart w:id="580" w:name="_Toc300835096"/>
      <w:bookmarkStart w:id="581" w:name="_Toc68594804"/>
      <w:r>
        <w:rPr>
          <w:rFonts w:hint="eastAsia" w:eastAsia="宋体" w:cs="宋体"/>
          <w:snapToGrid w:val="0"/>
        </w:rPr>
        <w:t>7.3 要求承包人增加或更换施工设备</w:t>
      </w:r>
      <w:bookmarkEnd w:id="574"/>
      <w:bookmarkEnd w:id="575"/>
      <w:bookmarkEnd w:id="576"/>
      <w:bookmarkEnd w:id="577"/>
      <w:bookmarkEnd w:id="578"/>
      <w:bookmarkEnd w:id="579"/>
      <w:bookmarkEnd w:id="580"/>
      <w:bookmarkEnd w:id="581"/>
    </w:p>
    <w:p w14:paraId="5DDBEEA8">
      <w:pPr>
        <w:pStyle w:val="403"/>
        <w:spacing w:line="460" w:lineRule="exact"/>
        <w:ind w:firstLine="480" w:firstLineChars="200"/>
        <w:rPr>
          <w:rFonts w:hint="eastAsia" w:eastAsia="宋体" w:cs="宋体"/>
          <w:snapToGrid w:val="0"/>
        </w:rPr>
      </w:pPr>
      <w:r>
        <w:rPr>
          <w:rFonts w:hint="eastAsia" w:eastAsia="宋体" w:cs="宋体"/>
          <w:snapToGrid w:val="0"/>
        </w:rPr>
        <w:t>承包人使用的施工设备不能满足合同进度计划和（或）质量标准时，监理人有权要求承包人增加或更换施工设备，承包人应及时增加或更换，由此增加的费用和（或）工期延误由承包人承担。</w:t>
      </w:r>
      <w:bookmarkStart w:id="582" w:name="_Toc300835097"/>
      <w:bookmarkStart w:id="583" w:name="_Toc247514095"/>
      <w:bookmarkStart w:id="584" w:name="_Toc247527696"/>
    </w:p>
    <w:p w14:paraId="062CE6B4">
      <w:pPr>
        <w:pStyle w:val="403"/>
        <w:spacing w:line="460" w:lineRule="exact"/>
        <w:ind w:firstLine="480" w:firstLineChars="200"/>
        <w:rPr>
          <w:rFonts w:hint="eastAsia" w:eastAsia="宋体" w:cs="宋体"/>
          <w:snapToGrid w:val="0"/>
        </w:rPr>
      </w:pPr>
      <w:bookmarkStart w:id="585" w:name="_Toc410559398"/>
      <w:bookmarkStart w:id="586" w:name="_Toc411736480"/>
      <w:bookmarkStart w:id="587" w:name="_Toc411736204"/>
      <w:bookmarkStart w:id="588" w:name="_Toc68594805"/>
      <w:bookmarkStart w:id="589" w:name="_Toc476860415"/>
      <w:r>
        <w:rPr>
          <w:rFonts w:hint="eastAsia" w:eastAsia="宋体" w:cs="宋体"/>
          <w:snapToGrid w:val="0"/>
        </w:rPr>
        <w:t>7.4 施工设备和临时设施专用于合同工程</w:t>
      </w:r>
      <w:bookmarkEnd w:id="582"/>
      <w:bookmarkEnd w:id="583"/>
      <w:bookmarkEnd w:id="584"/>
      <w:bookmarkEnd w:id="585"/>
      <w:bookmarkEnd w:id="586"/>
      <w:bookmarkEnd w:id="587"/>
      <w:bookmarkEnd w:id="588"/>
      <w:bookmarkEnd w:id="589"/>
    </w:p>
    <w:p w14:paraId="16A20C27">
      <w:pPr>
        <w:pStyle w:val="403"/>
        <w:spacing w:line="460" w:lineRule="exact"/>
        <w:ind w:firstLine="480" w:firstLineChars="200"/>
        <w:rPr>
          <w:rFonts w:hint="eastAsia" w:eastAsia="宋体" w:cs="宋体"/>
          <w:snapToGrid w:val="0"/>
        </w:rPr>
      </w:pPr>
      <w:r>
        <w:rPr>
          <w:rFonts w:hint="eastAsia" w:eastAsia="宋体" w:cs="宋体"/>
          <w:snapToGrid w:val="0"/>
        </w:rPr>
        <w:t>7.4.1 除合同另有约定外，运入施工场地的所有施工设备以及在施工场地建设的临时设施应专用于合同工程。未经监理人同意，不得将上述施工设备和临时设施中的任何部分运出施工场地或挪作他用。</w:t>
      </w:r>
    </w:p>
    <w:p w14:paraId="22AD8EEE">
      <w:pPr>
        <w:pStyle w:val="403"/>
        <w:spacing w:line="460" w:lineRule="exact"/>
        <w:ind w:firstLine="480" w:firstLineChars="200"/>
        <w:rPr>
          <w:rFonts w:hint="eastAsia" w:eastAsia="宋体" w:cs="宋体"/>
          <w:snapToGrid w:val="0"/>
        </w:rPr>
      </w:pPr>
      <w:r>
        <w:rPr>
          <w:rFonts w:hint="eastAsia" w:eastAsia="宋体" w:cs="宋体"/>
          <w:snapToGrid w:val="0"/>
        </w:rPr>
        <w:t>7.4.2 经监理人同意，承包人可根据合同进度计划撤走闲置的施工设备。</w:t>
      </w:r>
    </w:p>
    <w:p w14:paraId="5FDF9CCF">
      <w:pPr>
        <w:pStyle w:val="5"/>
        <w:spacing w:before="360" w:after="120" w:afterLines="50" w:line="480" w:lineRule="exact"/>
        <w:rPr>
          <w:rFonts w:hint="eastAsia" w:ascii="宋体" w:hAnsi="宋体" w:eastAsia="宋体" w:cs="宋体"/>
          <w:bCs/>
          <w:sz w:val="28"/>
          <w:szCs w:val="28"/>
        </w:rPr>
      </w:pPr>
      <w:bookmarkStart w:id="590" w:name="_Toc476860416"/>
      <w:bookmarkStart w:id="591" w:name="_Toc83220598"/>
      <w:bookmarkStart w:id="592" w:name="_Toc411736481"/>
      <w:bookmarkStart w:id="593" w:name="_Toc411736205"/>
      <w:bookmarkStart w:id="594" w:name="_Toc29896"/>
      <w:bookmarkStart w:id="595" w:name="_Toc184635104"/>
      <w:bookmarkStart w:id="596" w:name="_Toc247527697"/>
      <w:bookmarkStart w:id="597" w:name="_Toc176268727"/>
      <w:bookmarkStart w:id="598" w:name="_Toc300835098"/>
      <w:bookmarkStart w:id="599" w:name="_Toc198803794"/>
      <w:bookmarkStart w:id="600" w:name="_Toc68594806"/>
      <w:bookmarkStart w:id="601" w:name="_Toc410559399"/>
      <w:bookmarkStart w:id="602" w:name="_Toc247514096"/>
      <w:r>
        <w:rPr>
          <w:rFonts w:hint="eastAsia" w:ascii="宋体" w:hAnsi="宋体" w:eastAsia="宋体" w:cs="宋体"/>
          <w:bCs/>
          <w:sz w:val="28"/>
          <w:szCs w:val="28"/>
        </w:rPr>
        <w:t>8. 交通运输</w:t>
      </w:r>
      <w:bookmarkEnd w:id="590"/>
      <w:bookmarkEnd w:id="591"/>
      <w:bookmarkEnd w:id="592"/>
      <w:bookmarkEnd w:id="593"/>
      <w:bookmarkEnd w:id="594"/>
      <w:bookmarkEnd w:id="595"/>
      <w:bookmarkEnd w:id="596"/>
      <w:bookmarkEnd w:id="597"/>
      <w:bookmarkEnd w:id="598"/>
      <w:bookmarkEnd w:id="599"/>
      <w:bookmarkEnd w:id="600"/>
      <w:bookmarkEnd w:id="601"/>
      <w:bookmarkEnd w:id="602"/>
    </w:p>
    <w:p w14:paraId="024F0450">
      <w:pPr>
        <w:pStyle w:val="403"/>
        <w:spacing w:line="460" w:lineRule="exact"/>
        <w:ind w:firstLine="480" w:firstLineChars="200"/>
        <w:rPr>
          <w:rFonts w:hint="eastAsia" w:eastAsia="宋体" w:cs="宋体"/>
          <w:snapToGrid w:val="0"/>
        </w:rPr>
      </w:pPr>
      <w:bookmarkStart w:id="603" w:name="_Toc411736482"/>
      <w:bookmarkStart w:id="604" w:name="_Toc476860417"/>
      <w:bookmarkStart w:id="605" w:name="_Toc411736206"/>
      <w:bookmarkStart w:id="606" w:name="_Toc300835100"/>
      <w:bookmarkStart w:id="607" w:name="_Toc410559400"/>
      <w:bookmarkStart w:id="608" w:name="_Toc68594807"/>
      <w:r>
        <w:rPr>
          <w:rFonts w:hint="eastAsia" w:eastAsia="宋体" w:cs="宋体"/>
          <w:snapToGrid w:val="0"/>
        </w:rPr>
        <w:t>8.1 道路通行权和场外设施（B）</w:t>
      </w:r>
      <w:bookmarkEnd w:id="603"/>
      <w:bookmarkEnd w:id="604"/>
      <w:bookmarkEnd w:id="605"/>
      <w:bookmarkEnd w:id="606"/>
      <w:bookmarkEnd w:id="607"/>
      <w:bookmarkEnd w:id="608"/>
    </w:p>
    <w:p w14:paraId="11BEBA9C">
      <w:pPr>
        <w:pStyle w:val="403"/>
        <w:spacing w:line="460" w:lineRule="exact"/>
        <w:ind w:firstLine="480" w:firstLineChars="200"/>
        <w:rPr>
          <w:rFonts w:hint="eastAsia" w:eastAsia="宋体" w:cs="宋体"/>
          <w:snapToGrid w:val="0"/>
        </w:rPr>
      </w:pPr>
      <w:r>
        <w:rPr>
          <w:rFonts w:hint="eastAsia" w:eastAsia="宋体" w:cs="宋体"/>
          <w:snapToGrid w:val="0"/>
        </w:rPr>
        <w:t>承包人应根据工程的施工需要，负责办理取得出入施工场地的专用和临时道路的通行权，以及取得为工程建设所需修建场外设施的权利，并承担有关费用。发包人应协助承包人办理上述手续。</w:t>
      </w:r>
    </w:p>
    <w:p w14:paraId="311D543B">
      <w:pPr>
        <w:pStyle w:val="403"/>
        <w:spacing w:line="460" w:lineRule="exact"/>
        <w:ind w:firstLine="480" w:firstLineChars="200"/>
        <w:rPr>
          <w:rFonts w:hint="eastAsia" w:eastAsia="宋体" w:cs="宋体"/>
          <w:snapToGrid w:val="0"/>
        </w:rPr>
      </w:pPr>
      <w:bookmarkStart w:id="609" w:name="_Toc411736483"/>
      <w:bookmarkStart w:id="610" w:name="_Toc68594808"/>
      <w:bookmarkStart w:id="611" w:name="_Toc300835101"/>
      <w:bookmarkStart w:id="612" w:name="_Toc411736207"/>
      <w:bookmarkStart w:id="613" w:name="_Toc476860418"/>
      <w:bookmarkStart w:id="614" w:name="_Toc247514098"/>
      <w:bookmarkStart w:id="615" w:name="_Toc410559401"/>
      <w:bookmarkStart w:id="616" w:name="_Toc247527699"/>
      <w:r>
        <w:rPr>
          <w:rFonts w:hint="eastAsia" w:eastAsia="宋体" w:cs="宋体"/>
          <w:snapToGrid w:val="0"/>
        </w:rPr>
        <w:t>8.2 场内施工道路</w:t>
      </w:r>
      <w:bookmarkEnd w:id="609"/>
      <w:bookmarkEnd w:id="610"/>
      <w:bookmarkEnd w:id="611"/>
      <w:bookmarkEnd w:id="612"/>
      <w:bookmarkEnd w:id="613"/>
      <w:bookmarkEnd w:id="614"/>
      <w:bookmarkEnd w:id="615"/>
      <w:bookmarkEnd w:id="616"/>
    </w:p>
    <w:p w14:paraId="29C8C03B">
      <w:pPr>
        <w:pStyle w:val="403"/>
        <w:spacing w:line="460" w:lineRule="exact"/>
        <w:ind w:firstLine="480" w:firstLineChars="200"/>
        <w:rPr>
          <w:rFonts w:hint="eastAsia" w:eastAsia="宋体" w:cs="宋体"/>
          <w:snapToGrid w:val="0"/>
        </w:rPr>
      </w:pPr>
      <w:r>
        <w:rPr>
          <w:rFonts w:hint="eastAsia" w:eastAsia="宋体" w:cs="宋体"/>
          <w:snapToGrid w:val="0"/>
        </w:rPr>
        <w:t>8.2.1 除专用合同条款另有约定外，承包人应负责修建、维修、养护和管理施工所需的临时道路和交通设施，包括维修、养护和管理发包人提供的道路和交通设施，并承担相应费用。</w:t>
      </w:r>
    </w:p>
    <w:p w14:paraId="0E6BDEB5">
      <w:pPr>
        <w:pStyle w:val="403"/>
        <w:spacing w:line="460" w:lineRule="exact"/>
        <w:ind w:firstLine="480" w:firstLineChars="200"/>
        <w:rPr>
          <w:rFonts w:hint="eastAsia" w:eastAsia="宋体" w:cs="宋体"/>
          <w:snapToGrid w:val="0"/>
        </w:rPr>
      </w:pPr>
      <w:r>
        <w:rPr>
          <w:rFonts w:hint="eastAsia" w:eastAsia="宋体" w:cs="宋体"/>
          <w:snapToGrid w:val="0"/>
        </w:rPr>
        <w:t>8.2.2 除专用合同条款另有约定外，承包人修建的临时道路和交通设施应免费提供发包人和监理人为实现合同目的使用。</w:t>
      </w:r>
    </w:p>
    <w:p w14:paraId="2C6C8219">
      <w:pPr>
        <w:pStyle w:val="403"/>
        <w:spacing w:line="460" w:lineRule="exact"/>
        <w:ind w:firstLine="480" w:firstLineChars="200"/>
        <w:rPr>
          <w:rFonts w:hint="eastAsia" w:eastAsia="宋体" w:cs="宋体"/>
          <w:snapToGrid w:val="0"/>
        </w:rPr>
      </w:pPr>
      <w:bookmarkStart w:id="617" w:name="_Toc411736484"/>
      <w:bookmarkStart w:id="618" w:name="_Toc68594809"/>
      <w:bookmarkStart w:id="619" w:name="_Toc410559402"/>
      <w:bookmarkStart w:id="620" w:name="_Toc411736208"/>
      <w:bookmarkStart w:id="621" w:name="_Toc247527700"/>
      <w:bookmarkStart w:id="622" w:name="_Toc247514099"/>
      <w:bookmarkStart w:id="623" w:name="_Toc476860419"/>
      <w:bookmarkStart w:id="624" w:name="_Toc300835102"/>
      <w:r>
        <w:rPr>
          <w:rFonts w:hint="eastAsia" w:eastAsia="宋体" w:cs="宋体"/>
          <w:snapToGrid w:val="0"/>
        </w:rPr>
        <w:t>8.3 场外交通</w:t>
      </w:r>
      <w:bookmarkEnd w:id="617"/>
      <w:bookmarkEnd w:id="618"/>
      <w:bookmarkEnd w:id="619"/>
      <w:bookmarkEnd w:id="620"/>
      <w:bookmarkEnd w:id="621"/>
      <w:bookmarkEnd w:id="622"/>
      <w:bookmarkEnd w:id="623"/>
      <w:bookmarkEnd w:id="624"/>
    </w:p>
    <w:p w14:paraId="18E8053A">
      <w:pPr>
        <w:pStyle w:val="403"/>
        <w:spacing w:line="460" w:lineRule="exact"/>
        <w:ind w:firstLine="480" w:firstLineChars="200"/>
        <w:rPr>
          <w:rFonts w:hint="eastAsia" w:eastAsia="宋体" w:cs="宋体"/>
          <w:snapToGrid w:val="0"/>
        </w:rPr>
      </w:pPr>
      <w:r>
        <w:rPr>
          <w:rFonts w:hint="eastAsia" w:eastAsia="宋体" w:cs="宋体"/>
          <w:snapToGrid w:val="0"/>
        </w:rPr>
        <w:t>8.3.1 承包人车辆外出行驶所需的场外公共道路的通行费、养路费和税款等由承包人承担。</w:t>
      </w:r>
    </w:p>
    <w:p w14:paraId="430D4A6D">
      <w:pPr>
        <w:pStyle w:val="403"/>
        <w:spacing w:line="460" w:lineRule="exact"/>
        <w:ind w:firstLine="480" w:firstLineChars="200"/>
        <w:rPr>
          <w:rFonts w:hint="eastAsia" w:eastAsia="宋体" w:cs="宋体"/>
          <w:snapToGrid w:val="0"/>
        </w:rPr>
      </w:pPr>
      <w:r>
        <w:rPr>
          <w:rFonts w:hint="eastAsia" w:eastAsia="宋体" w:cs="宋体"/>
          <w:snapToGrid w:val="0"/>
        </w:rPr>
        <w:t>8.3.2 承包人应遵守有关交通法规，严格按照道路和桥梁的限制荷重安全行驶，并服从交通管理部门的检查和监督。</w:t>
      </w:r>
    </w:p>
    <w:p w14:paraId="7474CCB2">
      <w:pPr>
        <w:pStyle w:val="403"/>
        <w:spacing w:line="460" w:lineRule="exact"/>
        <w:ind w:firstLine="480" w:firstLineChars="200"/>
        <w:rPr>
          <w:rFonts w:hint="eastAsia" w:eastAsia="宋体" w:cs="宋体"/>
          <w:snapToGrid w:val="0"/>
        </w:rPr>
      </w:pPr>
      <w:bookmarkStart w:id="625" w:name="_Toc68594810"/>
      <w:bookmarkStart w:id="626" w:name="_Toc300835103"/>
      <w:bookmarkStart w:id="627" w:name="_Toc411736485"/>
      <w:bookmarkStart w:id="628" w:name="_Toc476860420"/>
      <w:bookmarkStart w:id="629" w:name="_Toc411736209"/>
      <w:bookmarkStart w:id="630" w:name="_Toc247514100"/>
      <w:bookmarkStart w:id="631" w:name="_Toc247527701"/>
      <w:bookmarkStart w:id="632" w:name="_Toc410559403"/>
      <w:r>
        <w:rPr>
          <w:rFonts w:hint="eastAsia" w:eastAsia="宋体" w:cs="宋体"/>
          <w:snapToGrid w:val="0"/>
        </w:rPr>
        <w:t>8.4 超大件和超重件的运输</w:t>
      </w:r>
      <w:bookmarkEnd w:id="625"/>
      <w:bookmarkEnd w:id="626"/>
      <w:bookmarkEnd w:id="627"/>
      <w:bookmarkEnd w:id="628"/>
      <w:bookmarkEnd w:id="629"/>
      <w:bookmarkEnd w:id="630"/>
      <w:bookmarkEnd w:id="631"/>
      <w:bookmarkEnd w:id="632"/>
    </w:p>
    <w:p w14:paraId="1AD189D1">
      <w:pPr>
        <w:pStyle w:val="403"/>
        <w:spacing w:line="460" w:lineRule="exact"/>
        <w:ind w:firstLine="480" w:firstLineChars="200"/>
        <w:rPr>
          <w:rFonts w:hint="eastAsia" w:eastAsia="宋体" w:cs="宋体"/>
          <w:snapToGrid w:val="0"/>
        </w:rPr>
      </w:pPr>
      <w:r>
        <w:rPr>
          <w:rFonts w:hint="eastAsia" w:eastAsia="宋体" w:cs="宋体"/>
          <w:snapToGrid w:val="0"/>
        </w:rPr>
        <w:t>由承包人负责运输的超大件或超重件，应由承包人负责向交通管理部门办理申请手续，发包人给予协助。运输超大件或超重件所需的道路和桥梁临时加固改造费用和其他有关费用，由承包人承担，但专用合同条款另有约定除外。</w:t>
      </w:r>
    </w:p>
    <w:p w14:paraId="74D67FBF">
      <w:pPr>
        <w:pStyle w:val="403"/>
        <w:spacing w:line="460" w:lineRule="exact"/>
        <w:ind w:firstLine="480" w:firstLineChars="200"/>
        <w:rPr>
          <w:rFonts w:hint="eastAsia" w:eastAsia="宋体" w:cs="宋体"/>
          <w:snapToGrid w:val="0"/>
        </w:rPr>
      </w:pPr>
      <w:bookmarkStart w:id="633" w:name="_Toc300835104"/>
      <w:bookmarkStart w:id="634" w:name="_Toc410559404"/>
      <w:bookmarkStart w:id="635" w:name="_Toc68594811"/>
      <w:bookmarkStart w:id="636" w:name="_Toc247527702"/>
      <w:bookmarkStart w:id="637" w:name="_Toc247514101"/>
      <w:bookmarkStart w:id="638" w:name="_Toc411736210"/>
      <w:bookmarkStart w:id="639" w:name="_Toc476860421"/>
      <w:bookmarkStart w:id="640" w:name="_Toc411736486"/>
      <w:r>
        <w:rPr>
          <w:rFonts w:hint="eastAsia" w:eastAsia="宋体" w:cs="宋体"/>
          <w:snapToGrid w:val="0"/>
        </w:rPr>
        <w:t>8.5 道路和桥梁的损坏责任</w:t>
      </w:r>
      <w:bookmarkEnd w:id="633"/>
      <w:bookmarkEnd w:id="634"/>
      <w:bookmarkEnd w:id="635"/>
      <w:bookmarkEnd w:id="636"/>
      <w:bookmarkEnd w:id="637"/>
      <w:bookmarkEnd w:id="638"/>
      <w:bookmarkEnd w:id="639"/>
      <w:bookmarkEnd w:id="640"/>
    </w:p>
    <w:p w14:paraId="25E699AF">
      <w:pPr>
        <w:pStyle w:val="403"/>
        <w:spacing w:line="460" w:lineRule="exact"/>
        <w:ind w:firstLine="480" w:firstLineChars="200"/>
        <w:rPr>
          <w:rFonts w:hint="eastAsia" w:eastAsia="宋体" w:cs="宋体"/>
          <w:snapToGrid w:val="0"/>
        </w:rPr>
      </w:pPr>
      <w:r>
        <w:rPr>
          <w:rFonts w:hint="eastAsia" w:eastAsia="宋体" w:cs="宋体"/>
          <w:snapToGrid w:val="0"/>
        </w:rPr>
        <w:t>因承包人运输造成施工场地内外公共道路和桥梁损坏的，由承包人承担修复损坏的全部费用和可能引起的赔偿。</w:t>
      </w:r>
    </w:p>
    <w:p w14:paraId="061A6127">
      <w:pPr>
        <w:pStyle w:val="403"/>
        <w:spacing w:line="460" w:lineRule="exact"/>
        <w:ind w:firstLine="480" w:firstLineChars="200"/>
        <w:rPr>
          <w:rFonts w:hint="eastAsia" w:eastAsia="宋体" w:cs="宋体"/>
          <w:snapToGrid w:val="0"/>
        </w:rPr>
      </w:pPr>
      <w:bookmarkStart w:id="641" w:name="_Toc411736487"/>
      <w:bookmarkStart w:id="642" w:name="_Toc476860422"/>
      <w:bookmarkStart w:id="643" w:name="_Toc411736211"/>
      <w:bookmarkStart w:id="644" w:name="_Toc410559405"/>
      <w:bookmarkStart w:id="645" w:name="_Toc247527703"/>
      <w:bookmarkStart w:id="646" w:name="_Toc247514102"/>
      <w:bookmarkStart w:id="647" w:name="_Toc68594812"/>
      <w:bookmarkStart w:id="648" w:name="_Toc300835105"/>
      <w:r>
        <w:rPr>
          <w:rFonts w:hint="eastAsia" w:eastAsia="宋体" w:cs="宋体"/>
          <w:snapToGrid w:val="0"/>
        </w:rPr>
        <w:t>8.6 水路和航空运输</w:t>
      </w:r>
      <w:bookmarkEnd w:id="641"/>
      <w:bookmarkEnd w:id="642"/>
      <w:bookmarkEnd w:id="643"/>
      <w:bookmarkEnd w:id="644"/>
      <w:bookmarkEnd w:id="645"/>
      <w:bookmarkEnd w:id="646"/>
      <w:bookmarkEnd w:id="647"/>
      <w:bookmarkEnd w:id="648"/>
    </w:p>
    <w:p w14:paraId="4ECEEF78">
      <w:pPr>
        <w:pStyle w:val="403"/>
        <w:spacing w:line="460" w:lineRule="exact"/>
        <w:ind w:firstLine="480" w:firstLineChars="200"/>
        <w:rPr>
          <w:rFonts w:hint="eastAsia" w:eastAsia="宋体" w:cs="宋体"/>
          <w:snapToGrid w:val="0"/>
        </w:rPr>
      </w:pPr>
      <w:r>
        <w:rPr>
          <w:rFonts w:hint="eastAsia" w:eastAsia="宋体" w:cs="宋体"/>
          <w:snapToGrid w:val="0"/>
        </w:rPr>
        <w:t>本条上述各款的内容适用于水路运输和航空运输，其中“道路”一词的涵义包括河道、航线、船闸、机场、码头、堤防以及水路或航空运输中其他相似结构物；“车辆”一词的涵义包括船舶和飞机等。</w:t>
      </w:r>
    </w:p>
    <w:p w14:paraId="6ADC781E">
      <w:pPr>
        <w:pStyle w:val="5"/>
        <w:spacing w:before="360" w:after="120" w:afterLines="50" w:line="480" w:lineRule="exact"/>
        <w:rPr>
          <w:rFonts w:hint="eastAsia" w:ascii="宋体" w:hAnsi="宋体" w:eastAsia="宋体" w:cs="宋体"/>
          <w:bCs/>
          <w:sz w:val="28"/>
          <w:szCs w:val="28"/>
        </w:rPr>
      </w:pPr>
      <w:bookmarkStart w:id="649" w:name="_Toc411736488"/>
      <w:bookmarkStart w:id="650" w:name="_Toc10090"/>
      <w:bookmarkStart w:id="651" w:name="_Toc184635105"/>
      <w:bookmarkStart w:id="652" w:name="_Toc68594813"/>
      <w:bookmarkStart w:id="653" w:name="_Toc198803795"/>
      <w:bookmarkStart w:id="654" w:name="_Toc247514103"/>
      <w:bookmarkStart w:id="655" w:name="_Toc300835106"/>
      <w:bookmarkStart w:id="656" w:name="_Toc176268728"/>
      <w:bookmarkStart w:id="657" w:name="_Toc410559406"/>
      <w:bookmarkStart w:id="658" w:name="_Toc247527704"/>
      <w:bookmarkStart w:id="659" w:name="_Toc411736212"/>
      <w:bookmarkStart w:id="660" w:name="_Toc83220599"/>
      <w:bookmarkStart w:id="661" w:name="_Toc476860423"/>
      <w:r>
        <w:rPr>
          <w:rFonts w:hint="eastAsia" w:ascii="宋体" w:hAnsi="宋体" w:eastAsia="宋体" w:cs="宋体"/>
          <w:bCs/>
          <w:sz w:val="28"/>
          <w:szCs w:val="28"/>
        </w:rPr>
        <w:t>9. 测量放线</w:t>
      </w:r>
      <w:bookmarkEnd w:id="649"/>
      <w:bookmarkEnd w:id="650"/>
      <w:bookmarkEnd w:id="651"/>
      <w:bookmarkEnd w:id="652"/>
      <w:bookmarkEnd w:id="653"/>
      <w:bookmarkEnd w:id="654"/>
      <w:bookmarkEnd w:id="655"/>
      <w:bookmarkEnd w:id="656"/>
      <w:bookmarkEnd w:id="657"/>
      <w:bookmarkEnd w:id="658"/>
      <w:bookmarkEnd w:id="659"/>
      <w:bookmarkEnd w:id="660"/>
      <w:bookmarkEnd w:id="661"/>
    </w:p>
    <w:p w14:paraId="586FC00C">
      <w:pPr>
        <w:pStyle w:val="403"/>
        <w:spacing w:line="460" w:lineRule="exact"/>
        <w:ind w:firstLine="480" w:firstLineChars="200"/>
        <w:rPr>
          <w:rFonts w:hint="eastAsia" w:eastAsia="宋体" w:cs="宋体"/>
          <w:snapToGrid w:val="0"/>
        </w:rPr>
      </w:pPr>
      <w:bookmarkStart w:id="662" w:name="_Toc410559407"/>
      <w:bookmarkStart w:id="663" w:name="_Toc411736213"/>
      <w:bookmarkStart w:id="664" w:name="_Toc476860424"/>
      <w:bookmarkStart w:id="665" w:name="_Toc247527705"/>
      <w:bookmarkStart w:id="666" w:name="_Toc411736489"/>
      <w:bookmarkStart w:id="667" w:name="_Toc68594814"/>
      <w:bookmarkStart w:id="668" w:name="_Toc300835107"/>
      <w:bookmarkStart w:id="669" w:name="_Toc247514104"/>
      <w:r>
        <w:rPr>
          <w:rFonts w:hint="eastAsia" w:eastAsia="宋体" w:cs="宋体"/>
          <w:snapToGrid w:val="0"/>
        </w:rPr>
        <w:t>9.1 施工控制网</w:t>
      </w:r>
      <w:bookmarkEnd w:id="662"/>
      <w:bookmarkEnd w:id="663"/>
      <w:bookmarkEnd w:id="664"/>
      <w:bookmarkEnd w:id="665"/>
      <w:bookmarkEnd w:id="666"/>
      <w:bookmarkEnd w:id="667"/>
      <w:bookmarkEnd w:id="668"/>
      <w:bookmarkEnd w:id="669"/>
    </w:p>
    <w:p w14:paraId="399E4466">
      <w:pPr>
        <w:pStyle w:val="403"/>
        <w:spacing w:line="460" w:lineRule="exact"/>
        <w:ind w:firstLine="480" w:firstLineChars="200"/>
        <w:rPr>
          <w:rFonts w:hint="eastAsia" w:eastAsia="宋体" w:cs="宋体"/>
          <w:snapToGrid w:val="0"/>
        </w:rPr>
      </w:pPr>
      <w:r>
        <w:rPr>
          <w:rFonts w:hint="eastAsia" w:eastAsia="宋体" w:cs="宋体"/>
          <w:snapToGrid w:val="0"/>
        </w:rPr>
        <w:t>9.1.1 发包人应在专用合同条款约定的期限内，通过监理人向承包人提供测量基准点、基准线和水准点及其书面资料。除专用合同条款另有约定外，承包人应根据国家测绘基准、测绘系统和工程测量技术规范，按上述基准点（线）以及合同工程精度要求，测设施工控制网，并在专用合同条款约定的期限内，将施工控制网资料报送监理人批准。</w:t>
      </w:r>
    </w:p>
    <w:p w14:paraId="7F2D9098">
      <w:pPr>
        <w:pStyle w:val="403"/>
        <w:spacing w:line="460" w:lineRule="exact"/>
        <w:ind w:firstLine="480" w:firstLineChars="200"/>
        <w:rPr>
          <w:rFonts w:hint="eastAsia" w:eastAsia="宋体" w:cs="宋体"/>
          <w:snapToGrid w:val="0"/>
        </w:rPr>
      </w:pPr>
      <w:r>
        <w:rPr>
          <w:rFonts w:hint="eastAsia" w:eastAsia="宋体" w:cs="宋体"/>
          <w:snapToGrid w:val="0"/>
        </w:rPr>
        <w:t>9.1.2 承包人应负责管理施工控制网点。施工控制网点丢失或损坏的，承包人应及时修复。承包人应承担施工控制网点的管理与修复费用，并在工程竣工后将施工控制网点移交发包人。</w:t>
      </w:r>
    </w:p>
    <w:p w14:paraId="56A2FBBF">
      <w:pPr>
        <w:pStyle w:val="403"/>
        <w:spacing w:line="460" w:lineRule="exact"/>
        <w:ind w:firstLine="480" w:firstLineChars="200"/>
        <w:rPr>
          <w:rFonts w:hint="eastAsia" w:eastAsia="宋体" w:cs="宋体"/>
          <w:snapToGrid w:val="0"/>
        </w:rPr>
      </w:pPr>
      <w:bookmarkStart w:id="670" w:name="_Toc411736490"/>
      <w:bookmarkStart w:id="671" w:name="_Toc247514105"/>
      <w:bookmarkStart w:id="672" w:name="_Toc476860425"/>
      <w:bookmarkStart w:id="673" w:name="_Toc411736214"/>
      <w:bookmarkStart w:id="674" w:name="_Toc247527706"/>
      <w:bookmarkStart w:id="675" w:name="_Toc300835108"/>
      <w:bookmarkStart w:id="676" w:name="_Toc68594815"/>
      <w:bookmarkStart w:id="677" w:name="_Toc410559408"/>
      <w:r>
        <w:rPr>
          <w:rFonts w:hint="eastAsia" w:eastAsia="宋体" w:cs="宋体"/>
          <w:snapToGrid w:val="0"/>
        </w:rPr>
        <w:t>9.2 施工测量</w:t>
      </w:r>
      <w:bookmarkEnd w:id="670"/>
      <w:bookmarkEnd w:id="671"/>
      <w:bookmarkEnd w:id="672"/>
      <w:bookmarkEnd w:id="673"/>
      <w:bookmarkEnd w:id="674"/>
      <w:bookmarkEnd w:id="675"/>
      <w:bookmarkEnd w:id="676"/>
      <w:bookmarkEnd w:id="677"/>
    </w:p>
    <w:p w14:paraId="3657A9E0">
      <w:pPr>
        <w:pStyle w:val="403"/>
        <w:spacing w:line="460" w:lineRule="exact"/>
        <w:ind w:firstLine="480" w:firstLineChars="200"/>
        <w:rPr>
          <w:rFonts w:hint="eastAsia" w:eastAsia="宋体" w:cs="宋体"/>
          <w:snapToGrid w:val="0"/>
        </w:rPr>
      </w:pPr>
      <w:r>
        <w:rPr>
          <w:rFonts w:hint="eastAsia" w:eastAsia="宋体" w:cs="宋体"/>
          <w:snapToGrid w:val="0"/>
        </w:rPr>
        <w:t>9.2.1 承包人应负责施工过程中的全部施工测量放线工作，并配置合格的人员、仪器、设备和其他物品。</w:t>
      </w:r>
    </w:p>
    <w:p w14:paraId="25E5AB80">
      <w:pPr>
        <w:pStyle w:val="403"/>
        <w:spacing w:line="460" w:lineRule="exact"/>
        <w:ind w:firstLine="480" w:firstLineChars="200"/>
        <w:rPr>
          <w:rFonts w:hint="eastAsia" w:eastAsia="宋体" w:cs="宋体"/>
          <w:snapToGrid w:val="0"/>
        </w:rPr>
      </w:pPr>
      <w:r>
        <w:rPr>
          <w:rFonts w:hint="eastAsia" w:eastAsia="宋体" w:cs="宋体"/>
          <w:snapToGrid w:val="0"/>
        </w:rPr>
        <w:t>9.2.2 监理人可以指示承包人进行抽样复测，当复测中发现错误或出现超过合同约定的误差时，承包人应按监理人指示进行修正或补测，并承担相应的复测费用。</w:t>
      </w:r>
    </w:p>
    <w:p w14:paraId="72CA639E">
      <w:pPr>
        <w:pStyle w:val="403"/>
        <w:spacing w:line="460" w:lineRule="exact"/>
        <w:ind w:firstLine="480" w:firstLineChars="200"/>
        <w:rPr>
          <w:rFonts w:hint="eastAsia" w:eastAsia="宋体" w:cs="宋体"/>
          <w:snapToGrid w:val="0"/>
        </w:rPr>
      </w:pPr>
      <w:bookmarkStart w:id="678" w:name="_Toc247514106"/>
      <w:bookmarkStart w:id="679" w:name="_Toc411736491"/>
      <w:bookmarkStart w:id="680" w:name="_Toc300835109"/>
      <w:bookmarkStart w:id="681" w:name="_Toc411736215"/>
      <w:bookmarkStart w:id="682" w:name="_Toc247527707"/>
      <w:bookmarkStart w:id="683" w:name="_Toc68594816"/>
      <w:bookmarkStart w:id="684" w:name="_Toc410559409"/>
      <w:bookmarkStart w:id="685" w:name="_Toc476860426"/>
      <w:r>
        <w:rPr>
          <w:rFonts w:hint="eastAsia" w:eastAsia="宋体" w:cs="宋体"/>
          <w:snapToGrid w:val="0"/>
        </w:rPr>
        <w:t>9.3 基准资料错误的责任</w:t>
      </w:r>
      <w:bookmarkEnd w:id="678"/>
      <w:bookmarkEnd w:id="679"/>
      <w:bookmarkEnd w:id="680"/>
      <w:bookmarkEnd w:id="681"/>
      <w:bookmarkEnd w:id="682"/>
      <w:bookmarkEnd w:id="683"/>
      <w:bookmarkEnd w:id="684"/>
      <w:bookmarkEnd w:id="685"/>
    </w:p>
    <w:p w14:paraId="5DB5D146">
      <w:pPr>
        <w:pStyle w:val="403"/>
        <w:spacing w:line="460" w:lineRule="exact"/>
        <w:ind w:firstLine="480" w:firstLineChars="200"/>
        <w:rPr>
          <w:rFonts w:hint="eastAsia" w:eastAsia="宋体" w:cs="宋体"/>
          <w:snapToGrid w:val="0"/>
        </w:rPr>
      </w:pPr>
      <w:r>
        <w:rPr>
          <w:rFonts w:hint="eastAsia" w:eastAsia="宋体" w:cs="宋体"/>
          <w:snapToGrid w:val="0"/>
        </w:rPr>
        <w:t>发包人应对其提供的测量基准点、基准线和水准点及其书面资料的真实性、准确性和完整性负责，对其提供上述基准资料错误导致承包人损失的，发包人应当承担由此增加的费用和（或）工期延误，并向承包人支付合理利润。承包人应在设计或施工中对上述资料的准确性进行核实，发现存在明显错误或疏忽的，应及时通知监理人。</w:t>
      </w:r>
    </w:p>
    <w:p w14:paraId="0D45EB10">
      <w:pPr>
        <w:pStyle w:val="403"/>
        <w:spacing w:line="460" w:lineRule="exact"/>
        <w:ind w:firstLine="480" w:firstLineChars="200"/>
        <w:rPr>
          <w:rFonts w:hint="eastAsia" w:eastAsia="宋体" w:cs="宋体"/>
          <w:snapToGrid w:val="0"/>
        </w:rPr>
      </w:pPr>
      <w:bookmarkStart w:id="686" w:name="_Toc410559410"/>
      <w:bookmarkStart w:id="687" w:name="_Toc247514107"/>
      <w:bookmarkStart w:id="688" w:name="_Toc247527708"/>
      <w:bookmarkStart w:id="689" w:name="_Toc300835110"/>
      <w:bookmarkStart w:id="690" w:name="_Toc68594817"/>
      <w:bookmarkStart w:id="691" w:name="_Toc411736216"/>
      <w:bookmarkStart w:id="692" w:name="_Toc476860427"/>
      <w:bookmarkStart w:id="693" w:name="_Toc411736492"/>
      <w:r>
        <w:rPr>
          <w:rFonts w:hint="eastAsia" w:eastAsia="宋体" w:cs="宋体"/>
          <w:snapToGrid w:val="0"/>
        </w:rPr>
        <w:t>9.4 监理人使用施工控制网</w:t>
      </w:r>
      <w:bookmarkEnd w:id="686"/>
      <w:bookmarkEnd w:id="687"/>
      <w:bookmarkEnd w:id="688"/>
      <w:bookmarkEnd w:id="689"/>
      <w:bookmarkEnd w:id="690"/>
      <w:bookmarkEnd w:id="691"/>
      <w:bookmarkEnd w:id="692"/>
      <w:bookmarkEnd w:id="693"/>
    </w:p>
    <w:p w14:paraId="7CB2D2D9">
      <w:pPr>
        <w:pStyle w:val="403"/>
        <w:spacing w:line="460" w:lineRule="exact"/>
        <w:ind w:firstLine="480" w:firstLineChars="200"/>
        <w:rPr>
          <w:rFonts w:hint="eastAsia" w:eastAsia="宋体" w:cs="宋体"/>
          <w:snapToGrid w:val="0"/>
        </w:rPr>
      </w:pPr>
      <w:r>
        <w:rPr>
          <w:rFonts w:hint="eastAsia" w:eastAsia="宋体" w:cs="宋体"/>
          <w:snapToGrid w:val="0"/>
        </w:rPr>
        <w:t>监理人需要使用施工控制网的，承包人应提供必要的协助，发包人不再为此支付费用。</w:t>
      </w:r>
    </w:p>
    <w:p w14:paraId="12DD4316">
      <w:pPr>
        <w:pStyle w:val="5"/>
        <w:spacing w:before="360" w:after="120" w:afterLines="50" w:line="480" w:lineRule="exact"/>
        <w:rPr>
          <w:rFonts w:hint="eastAsia" w:ascii="宋体" w:hAnsi="宋体" w:eastAsia="宋体" w:cs="宋体"/>
          <w:bCs/>
          <w:sz w:val="28"/>
          <w:szCs w:val="28"/>
        </w:rPr>
      </w:pPr>
      <w:bookmarkStart w:id="694" w:name="_Toc83220600"/>
      <w:bookmarkStart w:id="695" w:name="_Toc300835111"/>
      <w:bookmarkStart w:id="696" w:name="_Toc411736493"/>
      <w:bookmarkStart w:id="697" w:name="_Toc247514108"/>
      <w:bookmarkStart w:id="698" w:name="_Toc476860428"/>
      <w:bookmarkStart w:id="699" w:name="_Toc198803796"/>
      <w:bookmarkStart w:id="700" w:name="_Toc15344"/>
      <w:bookmarkStart w:id="701" w:name="_Toc247527709"/>
      <w:bookmarkStart w:id="702" w:name="_Toc410559411"/>
      <w:bookmarkStart w:id="703" w:name="_Toc176268729"/>
      <w:bookmarkStart w:id="704" w:name="_Toc411736217"/>
      <w:bookmarkStart w:id="705" w:name="_Toc68594818"/>
      <w:bookmarkStart w:id="706" w:name="_Toc184635106"/>
      <w:r>
        <w:rPr>
          <w:rFonts w:hint="eastAsia" w:ascii="宋体" w:hAnsi="宋体" w:eastAsia="宋体" w:cs="宋体"/>
          <w:bCs/>
          <w:sz w:val="28"/>
          <w:szCs w:val="28"/>
        </w:rPr>
        <w:t>10. 安全、治安保卫和环境保护</w:t>
      </w:r>
      <w:bookmarkEnd w:id="694"/>
      <w:bookmarkEnd w:id="695"/>
      <w:bookmarkEnd w:id="696"/>
      <w:bookmarkEnd w:id="697"/>
      <w:bookmarkEnd w:id="698"/>
      <w:bookmarkEnd w:id="699"/>
      <w:bookmarkEnd w:id="700"/>
      <w:bookmarkEnd w:id="701"/>
      <w:bookmarkEnd w:id="702"/>
      <w:bookmarkEnd w:id="703"/>
      <w:bookmarkEnd w:id="704"/>
      <w:bookmarkEnd w:id="705"/>
      <w:bookmarkEnd w:id="706"/>
    </w:p>
    <w:p w14:paraId="1718973C">
      <w:pPr>
        <w:pStyle w:val="403"/>
        <w:spacing w:line="460" w:lineRule="exact"/>
        <w:ind w:firstLine="480" w:firstLineChars="200"/>
        <w:rPr>
          <w:rFonts w:hint="eastAsia" w:eastAsia="宋体" w:cs="宋体"/>
          <w:snapToGrid w:val="0"/>
        </w:rPr>
      </w:pPr>
      <w:bookmarkStart w:id="707" w:name="_Toc476860429"/>
      <w:bookmarkStart w:id="708" w:name="_Toc300835112"/>
      <w:bookmarkStart w:id="709" w:name="_Toc410559412"/>
      <w:bookmarkStart w:id="710" w:name="_Toc68594819"/>
      <w:bookmarkStart w:id="711" w:name="_Toc247514109"/>
      <w:bookmarkStart w:id="712" w:name="_Toc247527710"/>
      <w:bookmarkStart w:id="713" w:name="_Toc411736218"/>
      <w:bookmarkStart w:id="714" w:name="_Toc411736494"/>
      <w:r>
        <w:rPr>
          <w:rFonts w:hint="eastAsia" w:eastAsia="宋体" w:cs="宋体"/>
          <w:snapToGrid w:val="0"/>
        </w:rPr>
        <w:t>10.1 发包人的安全责任</w:t>
      </w:r>
      <w:bookmarkEnd w:id="707"/>
      <w:bookmarkEnd w:id="708"/>
      <w:bookmarkEnd w:id="709"/>
      <w:bookmarkEnd w:id="710"/>
      <w:bookmarkEnd w:id="711"/>
      <w:bookmarkEnd w:id="712"/>
      <w:bookmarkEnd w:id="713"/>
      <w:bookmarkEnd w:id="714"/>
    </w:p>
    <w:p w14:paraId="121D1ED2">
      <w:pPr>
        <w:pStyle w:val="403"/>
        <w:spacing w:line="460" w:lineRule="exact"/>
        <w:ind w:firstLine="480" w:firstLineChars="200"/>
        <w:rPr>
          <w:rFonts w:hint="eastAsia" w:eastAsia="宋体" w:cs="宋体"/>
          <w:snapToGrid w:val="0"/>
        </w:rPr>
      </w:pPr>
      <w:r>
        <w:rPr>
          <w:rFonts w:hint="eastAsia" w:eastAsia="宋体" w:cs="宋体"/>
          <w:snapToGrid w:val="0"/>
        </w:rPr>
        <w:t>10.1.1 发包人应按合同约定履行安全职责，授权监理人按合同约定的安全工作内容监督、检查承包人安全工作的实施，组织承包人和有关单位进行安全检查。</w:t>
      </w:r>
    </w:p>
    <w:p w14:paraId="33F2FFE9">
      <w:pPr>
        <w:pStyle w:val="403"/>
        <w:spacing w:line="460" w:lineRule="exact"/>
        <w:ind w:firstLine="480" w:firstLineChars="200"/>
        <w:rPr>
          <w:rFonts w:hint="eastAsia" w:eastAsia="宋体" w:cs="宋体"/>
          <w:snapToGrid w:val="0"/>
        </w:rPr>
      </w:pPr>
      <w:r>
        <w:rPr>
          <w:rFonts w:hint="eastAsia" w:eastAsia="宋体" w:cs="宋体"/>
          <w:snapToGrid w:val="0"/>
        </w:rPr>
        <w:t>10.1.2 发包人应对其现场机构雇佣的全部人员的工伤事故承担责任，但由于承包人原因造成发包人人员工伤的，应由承包人承担责任。</w:t>
      </w:r>
    </w:p>
    <w:p w14:paraId="6D7994B1">
      <w:pPr>
        <w:pStyle w:val="403"/>
        <w:spacing w:line="460" w:lineRule="exact"/>
        <w:ind w:firstLine="480" w:firstLineChars="200"/>
        <w:rPr>
          <w:rFonts w:hint="eastAsia" w:eastAsia="宋体" w:cs="宋体"/>
          <w:snapToGrid w:val="0"/>
        </w:rPr>
      </w:pPr>
      <w:r>
        <w:rPr>
          <w:rFonts w:hint="eastAsia" w:eastAsia="宋体" w:cs="宋体"/>
          <w:snapToGrid w:val="0"/>
        </w:rPr>
        <w:t>10.1.3 发包人应负责赔偿以下各种情况造成的第三者人身伤亡和财产损失：</w:t>
      </w:r>
    </w:p>
    <w:p w14:paraId="66284E00">
      <w:pPr>
        <w:pStyle w:val="403"/>
        <w:spacing w:line="460" w:lineRule="exact"/>
        <w:ind w:firstLine="480" w:firstLineChars="200"/>
        <w:rPr>
          <w:rFonts w:hint="eastAsia" w:eastAsia="宋体" w:cs="宋体"/>
          <w:snapToGrid w:val="0"/>
        </w:rPr>
      </w:pPr>
      <w:r>
        <w:rPr>
          <w:rFonts w:hint="eastAsia" w:eastAsia="宋体" w:cs="宋体"/>
          <w:snapToGrid w:val="0"/>
        </w:rPr>
        <w:t>（1）工程或工程的任何部分对土地的占用所造成的第三者财产损失；</w:t>
      </w:r>
    </w:p>
    <w:p w14:paraId="0FF1ACB1">
      <w:pPr>
        <w:pStyle w:val="403"/>
        <w:spacing w:line="460" w:lineRule="exact"/>
        <w:ind w:firstLine="480" w:firstLineChars="200"/>
        <w:rPr>
          <w:rFonts w:hint="eastAsia" w:eastAsia="宋体" w:cs="宋体"/>
          <w:snapToGrid w:val="0"/>
        </w:rPr>
      </w:pPr>
      <w:r>
        <w:rPr>
          <w:rFonts w:hint="eastAsia" w:eastAsia="宋体" w:cs="宋体"/>
          <w:snapToGrid w:val="0"/>
        </w:rPr>
        <w:t>（2）由于发包人原因在施工场地及其毗邻地带、履行合同工作中造成的第三者人身伤亡和财产损失。</w:t>
      </w:r>
    </w:p>
    <w:p w14:paraId="7692EBF5">
      <w:pPr>
        <w:pStyle w:val="403"/>
        <w:spacing w:line="460" w:lineRule="exact"/>
        <w:ind w:firstLine="480" w:firstLineChars="200"/>
        <w:rPr>
          <w:rFonts w:hint="eastAsia" w:eastAsia="宋体" w:cs="宋体"/>
          <w:snapToGrid w:val="0"/>
        </w:rPr>
      </w:pPr>
      <w:bookmarkStart w:id="715" w:name="_Toc410559413"/>
      <w:bookmarkStart w:id="716" w:name="_Toc68594820"/>
      <w:bookmarkStart w:id="717" w:name="_Toc476860430"/>
      <w:bookmarkStart w:id="718" w:name="_Toc300835113"/>
      <w:bookmarkStart w:id="719" w:name="_Toc411736219"/>
      <w:bookmarkStart w:id="720" w:name="_Toc247514110"/>
      <w:bookmarkStart w:id="721" w:name="_Toc411736495"/>
      <w:bookmarkStart w:id="722" w:name="_Toc247527711"/>
      <w:r>
        <w:rPr>
          <w:rFonts w:hint="eastAsia" w:eastAsia="宋体" w:cs="宋体"/>
          <w:snapToGrid w:val="0"/>
        </w:rPr>
        <w:t>10.2 承包人的安全责任</w:t>
      </w:r>
      <w:bookmarkEnd w:id="715"/>
      <w:bookmarkEnd w:id="716"/>
      <w:bookmarkEnd w:id="717"/>
      <w:bookmarkEnd w:id="718"/>
      <w:bookmarkEnd w:id="719"/>
      <w:bookmarkEnd w:id="720"/>
      <w:bookmarkEnd w:id="721"/>
      <w:bookmarkEnd w:id="722"/>
    </w:p>
    <w:p w14:paraId="3A4FE578">
      <w:pPr>
        <w:pStyle w:val="403"/>
        <w:spacing w:line="460" w:lineRule="exact"/>
        <w:ind w:firstLine="480" w:firstLineChars="200"/>
        <w:rPr>
          <w:rFonts w:hint="eastAsia" w:eastAsia="宋体" w:cs="宋体"/>
          <w:snapToGrid w:val="0"/>
        </w:rPr>
      </w:pPr>
      <w:r>
        <w:rPr>
          <w:rFonts w:hint="eastAsia" w:eastAsia="宋体" w:cs="宋体"/>
          <w:snapToGrid w:val="0"/>
        </w:rPr>
        <w:t>10.2.1 承包人应按合同约定履行安全职责，执行监理人有关安全工作的指示，并在专用合同条款约定的期限内，按合同约定的安全工作内容，编制安全措施计划报送监理人批准。</w:t>
      </w:r>
    </w:p>
    <w:p w14:paraId="644382BD">
      <w:pPr>
        <w:pStyle w:val="403"/>
        <w:spacing w:line="460" w:lineRule="exact"/>
        <w:ind w:firstLine="480" w:firstLineChars="200"/>
        <w:rPr>
          <w:rFonts w:hint="eastAsia" w:eastAsia="宋体" w:cs="宋体"/>
          <w:snapToGrid w:val="0"/>
        </w:rPr>
      </w:pPr>
      <w:r>
        <w:rPr>
          <w:rFonts w:hint="eastAsia" w:eastAsia="宋体" w:cs="宋体"/>
          <w:snapToGrid w:val="0"/>
        </w:rPr>
        <w:t>10.2.2 承包人应当按照法律、法规和工程建设强制性标准进行设计，在设计文件中注明涉及施工安全的重点部位和环节，提出保障施工作业人员和预防安全事故的措施建议，防止因设计不合理导致生产安全事故的发生。</w:t>
      </w:r>
    </w:p>
    <w:p w14:paraId="1D74BD07">
      <w:pPr>
        <w:pStyle w:val="403"/>
        <w:spacing w:line="460" w:lineRule="exact"/>
        <w:ind w:firstLine="480" w:firstLineChars="200"/>
        <w:rPr>
          <w:rFonts w:hint="eastAsia" w:eastAsia="宋体" w:cs="宋体"/>
          <w:snapToGrid w:val="0"/>
        </w:rPr>
      </w:pPr>
      <w:r>
        <w:rPr>
          <w:rFonts w:hint="eastAsia" w:eastAsia="宋体" w:cs="宋体"/>
          <w:snapToGrid w:val="0"/>
        </w:rPr>
        <w:t>10.2.3 承包人应加强施工作业安全管理，特别应加强易燃、易爆材料、火工器材、有毒与腐蚀性材料和其他危险品的管理，以及对爆破作业和地下工程施工等危险作业的管理。</w:t>
      </w:r>
    </w:p>
    <w:p w14:paraId="23FF8599">
      <w:pPr>
        <w:pStyle w:val="403"/>
        <w:spacing w:line="460" w:lineRule="exact"/>
        <w:ind w:firstLine="480" w:firstLineChars="200"/>
        <w:rPr>
          <w:rFonts w:hint="eastAsia" w:eastAsia="宋体" w:cs="宋体"/>
          <w:snapToGrid w:val="0"/>
        </w:rPr>
      </w:pPr>
      <w:r>
        <w:rPr>
          <w:rFonts w:hint="eastAsia" w:eastAsia="宋体" w:cs="宋体"/>
          <w:snapToGrid w:val="0"/>
        </w:rPr>
        <w:t>10.2.4 承包人应严格按照国家安全标准制定施工安全操作规程，配备必要的安全生产和劳动保护设施，加强对承包人人员的安全教育，并发放安全工作手册和劳动保护用具。</w:t>
      </w:r>
    </w:p>
    <w:p w14:paraId="544E34C7">
      <w:pPr>
        <w:pStyle w:val="403"/>
        <w:spacing w:line="460" w:lineRule="exact"/>
        <w:ind w:firstLine="480" w:firstLineChars="200"/>
        <w:rPr>
          <w:rFonts w:hint="eastAsia" w:eastAsia="宋体" w:cs="宋体"/>
          <w:snapToGrid w:val="0"/>
        </w:rPr>
      </w:pPr>
      <w:r>
        <w:rPr>
          <w:rFonts w:hint="eastAsia" w:eastAsia="宋体" w:cs="宋体"/>
          <w:snapToGrid w:val="0"/>
        </w:rPr>
        <w:t>10.2.5 承包人应按监理人的指示制定应对灾害的紧急预案，报送监理人批准。承包人还应按预案做好安全检查，配置必要的救助物资和器材，切实保护好有关人员的人身和财产安全。</w:t>
      </w:r>
    </w:p>
    <w:p w14:paraId="3A2C830F">
      <w:pPr>
        <w:pStyle w:val="403"/>
        <w:spacing w:line="460" w:lineRule="exact"/>
        <w:ind w:firstLine="480" w:firstLineChars="200"/>
        <w:rPr>
          <w:rFonts w:hint="eastAsia" w:eastAsia="宋体" w:cs="宋体"/>
          <w:snapToGrid w:val="0"/>
        </w:rPr>
      </w:pPr>
      <w:r>
        <w:rPr>
          <w:rFonts w:hint="eastAsia" w:eastAsia="宋体" w:cs="宋体"/>
          <w:snapToGrid w:val="0"/>
        </w:rPr>
        <w:t>10.2.6 合同约定的安全作业环境及安全施工措施所需费用应遵守有关规定，并包括在相关工作的合同价格中。因采取合同未约定的安全作业环境及安全施工措施增加的费用，由监理人按第3.5款商定或确定。</w:t>
      </w:r>
    </w:p>
    <w:p w14:paraId="4A1EFF11">
      <w:pPr>
        <w:pStyle w:val="403"/>
        <w:spacing w:line="460" w:lineRule="exact"/>
        <w:ind w:firstLine="480" w:firstLineChars="200"/>
        <w:rPr>
          <w:rFonts w:hint="eastAsia" w:eastAsia="宋体" w:cs="宋体"/>
          <w:snapToGrid w:val="0"/>
        </w:rPr>
      </w:pPr>
      <w:r>
        <w:rPr>
          <w:rFonts w:hint="eastAsia" w:eastAsia="宋体" w:cs="宋体"/>
          <w:snapToGrid w:val="0"/>
        </w:rPr>
        <w:t>10.2.7 承包人应对其履行合同所雇佣的全部人员，包括分包人人员的工伤事故承担责任，但由于发包人原因造成承包人人员工伤事故的，应由发包人承担责任。</w:t>
      </w:r>
    </w:p>
    <w:p w14:paraId="34E15B4D">
      <w:pPr>
        <w:pStyle w:val="403"/>
        <w:spacing w:line="460" w:lineRule="exact"/>
        <w:ind w:firstLine="480" w:firstLineChars="200"/>
        <w:rPr>
          <w:rFonts w:hint="eastAsia" w:eastAsia="宋体" w:cs="宋体"/>
          <w:snapToGrid w:val="0"/>
        </w:rPr>
      </w:pPr>
      <w:r>
        <w:rPr>
          <w:rFonts w:hint="eastAsia" w:eastAsia="宋体" w:cs="宋体"/>
          <w:snapToGrid w:val="0"/>
        </w:rPr>
        <w:t>10.2.8 由于承包人原因在施工场地内及其毗邻地带造成的第三者人员伤亡和财产损失，由承包人负责赔偿。</w:t>
      </w:r>
    </w:p>
    <w:p w14:paraId="35076E71">
      <w:pPr>
        <w:pStyle w:val="403"/>
        <w:spacing w:line="460" w:lineRule="exact"/>
        <w:ind w:firstLine="480" w:firstLineChars="200"/>
        <w:rPr>
          <w:rFonts w:hint="eastAsia" w:eastAsia="宋体" w:cs="宋体"/>
          <w:snapToGrid w:val="0"/>
        </w:rPr>
      </w:pPr>
      <w:r>
        <w:rPr>
          <w:rFonts w:hint="eastAsia" w:eastAsia="宋体" w:cs="宋体"/>
          <w:snapToGrid w:val="0"/>
        </w:rPr>
        <w:t>10.2.9 承包人按照合同约定需要进行勘察的，应严格执行操作规程，采取措施保证各类管线、设施和周边建筑物、构筑物的安全。</w:t>
      </w:r>
    </w:p>
    <w:p w14:paraId="5BDA5EAB">
      <w:pPr>
        <w:pStyle w:val="403"/>
        <w:spacing w:line="460" w:lineRule="exact"/>
        <w:ind w:firstLine="480" w:firstLineChars="200"/>
        <w:rPr>
          <w:rFonts w:hint="eastAsia" w:eastAsia="宋体" w:cs="宋体"/>
          <w:snapToGrid w:val="0"/>
        </w:rPr>
      </w:pPr>
      <w:bookmarkStart w:id="723" w:name="_Toc247527712"/>
      <w:bookmarkStart w:id="724" w:name="_Toc68594821"/>
      <w:bookmarkStart w:id="725" w:name="_Toc411736496"/>
      <w:bookmarkStart w:id="726" w:name="_Toc300835114"/>
      <w:bookmarkStart w:id="727" w:name="_Toc476860431"/>
      <w:bookmarkStart w:id="728" w:name="_Toc411736220"/>
      <w:bookmarkStart w:id="729" w:name="_Toc410559414"/>
      <w:bookmarkStart w:id="730" w:name="_Toc247514111"/>
      <w:r>
        <w:rPr>
          <w:rFonts w:hint="eastAsia" w:eastAsia="宋体" w:cs="宋体"/>
          <w:snapToGrid w:val="0"/>
        </w:rPr>
        <w:t>10.3 治安保卫</w:t>
      </w:r>
      <w:bookmarkEnd w:id="723"/>
      <w:bookmarkEnd w:id="724"/>
      <w:bookmarkEnd w:id="725"/>
      <w:bookmarkEnd w:id="726"/>
      <w:bookmarkEnd w:id="727"/>
      <w:bookmarkEnd w:id="728"/>
      <w:bookmarkEnd w:id="729"/>
      <w:bookmarkEnd w:id="730"/>
    </w:p>
    <w:p w14:paraId="66A7AA25">
      <w:pPr>
        <w:pStyle w:val="403"/>
        <w:spacing w:line="460" w:lineRule="exact"/>
        <w:ind w:firstLine="480" w:firstLineChars="200"/>
        <w:rPr>
          <w:rFonts w:hint="eastAsia" w:eastAsia="宋体" w:cs="宋体"/>
          <w:snapToGrid w:val="0"/>
        </w:rPr>
      </w:pPr>
      <w:r>
        <w:rPr>
          <w:rFonts w:hint="eastAsia" w:eastAsia="宋体" w:cs="宋体"/>
          <w:snapToGrid w:val="0"/>
        </w:rPr>
        <w:t>10.3.1 除合同另有约定外，承包人应与当地公安部门协商，在现场建立治安管理机构或联防组织，统一管理施工场地的治安保卫事项，履行合同工程的治安保卫职责。</w:t>
      </w:r>
    </w:p>
    <w:p w14:paraId="070FC3C9">
      <w:pPr>
        <w:pStyle w:val="403"/>
        <w:spacing w:line="460" w:lineRule="exact"/>
        <w:ind w:firstLine="480" w:firstLineChars="200"/>
        <w:rPr>
          <w:rFonts w:hint="eastAsia" w:eastAsia="宋体" w:cs="宋体"/>
          <w:snapToGrid w:val="0"/>
        </w:rPr>
      </w:pPr>
      <w:r>
        <w:rPr>
          <w:rFonts w:hint="eastAsia" w:eastAsia="宋体" w:cs="宋体"/>
          <w:snapToGrid w:val="0"/>
        </w:rPr>
        <w:t>10.3.2 发包人和承包人除应协助现场治安管理机构或联防组织维护施工场地的社会治安外，还应做好包括生活区在内的各自管辖区的治安保卫工作。</w:t>
      </w:r>
    </w:p>
    <w:p w14:paraId="2C3EE55B">
      <w:pPr>
        <w:pStyle w:val="403"/>
        <w:spacing w:line="460" w:lineRule="exact"/>
        <w:ind w:firstLine="480" w:firstLineChars="200"/>
        <w:rPr>
          <w:rFonts w:hint="eastAsia" w:eastAsia="宋体" w:cs="宋体"/>
          <w:snapToGrid w:val="0"/>
        </w:rPr>
      </w:pPr>
      <w:r>
        <w:rPr>
          <w:rFonts w:hint="eastAsia" w:eastAsia="宋体" w:cs="宋体"/>
          <w:snapToGrid w:val="0"/>
        </w:rPr>
        <w:t>10.3.3 除合同另有约定外，承包人应编制施工场地治安管理计划，并制定应对突发治安事件的紧急预案，报监理人批准。自承包人进入施工现场，至发包人接收工程的期间，施工现场发生暴乱、爆炸等恐怖事件，以及群殴、械斗等群体性突发治安事件的，发包人和承包人应立即向当地政府报告。发包人和承包人应积极协助当地有关部门采取措施平息事态，防止事态扩大，尽量减少财产损失和避免人员伤亡。</w:t>
      </w:r>
    </w:p>
    <w:p w14:paraId="11C02CB6">
      <w:pPr>
        <w:pStyle w:val="403"/>
        <w:spacing w:line="460" w:lineRule="exact"/>
        <w:ind w:firstLine="480" w:firstLineChars="200"/>
        <w:rPr>
          <w:rFonts w:hint="eastAsia" w:eastAsia="宋体" w:cs="宋体"/>
          <w:snapToGrid w:val="0"/>
        </w:rPr>
      </w:pPr>
      <w:bookmarkStart w:id="731" w:name="_Toc476860432"/>
      <w:bookmarkStart w:id="732" w:name="_Toc247514112"/>
      <w:bookmarkStart w:id="733" w:name="_Toc300835115"/>
      <w:bookmarkStart w:id="734" w:name="_Toc411736497"/>
      <w:bookmarkStart w:id="735" w:name="_Toc410559415"/>
      <w:bookmarkStart w:id="736" w:name="_Toc68594822"/>
      <w:bookmarkStart w:id="737" w:name="_Toc411736221"/>
      <w:bookmarkStart w:id="738" w:name="_Toc247527713"/>
      <w:r>
        <w:rPr>
          <w:rFonts w:hint="eastAsia" w:eastAsia="宋体" w:cs="宋体"/>
          <w:snapToGrid w:val="0"/>
        </w:rPr>
        <w:t>10.4 环境保护</w:t>
      </w:r>
      <w:bookmarkEnd w:id="731"/>
      <w:bookmarkEnd w:id="732"/>
      <w:bookmarkEnd w:id="733"/>
      <w:bookmarkEnd w:id="734"/>
      <w:bookmarkEnd w:id="735"/>
      <w:bookmarkEnd w:id="736"/>
      <w:bookmarkEnd w:id="737"/>
      <w:bookmarkEnd w:id="738"/>
    </w:p>
    <w:p w14:paraId="2B8F0E08">
      <w:pPr>
        <w:pStyle w:val="403"/>
        <w:spacing w:line="460" w:lineRule="exact"/>
        <w:ind w:firstLine="480" w:firstLineChars="200"/>
        <w:rPr>
          <w:rFonts w:hint="eastAsia" w:eastAsia="宋体" w:cs="宋体"/>
          <w:snapToGrid w:val="0"/>
        </w:rPr>
      </w:pPr>
      <w:r>
        <w:rPr>
          <w:rFonts w:hint="eastAsia" w:eastAsia="宋体" w:cs="宋体"/>
          <w:snapToGrid w:val="0"/>
        </w:rPr>
        <w:t>10.4.1 承包人在履行合同过程中，应遵守有关环境保护的法律，履行合同约定的环境保护义务，并对违反法律和合同约定义务所造成的环境破坏、人身伤害和财产损失负责。</w:t>
      </w:r>
    </w:p>
    <w:p w14:paraId="18C19766">
      <w:pPr>
        <w:pStyle w:val="403"/>
        <w:spacing w:line="460" w:lineRule="exact"/>
        <w:ind w:firstLine="480" w:firstLineChars="200"/>
        <w:rPr>
          <w:rFonts w:hint="eastAsia" w:eastAsia="宋体" w:cs="宋体"/>
          <w:snapToGrid w:val="0"/>
        </w:rPr>
      </w:pPr>
      <w:r>
        <w:rPr>
          <w:rFonts w:hint="eastAsia" w:eastAsia="宋体" w:cs="宋体"/>
          <w:snapToGrid w:val="0"/>
        </w:rPr>
        <w:t>10.4.2 承包人应按合同约定的环保工作内容，编制环保措施计划，报送监理人批准。</w:t>
      </w:r>
    </w:p>
    <w:p w14:paraId="1ED11036">
      <w:pPr>
        <w:pStyle w:val="403"/>
        <w:spacing w:line="460" w:lineRule="exact"/>
        <w:ind w:firstLine="480" w:firstLineChars="200"/>
        <w:rPr>
          <w:rFonts w:hint="eastAsia" w:eastAsia="宋体" w:cs="宋体"/>
          <w:snapToGrid w:val="0"/>
        </w:rPr>
      </w:pPr>
      <w:r>
        <w:rPr>
          <w:rFonts w:hint="eastAsia" w:eastAsia="宋体" w:cs="宋体"/>
          <w:snapToGrid w:val="0"/>
        </w:rPr>
        <w:t>10.4.3 承包人应确保施工过程中产生的气体排放物、粉尘、噪声、地面排水及排污等，符合法律规定和发包人要求。</w:t>
      </w:r>
    </w:p>
    <w:p w14:paraId="1AA6D660">
      <w:pPr>
        <w:pStyle w:val="403"/>
        <w:spacing w:line="460" w:lineRule="exact"/>
        <w:ind w:firstLine="480" w:firstLineChars="200"/>
        <w:rPr>
          <w:rFonts w:hint="eastAsia" w:eastAsia="宋体" w:cs="宋体"/>
          <w:snapToGrid w:val="0"/>
        </w:rPr>
      </w:pPr>
      <w:bookmarkStart w:id="739" w:name="_Toc300835116"/>
      <w:bookmarkStart w:id="740" w:name="_Toc247527714"/>
      <w:bookmarkStart w:id="741" w:name="_Toc68594823"/>
      <w:bookmarkStart w:id="742" w:name="_Toc410559416"/>
      <w:bookmarkStart w:id="743" w:name="_Toc411736498"/>
      <w:bookmarkStart w:id="744" w:name="_Toc411736222"/>
      <w:bookmarkStart w:id="745" w:name="_Toc476860433"/>
      <w:bookmarkStart w:id="746" w:name="_Toc247514113"/>
      <w:r>
        <w:rPr>
          <w:rFonts w:hint="eastAsia" w:eastAsia="宋体" w:cs="宋体"/>
          <w:snapToGrid w:val="0"/>
        </w:rPr>
        <w:t>10.5 事故处理</w:t>
      </w:r>
      <w:bookmarkEnd w:id="739"/>
      <w:bookmarkEnd w:id="740"/>
      <w:bookmarkEnd w:id="741"/>
      <w:bookmarkEnd w:id="742"/>
      <w:bookmarkEnd w:id="743"/>
      <w:bookmarkEnd w:id="744"/>
      <w:bookmarkEnd w:id="745"/>
      <w:bookmarkEnd w:id="746"/>
    </w:p>
    <w:p w14:paraId="08052D08">
      <w:pPr>
        <w:pStyle w:val="403"/>
        <w:spacing w:line="460" w:lineRule="exact"/>
        <w:ind w:firstLine="480" w:firstLineChars="200"/>
        <w:rPr>
          <w:rFonts w:hint="eastAsia" w:eastAsia="宋体" w:cs="宋体"/>
          <w:snapToGrid w:val="0"/>
        </w:rPr>
      </w:pPr>
      <w:r>
        <w:rPr>
          <w:rFonts w:hint="eastAsia" w:eastAsia="宋体" w:cs="宋体"/>
          <w:snapToGrid w:val="0"/>
        </w:rPr>
        <w:t>合同履行过程中发生事故的，承包人应立即通知监理人，监理人应立即通知发包人。发包人和承包人应立即组织人员和设备进行紧急抢救和抢修，减少人员伤亡和财产损失，防止事故扩大，并保护事故现场。需要移动现场物品时，应作出标记和书面记录，妥善保管有关证据。发包人和承包人应按国家有关规定，及时如实地向有关部门报告事故发生的情况，以及正在采取的紧急措施等。</w:t>
      </w:r>
    </w:p>
    <w:p w14:paraId="41CC6589">
      <w:pPr>
        <w:pStyle w:val="5"/>
        <w:spacing w:before="360" w:after="120" w:afterLines="50" w:line="480" w:lineRule="exact"/>
        <w:rPr>
          <w:rFonts w:hint="eastAsia" w:ascii="宋体" w:hAnsi="宋体" w:eastAsia="宋体" w:cs="宋体"/>
          <w:bCs/>
          <w:sz w:val="28"/>
          <w:szCs w:val="28"/>
        </w:rPr>
      </w:pPr>
      <w:bookmarkStart w:id="747" w:name="_Toc247527715"/>
      <w:bookmarkStart w:id="748" w:name="_Toc184635108"/>
      <w:bookmarkStart w:id="749" w:name="_Toc4494"/>
      <w:bookmarkStart w:id="750" w:name="_Toc410559417"/>
      <w:bookmarkStart w:id="751" w:name="_Toc68594824"/>
      <w:bookmarkStart w:id="752" w:name="_Toc176268730"/>
      <w:bookmarkStart w:id="753" w:name="_Toc411736223"/>
      <w:bookmarkStart w:id="754" w:name="_Toc198803797"/>
      <w:bookmarkStart w:id="755" w:name="_Toc83220601"/>
      <w:bookmarkStart w:id="756" w:name="_Toc476860434"/>
      <w:bookmarkStart w:id="757" w:name="_Toc247514114"/>
      <w:bookmarkStart w:id="758" w:name="_Toc300835117"/>
      <w:bookmarkStart w:id="759" w:name="_Toc411736499"/>
      <w:r>
        <w:rPr>
          <w:rFonts w:hint="eastAsia" w:ascii="宋体" w:hAnsi="宋体" w:eastAsia="宋体" w:cs="宋体"/>
          <w:bCs/>
          <w:sz w:val="28"/>
          <w:szCs w:val="28"/>
        </w:rPr>
        <w:t>11. 开始工作和竣工</w:t>
      </w:r>
      <w:bookmarkEnd w:id="747"/>
      <w:bookmarkEnd w:id="748"/>
      <w:bookmarkEnd w:id="749"/>
      <w:bookmarkEnd w:id="750"/>
      <w:bookmarkEnd w:id="751"/>
      <w:bookmarkEnd w:id="752"/>
      <w:bookmarkEnd w:id="753"/>
      <w:bookmarkEnd w:id="754"/>
      <w:bookmarkEnd w:id="755"/>
      <w:bookmarkEnd w:id="756"/>
      <w:bookmarkEnd w:id="757"/>
      <w:bookmarkEnd w:id="758"/>
      <w:bookmarkEnd w:id="759"/>
    </w:p>
    <w:p w14:paraId="2C98C230">
      <w:pPr>
        <w:pStyle w:val="403"/>
        <w:spacing w:line="460" w:lineRule="exact"/>
        <w:ind w:firstLine="480" w:firstLineChars="200"/>
        <w:rPr>
          <w:rFonts w:hint="eastAsia" w:eastAsia="宋体" w:cs="宋体"/>
          <w:snapToGrid w:val="0"/>
        </w:rPr>
      </w:pPr>
      <w:bookmarkStart w:id="760" w:name="_Toc247514115"/>
      <w:bookmarkStart w:id="761" w:name="_Toc411736224"/>
      <w:bookmarkStart w:id="762" w:name="_Toc476860435"/>
      <w:bookmarkStart w:id="763" w:name="_Toc410559418"/>
      <w:bookmarkStart w:id="764" w:name="_Toc247527716"/>
      <w:bookmarkStart w:id="765" w:name="_Toc411736500"/>
      <w:bookmarkStart w:id="766" w:name="_Toc68594825"/>
      <w:bookmarkStart w:id="767" w:name="_Toc300835118"/>
      <w:r>
        <w:rPr>
          <w:rFonts w:hint="eastAsia" w:eastAsia="宋体" w:cs="宋体"/>
          <w:snapToGrid w:val="0"/>
        </w:rPr>
        <w:t>11.1 开始工作</w:t>
      </w:r>
      <w:bookmarkEnd w:id="760"/>
      <w:bookmarkEnd w:id="761"/>
      <w:bookmarkEnd w:id="762"/>
      <w:bookmarkEnd w:id="763"/>
      <w:bookmarkEnd w:id="764"/>
      <w:bookmarkEnd w:id="765"/>
      <w:bookmarkEnd w:id="766"/>
      <w:bookmarkEnd w:id="767"/>
    </w:p>
    <w:p w14:paraId="0F30F3D6">
      <w:pPr>
        <w:pStyle w:val="403"/>
        <w:spacing w:line="460" w:lineRule="exact"/>
        <w:ind w:firstLine="480" w:firstLineChars="200"/>
        <w:rPr>
          <w:rFonts w:hint="eastAsia" w:eastAsia="宋体" w:cs="宋体"/>
          <w:snapToGrid w:val="0"/>
        </w:rPr>
      </w:pPr>
      <w:r>
        <w:rPr>
          <w:rFonts w:hint="eastAsia" w:eastAsia="宋体" w:cs="宋体"/>
          <w:snapToGrid w:val="0"/>
        </w:rPr>
        <w:t>符合专用合同条款约定的开始工作的条件的，监理人应提前7天向承包人发出开始工作通知。监理人在发出开始工作通知前应获得发包人同意。工期自开始工作通知中载明的开始工作日期起计算。除专用合同条款另有约定外，因发包人原因造成监理人未能在合同签订之日起90天内发出开始工作通知的，承包人有权提出价格调整要求，或者解除合同。发包人应当承担由此增加的费用和（或）工期延误，并向承包人支付合理利润。</w:t>
      </w:r>
    </w:p>
    <w:p w14:paraId="16799CEB">
      <w:pPr>
        <w:pStyle w:val="403"/>
        <w:spacing w:line="460" w:lineRule="exact"/>
        <w:ind w:firstLine="480" w:firstLineChars="200"/>
        <w:rPr>
          <w:rFonts w:hint="eastAsia" w:eastAsia="宋体" w:cs="宋体"/>
          <w:snapToGrid w:val="0"/>
        </w:rPr>
      </w:pPr>
      <w:bookmarkStart w:id="768" w:name="_Toc247514116"/>
      <w:bookmarkStart w:id="769" w:name="_Toc247527717"/>
      <w:bookmarkStart w:id="770" w:name="_Toc411736501"/>
      <w:bookmarkStart w:id="771" w:name="_Toc300835119"/>
      <w:bookmarkStart w:id="772" w:name="_Toc68594826"/>
      <w:bookmarkStart w:id="773" w:name="_Toc410559419"/>
      <w:bookmarkStart w:id="774" w:name="_Toc411736225"/>
      <w:bookmarkStart w:id="775" w:name="_Toc476860436"/>
      <w:r>
        <w:rPr>
          <w:rFonts w:hint="eastAsia" w:eastAsia="宋体" w:cs="宋体"/>
          <w:snapToGrid w:val="0"/>
        </w:rPr>
        <w:t>11.2 竣工</w:t>
      </w:r>
      <w:bookmarkEnd w:id="768"/>
      <w:bookmarkEnd w:id="769"/>
      <w:bookmarkEnd w:id="770"/>
      <w:bookmarkEnd w:id="771"/>
      <w:bookmarkEnd w:id="772"/>
      <w:bookmarkEnd w:id="773"/>
      <w:bookmarkEnd w:id="774"/>
      <w:bookmarkEnd w:id="775"/>
    </w:p>
    <w:p w14:paraId="7C937BBF">
      <w:pPr>
        <w:pStyle w:val="403"/>
        <w:spacing w:line="460" w:lineRule="exact"/>
        <w:ind w:firstLine="480" w:firstLineChars="200"/>
        <w:rPr>
          <w:rFonts w:hint="eastAsia" w:eastAsia="宋体" w:cs="宋体"/>
          <w:snapToGrid w:val="0"/>
        </w:rPr>
      </w:pPr>
      <w:r>
        <w:rPr>
          <w:rFonts w:hint="eastAsia" w:eastAsia="宋体" w:cs="宋体"/>
          <w:snapToGrid w:val="0"/>
        </w:rPr>
        <w:t>承包人应在第1.1.4.3 目约定的期限内完成合同工作。实际竣工日期按第18.3款约定确定，并在工程接收证书中载明。</w:t>
      </w:r>
    </w:p>
    <w:p w14:paraId="7DEB8687">
      <w:pPr>
        <w:pStyle w:val="403"/>
        <w:spacing w:line="460" w:lineRule="exact"/>
        <w:ind w:firstLine="480" w:firstLineChars="200"/>
        <w:rPr>
          <w:rFonts w:hint="eastAsia" w:eastAsia="宋体" w:cs="宋体"/>
          <w:snapToGrid w:val="0"/>
        </w:rPr>
      </w:pPr>
      <w:bookmarkStart w:id="776" w:name="_Toc300835120"/>
      <w:bookmarkStart w:id="777" w:name="_Toc476860437"/>
      <w:bookmarkStart w:id="778" w:name="_Toc247527718"/>
      <w:bookmarkStart w:id="779" w:name="_Toc68594827"/>
      <w:bookmarkStart w:id="780" w:name="_Toc410559420"/>
      <w:bookmarkStart w:id="781" w:name="_Toc411736502"/>
      <w:bookmarkStart w:id="782" w:name="_Toc247514117"/>
      <w:bookmarkStart w:id="783" w:name="_Toc411736226"/>
      <w:r>
        <w:rPr>
          <w:rFonts w:hint="eastAsia" w:eastAsia="宋体" w:cs="宋体"/>
          <w:snapToGrid w:val="0"/>
        </w:rPr>
        <w:t>11.3 发包人引起的工期延误</w:t>
      </w:r>
      <w:bookmarkEnd w:id="776"/>
      <w:bookmarkEnd w:id="777"/>
      <w:bookmarkEnd w:id="778"/>
      <w:bookmarkEnd w:id="779"/>
      <w:bookmarkEnd w:id="780"/>
      <w:bookmarkEnd w:id="781"/>
      <w:bookmarkEnd w:id="782"/>
      <w:bookmarkEnd w:id="783"/>
    </w:p>
    <w:p w14:paraId="7DCA6EDB">
      <w:pPr>
        <w:pStyle w:val="403"/>
        <w:spacing w:line="460" w:lineRule="exact"/>
        <w:ind w:firstLine="480" w:firstLineChars="200"/>
        <w:rPr>
          <w:rFonts w:hint="eastAsia" w:eastAsia="宋体" w:cs="宋体"/>
          <w:snapToGrid w:val="0"/>
        </w:rPr>
      </w:pPr>
      <w:r>
        <w:rPr>
          <w:rFonts w:hint="eastAsia" w:eastAsia="宋体" w:cs="宋体"/>
          <w:snapToGrid w:val="0"/>
        </w:rPr>
        <w:t>在履行合同过程中，由于发包人的下列原因造成工期延误的，承包人有权要求发包人延长工期和（或）增加费用，并支付合理利润。需要修订合同进度计划的，按照第4.12.2项的约定执行。</w:t>
      </w:r>
    </w:p>
    <w:p w14:paraId="5142C387">
      <w:pPr>
        <w:pStyle w:val="403"/>
        <w:spacing w:line="460" w:lineRule="exact"/>
        <w:ind w:firstLine="480" w:firstLineChars="200"/>
        <w:rPr>
          <w:rFonts w:hint="eastAsia" w:eastAsia="宋体" w:cs="宋体"/>
          <w:snapToGrid w:val="0"/>
        </w:rPr>
      </w:pPr>
      <w:r>
        <w:rPr>
          <w:rFonts w:hint="eastAsia" w:eastAsia="宋体" w:cs="宋体"/>
          <w:snapToGrid w:val="0"/>
        </w:rPr>
        <w:t>（l）变更；</w:t>
      </w:r>
    </w:p>
    <w:p w14:paraId="1740B432">
      <w:pPr>
        <w:pStyle w:val="403"/>
        <w:spacing w:line="460" w:lineRule="exact"/>
        <w:ind w:firstLine="480" w:firstLineChars="200"/>
        <w:rPr>
          <w:rFonts w:hint="eastAsia" w:eastAsia="宋体" w:cs="宋体"/>
          <w:snapToGrid w:val="0"/>
        </w:rPr>
      </w:pPr>
      <w:r>
        <w:rPr>
          <w:rFonts w:hint="eastAsia" w:eastAsia="宋体" w:cs="宋体"/>
          <w:snapToGrid w:val="0"/>
        </w:rPr>
        <w:t>（2）未能按照合同要求的期限对承包人文件进行审查；</w:t>
      </w:r>
    </w:p>
    <w:p w14:paraId="23F97F99">
      <w:pPr>
        <w:pStyle w:val="403"/>
        <w:spacing w:line="460" w:lineRule="exact"/>
        <w:ind w:firstLine="480" w:firstLineChars="200"/>
        <w:rPr>
          <w:rFonts w:hint="eastAsia" w:eastAsia="宋体" w:cs="宋体"/>
          <w:snapToGrid w:val="0"/>
        </w:rPr>
      </w:pPr>
      <w:r>
        <w:rPr>
          <w:rFonts w:hint="eastAsia" w:eastAsia="宋体" w:cs="宋体"/>
          <w:snapToGrid w:val="0"/>
        </w:rPr>
        <w:t xml:space="preserve">（3）因发包人原因导致的暂停施工； </w:t>
      </w:r>
    </w:p>
    <w:p w14:paraId="760734B0">
      <w:pPr>
        <w:pStyle w:val="403"/>
        <w:spacing w:line="460" w:lineRule="exact"/>
        <w:ind w:firstLine="480" w:firstLineChars="200"/>
        <w:rPr>
          <w:rFonts w:hint="eastAsia" w:eastAsia="宋体" w:cs="宋体"/>
          <w:snapToGrid w:val="0"/>
        </w:rPr>
      </w:pPr>
      <w:r>
        <w:rPr>
          <w:rFonts w:hint="eastAsia" w:eastAsia="宋体" w:cs="宋体"/>
          <w:snapToGrid w:val="0"/>
        </w:rPr>
        <w:t>（4）未按合同约定及时支付预付款、进度款；</w:t>
      </w:r>
    </w:p>
    <w:p w14:paraId="459E6B32">
      <w:pPr>
        <w:pStyle w:val="403"/>
        <w:spacing w:line="460" w:lineRule="exact"/>
        <w:ind w:firstLine="480" w:firstLineChars="200"/>
        <w:rPr>
          <w:rFonts w:hint="eastAsia" w:eastAsia="宋体" w:cs="宋体"/>
          <w:snapToGrid w:val="0"/>
        </w:rPr>
      </w:pPr>
      <w:r>
        <w:rPr>
          <w:rFonts w:hint="eastAsia" w:eastAsia="宋体" w:cs="宋体"/>
          <w:snapToGrid w:val="0"/>
        </w:rPr>
        <w:t>（5）发包人按第9.3款提供的基准资料错误；</w:t>
      </w:r>
    </w:p>
    <w:p w14:paraId="119AFF0B">
      <w:pPr>
        <w:pStyle w:val="403"/>
        <w:spacing w:line="460" w:lineRule="exact"/>
        <w:ind w:firstLine="480" w:firstLineChars="200"/>
        <w:rPr>
          <w:rFonts w:hint="eastAsia" w:eastAsia="宋体" w:cs="宋体"/>
          <w:snapToGrid w:val="0"/>
        </w:rPr>
      </w:pPr>
      <w:r>
        <w:rPr>
          <w:rFonts w:hint="eastAsia" w:eastAsia="宋体" w:cs="宋体"/>
          <w:snapToGrid w:val="0"/>
        </w:rPr>
        <w:t>（6）发包人按第6.2款迟延提供材料、工程设备或变更交货地点的；</w:t>
      </w:r>
    </w:p>
    <w:p w14:paraId="2377AEF9">
      <w:pPr>
        <w:pStyle w:val="403"/>
        <w:spacing w:line="460" w:lineRule="exact"/>
        <w:ind w:firstLine="480" w:firstLineChars="200"/>
        <w:rPr>
          <w:rFonts w:hint="eastAsia" w:eastAsia="宋体" w:cs="宋体"/>
          <w:snapToGrid w:val="0"/>
        </w:rPr>
      </w:pPr>
      <w:r>
        <w:rPr>
          <w:rFonts w:hint="eastAsia" w:eastAsia="宋体" w:cs="宋体"/>
          <w:snapToGrid w:val="0"/>
        </w:rPr>
        <w:t>（7）发包人未及时按照“发包人要求”履行相关义务；</w:t>
      </w:r>
    </w:p>
    <w:p w14:paraId="1F3EABA7">
      <w:pPr>
        <w:pStyle w:val="403"/>
        <w:spacing w:line="460" w:lineRule="exact"/>
        <w:ind w:firstLine="480" w:firstLineChars="200"/>
        <w:rPr>
          <w:rFonts w:hint="eastAsia" w:eastAsia="宋体" w:cs="宋体"/>
          <w:snapToGrid w:val="0"/>
        </w:rPr>
      </w:pPr>
      <w:r>
        <w:rPr>
          <w:rFonts w:hint="eastAsia" w:eastAsia="宋体" w:cs="宋体"/>
          <w:snapToGrid w:val="0"/>
        </w:rPr>
        <w:t>（8）发包人造成工期延误的其他原因。</w:t>
      </w:r>
    </w:p>
    <w:p w14:paraId="075E0ABD">
      <w:pPr>
        <w:pStyle w:val="403"/>
        <w:spacing w:line="460" w:lineRule="exact"/>
        <w:ind w:firstLine="480" w:firstLineChars="200"/>
        <w:rPr>
          <w:rFonts w:hint="eastAsia" w:eastAsia="宋体" w:cs="宋体"/>
          <w:snapToGrid w:val="0"/>
        </w:rPr>
      </w:pPr>
      <w:bookmarkStart w:id="784" w:name="_Toc300835121"/>
      <w:bookmarkStart w:id="785" w:name="_Toc410559421"/>
      <w:bookmarkStart w:id="786" w:name="_Toc476860438"/>
      <w:bookmarkStart w:id="787" w:name="_Toc411736227"/>
      <w:bookmarkStart w:id="788" w:name="_Toc247527719"/>
      <w:bookmarkStart w:id="789" w:name="_Toc68594828"/>
      <w:bookmarkStart w:id="790" w:name="_Toc247514118"/>
      <w:bookmarkStart w:id="791" w:name="_Toc411736503"/>
      <w:r>
        <w:rPr>
          <w:rFonts w:hint="eastAsia" w:eastAsia="宋体" w:cs="宋体"/>
          <w:snapToGrid w:val="0"/>
        </w:rPr>
        <w:t>11.4 异常恶劣的气候条件</w:t>
      </w:r>
      <w:bookmarkEnd w:id="784"/>
      <w:bookmarkEnd w:id="785"/>
      <w:bookmarkEnd w:id="786"/>
      <w:bookmarkEnd w:id="787"/>
      <w:bookmarkEnd w:id="788"/>
      <w:bookmarkEnd w:id="789"/>
      <w:bookmarkEnd w:id="790"/>
      <w:bookmarkEnd w:id="791"/>
    </w:p>
    <w:p w14:paraId="0E52E175">
      <w:pPr>
        <w:pStyle w:val="403"/>
        <w:spacing w:line="460" w:lineRule="exact"/>
        <w:ind w:firstLine="480" w:firstLineChars="200"/>
        <w:rPr>
          <w:rFonts w:hint="eastAsia" w:eastAsia="宋体" w:cs="宋体"/>
          <w:snapToGrid w:val="0"/>
        </w:rPr>
      </w:pPr>
      <w:r>
        <w:rPr>
          <w:rFonts w:hint="eastAsia" w:eastAsia="宋体" w:cs="宋体"/>
          <w:snapToGrid w:val="0"/>
        </w:rPr>
        <w:t>由于出现专用合同条款规定的异常恶劣气候的条件导致工期延误的，承包人有权要求发包人延长工期和（或）增加费用。</w:t>
      </w:r>
    </w:p>
    <w:p w14:paraId="5A149458">
      <w:pPr>
        <w:pStyle w:val="403"/>
        <w:spacing w:line="460" w:lineRule="exact"/>
        <w:ind w:firstLine="480" w:firstLineChars="200"/>
        <w:rPr>
          <w:rFonts w:hint="eastAsia" w:eastAsia="宋体" w:cs="宋体"/>
          <w:snapToGrid w:val="0"/>
        </w:rPr>
      </w:pPr>
      <w:bookmarkStart w:id="792" w:name="_Toc300835122"/>
      <w:bookmarkStart w:id="793" w:name="_Toc476860439"/>
      <w:bookmarkStart w:id="794" w:name="_Toc410559422"/>
      <w:bookmarkStart w:id="795" w:name="_Toc247527720"/>
      <w:bookmarkStart w:id="796" w:name="_Toc68594829"/>
      <w:bookmarkStart w:id="797" w:name="_Toc247514119"/>
      <w:bookmarkStart w:id="798" w:name="_Toc411736228"/>
      <w:bookmarkStart w:id="799" w:name="_Toc411736504"/>
      <w:r>
        <w:rPr>
          <w:rFonts w:hint="eastAsia" w:eastAsia="宋体" w:cs="宋体"/>
          <w:snapToGrid w:val="0"/>
        </w:rPr>
        <w:t>11.5 承包人引起的工期延误</w:t>
      </w:r>
      <w:bookmarkEnd w:id="792"/>
      <w:bookmarkEnd w:id="793"/>
      <w:bookmarkEnd w:id="794"/>
      <w:bookmarkEnd w:id="795"/>
      <w:bookmarkEnd w:id="796"/>
      <w:bookmarkEnd w:id="797"/>
      <w:bookmarkEnd w:id="798"/>
      <w:bookmarkEnd w:id="799"/>
    </w:p>
    <w:p w14:paraId="0A8177E9">
      <w:pPr>
        <w:pStyle w:val="403"/>
        <w:spacing w:line="460" w:lineRule="exact"/>
        <w:ind w:firstLine="480" w:firstLineChars="200"/>
        <w:rPr>
          <w:rFonts w:hint="eastAsia" w:eastAsia="宋体" w:cs="宋体"/>
          <w:snapToGrid w:val="0"/>
        </w:rPr>
      </w:pPr>
      <w:r>
        <w:rPr>
          <w:rFonts w:hint="eastAsia" w:eastAsia="宋体" w:cs="宋体"/>
          <w:snapToGrid w:val="0"/>
        </w:rPr>
        <w:t>由于承包人原因，未能按合同进度计划完成工作，或监理人认为承包人工作进度不能满足合同工期要求的，承包人应采取措施加快进度，并承担加快进度所增加的费用。由于承包人原因造成工期延误，承包人应支付逾期竣工违约金。逾期竣工违约金的计算方法和最高限额在专用合同条款中约定。承包人支付逾期竣工违约金，不免除承包人完成工作及修补缺陷的义务。</w:t>
      </w:r>
    </w:p>
    <w:p w14:paraId="2D793D97">
      <w:pPr>
        <w:pStyle w:val="403"/>
        <w:spacing w:line="460" w:lineRule="exact"/>
        <w:ind w:firstLine="480" w:firstLineChars="200"/>
        <w:rPr>
          <w:rFonts w:hint="eastAsia" w:eastAsia="宋体" w:cs="宋体"/>
          <w:snapToGrid w:val="0"/>
        </w:rPr>
      </w:pPr>
      <w:bookmarkStart w:id="800" w:name="_Toc410559423"/>
      <w:bookmarkStart w:id="801" w:name="_Toc247527721"/>
      <w:bookmarkStart w:id="802" w:name="_Toc411736505"/>
      <w:bookmarkStart w:id="803" w:name="_Toc68594830"/>
      <w:bookmarkStart w:id="804" w:name="_Toc476860440"/>
      <w:bookmarkStart w:id="805" w:name="_Toc411736229"/>
      <w:bookmarkStart w:id="806" w:name="_Toc247514120"/>
      <w:bookmarkStart w:id="807" w:name="_Toc300835123"/>
      <w:r>
        <w:rPr>
          <w:rFonts w:hint="eastAsia" w:eastAsia="宋体" w:cs="宋体"/>
          <w:snapToGrid w:val="0"/>
        </w:rPr>
        <w:t>11.6 工期提前</w:t>
      </w:r>
      <w:bookmarkEnd w:id="800"/>
      <w:bookmarkEnd w:id="801"/>
      <w:bookmarkEnd w:id="802"/>
      <w:bookmarkEnd w:id="803"/>
      <w:bookmarkEnd w:id="804"/>
      <w:bookmarkEnd w:id="805"/>
      <w:bookmarkEnd w:id="806"/>
      <w:bookmarkEnd w:id="807"/>
    </w:p>
    <w:p w14:paraId="348D27E4">
      <w:pPr>
        <w:pStyle w:val="403"/>
        <w:spacing w:line="460" w:lineRule="exact"/>
        <w:ind w:firstLine="480" w:firstLineChars="200"/>
        <w:rPr>
          <w:rFonts w:hint="eastAsia" w:eastAsia="宋体" w:cs="宋体"/>
          <w:snapToGrid w:val="0"/>
        </w:rPr>
      </w:pPr>
      <w:r>
        <w:rPr>
          <w:rFonts w:hint="eastAsia" w:eastAsia="宋体" w:cs="宋体"/>
          <w:snapToGrid w:val="0"/>
        </w:rPr>
        <w:t>发包人要求承包人提前竣工，或承包人提出提前竣工的建议能够给发包人带来效益的，应由监理人与承包人共同协商采取加快工程进度的措施和修订合同进度计划。发包人应承担承包人由此增加的费用，并向承包人支付专用合同条款约定的相应奖金。</w:t>
      </w:r>
    </w:p>
    <w:p w14:paraId="121525F2">
      <w:pPr>
        <w:pStyle w:val="403"/>
        <w:spacing w:line="460" w:lineRule="exact"/>
        <w:ind w:firstLine="480" w:firstLineChars="200"/>
        <w:rPr>
          <w:rFonts w:hint="eastAsia" w:eastAsia="宋体" w:cs="宋体"/>
          <w:snapToGrid w:val="0"/>
        </w:rPr>
      </w:pPr>
      <w:bookmarkStart w:id="808" w:name="_Toc476860441"/>
      <w:bookmarkStart w:id="809" w:name="_Toc68594831"/>
      <w:bookmarkStart w:id="810" w:name="_Toc411736506"/>
      <w:bookmarkStart w:id="811" w:name="_Toc300835124"/>
      <w:bookmarkStart w:id="812" w:name="_Toc410559424"/>
      <w:bookmarkStart w:id="813" w:name="_Toc411736230"/>
      <w:r>
        <w:rPr>
          <w:rFonts w:hint="eastAsia" w:eastAsia="宋体" w:cs="宋体"/>
          <w:snapToGrid w:val="0"/>
        </w:rPr>
        <w:t>11.7 行政审批迟延</w:t>
      </w:r>
      <w:bookmarkEnd w:id="808"/>
      <w:bookmarkEnd w:id="809"/>
      <w:bookmarkEnd w:id="810"/>
      <w:bookmarkEnd w:id="811"/>
      <w:bookmarkEnd w:id="812"/>
      <w:bookmarkEnd w:id="813"/>
    </w:p>
    <w:p w14:paraId="640BBC37">
      <w:pPr>
        <w:pStyle w:val="403"/>
        <w:spacing w:line="460" w:lineRule="exact"/>
        <w:ind w:firstLine="480" w:firstLineChars="200"/>
        <w:rPr>
          <w:rFonts w:hint="eastAsia" w:eastAsia="宋体" w:cs="宋体"/>
          <w:snapToGrid w:val="0"/>
        </w:rPr>
      </w:pPr>
      <w:r>
        <w:rPr>
          <w:rFonts w:hint="eastAsia" w:eastAsia="宋体" w:cs="宋体"/>
          <w:snapToGrid w:val="0"/>
        </w:rPr>
        <w:t>合同约定范围内的工作需国家有关部门审批的，发包人和（或）承包人应按照合同约定的职责分工完成行政审批报送。因国家有关部门审批迟延造成费用增加和（或）工期延误的，由发包人承担。</w:t>
      </w:r>
    </w:p>
    <w:p w14:paraId="024C92E7">
      <w:pPr>
        <w:pStyle w:val="5"/>
        <w:spacing w:before="360" w:after="120" w:afterLines="50" w:line="480" w:lineRule="exact"/>
        <w:rPr>
          <w:rFonts w:hint="eastAsia" w:ascii="宋体" w:hAnsi="宋体" w:eastAsia="宋体" w:cs="宋体"/>
          <w:bCs/>
          <w:sz w:val="28"/>
          <w:szCs w:val="28"/>
        </w:rPr>
      </w:pPr>
      <w:bookmarkStart w:id="814" w:name="_Toc83220602"/>
      <w:bookmarkStart w:id="815" w:name="_Toc198803798"/>
      <w:bookmarkStart w:id="816" w:name="_Toc184635109"/>
      <w:bookmarkStart w:id="817" w:name="_Toc411736231"/>
      <w:bookmarkStart w:id="818" w:name="_Toc247514121"/>
      <w:bookmarkStart w:id="819" w:name="_Toc300835125"/>
      <w:bookmarkStart w:id="820" w:name="_Toc176268731"/>
      <w:bookmarkStart w:id="821" w:name="_Toc476860442"/>
      <w:bookmarkStart w:id="822" w:name="_Toc411736507"/>
      <w:bookmarkStart w:id="823" w:name="_Toc247527722"/>
      <w:bookmarkStart w:id="824" w:name="_Toc68594832"/>
      <w:bookmarkStart w:id="825" w:name="_Toc410559425"/>
      <w:bookmarkStart w:id="826" w:name="_Toc19929"/>
      <w:r>
        <w:rPr>
          <w:rFonts w:hint="eastAsia" w:ascii="宋体" w:hAnsi="宋体" w:eastAsia="宋体" w:cs="宋体"/>
          <w:bCs/>
          <w:sz w:val="28"/>
          <w:szCs w:val="28"/>
        </w:rPr>
        <w:t>12. 暂停工作</w:t>
      </w:r>
      <w:bookmarkEnd w:id="814"/>
      <w:bookmarkEnd w:id="815"/>
      <w:bookmarkEnd w:id="816"/>
      <w:bookmarkEnd w:id="817"/>
      <w:bookmarkEnd w:id="818"/>
      <w:bookmarkEnd w:id="819"/>
      <w:bookmarkEnd w:id="820"/>
      <w:bookmarkEnd w:id="821"/>
      <w:bookmarkEnd w:id="822"/>
      <w:bookmarkEnd w:id="823"/>
      <w:bookmarkEnd w:id="824"/>
      <w:bookmarkEnd w:id="825"/>
      <w:bookmarkEnd w:id="826"/>
    </w:p>
    <w:p w14:paraId="2ED9FB52">
      <w:pPr>
        <w:pStyle w:val="403"/>
        <w:spacing w:line="460" w:lineRule="exact"/>
        <w:ind w:firstLine="480" w:firstLineChars="200"/>
        <w:rPr>
          <w:rFonts w:hint="eastAsia" w:eastAsia="宋体" w:cs="宋体"/>
          <w:snapToGrid w:val="0"/>
        </w:rPr>
      </w:pPr>
      <w:bookmarkStart w:id="827" w:name="_Toc411736508"/>
      <w:bookmarkStart w:id="828" w:name="_Toc68594833"/>
      <w:bookmarkStart w:id="829" w:name="_Toc300835126"/>
      <w:bookmarkStart w:id="830" w:name="_Toc411736232"/>
      <w:bookmarkStart w:id="831" w:name="_Toc476860443"/>
      <w:bookmarkStart w:id="832" w:name="_Toc410559426"/>
      <w:bookmarkStart w:id="833" w:name="_Toc247527728"/>
      <w:bookmarkStart w:id="834" w:name="_Toc184635110"/>
      <w:bookmarkStart w:id="835" w:name="_Toc247514127"/>
      <w:r>
        <w:rPr>
          <w:rFonts w:hint="eastAsia" w:eastAsia="宋体" w:cs="宋体"/>
          <w:snapToGrid w:val="0"/>
        </w:rPr>
        <w:t>12.1 由发包人暂停工作</w:t>
      </w:r>
      <w:bookmarkEnd w:id="827"/>
      <w:bookmarkEnd w:id="828"/>
      <w:bookmarkEnd w:id="829"/>
      <w:bookmarkEnd w:id="830"/>
      <w:bookmarkEnd w:id="831"/>
      <w:bookmarkEnd w:id="832"/>
    </w:p>
    <w:p w14:paraId="614B03B9">
      <w:pPr>
        <w:pStyle w:val="403"/>
        <w:spacing w:line="460" w:lineRule="exact"/>
        <w:ind w:firstLine="480" w:firstLineChars="200"/>
        <w:rPr>
          <w:rFonts w:hint="eastAsia" w:eastAsia="宋体" w:cs="宋体"/>
          <w:snapToGrid w:val="0"/>
        </w:rPr>
      </w:pPr>
      <w:r>
        <w:rPr>
          <w:rFonts w:hint="eastAsia" w:eastAsia="宋体" w:cs="宋体"/>
          <w:snapToGrid w:val="0"/>
        </w:rPr>
        <w:t>12.1.1 发包人认为必要时，可通过监理人向承包人发出暂停工作的指示，承包人应按监理人指示暂停工作。由于发包人原因引起的暂停工作造成工期延误的，承包人有权要求发包人延长工期和（或）增加费用，并支付合理利润。</w:t>
      </w:r>
    </w:p>
    <w:p w14:paraId="633A3EB4">
      <w:pPr>
        <w:pStyle w:val="403"/>
        <w:spacing w:line="460" w:lineRule="exact"/>
        <w:ind w:firstLine="480" w:firstLineChars="200"/>
        <w:rPr>
          <w:rFonts w:hint="eastAsia" w:eastAsia="宋体" w:cs="宋体"/>
          <w:snapToGrid w:val="0"/>
        </w:rPr>
      </w:pPr>
      <w:r>
        <w:rPr>
          <w:rFonts w:hint="eastAsia" w:eastAsia="宋体" w:cs="宋体"/>
          <w:snapToGrid w:val="0"/>
        </w:rPr>
        <w:t>12.1.2 由于承包人下列原因造成发包人暂停工作的，由此造成费用的增加和（或）工期延误由承包人承担：</w:t>
      </w:r>
    </w:p>
    <w:p w14:paraId="4DA8CC8E">
      <w:pPr>
        <w:pStyle w:val="403"/>
        <w:spacing w:line="460" w:lineRule="exact"/>
        <w:ind w:firstLine="480" w:firstLineChars="200"/>
        <w:rPr>
          <w:rFonts w:hint="eastAsia" w:eastAsia="宋体" w:cs="宋体"/>
          <w:snapToGrid w:val="0"/>
        </w:rPr>
      </w:pPr>
      <w:r>
        <w:rPr>
          <w:rFonts w:hint="eastAsia" w:eastAsia="宋体" w:cs="宋体"/>
          <w:snapToGrid w:val="0"/>
        </w:rPr>
        <w:t>（1）承包人违约；</w:t>
      </w:r>
    </w:p>
    <w:p w14:paraId="686AE7DB">
      <w:pPr>
        <w:pStyle w:val="403"/>
        <w:spacing w:line="460" w:lineRule="exact"/>
        <w:ind w:firstLine="480" w:firstLineChars="200"/>
        <w:rPr>
          <w:rFonts w:hint="eastAsia" w:eastAsia="宋体" w:cs="宋体"/>
          <w:snapToGrid w:val="0"/>
        </w:rPr>
      </w:pPr>
      <w:r>
        <w:rPr>
          <w:rFonts w:hint="eastAsia" w:eastAsia="宋体" w:cs="宋体"/>
          <w:snapToGrid w:val="0"/>
        </w:rPr>
        <w:t>（2）承包人擅自暂停工作；</w:t>
      </w:r>
    </w:p>
    <w:p w14:paraId="1446E24E">
      <w:pPr>
        <w:pStyle w:val="403"/>
        <w:spacing w:line="460" w:lineRule="exact"/>
        <w:ind w:firstLine="480" w:firstLineChars="200"/>
        <w:rPr>
          <w:rFonts w:hint="eastAsia" w:eastAsia="宋体" w:cs="宋体"/>
          <w:snapToGrid w:val="0"/>
        </w:rPr>
      </w:pPr>
      <w:r>
        <w:rPr>
          <w:rFonts w:hint="eastAsia" w:eastAsia="宋体" w:cs="宋体"/>
          <w:snapToGrid w:val="0"/>
        </w:rPr>
        <w:t>（3）合同约定由承包人承担责任的其他暂停工作。</w:t>
      </w:r>
    </w:p>
    <w:p w14:paraId="4DE0A2D8">
      <w:pPr>
        <w:pStyle w:val="403"/>
        <w:spacing w:line="460" w:lineRule="exact"/>
        <w:ind w:firstLine="480" w:firstLineChars="200"/>
        <w:rPr>
          <w:rFonts w:hint="eastAsia" w:eastAsia="宋体" w:cs="宋体"/>
          <w:snapToGrid w:val="0"/>
        </w:rPr>
      </w:pPr>
      <w:bookmarkStart w:id="836" w:name="_Toc411736509"/>
      <w:bookmarkStart w:id="837" w:name="_Toc411736233"/>
      <w:bookmarkStart w:id="838" w:name="_Toc68594834"/>
      <w:bookmarkStart w:id="839" w:name="_Toc410559427"/>
      <w:bookmarkStart w:id="840" w:name="_Toc476860444"/>
      <w:bookmarkStart w:id="841" w:name="_Toc300835127"/>
      <w:r>
        <w:rPr>
          <w:rFonts w:hint="eastAsia" w:eastAsia="宋体" w:cs="宋体"/>
          <w:snapToGrid w:val="0"/>
        </w:rPr>
        <w:t>12.2 由承包人暂停工作</w:t>
      </w:r>
      <w:bookmarkEnd w:id="836"/>
      <w:bookmarkEnd w:id="837"/>
      <w:bookmarkEnd w:id="838"/>
      <w:bookmarkEnd w:id="839"/>
      <w:bookmarkEnd w:id="840"/>
      <w:bookmarkEnd w:id="841"/>
    </w:p>
    <w:p w14:paraId="54BD4078">
      <w:pPr>
        <w:pStyle w:val="403"/>
        <w:spacing w:line="460" w:lineRule="exact"/>
        <w:ind w:firstLine="480" w:firstLineChars="200"/>
        <w:rPr>
          <w:rFonts w:hint="eastAsia" w:eastAsia="宋体" w:cs="宋体"/>
          <w:snapToGrid w:val="0"/>
        </w:rPr>
      </w:pPr>
      <w:r>
        <w:rPr>
          <w:rFonts w:hint="eastAsia" w:eastAsia="宋体" w:cs="宋体"/>
          <w:snapToGrid w:val="0"/>
        </w:rPr>
        <w:t>12.2.1 合同履行过程中发生下列情形之一的，承包人可向发包人发出通知，要求发包人采取有效措施予以纠正。发包人收到承包人通知后的28天内仍不履行合同义务，承包人有权暂停施工，并通知监理人，发包人应承担由此增加的费用和（或）工期延误责任，并支付承包人合理利润。</w:t>
      </w:r>
    </w:p>
    <w:p w14:paraId="28B164C4">
      <w:pPr>
        <w:pStyle w:val="403"/>
        <w:spacing w:line="460" w:lineRule="exact"/>
        <w:ind w:firstLine="480" w:firstLineChars="200"/>
        <w:rPr>
          <w:rFonts w:hint="eastAsia" w:eastAsia="宋体" w:cs="宋体"/>
          <w:snapToGrid w:val="0"/>
        </w:rPr>
      </w:pPr>
      <w:r>
        <w:rPr>
          <w:rFonts w:hint="eastAsia" w:eastAsia="宋体" w:cs="宋体"/>
          <w:snapToGrid w:val="0"/>
        </w:rPr>
        <w:t>（1）发包人未能按合同约定支付价款，或拖延、拒绝批准付款申请和支付证书，导致付款延误的；</w:t>
      </w:r>
    </w:p>
    <w:p w14:paraId="636F56E9">
      <w:pPr>
        <w:pStyle w:val="403"/>
        <w:spacing w:line="460" w:lineRule="exact"/>
        <w:ind w:firstLine="480" w:firstLineChars="200"/>
        <w:rPr>
          <w:rFonts w:hint="eastAsia" w:eastAsia="宋体" w:cs="宋体"/>
          <w:snapToGrid w:val="0"/>
        </w:rPr>
      </w:pPr>
      <w:r>
        <w:rPr>
          <w:rFonts w:hint="eastAsia" w:eastAsia="宋体" w:cs="宋体"/>
          <w:snapToGrid w:val="0"/>
        </w:rPr>
        <w:t>（2）监理人无正当理由没有在约定期限内发出复工指示，导致承包人无法复工的；</w:t>
      </w:r>
    </w:p>
    <w:p w14:paraId="3EFBC3B7">
      <w:pPr>
        <w:pStyle w:val="403"/>
        <w:spacing w:line="460" w:lineRule="exact"/>
        <w:ind w:firstLine="480" w:firstLineChars="200"/>
        <w:rPr>
          <w:rFonts w:hint="eastAsia" w:eastAsia="宋体" w:cs="宋体"/>
          <w:snapToGrid w:val="0"/>
        </w:rPr>
      </w:pPr>
      <w:r>
        <w:rPr>
          <w:rFonts w:hint="eastAsia" w:eastAsia="宋体" w:cs="宋体"/>
          <w:snapToGrid w:val="0"/>
        </w:rPr>
        <w:t>（3）发包人无法继续履行或明确表示不履行或实质上已停止履行合同的；</w:t>
      </w:r>
    </w:p>
    <w:p w14:paraId="64C34736">
      <w:pPr>
        <w:pStyle w:val="403"/>
        <w:spacing w:line="460" w:lineRule="exact"/>
        <w:ind w:firstLine="480" w:firstLineChars="200"/>
        <w:rPr>
          <w:rFonts w:hint="eastAsia" w:eastAsia="宋体" w:cs="宋体"/>
          <w:snapToGrid w:val="0"/>
        </w:rPr>
      </w:pPr>
      <w:r>
        <w:rPr>
          <w:rFonts w:hint="eastAsia" w:eastAsia="宋体" w:cs="宋体"/>
          <w:snapToGrid w:val="0"/>
        </w:rPr>
        <w:t>（4）发包人不履行合同约定其他义务的。</w:t>
      </w:r>
    </w:p>
    <w:p w14:paraId="65F67698">
      <w:pPr>
        <w:pStyle w:val="403"/>
        <w:spacing w:line="460" w:lineRule="exact"/>
        <w:ind w:firstLine="480" w:firstLineChars="200"/>
        <w:rPr>
          <w:rFonts w:hint="eastAsia" w:eastAsia="宋体" w:cs="宋体"/>
          <w:snapToGrid w:val="0"/>
        </w:rPr>
      </w:pPr>
      <w:r>
        <w:rPr>
          <w:rFonts w:hint="eastAsia" w:eastAsia="宋体" w:cs="宋体"/>
          <w:snapToGrid w:val="0"/>
        </w:rPr>
        <w:t>12.2.2 由于发包人的原因发生暂停施工的紧急情况，且监理人未及时下达暂停工作指示的，承包人可先暂停施工，并及时向监理人提出暂停工作的书面请求。监理人应在收到书面请求后的24小时内予以答复，逾期未答复的，视为同意承包人的暂停工作请求。</w:t>
      </w:r>
    </w:p>
    <w:p w14:paraId="67A2BC24">
      <w:pPr>
        <w:pStyle w:val="403"/>
        <w:spacing w:line="460" w:lineRule="exact"/>
        <w:ind w:firstLine="480" w:firstLineChars="200"/>
        <w:rPr>
          <w:rFonts w:hint="eastAsia" w:eastAsia="宋体" w:cs="宋体"/>
          <w:snapToGrid w:val="0"/>
        </w:rPr>
      </w:pPr>
      <w:bookmarkStart w:id="842" w:name="_Toc476860445"/>
      <w:bookmarkStart w:id="843" w:name="_Toc411736510"/>
      <w:bookmarkStart w:id="844" w:name="_Toc300835128"/>
      <w:bookmarkStart w:id="845" w:name="_Toc411736234"/>
      <w:bookmarkStart w:id="846" w:name="_Toc410559428"/>
      <w:bookmarkStart w:id="847" w:name="_Toc68594835"/>
      <w:r>
        <w:rPr>
          <w:rFonts w:hint="eastAsia" w:eastAsia="宋体" w:cs="宋体"/>
          <w:snapToGrid w:val="0"/>
        </w:rPr>
        <w:t>12.3 暂停工作后的照管</w:t>
      </w:r>
      <w:bookmarkEnd w:id="842"/>
      <w:bookmarkEnd w:id="843"/>
      <w:bookmarkEnd w:id="844"/>
      <w:bookmarkEnd w:id="845"/>
      <w:bookmarkEnd w:id="846"/>
      <w:bookmarkEnd w:id="847"/>
    </w:p>
    <w:p w14:paraId="30979845">
      <w:pPr>
        <w:pStyle w:val="403"/>
        <w:spacing w:line="460" w:lineRule="exact"/>
        <w:ind w:firstLine="480" w:firstLineChars="200"/>
        <w:rPr>
          <w:rFonts w:hint="eastAsia" w:eastAsia="宋体" w:cs="宋体"/>
          <w:snapToGrid w:val="0"/>
        </w:rPr>
      </w:pPr>
      <w:r>
        <w:rPr>
          <w:rFonts w:hint="eastAsia" w:eastAsia="宋体" w:cs="宋体"/>
          <w:snapToGrid w:val="0"/>
        </w:rPr>
        <w:t>不论由于何种原因引起暂停工作的，暂停工作期间，承包人应负责妥善保护工程并提供安全保障，由此增加的费用由责任方承担。</w:t>
      </w:r>
    </w:p>
    <w:p w14:paraId="2AE08065">
      <w:pPr>
        <w:pStyle w:val="403"/>
        <w:spacing w:line="460" w:lineRule="exact"/>
        <w:ind w:firstLine="480" w:firstLineChars="200"/>
        <w:rPr>
          <w:rFonts w:hint="eastAsia" w:eastAsia="宋体" w:cs="宋体"/>
          <w:snapToGrid w:val="0"/>
        </w:rPr>
      </w:pPr>
      <w:bookmarkStart w:id="848" w:name="_Toc476860446"/>
      <w:bookmarkStart w:id="849" w:name="_Toc411736511"/>
      <w:bookmarkStart w:id="850" w:name="_Toc68594836"/>
      <w:bookmarkStart w:id="851" w:name="_Toc410559429"/>
      <w:bookmarkStart w:id="852" w:name="_Toc300835129"/>
      <w:bookmarkStart w:id="853" w:name="_Toc411736235"/>
      <w:r>
        <w:rPr>
          <w:rFonts w:hint="eastAsia" w:eastAsia="宋体" w:cs="宋体"/>
          <w:snapToGrid w:val="0"/>
        </w:rPr>
        <w:t>12.4 暂停工作后的复工</w:t>
      </w:r>
      <w:bookmarkEnd w:id="848"/>
      <w:bookmarkEnd w:id="849"/>
      <w:bookmarkEnd w:id="850"/>
      <w:bookmarkEnd w:id="851"/>
      <w:bookmarkEnd w:id="852"/>
      <w:bookmarkEnd w:id="853"/>
    </w:p>
    <w:p w14:paraId="43CDE9AC">
      <w:pPr>
        <w:pStyle w:val="403"/>
        <w:spacing w:line="460" w:lineRule="exact"/>
        <w:ind w:firstLine="480" w:firstLineChars="200"/>
        <w:rPr>
          <w:rFonts w:hint="eastAsia" w:eastAsia="宋体" w:cs="宋体"/>
          <w:snapToGrid w:val="0"/>
        </w:rPr>
      </w:pPr>
      <w:r>
        <w:rPr>
          <w:rFonts w:hint="eastAsia" w:eastAsia="宋体" w:cs="宋体"/>
          <w:snapToGrid w:val="0"/>
        </w:rPr>
        <w:t>12.4.1暂停工作后，监理人应与发包人和承包人协商，采取有效措施积极消除暂停工作的影响。当工程具备复工条件时，监理人应立即向承包人发出复工通知。承包人收到复工通知后，应在监理人指定的期限内复工。</w:t>
      </w:r>
    </w:p>
    <w:p w14:paraId="527E0176">
      <w:pPr>
        <w:pStyle w:val="403"/>
        <w:spacing w:line="460" w:lineRule="exact"/>
        <w:ind w:firstLine="480" w:firstLineChars="200"/>
        <w:rPr>
          <w:rFonts w:hint="eastAsia" w:eastAsia="宋体" w:cs="宋体"/>
          <w:snapToGrid w:val="0"/>
        </w:rPr>
      </w:pPr>
      <w:r>
        <w:rPr>
          <w:rFonts w:hint="eastAsia" w:eastAsia="宋体" w:cs="宋体"/>
          <w:snapToGrid w:val="0"/>
        </w:rPr>
        <w:t>12.4.2承包人无故拖延和拒绝复工的，由此增加的费用和工期延误由承包人承担；因发包人原因无法按时复工的，承包人有权要求发包人延长工期和（或）增加费用，并支付合理利润。</w:t>
      </w:r>
    </w:p>
    <w:p w14:paraId="109805F2">
      <w:pPr>
        <w:pStyle w:val="403"/>
        <w:spacing w:line="460" w:lineRule="exact"/>
        <w:ind w:firstLine="480" w:firstLineChars="200"/>
        <w:rPr>
          <w:rFonts w:hint="eastAsia" w:eastAsia="宋体" w:cs="宋体"/>
          <w:snapToGrid w:val="0"/>
        </w:rPr>
      </w:pPr>
      <w:bookmarkStart w:id="854" w:name="_Toc410559430"/>
      <w:bookmarkStart w:id="855" w:name="_Toc476860447"/>
      <w:bookmarkStart w:id="856" w:name="_Toc68594837"/>
      <w:bookmarkStart w:id="857" w:name="_Toc411736236"/>
      <w:bookmarkStart w:id="858" w:name="_Toc411736512"/>
      <w:bookmarkStart w:id="859" w:name="_Toc300835130"/>
      <w:r>
        <w:rPr>
          <w:rFonts w:hint="eastAsia" w:eastAsia="宋体" w:cs="宋体"/>
          <w:snapToGrid w:val="0"/>
        </w:rPr>
        <w:t>12.5 暂停工作56天以上</w:t>
      </w:r>
      <w:bookmarkEnd w:id="854"/>
      <w:bookmarkEnd w:id="855"/>
      <w:bookmarkEnd w:id="856"/>
      <w:bookmarkEnd w:id="857"/>
      <w:bookmarkEnd w:id="858"/>
      <w:bookmarkEnd w:id="859"/>
    </w:p>
    <w:p w14:paraId="5824B39C">
      <w:pPr>
        <w:pStyle w:val="403"/>
        <w:spacing w:line="460" w:lineRule="exact"/>
        <w:ind w:firstLine="480" w:firstLineChars="200"/>
        <w:rPr>
          <w:rFonts w:hint="eastAsia" w:eastAsia="宋体" w:cs="宋体"/>
          <w:snapToGrid w:val="0"/>
        </w:rPr>
      </w:pPr>
      <w:r>
        <w:rPr>
          <w:rFonts w:hint="eastAsia" w:eastAsia="宋体" w:cs="宋体"/>
          <w:snapToGrid w:val="0"/>
        </w:rPr>
        <w:t>12.5.1监理人发出暂停工作指示后56 天内未向承包人发出复工通知的，除该项暂停由于承包人违约造成之外，承包人可向监理人提交书面通知，要求监理人在收到书面通知后28天内准许已暂停工作的全部或部分继续工作。如监理人逾期不予批准，则承包人可以通知监理人，将工程受影响的部分按第15条的约定作为可取消工作的变更处理。暂停工作影响到整个工程的，视为发包人违约，应按第12.2.1项的约定执行，同时承包人有权解除合同。</w:t>
      </w:r>
    </w:p>
    <w:p w14:paraId="02B5F13D">
      <w:pPr>
        <w:pStyle w:val="403"/>
        <w:spacing w:line="460" w:lineRule="exact"/>
        <w:ind w:firstLine="480" w:firstLineChars="200"/>
        <w:rPr>
          <w:rFonts w:hint="eastAsia" w:eastAsia="宋体" w:cs="宋体"/>
          <w:snapToGrid w:val="0"/>
        </w:rPr>
      </w:pPr>
      <w:r>
        <w:rPr>
          <w:rFonts w:hint="eastAsia" w:eastAsia="宋体" w:cs="宋体"/>
          <w:snapToGrid w:val="0"/>
        </w:rPr>
        <w:t>12.5.2由于承包人原因引起暂停工作的，如承包人在收到监理人暂停工作指示后56 天内不采取有效的复工措施，造成工期延误的，视为承包人违约，应按第12.1.2 项的约定执行。</w:t>
      </w:r>
    </w:p>
    <w:p w14:paraId="51E5D973">
      <w:pPr>
        <w:pStyle w:val="5"/>
        <w:spacing w:before="360" w:after="120" w:afterLines="50" w:line="480" w:lineRule="exact"/>
        <w:rPr>
          <w:rFonts w:hint="eastAsia" w:ascii="宋体" w:hAnsi="宋体" w:eastAsia="宋体" w:cs="宋体"/>
          <w:bCs/>
          <w:sz w:val="28"/>
          <w:szCs w:val="28"/>
        </w:rPr>
      </w:pPr>
      <w:bookmarkStart w:id="860" w:name="_Toc83220603"/>
      <w:bookmarkStart w:id="861" w:name="_Toc476860448"/>
      <w:bookmarkStart w:id="862" w:name="_Toc411736513"/>
      <w:bookmarkStart w:id="863" w:name="_Toc15732"/>
      <w:bookmarkStart w:id="864" w:name="_Toc411736237"/>
      <w:bookmarkStart w:id="865" w:name="_Toc410559431"/>
      <w:bookmarkStart w:id="866" w:name="_Toc176268732"/>
      <w:bookmarkStart w:id="867" w:name="_Toc198803799"/>
      <w:bookmarkStart w:id="868" w:name="_Toc300835131"/>
      <w:bookmarkStart w:id="869" w:name="_Toc68594838"/>
      <w:r>
        <w:rPr>
          <w:rFonts w:hint="eastAsia" w:ascii="宋体" w:hAnsi="宋体" w:eastAsia="宋体" w:cs="宋体"/>
          <w:bCs/>
          <w:sz w:val="28"/>
          <w:szCs w:val="28"/>
        </w:rPr>
        <w:t>13. 工程质量</w:t>
      </w:r>
      <w:bookmarkEnd w:id="833"/>
      <w:bookmarkEnd w:id="834"/>
      <w:bookmarkEnd w:id="835"/>
      <w:bookmarkEnd w:id="860"/>
      <w:bookmarkEnd w:id="861"/>
      <w:bookmarkEnd w:id="862"/>
      <w:bookmarkEnd w:id="863"/>
      <w:bookmarkEnd w:id="864"/>
      <w:bookmarkEnd w:id="865"/>
      <w:bookmarkEnd w:id="866"/>
      <w:bookmarkEnd w:id="867"/>
      <w:bookmarkEnd w:id="868"/>
      <w:bookmarkEnd w:id="869"/>
    </w:p>
    <w:p w14:paraId="25C48A87">
      <w:pPr>
        <w:pStyle w:val="403"/>
        <w:spacing w:line="460" w:lineRule="exact"/>
        <w:ind w:firstLine="480" w:firstLineChars="200"/>
        <w:rPr>
          <w:rFonts w:hint="eastAsia" w:eastAsia="宋体" w:cs="宋体"/>
          <w:snapToGrid w:val="0"/>
        </w:rPr>
      </w:pPr>
      <w:bookmarkStart w:id="870" w:name="_Toc68594839"/>
      <w:bookmarkStart w:id="871" w:name="_Toc247527729"/>
      <w:bookmarkStart w:id="872" w:name="_Toc300835132"/>
      <w:bookmarkStart w:id="873" w:name="_Toc247514128"/>
      <w:bookmarkStart w:id="874" w:name="_Toc410559432"/>
      <w:bookmarkStart w:id="875" w:name="_Toc411736238"/>
      <w:bookmarkStart w:id="876" w:name="_Toc411736514"/>
      <w:bookmarkStart w:id="877" w:name="_Toc476860449"/>
      <w:r>
        <w:rPr>
          <w:rFonts w:hint="eastAsia" w:eastAsia="宋体" w:cs="宋体"/>
          <w:snapToGrid w:val="0"/>
        </w:rPr>
        <w:t>13.1 工程质量要求</w:t>
      </w:r>
      <w:bookmarkEnd w:id="870"/>
      <w:bookmarkEnd w:id="871"/>
      <w:bookmarkEnd w:id="872"/>
      <w:bookmarkEnd w:id="873"/>
      <w:bookmarkEnd w:id="874"/>
      <w:bookmarkEnd w:id="875"/>
      <w:bookmarkEnd w:id="876"/>
      <w:bookmarkEnd w:id="877"/>
    </w:p>
    <w:p w14:paraId="39AEFB56">
      <w:pPr>
        <w:pStyle w:val="403"/>
        <w:spacing w:line="460" w:lineRule="exact"/>
        <w:ind w:firstLine="480" w:firstLineChars="200"/>
        <w:rPr>
          <w:rFonts w:hint="eastAsia" w:eastAsia="宋体" w:cs="宋体"/>
          <w:snapToGrid w:val="0"/>
        </w:rPr>
      </w:pPr>
      <w:r>
        <w:rPr>
          <w:rFonts w:hint="eastAsia" w:eastAsia="宋体" w:cs="宋体"/>
          <w:snapToGrid w:val="0"/>
        </w:rPr>
        <w:t>13.1.1 工程质量验收按法律规定和合同约定的验收标准执行。</w:t>
      </w:r>
    </w:p>
    <w:p w14:paraId="6EF9B4B9">
      <w:pPr>
        <w:pStyle w:val="403"/>
        <w:spacing w:line="460" w:lineRule="exact"/>
        <w:ind w:firstLine="480" w:firstLineChars="200"/>
        <w:rPr>
          <w:rFonts w:hint="eastAsia" w:eastAsia="宋体" w:cs="宋体"/>
          <w:snapToGrid w:val="0"/>
        </w:rPr>
      </w:pPr>
      <w:r>
        <w:rPr>
          <w:rFonts w:hint="eastAsia" w:eastAsia="宋体" w:cs="宋体"/>
          <w:snapToGrid w:val="0"/>
        </w:rPr>
        <w:t>13.1.2 因承包人原因造成工程质量不符合法律的规定和合同约定的，监理人有权要求承包人返工直至符合合同要求为止，由此造成的费用增加和（或）工期延误由承包人承担。</w:t>
      </w:r>
    </w:p>
    <w:p w14:paraId="22FDB721">
      <w:pPr>
        <w:pStyle w:val="403"/>
        <w:spacing w:line="460" w:lineRule="exact"/>
        <w:ind w:firstLine="480" w:firstLineChars="200"/>
        <w:rPr>
          <w:rFonts w:hint="eastAsia" w:eastAsia="宋体" w:cs="宋体"/>
          <w:snapToGrid w:val="0"/>
        </w:rPr>
      </w:pPr>
      <w:r>
        <w:rPr>
          <w:rFonts w:hint="eastAsia" w:eastAsia="宋体" w:cs="宋体"/>
          <w:snapToGrid w:val="0"/>
        </w:rPr>
        <w:t>13.1.3 因发包人原因造成工程质量达不到合同约定验收标准的，发包人应承担由于承包人返工造成的费用增加和（或）工期延误，并支付承包人合理利润。</w:t>
      </w:r>
    </w:p>
    <w:p w14:paraId="5ED17004">
      <w:pPr>
        <w:pStyle w:val="403"/>
        <w:spacing w:line="460" w:lineRule="exact"/>
        <w:ind w:firstLine="480" w:firstLineChars="200"/>
        <w:rPr>
          <w:rFonts w:hint="eastAsia" w:eastAsia="宋体" w:cs="宋体"/>
          <w:snapToGrid w:val="0"/>
        </w:rPr>
      </w:pPr>
      <w:bookmarkStart w:id="878" w:name="_Toc411736515"/>
      <w:bookmarkStart w:id="879" w:name="_Toc300835133"/>
      <w:bookmarkStart w:id="880" w:name="_Toc476860450"/>
      <w:bookmarkStart w:id="881" w:name="_Toc411736239"/>
      <w:bookmarkStart w:id="882" w:name="_Toc247527731"/>
      <w:bookmarkStart w:id="883" w:name="_Toc68594840"/>
      <w:bookmarkStart w:id="884" w:name="_Toc410559433"/>
      <w:bookmarkStart w:id="885" w:name="_Toc247514130"/>
      <w:r>
        <w:rPr>
          <w:rFonts w:hint="eastAsia" w:eastAsia="宋体" w:cs="宋体"/>
          <w:snapToGrid w:val="0"/>
        </w:rPr>
        <w:t>13.2 承包人的质量检查</w:t>
      </w:r>
      <w:bookmarkEnd w:id="878"/>
      <w:bookmarkEnd w:id="879"/>
      <w:bookmarkEnd w:id="880"/>
      <w:bookmarkEnd w:id="881"/>
      <w:bookmarkEnd w:id="882"/>
      <w:bookmarkEnd w:id="883"/>
      <w:bookmarkEnd w:id="884"/>
      <w:bookmarkEnd w:id="885"/>
    </w:p>
    <w:p w14:paraId="6516F40A">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承包人应按合同约定对设计、材料、工程设备以及全部工程内容及其施工工艺进行全过程的质量检查和检验，并作详细记录，编制工程质量报表，报送监理人审查。</w:t>
      </w:r>
    </w:p>
    <w:p w14:paraId="69F149AA">
      <w:pPr>
        <w:pStyle w:val="403"/>
        <w:spacing w:line="460" w:lineRule="exact"/>
        <w:ind w:firstLine="480" w:firstLineChars="200"/>
        <w:rPr>
          <w:rFonts w:hint="eastAsia" w:eastAsia="宋体" w:cs="宋体"/>
          <w:snapToGrid w:val="0"/>
        </w:rPr>
      </w:pPr>
      <w:bookmarkStart w:id="886" w:name="_Toc247527732"/>
      <w:bookmarkStart w:id="887" w:name="_Toc411736240"/>
      <w:bookmarkStart w:id="888" w:name="_Toc68594841"/>
      <w:bookmarkStart w:id="889" w:name="_Toc247514131"/>
      <w:bookmarkStart w:id="890" w:name="_Toc411736516"/>
      <w:bookmarkStart w:id="891" w:name="_Toc410559434"/>
      <w:bookmarkStart w:id="892" w:name="_Toc476860451"/>
      <w:bookmarkStart w:id="893" w:name="_Toc300835134"/>
      <w:r>
        <w:rPr>
          <w:rFonts w:hint="eastAsia" w:eastAsia="宋体" w:cs="宋体"/>
          <w:snapToGrid w:val="0"/>
        </w:rPr>
        <w:t>13.3 监理人的质量检查</w:t>
      </w:r>
      <w:bookmarkEnd w:id="886"/>
      <w:bookmarkEnd w:id="887"/>
      <w:bookmarkEnd w:id="888"/>
      <w:bookmarkEnd w:id="889"/>
      <w:bookmarkEnd w:id="890"/>
      <w:bookmarkEnd w:id="891"/>
      <w:bookmarkEnd w:id="892"/>
      <w:bookmarkEnd w:id="893"/>
    </w:p>
    <w:p w14:paraId="69DB445A">
      <w:pPr>
        <w:pStyle w:val="403"/>
        <w:spacing w:line="460" w:lineRule="exact"/>
        <w:ind w:firstLine="480" w:firstLineChars="200"/>
        <w:rPr>
          <w:rFonts w:hint="eastAsia" w:eastAsia="宋体" w:cs="宋体"/>
          <w:snapToGrid w:val="0"/>
        </w:rPr>
      </w:pPr>
      <w:r>
        <w:rPr>
          <w:rFonts w:hint="eastAsia" w:eastAsia="宋体" w:cs="宋体"/>
          <w:snapToGrid w:val="0"/>
        </w:rPr>
        <w:t>监理人有权对全部工程内容及其施工工艺、材料和工程设备进行检查和检验。承包人应为监理人的检查和检验提供方便，包括监理人到施工场地，或制造、加工地点，或合同约定的其他地方进行察看和查阅施工原始记录。承包人还应按监理人指示，进行施工场地取样试验、工程复核测量和设备性能检测，提供试验样品、提交试验报告和测量成果以及监理人要求进行的其他工作。监理人的检查和检验，不免除承包人按合同约定应负的责任。</w:t>
      </w:r>
    </w:p>
    <w:p w14:paraId="0E511BDE">
      <w:pPr>
        <w:pStyle w:val="403"/>
        <w:spacing w:line="460" w:lineRule="exact"/>
        <w:ind w:firstLine="480" w:firstLineChars="200"/>
        <w:rPr>
          <w:rFonts w:hint="eastAsia" w:eastAsia="宋体" w:cs="宋体"/>
          <w:snapToGrid w:val="0"/>
        </w:rPr>
      </w:pPr>
      <w:bookmarkStart w:id="894" w:name="_Toc247514132"/>
      <w:bookmarkStart w:id="895" w:name="_Toc300835135"/>
      <w:bookmarkStart w:id="896" w:name="_Toc247527733"/>
      <w:bookmarkStart w:id="897" w:name="_Toc476860452"/>
      <w:bookmarkStart w:id="898" w:name="_Toc410559435"/>
      <w:bookmarkStart w:id="899" w:name="_Toc411736517"/>
      <w:bookmarkStart w:id="900" w:name="_Toc411736241"/>
      <w:bookmarkStart w:id="901" w:name="_Toc68594842"/>
      <w:r>
        <w:rPr>
          <w:rFonts w:hint="eastAsia" w:eastAsia="宋体" w:cs="宋体"/>
          <w:snapToGrid w:val="0"/>
        </w:rPr>
        <w:t>13.4 工程隐蔽部位覆盖前的检查</w:t>
      </w:r>
      <w:bookmarkEnd w:id="894"/>
      <w:bookmarkEnd w:id="895"/>
      <w:bookmarkEnd w:id="896"/>
      <w:bookmarkEnd w:id="897"/>
      <w:bookmarkEnd w:id="898"/>
      <w:bookmarkEnd w:id="899"/>
      <w:bookmarkEnd w:id="900"/>
      <w:bookmarkEnd w:id="901"/>
    </w:p>
    <w:p w14:paraId="101AA809">
      <w:pPr>
        <w:pStyle w:val="403"/>
        <w:spacing w:line="460" w:lineRule="exact"/>
        <w:ind w:firstLine="480" w:firstLineChars="200"/>
        <w:rPr>
          <w:rFonts w:hint="eastAsia" w:eastAsia="宋体" w:cs="宋体"/>
          <w:snapToGrid w:val="0"/>
        </w:rPr>
      </w:pPr>
      <w:r>
        <w:rPr>
          <w:rFonts w:hint="eastAsia" w:eastAsia="宋体" w:cs="宋体"/>
          <w:snapToGrid w:val="0"/>
        </w:rPr>
        <w:t>13.4.1 通知监理人检查</w:t>
      </w:r>
    </w:p>
    <w:p w14:paraId="1E200C09">
      <w:pPr>
        <w:pStyle w:val="403"/>
        <w:spacing w:line="460" w:lineRule="exact"/>
        <w:ind w:firstLine="480" w:firstLineChars="200"/>
        <w:rPr>
          <w:rFonts w:hint="eastAsia" w:eastAsia="宋体" w:cs="宋体"/>
          <w:snapToGrid w:val="0"/>
        </w:rPr>
      </w:pPr>
      <w:r>
        <w:rPr>
          <w:rFonts w:hint="eastAsia" w:eastAsia="宋体" w:cs="宋体"/>
          <w:snapToGrid w:val="0"/>
        </w:rPr>
        <w:t>经承包人自检确认的工程隐蔽部位具备覆盖条件后，承包人应通知监理人在约定的期限内检查。承包人的通知应附有自检记录和必要的检查资料。监理人应按时到场检查。经监理人检查确认质量符合隐蔽要求，并在检查记录上签字后，承包人才能进行覆盖。监理人检查确认质量不合格的，承包人应在监理人指示的时间内修整返工后，由监理人重新检查。</w:t>
      </w:r>
    </w:p>
    <w:p w14:paraId="00E1D05C">
      <w:pPr>
        <w:pStyle w:val="403"/>
        <w:spacing w:line="460" w:lineRule="exact"/>
        <w:ind w:firstLine="480" w:firstLineChars="200"/>
        <w:rPr>
          <w:rFonts w:hint="eastAsia" w:eastAsia="宋体" w:cs="宋体"/>
          <w:snapToGrid w:val="0"/>
        </w:rPr>
      </w:pPr>
      <w:r>
        <w:rPr>
          <w:rFonts w:hint="eastAsia" w:eastAsia="宋体" w:cs="宋体"/>
          <w:snapToGrid w:val="0"/>
        </w:rPr>
        <w:t>13.4.2 监理人未到场检查</w:t>
      </w:r>
    </w:p>
    <w:p w14:paraId="67118B7E">
      <w:pPr>
        <w:pStyle w:val="403"/>
        <w:spacing w:line="460" w:lineRule="exact"/>
        <w:ind w:firstLine="480" w:firstLineChars="200"/>
        <w:rPr>
          <w:rFonts w:hint="eastAsia" w:eastAsia="宋体" w:cs="宋体"/>
          <w:snapToGrid w:val="0"/>
        </w:rPr>
      </w:pPr>
      <w:r>
        <w:rPr>
          <w:rFonts w:hint="eastAsia" w:eastAsia="宋体" w:cs="宋体"/>
          <w:snapToGrid w:val="0"/>
        </w:rPr>
        <w:t>监理人未按第13.4.l 项约定的时间进行检查的，除监理人另有指示外，承包人可自行完成覆盖工作，并作相应记录报送监理人，监理人应签字确认。监理人事后对检查记录有疑问的，可按第13.4.3 项的约定重新检查。</w:t>
      </w:r>
    </w:p>
    <w:p w14:paraId="13813AF0">
      <w:pPr>
        <w:pStyle w:val="403"/>
        <w:spacing w:line="460" w:lineRule="exact"/>
        <w:ind w:firstLine="480" w:firstLineChars="200"/>
        <w:rPr>
          <w:rFonts w:hint="eastAsia" w:eastAsia="宋体" w:cs="宋体"/>
          <w:snapToGrid w:val="0"/>
        </w:rPr>
      </w:pPr>
      <w:r>
        <w:rPr>
          <w:rFonts w:hint="eastAsia" w:eastAsia="宋体" w:cs="宋体"/>
          <w:snapToGrid w:val="0"/>
        </w:rPr>
        <w:t>13.4.3 监理人重新检查</w:t>
      </w:r>
    </w:p>
    <w:p w14:paraId="295235B6">
      <w:pPr>
        <w:pStyle w:val="403"/>
        <w:spacing w:line="460" w:lineRule="exact"/>
        <w:ind w:firstLine="480" w:firstLineChars="200"/>
        <w:rPr>
          <w:rFonts w:hint="eastAsia" w:eastAsia="宋体" w:cs="宋体"/>
          <w:snapToGrid w:val="0"/>
        </w:rPr>
      </w:pPr>
      <w:r>
        <w:rPr>
          <w:rFonts w:hint="eastAsia" w:eastAsia="宋体" w:cs="宋体"/>
          <w:snapToGrid w:val="0"/>
        </w:rPr>
        <w:t>承包人按第13.4.1 项或第13.4.2 项覆盖工程隐蔽部位后，监理人对质量有疑问的，可要求承包人对已覆盖的部位进行钻孔探测或揭开重新检验，承包人应遵照执行，并在检验后重新覆盖恢复原状。经检验证明工程质量符合合同要求的，由发包人承担由此增加的费用和（或）工期延误，并支付承包人合理利润；经检验证明工程质量不符合合同要求的，由此增加的费用和（或）工期延误由承包人承担。</w:t>
      </w:r>
    </w:p>
    <w:p w14:paraId="6D86047A">
      <w:pPr>
        <w:pStyle w:val="403"/>
        <w:spacing w:line="460" w:lineRule="exact"/>
        <w:ind w:firstLine="480" w:firstLineChars="200"/>
        <w:rPr>
          <w:rFonts w:hint="eastAsia" w:eastAsia="宋体" w:cs="宋体"/>
          <w:snapToGrid w:val="0"/>
        </w:rPr>
      </w:pPr>
      <w:r>
        <w:rPr>
          <w:rFonts w:hint="eastAsia" w:eastAsia="宋体" w:cs="宋体"/>
          <w:snapToGrid w:val="0"/>
        </w:rPr>
        <w:t>13.4.4 承包人私自覆盖</w:t>
      </w:r>
    </w:p>
    <w:p w14:paraId="6C90F9E8">
      <w:pPr>
        <w:pStyle w:val="403"/>
        <w:spacing w:line="460" w:lineRule="exact"/>
        <w:ind w:firstLine="480" w:firstLineChars="200"/>
        <w:rPr>
          <w:rFonts w:hint="eastAsia" w:eastAsia="宋体" w:cs="宋体"/>
          <w:snapToGrid w:val="0"/>
        </w:rPr>
      </w:pPr>
      <w:r>
        <w:rPr>
          <w:rFonts w:hint="eastAsia" w:eastAsia="宋体" w:cs="宋体"/>
          <w:snapToGrid w:val="0"/>
        </w:rPr>
        <w:t>承包人未通知监理人到场检查，私自将工程隐蔽部位覆盖的，监理人有权指示承包人钻孔探测或揭开检查，由此增加的费用和（或）工期延误由承包人承担。</w:t>
      </w:r>
    </w:p>
    <w:p w14:paraId="466C666A">
      <w:pPr>
        <w:pStyle w:val="403"/>
        <w:spacing w:line="460" w:lineRule="exact"/>
        <w:ind w:firstLine="480" w:firstLineChars="200"/>
        <w:rPr>
          <w:rFonts w:hint="eastAsia" w:eastAsia="宋体" w:cs="宋体"/>
          <w:snapToGrid w:val="0"/>
        </w:rPr>
      </w:pPr>
      <w:bookmarkStart w:id="902" w:name="_Toc68594843"/>
      <w:bookmarkStart w:id="903" w:name="_Toc411736518"/>
      <w:bookmarkStart w:id="904" w:name="_Toc410559436"/>
      <w:bookmarkStart w:id="905" w:name="_Toc476860453"/>
      <w:bookmarkStart w:id="906" w:name="_Toc247514133"/>
      <w:bookmarkStart w:id="907" w:name="_Toc411736242"/>
      <w:bookmarkStart w:id="908" w:name="_Toc247527734"/>
      <w:bookmarkStart w:id="909" w:name="_Toc300835136"/>
      <w:r>
        <w:rPr>
          <w:rFonts w:hint="eastAsia" w:eastAsia="宋体" w:cs="宋体"/>
          <w:snapToGrid w:val="0"/>
        </w:rPr>
        <w:t>13.5 清除不合格工程</w:t>
      </w:r>
      <w:bookmarkEnd w:id="902"/>
      <w:bookmarkEnd w:id="903"/>
      <w:bookmarkEnd w:id="904"/>
      <w:bookmarkEnd w:id="905"/>
      <w:bookmarkEnd w:id="906"/>
      <w:bookmarkEnd w:id="907"/>
      <w:bookmarkEnd w:id="908"/>
      <w:bookmarkEnd w:id="909"/>
    </w:p>
    <w:p w14:paraId="042F64AB">
      <w:pPr>
        <w:pStyle w:val="403"/>
        <w:spacing w:line="460" w:lineRule="exact"/>
        <w:ind w:firstLine="480" w:firstLineChars="200"/>
        <w:rPr>
          <w:rFonts w:hint="eastAsia" w:eastAsia="宋体" w:cs="宋体"/>
          <w:snapToGrid w:val="0"/>
        </w:rPr>
      </w:pPr>
      <w:r>
        <w:rPr>
          <w:rFonts w:hint="eastAsia" w:eastAsia="宋体" w:cs="宋体"/>
          <w:snapToGrid w:val="0"/>
        </w:rPr>
        <w:t>13.5.1 因承包人设计失误，使用不合格材料、工程设备，或采用不适当的施工工艺，或施工不当，造成工程不合格的，监理人可以随时发出指示，要求承包人立即采取措施进行补救，直至达到合同要求的质量标准，由此增加的费用和（或）工期延误由承包人承担。</w:t>
      </w:r>
    </w:p>
    <w:p w14:paraId="3398D5F5">
      <w:pPr>
        <w:pStyle w:val="403"/>
        <w:spacing w:line="460" w:lineRule="exact"/>
        <w:ind w:firstLine="480" w:firstLineChars="200"/>
        <w:rPr>
          <w:rFonts w:hint="eastAsia" w:eastAsia="宋体" w:cs="宋体"/>
          <w:snapToGrid w:val="0"/>
        </w:rPr>
      </w:pPr>
      <w:r>
        <w:rPr>
          <w:rFonts w:hint="eastAsia" w:eastAsia="宋体" w:cs="宋体"/>
          <w:snapToGrid w:val="0"/>
        </w:rPr>
        <w:t>13.5.2 由于发包人提供的材料或工程设备不合格造成的工程不合格，需要承包人采取措施补救的，发包人应承担由此增加的费用和（或）工期延误，并支付承包人合理利润。</w:t>
      </w:r>
    </w:p>
    <w:p w14:paraId="5FEF8A3E">
      <w:pPr>
        <w:pStyle w:val="5"/>
        <w:spacing w:before="360" w:after="120" w:afterLines="50" w:line="480" w:lineRule="exact"/>
        <w:rPr>
          <w:rFonts w:hint="eastAsia" w:ascii="宋体" w:hAnsi="宋体" w:eastAsia="宋体" w:cs="宋体"/>
          <w:bCs/>
          <w:sz w:val="28"/>
          <w:szCs w:val="28"/>
        </w:rPr>
      </w:pPr>
      <w:bookmarkStart w:id="910" w:name="_Toc83220604"/>
      <w:bookmarkStart w:id="911" w:name="_Toc198803800"/>
      <w:bookmarkStart w:id="912" w:name="_Toc184635111"/>
      <w:bookmarkStart w:id="913" w:name="_Toc300835137"/>
      <w:bookmarkStart w:id="914" w:name="_Toc476860454"/>
      <w:bookmarkStart w:id="915" w:name="_Toc247527735"/>
      <w:bookmarkStart w:id="916" w:name="_Toc68594844"/>
      <w:bookmarkStart w:id="917" w:name="_Toc247514134"/>
      <w:bookmarkStart w:id="918" w:name="_Toc411736243"/>
      <w:bookmarkStart w:id="919" w:name="_Toc411736519"/>
      <w:bookmarkStart w:id="920" w:name="_Toc11612"/>
      <w:bookmarkStart w:id="921" w:name="_Toc176268733"/>
      <w:bookmarkStart w:id="922" w:name="_Toc410559437"/>
      <w:r>
        <w:rPr>
          <w:rFonts w:hint="eastAsia" w:ascii="宋体" w:hAnsi="宋体" w:eastAsia="宋体" w:cs="宋体"/>
          <w:bCs/>
          <w:sz w:val="28"/>
          <w:szCs w:val="28"/>
        </w:rPr>
        <w:t>14. 试验和检验</w:t>
      </w:r>
      <w:bookmarkEnd w:id="910"/>
      <w:bookmarkEnd w:id="911"/>
      <w:bookmarkEnd w:id="912"/>
      <w:bookmarkEnd w:id="913"/>
      <w:bookmarkEnd w:id="914"/>
      <w:bookmarkEnd w:id="915"/>
      <w:bookmarkEnd w:id="916"/>
      <w:bookmarkEnd w:id="917"/>
      <w:bookmarkEnd w:id="918"/>
      <w:bookmarkEnd w:id="919"/>
      <w:bookmarkEnd w:id="920"/>
      <w:bookmarkEnd w:id="921"/>
      <w:bookmarkEnd w:id="922"/>
    </w:p>
    <w:p w14:paraId="22397575">
      <w:pPr>
        <w:pStyle w:val="403"/>
        <w:spacing w:line="460" w:lineRule="exact"/>
        <w:ind w:firstLine="480" w:firstLineChars="200"/>
        <w:rPr>
          <w:rFonts w:hint="eastAsia" w:eastAsia="宋体" w:cs="宋体"/>
          <w:snapToGrid w:val="0"/>
        </w:rPr>
      </w:pPr>
      <w:bookmarkStart w:id="923" w:name="_Toc300835138"/>
      <w:bookmarkStart w:id="924" w:name="_Toc247527736"/>
      <w:bookmarkStart w:id="925" w:name="_Toc476860455"/>
      <w:bookmarkStart w:id="926" w:name="_Toc411736520"/>
      <w:bookmarkStart w:id="927" w:name="_Toc410559438"/>
      <w:bookmarkStart w:id="928" w:name="_Toc411736244"/>
      <w:bookmarkStart w:id="929" w:name="_Toc247514135"/>
      <w:bookmarkStart w:id="930" w:name="_Toc68594845"/>
      <w:r>
        <w:rPr>
          <w:rFonts w:hint="eastAsia" w:eastAsia="宋体" w:cs="宋体"/>
          <w:snapToGrid w:val="0"/>
        </w:rPr>
        <w:t>14.1 材料、工程设备和工程的试验和检验</w:t>
      </w:r>
      <w:bookmarkEnd w:id="923"/>
      <w:bookmarkEnd w:id="924"/>
      <w:bookmarkEnd w:id="925"/>
      <w:bookmarkEnd w:id="926"/>
      <w:bookmarkEnd w:id="927"/>
      <w:bookmarkEnd w:id="928"/>
      <w:bookmarkEnd w:id="929"/>
      <w:bookmarkEnd w:id="930"/>
    </w:p>
    <w:p w14:paraId="18B7848D">
      <w:pPr>
        <w:pStyle w:val="403"/>
        <w:spacing w:line="460" w:lineRule="exact"/>
        <w:ind w:firstLine="480" w:firstLineChars="200"/>
        <w:rPr>
          <w:rFonts w:hint="eastAsia" w:eastAsia="宋体" w:cs="宋体"/>
          <w:snapToGrid w:val="0"/>
        </w:rPr>
      </w:pPr>
      <w:r>
        <w:rPr>
          <w:rFonts w:hint="eastAsia" w:eastAsia="宋体" w:cs="宋体"/>
          <w:snapToGrid w:val="0"/>
        </w:rPr>
        <w:t>14.1.1 本款适用于竣工试验之前的试验和检验。</w:t>
      </w:r>
    </w:p>
    <w:p w14:paraId="2215B406">
      <w:pPr>
        <w:pStyle w:val="403"/>
        <w:spacing w:line="460" w:lineRule="exact"/>
        <w:ind w:firstLine="480" w:firstLineChars="200"/>
        <w:rPr>
          <w:rFonts w:hint="eastAsia" w:eastAsia="宋体" w:cs="宋体"/>
          <w:snapToGrid w:val="0"/>
        </w:rPr>
      </w:pPr>
      <w:r>
        <w:rPr>
          <w:rFonts w:hint="eastAsia" w:eastAsia="宋体" w:cs="宋体"/>
          <w:snapToGrid w:val="0"/>
        </w:rPr>
        <w:t>14.1.2 承包人应按合同约定进行材料、工程设备和工程的试验和检验，并为监理人对上述材料、工程设备和工程的质量检查提供必要的试验资料和原始记录。按合同约定应由监理人与承包人共同进行试验和检验的，由承包人负责提供必要的试验资料和原始记录。</w:t>
      </w:r>
    </w:p>
    <w:p w14:paraId="32B3D89C">
      <w:pPr>
        <w:pStyle w:val="403"/>
        <w:spacing w:line="460" w:lineRule="exact"/>
        <w:ind w:firstLine="480" w:firstLineChars="200"/>
        <w:rPr>
          <w:rFonts w:hint="eastAsia" w:eastAsia="宋体" w:cs="宋体"/>
          <w:snapToGrid w:val="0"/>
        </w:rPr>
      </w:pPr>
      <w:r>
        <w:rPr>
          <w:rFonts w:hint="eastAsia" w:eastAsia="宋体" w:cs="宋体"/>
          <w:snapToGrid w:val="0"/>
        </w:rPr>
        <w:t>14.1.3 监理人未按合同约定派员参加试验和检验的，除监理人另有指示外，承包人可自行试验和检验，并应立即将试验和检验结果报送监理人，监理人应签字确认。</w:t>
      </w:r>
    </w:p>
    <w:p w14:paraId="1820F15A">
      <w:pPr>
        <w:pStyle w:val="403"/>
        <w:spacing w:line="460" w:lineRule="exact"/>
        <w:ind w:firstLine="480" w:firstLineChars="200"/>
        <w:rPr>
          <w:rFonts w:hint="eastAsia" w:eastAsia="宋体" w:cs="宋体"/>
          <w:snapToGrid w:val="0"/>
        </w:rPr>
      </w:pPr>
      <w:r>
        <w:rPr>
          <w:rFonts w:hint="eastAsia" w:eastAsia="宋体" w:cs="宋体"/>
          <w:snapToGrid w:val="0"/>
        </w:rPr>
        <w:t>14.1.4 监理人对承包人的试验和检验结果有疑问的，或为查清承包人试验和检验成果的可靠性要求承包人重新试验和检验的，可按合同约定由监理人与承包人共同进行。重新试验和检验的结果证明该项材料、工程设备或工程的质量不符合合同要求的，由此增加的费用和（或）工期延误由承包人承担；重新试验和检验结果证明该项材料、工程设备和工程符合合同要求，由发包人承担由此增加的费用和（或）工期延误，并支付承包人合理利润。</w:t>
      </w:r>
    </w:p>
    <w:p w14:paraId="3ADE739D">
      <w:pPr>
        <w:pStyle w:val="403"/>
        <w:spacing w:line="460" w:lineRule="exact"/>
        <w:ind w:firstLine="480" w:firstLineChars="200"/>
        <w:rPr>
          <w:rFonts w:hint="eastAsia" w:eastAsia="宋体" w:cs="宋体"/>
          <w:snapToGrid w:val="0"/>
        </w:rPr>
      </w:pPr>
      <w:bookmarkStart w:id="931" w:name="_Toc247514136"/>
      <w:bookmarkStart w:id="932" w:name="_Toc247527737"/>
      <w:bookmarkStart w:id="933" w:name="_Toc68594846"/>
      <w:bookmarkStart w:id="934" w:name="_Toc411736521"/>
      <w:bookmarkStart w:id="935" w:name="_Toc476860456"/>
      <w:bookmarkStart w:id="936" w:name="_Toc410559439"/>
      <w:bookmarkStart w:id="937" w:name="_Toc300835139"/>
      <w:bookmarkStart w:id="938" w:name="_Toc411736245"/>
      <w:r>
        <w:rPr>
          <w:rFonts w:hint="eastAsia" w:eastAsia="宋体" w:cs="宋体"/>
          <w:snapToGrid w:val="0"/>
        </w:rPr>
        <w:t>14.2 现场材料试验</w:t>
      </w:r>
      <w:bookmarkEnd w:id="931"/>
      <w:bookmarkEnd w:id="932"/>
      <w:bookmarkEnd w:id="933"/>
      <w:bookmarkEnd w:id="934"/>
      <w:bookmarkEnd w:id="935"/>
      <w:bookmarkEnd w:id="936"/>
      <w:bookmarkEnd w:id="937"/>
      <w:bookmarkEnd w:id="938"/>
    </w:p>
    <w:p w14:paraId="5548E15D">
      <w:pPr>
        <w:pStyle w:val="403"/>
        <w:spacing w:line="460" w:lineRule="exact"/>
        <w:ind w:firstLine="480" w:firstLineChars="200"/>
        <w:rPr>
          <w:rFonts w:hint="eastAsia" w:eastAsia="宋体" w:cs="宋体"/>
          <w:snapToGrid w:val="0"/>
        </w:rPr>
      </w:pPr>
      <w:r>
        <w:rPr>
          <w:rFonts w:hint="eastAsia" w:eastAsia="宋体" w:cs="宋体"/>
          <w:snapToGrid w:val="0"/>
        </w:rPr>
        <w:t>14.2.1 承包人根据合同约定或监理人指示进行的现场材料试验，应由承包人提供试验场所、试验人员、试验设备器材以及其他必要的试验条件。</w:t>
      </w:r>
    </w:p>
    <w:p w14:paraId="03D38DF4">
      <w:pPr>
        <w:pStyle w:val="403"/>
        <w:spacing w:line="460" w:lineRule="exact"/>
        <w:ind w:firstLine="480" w:firstLineChars="200"/>
        <w:rPr>
          <w:rFonts w:hint="eastAsia" w:eastAsia="宋体" w:cs="宋体"/>
          <w:snapToGrid w:val="0"/>
        </w:rPr>
      </w:pPr>
      <w:r>
        <w:rPr>
          <w:rFonts w:hint="eastAsia" w:eastAsia="宋体" w:cs="宋体"/>
          <w:snapToGrid w:val="0"/>
        </w:rPr>
        <w:t>14.2.2 监理人在必要时可以使用承包人的试验场所、试验设备器材以及其他试验条件，进行以工程质量检查为目的的复核性材料试验，承包人应予以协助。</w:t>
      </w:r>
    </w:p>
    <w:p w14:paraId="06635929">
      <w:pPr>
        <w:pStyle w:val="403"/>
        <w:spacing w:line="460" w:lineRule="exact"/>
        <w:ind w:firstLine="480" w:firstLineChars="200"/>
        <w:rPr>
          <w:rFonts w:hint="eastAsia" w:eastAsia="宋体" w:cs="宋体"/>
          <w:snapToGrid w:val="0"/>
        </w:rPr>
      </w:pPr>
      <w:bookmarkStart w:id="939" w:name="_Toc247527738"/>
      <w:bookmarkStart w:id="940" w:name="_Toc300835140"/>
      <w:bookmarkStart w:id="941" w:name="_Toc476860457"/>
      <w:bookmarkStart w:id="942" w:name="_Toc411736246"/>
      <w:bookmarkStart w:id="943" w:name="_Toc247514137"/>
      <w:bookmarkStart w:id="944" w:name="_Toc68594847"/>
      <w:bookmarkStart w:id="945" w:name="_Toc410559440"/>
      <w:bookmarkStart w:id="946" w:name="_Toc411736522"/>
      <w:r>
        <w:rPr>
          <w:rFonts w:hint="eastAsia" w:eastAsia="宋体" w:cs="宋体"/>
          <w:snapToGrid w:val="0"/>
        </w:rPr>
        <w:t>14.3 现场工艺试验</w:t>
      </w:r>
      <w:bookmarkEnd w:id="939"/>
      <w:bookmarkEnd w:id="940"/>
      <w:bookmarkEnd w:id="941"/>
      <w:bookmarkEnd w:id="942"/>
      <w:bookmarkEnd w:id="943"/>
      <w:bookmarkEnd w:id="944"/>
      <w:bookmarkEnd w:id="945"/>
      <w:bookmarkEnd w:id="946"/>
    </w:p>
    <w:p w14:paraId="1D5260C9">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承包人应按合同约定或监理人指示进行现场工艺试验。对大型的现场工艺试验，监理人认为必要时，应由承包人根据监理人提出的工艺试验要求，编制工艺试验措施计划，报送监理人批准。</w:t>
      </w:r>
    </w:p>
    <w:p w14:paraId="2F98B3B0">
      <w:pPr>
        <w:pStyle w:val="5"/>
        <w:spacing w:before="360" w:after="120" w:afterLines="50" w:line="480" w:lineRule="exact"/>
        <w:rPr>
          <w:rFonts w:hint="eastAsia" w:ascii="宋体" w:hAnsi="宋体" w:eastAsia="宋体" w:cs="宋体"/>
          <w:bCs/>
          <w:sz w:val="28"/>
          <w:szCs w:val="28"/>
        </w:rPr>
      </w:pPr>
      <w:bookmarkStart w:id="947" w:name="_Toc68594848"/>
      <w:bookmarkStart w:id="948" w:name="_Toc176268734"/>
      <w:bookmarkStart w:id="949" w:name="_Toc184635112"/>
      <w:bookmarkStart w:id="950" w:name="_Toc23788"/>
      <w:bookmarkStart w:id="951" w:name="_Toc247527739"/>
      <w:bookmarkStart w:id="952" w:name="_Toc83220605"/>
      <w:bookmarkStart w:id="953" w:name="_Toc411736523"/>
      <w:bookmarkStart w:id="954" w:name="_Toc411736247"/>
      <w:bookmarkStart w:id="955" w:name="_Toc247514138"/>
      <w:bookmarkStart w:id="956" w:name="_Toc410559441"/>
      <w:bookmarkStart w:id="957" w:name="_Toc476860458"/>
      <w:bookmarkStart w:id="958" w:name="_Toc198803801"/>
      <w:bookmarkStart w:id="959" w:name="_Toc300835141"/>
      <w:r>
        <w:rPr>
          <w:rFonts w:hint="eastAsia" w:ascii="宋体" w:hAnsi="宋体" w:eastAsia="宋体" w:cs="宋体"/>
          <w:bCs/>
          <w:sz w:val="28"/>
          <w:szCs w:val="28"/>
        </w:rPr>
        <w:t>15. 变更</w:t>
      </w:r>
      <w:bookmarkEnd w:id="947"/>
      <w:bookmarkEnd w:id="948"/>
      <w:bookmarkEnd w:id="949"/>
      <w:bookmarkEnd w:id="950"/>
      <w:bookmarkEnd w:id="951"/>
      <w:bookmarkEnd w:id="952"/>
      <w:bookmarkEnd w:id="953"/>
      <w:bookmarkEnd w:id="954"/>
      <w:bookmarkEnd w:id="955"/>
      <w:bookmarkEnd w:id="956"/>
      <w:bookmarkEnd w:id="957"/>
      <w:bookmarkEnd w:id="958"/>
      <w:bookmarkEnd w:id="959"/>
      <w:bookmarkStart w:id="960" w:name="_Toc247514139"/>
      <w:bookmarkStart w:id="961" w:name="_Toc247527740"/>
    </w:p>
    <w:p w14:paraId="3755E91F">
      <w:pPr>
        <w:pStyle w:val="403"/>
        <w:spacing w:line="460" w:lineRule="exact"/>
        <w:ind w:firstLine="480" w:firstLineChars="200"/>
        <w:rPr>
          <w:rFonts w:hint="eastAsia" w:eastAsia="宋体" w:cs="宋体"/>
          <w:snapToGrid w:val="0"/>
        </w:rPr>
      </w:pPr>
      <w:bookmarkStart w:id="962" w:name="_Toc68594849"/>
      <w:bookmarkStart w:id="963" w:name="_Toc300835142"/>
      <w:bookmarkStart w:id="964" w:name="_Toc411736524"/>
      <w:bookmarkStart w:id="965" w:name="_Toc411736248"/>
      <w:bookmarkStart w:id="966" w:name="_Toc410559442"/>
      <w:bookmarkStart w:id="967" w:name="_Toc476860459"/>
      <w:r>
        <w:rPr>
          <w:rFonts w:hint="eastAsia" w:eastAsia="宋体" w:cs="宋体"/>
          <w:snapToGrid w:val="0"/>
        </w:rPr>
        <w:t>15.1 变更权</w:t>
      </w:r>
      <w:bookmarkEnd w:id="960"/>
      <w:bookmarkEnd w:id="961"/>
      <w:bookmarkEnd w:id="962"/>
      <w:bookmarkEnd w:id="963"/>
      <w:bookmarkEnd w:id="964"/>
      <w:bookmarkEnd w:id="965"/>
      <w:bookmarkEnd w:id="966"/>
      <w:bookmarkEnd w:id="967"/>
    </w:p>
    <w:p w14:paraId="2EAE5226">
      <w:pPr>
        <w:pStyle w:val="403"/>
        <w:spacing w:line="460" w:lineRule="exact"/>
        <w:ind w:firstLine="480" w:firstLineChars="200"/>
        <w:rPr>
          <w:rFonts w:hint="eastAsia" w:eastAsia="宋体" w:cs="宋体"/>
          <w:snapToGrid w:val="0"/>
        </w:rPr>
      </w:pPr>
      <w:r>
        <w:rPr>
          <w:rFonts w:hint="eastAsia" w:eastAsia="宋体" w:cs="宋体"/>
          <w:snapToGrid w:val="0"/>
        </w:rPr>
        <w:t>在履行合同过程中，经发包人同意，监理人可按第15.3 款约定的变更程序向承包人作出有关发包人要求改变的变更指示，承包人应遵照执行。变更应在相应内容实施前提出，否则发包人应承担承包人损失。没有监理人的变更指示，承包人不得擅自变更。</w:t>
      </w:r>
    </w:p>
    <w:p w14:paraId="2F28BBBB">
      <w:pPr>
        <w:pStyle w:val="403"/>
        <w:spacing w:line="460" w:lineRule="exact"/>
        <w:ind w:firstLine="480" w:firstLineChars="200"/>
        <w:rPr>
          <w:rFonts w:hint="eastAsia" w:eastAsia="宋体" w:cs="宋体"/>
          <w:snapToGrid w:val="0"/>
        </w:rPr>
      </w:pPr>
      <w:bookmarkStart w:id="968" w:name="_Toc410559443"/>
      <w:bookmarkStart w:id="969" w:name="_Toc476860460"/>
      <w:bookmarkStart w:id="970" w:name="_Toc247514140"/>
      <w:bookmarkStart w:id="971" w:name="_Toc68594850"/>
      <w:bookmarkStart w:id="972" w:name="_Toc247527741"/>
      <w:bookmarkStart w:id="973" w:name="_Toc300835143"/>
      <w:bookmarkStart w:id="974" w:name="_Toc411736525"/>
      <w:bookmarkStart w:id="975" w:name="_Toc411736249"/>
      <w:r>
        <w:rPr>
          <w:rFonts w:hint="eastAsia" w:eastAsia="宋体" w:cs="宋体"/>
          <w:snapToGrid w:val="0"/>
        </w:rPr>
        <w:t>15.2 承包人的合理化建议</w:t>
      </w:r>
      <w:bookmarkEnd w:id="968"/>
      <w:bookmarkEnd w:id="969"/>
      <w:bookmarkEnd w:id="970"/>
      <w:bookmarkEnd w:id="971"/>
      <w:bookmarkEnd w:id="972"/>
      <w:bookmarkEnd w:id="973"/>
      <w:bookmarkEnd w:id="974"/>
      <w:bookmarkEnd w:id="975"/>
    </w:p>
    <w:p w14:paraId="3CFDB288">
      <w:pPr>
        <w:pStyle w:val="403"/>
        <w:spacing w:line="460" w:lineRule="exact"/>
        <w:ind w:firstLine="480" w:firstLineChars="200"/>
        <w:rPr>
          <w:rFonts w:hint="eastAsia" w:eastAsia="宋体" w:cs="宋体"/>
          <w:snapToGrid w:val="0"/>
        </w:rPr>
      </w:pPr>
      <w:r>
        <w:rPr>
          <w:rFonts w:hint="eastAsia" w:eastAsia="宋体" w:cs="宋体"/>
          <w:snapToGrid w:val="0"/>
        </w:rPr>
        <w:t>15.2.1 在履行合同过程中，承包人对发包人要求的合理化建议，均应以书面形式提交监理人。合理化建议书的内容应包括建议工作的详细说明、进度计划和效益以及与其他工作的协调等，并附必要的设计文件。监理人应与发包人协商是否采纳建议。建议被采纳并构成变更的，应按第15.3款约定向承包人发出变更指示。</w:t>
      </w:r>
    </w:p>
    <w:p w14:paraId="7B432D8B">
      <w:pPr>
        <w:pStyle w:val="403"/>
        <w:spacing w:line="460" w:lineRule="exact"/>
        <w:ind w:firstLine="480" w:firstLineChars="200"/>
        <w:rPr>
          <w:rFonts w:hint="eastAsia" w:eastAsia="宋体" w:cs="宋体"/>
          <w:snapToGrid w:val="0"/>
        </w:rPr>
      </w:pPr>
      <w:r>
        <w:rPr>
          <w:rFonts w:hint="eastAsia" w:eastAsia="宋体" w:cs="宋体"/>
          <w:snapToGrid w:val="0"/>
        </w:rPr>
        <w:t>15.2.2 承包人提出的合理化建议降低了合同价格、缩短了工期或者提高了工程经济效益的，发包人可按国家有关规定在专用合同条款中约定给予奖励。</w:t>
      </w:r>
    </w:p>
    <w:p w14:paraId="727E66E0">
      <w:pPr>
        <w:pStyle w:val="403"/>
        <w:spacing w:line="460" w:lineRule="exact"/>
        <w:ind w:firstLine="480" w:firstLineChars="200"/>
        <w:rPr>
          <w:rFonts w:hint="eastAsia" w:eastAsia="宋体" w:cs="宋体"/>
          <w:snapToGrid w:val="0"/>
        </w:rPr>
      </w:pPr>
      <w:bookmarkStart w:id="976" w:name="_Toc411736526"/>
      <w:bookmarkStart w:id="977" w:name="_Toc476860461"/>
      <w:bookmarkStart w:id="978" w:name="_Toc300835144"/>
      <w:bookmarkStart w:id="979" w:name="_Toc410559444"/>
      <w:bookmarkStart w:id="980" w:name="_Toc247527742"/>
      <w:bookmarkStart w:id="981" w:name="_Toc247514141"/>
      <w:bookmarkStart w:id="982" w:name="_Toc411736250"/>
      <w:bookmarkStart w:id="983" w:name="_Toc68594851"/>
      <w:r>
        <w:rPr>
          <w:rFonts w:hint="eastAsia" w:eastAsia="宋体" w:cs="宋体"/>
          <w:snapToGrid w:val="0"/>
        </w:rPr>
        <w:t>15.3 变更程序</w:t>
      </w:r>
      <w:bookmarkEnd w:id="976"/>
      <w:bookmarkEnd w:id="977"/>
      <w:bookmarkEnd w:id="978"/>
      <w:bookmarkEnd w:id="979"/>
      <w:bookmarkEnd w:id="980"/>
      <w:bookmarkEnd w:id="981"/>
      <w:bookmarkEnd w:id="982"/>
      <w:bookmarkEnd w:id="983"/>
    </w:p>
    <w:p w14:paraId="2609CAE5">
      <w:pPr>
        <w:pStyle w:val="403"/>
        <w:spacing w:line="460" w:lineRule="exact"/>
        <w:ind w:firstLine="480" w:firstLineChars="200"/>
        <w:rPr>
          <w:rFonts w:hint="eastAsia" w:eastAsia="宋体" w:cs="宋体"/>
          <w:snapToGrid w:val="0"/>
        </w:rPr>
      </w:pPr>
      <w:r>
        <w:rPr>
          <w:rFonts w:hint="eastAsia" w:eastAsia="宋体" w:cs="宋体"/>
          <w:snapToGrid w:val="0"/>
        </w:rPr>
        <w:t>15.3.1 变更的提出</w:t>
      </w:r>
    </w:p>
    <w:p w14:paraId="189DA522">
      <w:pPr>
        <w:pStyle w:val="403"/>
        <w:spacing w:line="460" w:lineRule="exact"/>
        <w:ind w:firstLine="480" w:firstLineChars="200"/>
        <w:rPr>
          <w:rFonts w:hint="eastAsia" w:eastAsia="宋体" w:cs="宋体"/>
          <w:snapToGrid w:val="0"/>
        </w:rPr>
      </w:pPr>
      <w:r>
        <w:rPr>
          <w:rFonts w:hint="eastAsia" w:eastAsia="宋体" w:cs="宋体"/>
          <w:snapToGrid w:val="0"/>
        </w:rPr>
        <w:t>（1）在合同履行过程中，监理人可向承包人发出变更意向书。变更意向书应说明变更的具体内容和发包人对变更的时间要求，并附必要的相关资料。变更意向书应要求承包人提交包括拟实施变更工作的设计和计划、措施和竣工时间等内容的实施方案。发包人同意承包人根据变更意向书要求提交的变更实施方案的，由监理人按第15.3.3 项约定发出变更指示。</w:t>
      </w:r>
    </w:p>
    <w:p w14:paraId="31B26B53">
      <w:pPr>
        <w:pStyle w:val="403"/>
        <w:spacing w:line="460" w:lineRule="exact"/>
        <w:ind w:firstLine="480" w:firstLineChars="200"/>
        <w:rPr>
          <w:rFonts w:hint="eastAsia" w:eastAsia="宋体" w:cs="宋体"/>
          <w:snapToGrid w:val="0"/>
        </w:rPr>
      </w:pPr>
      <w:r>
        <w:rPr>
          <w:rFonts w:hint="eastAsia" w:eastAsia="宋体" w:cs="宋体"/>
          <w:snapToGrid w:val="0"/>
        </w:rPr>
        <w:t>（2）承包人收到监理人按合同约定发出的文件，经检查认为其中存在对发包人要求变更情形的，可向监理人提出书面变更建议。变更建议应阐明要求变更的依据，以及实施该变更工作对合同价款和工期的影响，并附必要的图纸和说明。监理人收到承包人书面建议后，应与发包人共同研究，确认存在变更的，应在收到承包人书面建议后的14 天内作出变更指示。经研究后不同意作为变更的，应由监理人书面答复承包人。</w:t>
      </w:r>
    </w:p>
    <w:p w14:paraId="21AC789E">
      <w:pPr>
        <w:pStyle w:val="403"/>
        <w:spacing w:line="460" w:lineRule="exact"/>
        <w:ind w:firstLine="480" w:firstLineChars="200"/>
        <w:rPr>
          <w:rFonts w:hint="eastAsia" w:eastAsia="宋体" w:cs="宋体"/>
          <w:snapToGrid w:val="0"/>
        </w:rPr>
      </w:pPr>
      <w:r>
        <w:rPr>
          <w:rFonts w:hint="eastAsia" w:eastAsia="宋体" w:cs="宋体"/>
          <w:snapToGrid w:val="0"/>
        </w:rPr>
        <w:t>（3）承包人收到监理人的变更意向书后认为难以实施此项变更的，应立即通知监理人，说明原因并附详细依据。监理人与承包人和发包人协商后确定撤销、改变或不改变原变更意向书。</w:t>
      </w:r>
    </w:p>
    <w:p w14:paraId="10FD705C">
      <w:pPr>
        <w:pStyle w:val="403"/>
        <w:spacing w:line="460" w:lineRule="exact"/>
        <w:ind w:firstLine="480" w:firstLineChars="200"/>
        <w:rPr>
          <w:rFonts w:hint="eastAsia" w:eastAsia="宋体" w:cs="宋体"/>
          <w:snapToGrid w:val="0"/>
        </w:rPr>
      </w:pPr>
      <w:r>
        <w:rPr>
          <w:rFonts w:hint="eastAsia" w:eastAsia="宋体" w:cs="宋体"/>
          <w:snapToGrid w:val="0"/>
        </w:rPr>
        <w:t>15.3.2 变更估价</w:t>
      </w:r>
    </w:p>
    <w:p w14:paraId="18D102B9">
      <w:pPr>
        <w:pStyle w:val="403"/>
        <w:spacing w:line="460" w:lineRule="exact"/>
        <w:ind w:firstLine="480" w:firstLineChars="200"/>
        <w:rPr>
          <w:rFonts w:hint="eastAsia" w:eastAsia="宋体" w:cs="宋体"/>
          <w:snapToGrid w:val="0"/>
        </w:rPr>
      </w:pPr>
      <w:r>
        <w:rPr>
          <w:rFonts w:hint="eastAsia" w:eastAsia="宋体" w:cs="宋体"/>
          <w:snapToGrid w:val="0"/>
        </w:rPr>
        <w:t>监理人应按照第3.5 款商定或确定变更价格。变更价格应包括合理的利润，并应考虑承包人根据第15.2款提出的合理化建议。</w:t>
      </w:r>
    </w:p>
    <w:p w14:paraId="15A4F230">
      <w:pPr>
        <w:pStyle w:val="403"/>
        <w:spacing w:line="460" w:lineRule="exact"/>
        <w:ind w:firstLine="480" w:firstLineChars="200"/>
        <w:rPr>
          <w:rFonts w:hint="eastAsia" w:eastAsia="宋体" w:cs="宋体"/>
          <w:snapToGrid w:val="0"/>
        </w:rPr>
      </w:pPr>
      <w:r>
        <w:rPr>
          <w:rFonts w:hint="eastAsia" w:eastAsia="宋体" w:cs="宋体"/>
          <w:snapToGrid w:val="0"/>
        </w:rPr>
        <w:t>15.3.3 变更指示</w:t>
      </w:r>
    </w:p>
    <w:p w14:paraId="1749D184">
      <w:pPr>
        <w:pStyle w:val="403"/>
        <w:spacing w:line="460" w:lineRule="exact"/>
        <w:ind w:firstLine="480" w:firstLineChars="200"/>
        <w:rPr>
          <w:rFonts w:hint="eastAsia" w:eastAsia="宋体" w:cs="宋体"/>
          <w:snapToGrid w:val="0"/>
        </w:rPr>
      </w:pPr>
      <w:r>
        <w:rPr>
          <w:rFonts w:hint="eastAsia" w:eastAsia="宋体" w:cs="宋体"/>
          <w:snapToGrid w:val="0"/>
        </w:rPr>
        <w:t>（1）变更指示只能由监理人发出。</w:t>
      </w:r>
    </w:p>
    <w:p w14:paraId="7DCB4D47">
      <w:pPr>
        <w:pStyle w:val="403"/>
        <w:spacing w:line="460" w:lineRule="exact"/>
        <w:ind w:firstLine="480" w:firstLineChars="200"/>
        <w:rPr>
          <w:rFonts w:hint="eastAsia" w:eastAsia="宋体" w:cs="宋体"/>
          <w:snapToGrid w:val="0"/>
        </w:rPr>
      </w:pPr>
      <w:r>
        <w:rPr>
          <w:rFonts w:hint="eastAsia" w:eastAsia="宋体" w:cs="宋体"/>
          <w:snapToGrid w:val="0"/>
        </w:rPr>
        <w:t>（2）变更指示应说明变更的目的、范围、变更内容以及变更的工程量及其进度和技术要求，并附有关图纸和文件。承包人收到变更指示后，应按变更指示进行变更工作。</w:t>
      </w:r>
    </w:p>
    <w:p w14:paraId="232D3308">
      <w:pPr>
        <w:pStyle w:val="403"/>
        <w:spacing w:line="460" w:lineRule="exact"/>
        <w:ind w:firstLine="480" w:firstLineChars="200"/>
        <w:rPr>
          <w:rFonts w:hint="eastAsia" w:eastAsia="宋体" w:cs="宋体"/>
          <w:snapToGrid w:val="0"/>
        </w:rPr>
      </w:pPr>
      <w:bookmarkStart w:id="984" w:name="_Toc300835145"/>
      <w:bookmarkStart w:id="985" w:name="_Toc68594852"/>
      <w:bookmarkStart w:id="986" w:name="_Toc476860462"/>
      <w:bookmarkStart w:id="987" w:name="_Toc410559445"/>
      <w:bookmarkStart w:id="988" w:name="_Toc247514142"/>
      <w:bookmarkStart w:id="989" w:name="_Toc411736527"/>
      <w:bookmarkStart w:id="990" w:name="_Toc411736251"/>
      <w:bookmarkStart w:id="991" w:name="_Toc247527743"/>
      <w:r>
        <w:rPr>
          <w:rFonts w:hint="eastAsia" w:eastAsia="宋体" w:cs="宋体"/>
          <w:snapToGrid w:val="0"/>
        </w:rPr>
        <w:t>15.4 暂列金额</w:t>
      </w:r>
      <w:bookmarkEnd w:id="984"/>
      <w:bookmarkEnd w:id="985"/>
      <w:bookmarkEnd w:id="986"/>
      <w:bookmarkEnd w:id="987"/>
      <w:bookmarkEnd w:id="988"/>
      <w:bookmarkEnd w:id="989"/>
      <w:bookmarkEnd w:id="990"/>
      <w:bookmarkEnd w:id="991"/>
    </w:p>
    <w:p w14:paraId="37CE6B47">
      <w:pPr>
        <w:pStyle w:val="403"/>
        <w:spacing w:line="460" w:lineRule="exact"/>
        <w:ind w:firstLine="480" w:firstLineChars="200"/>
        <w:rPr>
          <w:rFonts w:hint="eastAsia" w:eastAsia="宋体" w:cs="宋体"/>
          <w:snapToGrid w:val="0"/>
        </w:rPr>
      </w:pPr>
      <w:r>
        <w:rPr>
          <w:rFonts w:hint="eastAsia" w:eastAsia="宋体" w:cs="宋体"/>
          <w:snapToGrid w:val="0"/>
        </w:rPr>
        <w:t>经发包人同意，承包人可使用暂列金额，但应按照第15.6款规定的程序进行，并对合同价格进行相应调整。</w:t>
      </w:r>
    </w:p>
    <w:p w14:paraId="0A2237EA">
      <w:pPr>
        <w:pStyle w:val="403"/>
        <w:spacing w:line="460" w:lineRule="exact"/>
        <w:ind w:firstLine="480" w:firstLineChars="200"/>
        <w:rPr>
          <w:rFonts w:hint="eastAsia" w:eastAsia="宋体" w:cs="宋体"/>
          <w:snapToGrid w:val="0"/>
        </w:rPr>
      </w:pPr>
      <w:bookmarkStart w:id="992" w:name="_Toc411736252"/>
      <w:bookmarkStart w:id="993" w:name="_Toc411736528"/>
      <w:bookmarkStart w:id="994" w:name="_Toc476860463"/>
      <w:bookmarkStart w:id="995" w:name="_Toc410559446"/>
      <w:bookmarkStart w:id="996" w:name="_Toc68594853"/>
      <w:r>
        <w:rPr>
          <w:rFonts w:hint="eastAsia" w:eastAsia="宋体" w:cs="宋体"/>
          <w:snapToGrid w:val="0"/>
        </w:rPr>
        <w:t>15.5 计日工（A）</w:t>
      </w:r>
      <w:bookmarkEnd w:id="992"/>
      <w:bookmarkEnd w:id="993"/>
      <w:bookmarkEnd w:id="994"/>
      <w:bookmarkEnd w:id="995"/>
      <w:bookmarkEnd w:id="996"/>
    </w:p>
    <w:p w14:paraId="62A727BF">
      <w:pPr>
        <w:pStyle w:val="403"/>
        <w:spacing w:line="460" w:lineRule="exact"/>
        <w:ind w:firstLine="480" w:firstLineChars="200"/>
        <w:rPr>
          <w:rFonts w:hint="eastAsia" w:eastAsia="宋体" w:cs="宋体"/>
          <w:snapToGrid w:val="0"/>
        </w:rPr>
      </w:pPr>
      <w:r>
        <w:rPr>
          <w:rFonts w:hint="eastAsia" w:eastAsia="宋体" w:cs="宋体"/>
          <w:snapToGrid w:val="0"/>
        </w:rPr>
        <w:t>15.5.1 发包人认为有必要时，由监理人通知承包人以计日工方式实施变更的零星工作。其价款按列入合同中的计日工计价子目及其单价进行计算。</w:t>
      </w:r>
    </w:p>
    <w:p w14:paraId="365D3293">
      <w:pPr>
        <w:pStyle w:val="403"/>
        <w:spacing w:line="460" w:lineRule="exact"/>
        <w:ind w:firstLine="480" w:firstLineChars="200"/>
        <w:rPr>
          <w:rFonts w:hint="eastAsia" w:eastAsia="宋体" w:cs="宋体"/>
          <w:snapToGrid w:val="0"/>
        </w:rPr>
      </w:pPr>
      <w:r>
        <w:rPr>
          <w:rFonts w:hint="eastAsia" w:eastAsia="宋体" w:cs="宋体"/>
          <w:snapToGrid w:val="0"/>
        </w:rPr>
        <w:t>15.5.2 采用计日工计价的任何一项变更工作，应从暂列金额中支付，承包人应在该项变更的实施过程中，每天提交以下报表和有关凭证报送监理人批准：</w:t>
      </w:r>
    </w:p>
    <w:p w14:paraId="49C8BFF9">
      <w:pPr>
        <w:pStyle w:val="403"/>
        <w:spacing w:line="460" w:lineRule="exact"/>
        <w:ind w:firstLine="480" w:firstLineChars="200"/>
        <w:rPr>
          <w:rFonts w:hint="eastAsia" w:eastAsia="宋体" w:cs="宋体"/>
          <w:snapToGrid w:val="0"/>
        </w:rPr>
      </w:pPr>
      <w:r>
        <w:rPr>
          <w:rFonts w:hint="eastAsia" w:eastAsia="宋体" w:cs="宋体"/>
          <w:snapToGrid w:val="0"/>
        </w:rPr>
        <w:t>（1）工作名称、内容和数量；</w:t>
      </w:r>
    </w:p>
    <w:p w14:paraId="162B6E11">
      <w:pPr>
        <w:pStyle w:val="403"/>
        <w:spacing w:line="460" w:lineRule="exact"/>
        <w:ind w:firstLine="480" w:firstLineChars="200"/>
        <w:rPr>
          <w:rFonts w:hint="eastAsia" w:eastAsia="宋体" w:cs="宋体"/>
          <w:snapToGrid w:val="0"/>
        </w:rPr>
      </w:pPr>
      <w:r>
        <w:rPr>
          <w:rFonts w:hint="eastAsia" w:eastAsia="宋体" w:cs="宋体"/>
          <w:snapToGrid w:val="0"/>
        </w:rPr>
        <w:t>（2）投入该工作所有人员的姓名、专业/工种、级别和耗用工时；</w:t>
      </w:r>
    </w:p>
    <w:p w14:paraId="50DD622F">
      <w:pPr>
        <w:pStyle w:val="403"/>
        <w:spacing w:line="460" w:lineRule="exact"/>
        <w:ind w:firstLine="480" w:firstLineChars="200"/>
        <w:rPr>
          <w:rFonts w:hint="eastAsia" w:eastAsia="宋体" w:cs="宋体"/>
          <w:snapToGrid w:val="0"/>
        </w:rPr>
      </w:pPr>
      <w:r>
        <w:rPr>
          <w:rFonts w:hint="eastAsia" w:eastAsia="宋体" w:cs="宋体"/>
          <w:snapToGrid w:val="0"/>
        </w:rPr>
        <w:t>（3）投入该工作的材料类别和数量；</w:t>
      </w:r>
    </w:p>
    <w:p w14:paraId="641CD5AE">
      <w:pPr>
        <w:pStyle w:val="403"/>
        <w:spacing w:line="460" w:lineRule="exact"/>
        <w:ind w:firstLine="480" w:firstLineChars="200"/>
        <w:rPr>
          <w:rFonts w:hint="eastAsia" w:eastAsia="宋体" w:cs="宋体"/>
          <w:snapToGrid w:val="0"/>
        </w:rPr>
      </w:pPr>
      <w:r>
        <w:rPr>
          <w:rFonts w:hint="eastAsia" w:eastAsia="宋体" w:cs="宋体"/>
          <w:snapToGrid w:val="0"/>
        </w:rPr>
        <w:t>（4）投入该工作的施工设备型号、台数和耗用台时；</w:t>
      </w:r>
    </w:p>
    <w:p w14:paraId="6EDD4A33">
      <w:pPr>
        <w:pStyle w:val="403"/>
        <w:spacing w:line="460" w:lineRule="exact"/>
        <w:ind w:firstLine="480" w:firstLineChars="200"/>
        <w:rPr>
          <w:rFonts w:hint="eastAsia" w:eastAsia="宋体" w:cs="宋体"/>
          <w:snapToGrid w:val="0"/>
        </w:rPr>
      </w:pPr>
      <w:r>
        <w:rPr>
          <w:rFonts w:hint="eastAsia" w:eastAsia="宋体" w:cs="宋体"/>
          <w:snapToGrid w:val="0"/>
        </w:rPr>
        <w:t>（5）监理人要求提交的其他资料和凭证。</w:t>
      </w:r>
    </w:p>
    <w:p w14:paraId="4CB04925">
      <w:pPr>
        <w:pStyle w:val="403"/>
        <w:spacing w:line="460" w:lineRule="exact"/>
        <w:ind w:firstLine="480" w:firstLineChars="200"/>
        <w:rPr>
          <w:rFonts w:hint="eastAsia" w:eastAsia="宋体" w:cs="宋体"/>
          <w:snapToGrid w:val="0"/>
        </w:rPr>
      </w:pPr>
      <w:r>
        <w:rPr>
          <w:rFonts w:hint="eastAsia" w:eastAsia="宋体" w:cs="宋体"/>
          <w:snapToGrid w:val="0"/>
        </w:rPr>
        <w:t>15.5.3 计日工由承包人汇总后，按第17.3.3 项的约定列入进度付款申请单，由监理人复核并经发包人同意后列入进度付款。</w:t>
      </w:r>
    </w:p>
    <w:p w14:paraId="62E53DBD">
      <w:pPr>
        <w:pStyle w:val="403"/>
        <w:spacing w:line="460" w:lineRule="exact"/>
        <w:ind w:firstLine="480" w:firstLineChars="200"/>
        <w:rPr>
          <w:rFonts w:hint="eastAsia" w:eastAsia="宋体" w:cs="宋体"/>
          <w:snapToGrid w:val="0"/>
        </w:rPr>
      </w:pPr>
      <w:bookmarkStart w:id="997" w:name="_Toc411736529"/>
      <w:bookmarkStart w:id="998" w:name="_Toc68594854"/>
      <w:bookmarkStart w:id="999" w:name="_Toc476860464"/>
      <w:bookmarkStart w:id="1000" w:name="_Toc411736253"/>
      <w:bookmarkStart w:id="1001" w:name="_Toc410559447"/>
      <w:r>
        <w:rPr>
          <w:rFonts w:hint="eastAsia" w:eastAsia="宋体" w:cs="宋体"/>
          <w:snapToGrid w:val="0"/>
        </w:rPr>
        <w:t>15.6 暂估价（B）</w:t>
      </w:r>
      <w:bookmarkEnd w:id="997"/>
      <w:bookmarkEnd w:id="998"/>
      <w:bookmarkEnd w:id="999"/>
      <w:bookmarkEnd w:id="1000"/>
      <w:bookmarkEnd w:id="1001"/>
    </w:p>
    <w:p w14:paraId="5C90394D">
      <w:pPr>
        <w:pStyle w:val="403"/>
        <w:spacing w:line="460" w:lineRule="exact"/>
        <w:ind w:firstLine="480" w:firstLineChars="200"/>
        <w:rPr>
          <w:rFonts w:hint="eastAsia" w:eastAsia="宋体" w:cs="宋体"/>
          <w:snapToGrid w:val="0"/>
        </w:rPr>
      </w:pPr>
      <w:r>
        <w:rPr>
          <w:rFonts w:hint="eastAsia" w:eastAsia="宋体" w:cs="宋体"/>
          <w:snapToGrid w:val="0"/>
        </w:rPr>
        <w:t>签约合同价包括暂估价的，按合同约定进行支付。</w:t>
      </w:r>
    </w:p>
    <w:p w14:paraId="6B7209F2">
      <w:pPr>
        <w:pStyle w:val="5"/>
        <w:spacing w:before="360" w:after="120" w:afterLines="50" w:line="480" w:lineRule="exact"/>
        <w:rPr>
          <w:rFonts w:hint="eastAsia" w:ascii="宋体" w:hAnsi="宋体" w:eastAsia="宋体" w:cs="宋体"/>
          <w:bCs/>
          <w:sz w:val="28"/>
          <w:szCs w:val="28"/>
        </w:rPr>
      </w:pPr>
      <w:bookmarkStart w:id="1002" w:name="_Toc411736530"/>
      <w:bookmarkStart w:id="1003" w:name="_Toc24085"/>
      <w:bookmarkStart w:id="1004" w:name="_Toc300835146"/>
      <w:bookmarkStart w:id="1005" w:name="_Toc184635113"/>
      <w:bookmarkStart w:id="1006" w:name="_Toc198803802"/>
      <w:bookmarkStart w:id="1007" w:name="_Toc68594855"/>
      <w:bookmarkStart w:id="1008" w:name="_Toc83220606"/>
      <w:bookmarkStart w:id="1009" w:name="_Toc476860465"/>
      <w:bookmarkStart w:id="1010" w:name="_Toc247527744"/>
      <w:bookmarkStart w:id="1011" w:name="_Toc176268735"/>
      <w:bookmarkStart w:id="1012" w:name="_Toc411736254"/>
      <w:bookmarkStart w:id="1013" w:name="_Toc247514143"/>
      <w:bookmarkStart w:id="1014" w:name="_Toc410559448"/>
      <w:r>
        <w:rPr>
          <w:rFonts w:hint="eastAsia" w:ascii="宋体" w:hAnsi="宋体" w:eastAsia="宋体" w:cs="宋体"/>
          <w:bCs/>
          <w:sz w:val="28"/>
          <w:szCs w:val="28"/>
        </w:rPr>
        <w:t>16. 价格调整</w:t>
      </w:r>
      <w:bookmarkEnd w:id="1002"/>
      <w:bookmarkEnd w:id="1003"/>
      <w:bookmarkEnd w:id="1004"/>
      <w:bookmarkEnd w:id="1005"/>
      <w:bookmarkEnd w:id="1006"/>
      <w:bookmarkEnd w:id="1007"/>
      <w:bookmarkEnd w:id="1008"/>
      <w:bookmarkEnd w:id="1009"/>
      <w:bookmarkEnd w:id="1010"/>
      <w:bookmarkEnd w:id="1011"/>
      <w:bookmarkEnd w:id="1012"/>
      <w:bookmarkEnd w:id="1013"/>
      <w:bookmarkEnd w:id="1014"/>
    </w:p>
    <w:p w14:paraId="399F77F4">
      <w:pPr>
        <w:pStyle w:val="403"/>
        <w:spacing w:line="460" w:lineRule="exact"/>
        <w:ind w:firstLine="480" w:firstLineChars="200"/>
        <w:rPr>
          <w:rFonts w:hint="eastAsia" w:eastAsia="宋体" w:cs="宋体"/>
          <w:snapToGrid w:val="0"/>
        </w:rPr>
      </w:pPr>
      <w:bookmarkStart w:id="1015" w:name="_Toc265955482"/>
      <w:bookmarkStart w:id="1016" w:name="_Toc68594856"/>
      <w:bookmarkStart w:id="1017" w:name="_Toc411736255"/>
      <w:bookmarkStart w:id="1018" w:name="_Toc300835148"/>
      <w:bookmarkStart w:id="1019" w:name="_Toc410559449"/>
      <w:bookmarkStart w:id="1020" w:name="_Toc476860466"/>
      <w:bookmarkStart w:id="1021" w:name="_Toc411736531"/>
      <w:r>
        <w:rPr>
          <w:rFonts w:hint="eastAsia" w:eastAsia="宋体" w:cs="宋体"/>
          <w:snapToGrid w:val="0"/>
        </w:rPr>
        <w:t>16.1 物价波动引起的调整</w:t>
      </w:r>
      <w:bookmarkEnd w:id="1015"/>
      <w:r>
        <w:rPr>
          <w:rFonts w:hint="eastAsia" w:eastAsia="宋体" w:cs="宋体"/>
          <w:snapToGrid w:val="0"/>
        </w:rPr>
        <w:t>（B）</w:t>
      </w:r>
      <w:bookmarkEnd w:id="1016"/>
      <w:bookmarkEnd w:id="1017"/>
      <w:bookmarkEnd w:id="1018"/>
      <w:bookmarkEnd w:id="1019"/>
      <w:bookmarkEnd w:id="1020"/>
      <w:bookmarkEnd w:id="1021"/>
    </w:p>
    <w:p w14:paraId="0D662834">
      <w:pPr>
        <w:pStyle w:val="403"/>
        <w:spacing w:line="460" w:lineRule="exact"/>
        <w:ind w:firstLine="480" w:firstLineChars="200"/>
        <w:rPr>
          <w:rFonts w:hint="eastAsia" w:eastAsia="宋体" w:cs="宋体"/>
          <w:snapToGrid w:val="0"/>
        </w:rPr>
      </w:pPr>
      <w:r>
        <w:rPr>
          <w:rFonts w:hint="eastAsia" w:eastAsia="宋体" w:cs="宋体"/>
          <w:snapToGrid w:val="0"/>
        </w:rPr>
        <w:t>除法律规定或专用合同条款另有约定外，合同价格不因物价波动进行调整。</w:t>
      </w:r>
    </w:p>
    <w:p w14:paraId="180C7345">
      <w:pPr>
        <w:pStyle w:val="403"/>
        <w:spacing w:line="460" w:lineRule="exact"/>
        <w:ind w:firstLine="480" w:firstLineChars="200"/>
        <w:rPr>
          <w:rFonts w:hint="eastAsia" w:eastAsia="宋体" w:cs="宋体"/>
          <w:snapToGrid w:val="0"/>
        </w:rPr>
      </w:pPr>
      <w:bookmarkStart w:id="1022" w:name="_Toc68594857"/>
      <w:bookmarkStart w:id="1023" w:name="_Toc300835149"/>
      <w:bookmarkStart w:id="1024" w:name="_Toc476860467"/>
      <w:bookmarkStart w:id="1025" w:name="_Toc411736532"/>
      <w:bookmarkStart w:id="1026" w:name="_Toc247514145"/>
      <w:bookmarkStart w:id="1027" w:name="_Toc411736256"/>
      <w:bookmarkStart w:id="1028" w:name="_Toc247527746"/>
      <w:bookmarkStart w:id="1029" w:name="_Toc410559450"/>
      <w:r>
        <w:rPr>
          <w:rFonts w:hint="eastAsia" w:eastAsia="宋体" w:cs="宋体"/>
          <w:snapToGrid w:val="0"/>
        </w:rPr>
        <w:t>16.2 法律变化引起的调整</w:t>
      </w:r>
      <w:bookmarkEnd w:id="1022"/>
      <w:bookmarkEnd w:id="1023"/>
      <w:bookmarkEnd w:id="1024"/>
      <w:bookmarkEnd w:id="1025"/>
      <w:bookmarkEnd w:id="1026"/>
      <w:bookmarkEnd w:id="1027"/>
      <w:bookmarkEnd w:id="1028"/>
      <w:bookmarkEnd w:id="1029"/>
    </w:p>
    <w:p w14:paraId="625BFE64">
      <w:pPr>
        <w:pStyle w:val="403"/>
        <w:spacing w:line="460" w:lineRule="exact"/>
        <w:ind w:firstLine="480" w:firstLineChars="200"/>
        <w:rPr>
          <w:rFonts w:hint="eastAsia" w:eastAsia="宋体" w:cs="宋体"/>
          <w:snapToGrid w:val="0"/>
        </w:rPr>
      </w:pPr>
      <w:r>
        <w:rPr>
          <w:rFonts w:hint="eastAsia" w:eastAsia="宋体" w:cs="宋体"/>
          <w:snapToGrid w:val="0"/>
        </w:rPr>
        <w:t>在基准日后，因法律变化导致承包人在合同履行中所需费用发生除第16.1 款约定以外的增减时，监理人应根据法律、国家或省、自治区、直辖市有关部门的规定，按第3.5 款商定或确定需调整的合同价格。</w:t>
      </w:r>
    </w:p>
    <w:p w14:paraId="419DAE3F">
      <w:pPr>
        <w:pStyle w:val="5"/>
        <w:spacing w:before="360" w:after="120" w:afterLines="50" w:line="480" w:lineRule="exact"/>
        <w:rPr>
          <w:rFonts w:hint="eastAsia" w:ascii="宋体" w:hAnsi="宋体" w:eastAsia="宋体" w:cs="宋体"/>
          <w:bCs/>
          <w:sz w:val="28"/>
          <w:szCs w:val="28"/>
        </w:rPr>
      </w:pPr>
      <w:bookmarkStart w:id="1030" w:name="_Toc83220607"/>
      <w:bookmarkStart w:id="1031" w:name="_Toc247514146"/>
      <w:bookmarkStart w:id="1032" w:name="_Toc184635114"/>
      <w:bookmarkStart w:id="1033" w:name="_Toc198803803"/>
      <w:bookmarkStart w:id="1034" w:name="_Toc247527747"/>
      <w:bookmarkStart w:id="1035" w:name="_Toc410559451"/>
      <w:bookmarkStart w:id="1036" w:name="_Toc68594858"/>
      <w:bookmarkStart w:id="1037" w:name="_Toc176268736"/>
      <w:bookmarkStart w:id="1038" w:name="_Toc411736533"/>
      <w:bookmarkStart w:id="1039" w:name="_Toc300835150"/>
      <w:bookmarkStart w:id="1040" w:name="_Toc411736257"/>
      <w:bookmarkStart w:id="1041" w:name="_Toc476860468"/>
      <w:bookmarkStart w:id="1042" w:name="_Toc16894"/>
      <w:r>
        <w:rPr>
          <w:rFonts w:hint="eastAsia" w:ascii="宋体" w:hAnsi="宋体" w:eastAsia="宋体" w:cs="宋体"/>
          <w:bCs/>
          <w:sz w:val="28"/>
          <w:szCs w:val="28"/>
        </w:rPr>
        <w:t>17. 合同价格与支付</w:t>
      </w:r>
      <w:bookmarkEnd w:id="1030"/>
      <w:bookmarkEnd w:id="1031"/>
      <w:bookmarkEnd w:id="1032"/>
      <w:bookmarkEnd w:id="1033"/>
      <w:bookmarkEnd w:id="1034"/>
      <w:bookmarkEnd w:id="1035"/>
      <w:bookmarkEnd w:id="1036"/>
      <w:bookmarkEnd w:id="1037"/>
      <w:bookmarkEnd w:id="1038"/>
      <w:bookmarkEnd w:id="1039"/>
      <w:bookmarkEnd w:id="1040"/>
      <w:bookmarkEnd w:id="1041"/>
      <w:bookmarkEnd w:id="1042"/>
    </w:p>
    <w:p w14:paraId="56FE36B7">
      <w:pPr>
        <w:pStyle w:val="403"/>
        <w:spacing w:line="460" w:lineRule="exact"/>
        <w:ind w:firstLine="480" w:firstLineChars="200"/>
        <w:rPr>
          <w:rFonts w:hint="eastAsia" w:eastAsia="宋体" w:cs="宋体"/>
          <w:snapToGrid w:val="0"/>
        </w:rPr>
      </w:pPr>
      <w:bookmarkStart w:id="1043" w:name="_Toc300835151"/>
      <w:bookmarkStart w:id="1044" w:name="_Toc247527748"/>
      <w:bookmarkStart w:id="1045" w:name="_Toc68594859"/>
      <w:bookmarkStart w:id="1046" w:name="_Toc247514147"/>
      <w:bookmarkStart w:id="1047" w:name="_Toc410559452"/>
      <w:bookmarkStart w:id="1048" w:name="_Toc476860469"/>
      <w:bookmarkStart w:id="1049" w:name="_Toc411736534"/>
      <w:bookmarkStart w:id="1050" w:name="_Toc411736258"/>
      <w:r>
        <w:rPr>
          <w:rFonts w:hint="eastAsia" w:eastAsia="宋体" w:cs="宋体"/>
          <w:snapToGrid w:val="0"/>
        </w:rPr>
        <w:t>17.1 合同价格</w:t>
      </w:r>
      <w:bookmarkEnd w:id="1043"/>
      <w:bookmarkEnd w:id="1044"/>
      <w:bookmarkEnd w:id="1045"/>
      <w:bookmarkEnd w:id="1046"/>
      <w:bookmarkEnd w:id="1047"/>
      <w:bookmarkEnd w:id="1048"/>
      <w:bookmarkEnd w:id="1049"/>
      <w:bookmarkEnd w:id="1050"/>
    </w:p>
    <w:p w14:paraId="0CD73ED8">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w:t>
      </w:r>
    </w:p>
    <w:p w14:paraId="2033B305">
      <w:pPr>
        <w:pStyle w:val="403"/>
        <w:spacing w:line="460" w:lineRule="exact"/>
        <w:ind w:firstLine="480" w:firstLineChars="200"/>
        <w:rPr>
          <w:rFonts w:hint="eastAsia" w:eastAsia="宋体" w:cs="宋体"/>
          <w:snapToGrid w:val="0"/>
        </w:rPr>
      </w:pPr>
      <w:r>
        <w:rPr>
          <w:rFonts w:hint="eastAsia" w:eastAsia="宋体" w:cs="宋体"/>
          <w:snapToGrid w:val="0"/>
        </w:rPr>
        <w:t>（1）合同价格包括签约合同价以及按照合同约定进行的调整；</w:t>
      </w:r>
    </w:p>
    <w:p w14:paraId="789494E1">
      <w:pPr>
        <w:pStyle w:val="403"/>
        <w:spacing w:line="460" w:lineRule="exact"/>
        <w:ind w:firstLine="480" w:firstLineChars="200"/>
        <w:rPr>
          <w:rFonts w:hint="eastAsia" w:eastAsia="宋体" w:cs="宋体"/>
          <w:snapToGrid w:val="0"/>
        </w:rPr>
      </w:pPr>
      <w:r>
        <w:rPr>
          <w:rFonts w:hint="eastAsia" w:eastAsia="宋体" w:cs="宋体"/>
          <w:snapToGrid w:val="0"/>
        </w:rPr>
        <w:t>（2）合同价格包括承包人依据法律规定或合同约定应支付的规费和税金；</w:t>
      </w:r>
    </w:p>
    <w:p w14:paraId="773D95CC">
      <w:pPr>
        <w:pStyle w:val="403"/>
        <w:spacing w:line="460" w:lineRule="exact"/>
        <w:ind w:firstLine="480" w:firstLineChars="200"/>
        <w:rPr>
          <w:rFonts w:hint="eastAsia" w:eastAsia="宋体" w:cs="宋体"/>
          <w:snapToGrid w:val="0"/>
        </w:rPr>
      </w:pPr>
      <w:r>
        <w:rPr>
          <w:rFonts w:hint="eastAsia" w:eastAsia="宋体" w:cs="宋体"/>
          <w:snapToGrid w:val="0"/>
        </w:rPr>
        <w:t>（3）价格清单列出的任何数量仅为估算的工作量，不得将其视为要求承包人实施的工程的实际或准确的工作量。在价格清单中列出的任何工作量和价格数据应仅限用于变更和支付的参考资料，而不能用于其他目的。</w:t>
      </w:r>
    </w:p>
    <w:p w14:paraId="0E3D309C">
      <w:pPr>
        <w:pStyle w:val="403"/>
        <w:spacing w:line="460" w:lineRule="exact"/>
        <w:ind w:firstLine="480" w:firstLineChars="200"/>
        <w:rPr>
          <w:rFonts w:hint="eastAsia" w:eastAsia="宋体" w:cs="宋体"/>
          <w:snapToGrid w:val="0"/>
        </w:rPr>
      </w:pPr>
      <w:r>
        <w:rPr>
          <w:rFonts w:hint="eastAsia" w:eastAsia="宋体" w:cs="宋体"/>
          <w:snapToGrid w:val="0"/>
        </w:rPr>
        <w:t>合同约定工程的某部分按照实际完成的工程量进行支付的，应按照专用合同条款的约定进行计量和估价，并据此调整合同价格。</w:t>
      </w:r>
    </w:p>
    <w:p w14:paraId="515EF72B">
      <w:pPr>
        <w:pStyle w:val="403"/>
        <w:spacing w:line="460" w:lineRule="exact"/>
        <w:ind w:firstLine="480" w:firstLineChars="200"/>
        <w:rPr>
          <w:rFonts w:hint="eastAsia" w:eastAsia="宋体" w:cs="宋体"/>
          <w:snapToGrid w:val="0"/>
        </w:rPr>
      </w:pPr>
      <w:bookmarkStart w:id="1051" w:name="_Toc476860470"/>
      <w:bookmarkStart w:id="1052" w:name="_Toc247514148"/>
      <w:bookmarkStart w:id="1053" w:name="_Toc68594860"/>
      <w:bookmarkStart w:id="1054" w:name="_Toc247527749"/>
      <w:bookmarkStart w:id="1055" w:name="_Toc411736535"/>
      <w:bookmarkStart w:id="1056" w:name="_Toc411736259"/>
      <w:bookmarkStart w:id="1057" w:name="_Toc410559453"/>
      <w:bookmarkStart w:id="1058" w:name="_Toc300835152"/>
      <w:r>
        <w:rPr>
          <w:rFonts w:hint="eastAsia" w:eastAsia="宋体" w:cs="宋体"/>
          <w:snapToGrid w:val="0"/>
        </w:rPr>
        <w:t>17.2 预付款</w:t>
      </w:r>
      <w:bookmarkEnd w:id="1051"/>
      <w:bookmarkEnd w:id="1052"/>
      <w:bookmarkEnd w:id="1053"/>
      <w:bookmarkEnd w:id="1054"/>
      <w:bookmarkEnd w:id="1055"/>
      <w:bookmarkEnd w:id="1056"/>
      <w:bookmarkEnd w:id="1057"/>
      <w:bookmarkEnd w:id="1058"/>
    </w:p>
    <w:p w14:paraId="6E212BEC">
      <w:pPr>
        <w:pStyle w:val="403"/>
        <w:spacing w:line="460" w:lineRule="exact"/>
        <w:ind w:firstLine="480" w:firstLineChars="200"/>
        <w:rPr>
          <w:rFonts w:hint="eastAsia" w:eastAsia="宋体" w:cs="宋体"/>
          <w:snapToGrid w:val="0"/>
        </w:rPr>
      </w:pPr>
      <w:r>
        <w:rPr>
          <w:rFonts w:hint="eastAsia" w:eastAsia="宋体" w:cs="宋体"/>
          <w:snapToGrid w:val="0"/>
        </w:rPr>
        <w:t>17.2.1 预付款</w:t>
      </w:r>
    </w:p>
    <w:p w14:paraId="59F71372">
      <w:pPr>
        <w:pStyle w:val="403"/>
        <w:spacing w:line="460" w:lineRule="exact"/>
        <w:ind w:firstLine="480" w:firstLineChars="200"/>
        <w:rPr>
          <w:rFonts w:hint="eastAsia" w:eastAsia="宋体" w:cs="宋体"/>
          <w:snapToGrid w:val="0"/>
        </w:rPr>
      </w:pPr>
      <w:r>
        <w:rPr>
          <w:rFonts w:hint="eastAsia" w:eastAsia="宋体" w:cs="宋体"/>
          <w:snapToGrid w:val="0"/>
        </w:rPr>
        <w:t>预付款用于承包人为合同工程的设计和工程实施购置材料、工程设备、施工设备、修建临时设施以及组织施工队伍进场等。预付款的额度和支付在专用合同条款中约定。预付款必须专用于合同工作。</w:t>
      </w:r>
    </w:p>
    <w:p w14:paraId="40E1106D">
      <w:pPr>
        <w:pStyle w:val="403"/>
        <w:spacing w:line="460" w:lineRule="exact"/>
        <w:ind w:firstLine="480" w:firstLineChars="200"/>
        <w:rPr>
          <w:rFonts w:hint="eastAsia" w:eastAsia="宋体" w:cs="宋体"/>
          <w:snapToGrid w:val="0"/>
        </w:rPr>
      </w:pPr>
      <w:r>
        <w:rPr>
          <w:rFonts w:hint="eastAsia" w:eastAsia="宋体" w:cs="宋体"/>
          <w:snapToGrid w:val="0"/>
        </w:rPr>
        <w:t>17.2.2 预付款担保</w:t>
      </w:r>
    </w:p>
    <w:p w14:paraId="4E9B79B7">
      <w:pPr>
        <w:pStyle w:val="403"/>
        <w:spacing w:line="460" w:lineRule="exact"/>
        <w:ind w:firstLine="480" w:firstLineChars="200"/>
        <w:rPr>
          <w:rFonts w:hint="eastAsia" w:eastAsia="宋体" w:cs="宋体"/>
          <w:snapToGrid w:val="0"/>
        </w:rPr>
      </w:pPr>
      <w:r>
        <w:rPr>
          <w:rFonts w:hint="eastAsia" w:eastAsia="宋体" w:cs="宋体"/>
          <w:snapToGrid w:val="0"/>
        </w:rPr>
        <w:t>本合同不设预付款担保。</w:t>
      </w:r>
    </w:p>
    <w:p w14:paraId="228AF21F">
      <w:pPr>
        <w:pStyle w:val="403"/>
        <w:spacing w:line="460" w:lineRule="exact"/>
        <w:ind w:firstLine="480" w:firstLineChars="200"/>
        <w:rPr>
          <w:rFonts w:hint="eastAsia" w:eastAsia="宋体" w:cs="宋体"/>
          <w:snapToGrid w:val="0"/>
        </w:rPr>
      </w:pPr>
      <w:r>
        <w:rPr>
          <w:rFonts w:hint="eastAsia" w:eastAsia="宋体" w:cs="宋体"/>
          <w:snapToGrid w:val="0"/>
        </w:rPr>
        <w:t>17.2.3 预付款的扣回与还清</w:t>
      </w:r>
    </w:p>
    <w:p w14:paraId="3B868B9C">
      <w:pPr>
        <w:pStyle w:val="403"/>
        <w:spacing w:line="460" w:lineRule="exact"/>
        <w:ind w:firstLine="480" w:firstLineChars="200"/>
        <w:rPr>
          <w:rFonts w:hint="eastAsia" w:eastAsia="宋体" w:cs="宋体"/>
          <w:snapToGrid w:val="0"/>
        </w:rPr>
      </w:pPr>
      <w:r>
        <w:rPr>
          <w:rFonts w:hint="eastAsia" w:eastAsia="宋体" w:cs="宋体"/>
          <w:snapToGrid w:val="0"/>
        </w:rPr>
        <w:t>预付款在进度付款中扣回，扣回办法在专用合同条款中约定。在颁发工程接收证书前，由于不可抗力或其他原因解除合同时，预付款尚未扣清的，尚未扣清的预付款余额应作为承包人的到期应付款。</w:t>
      </w:r>
    </w:p>
    <w:p w14:paraId="3D7883A4">
      <w:pPr>
        <w:pStyle w:val="403"/>
        <w:spacing w:line="460" w:lineRule="exact"/>
        <w:ind w:firstLine="480" w:firstLineChars="200"/>
        <w:rPr>
          <w:rFonts w:hint="eastAsia" w:eastAsia="宋体" w:cs="宋体"/>
          <w:snapToGrid w:val="0"/>
        </w:rPr>
      </w:pPr>
      <w:bookmarkStart w:id="1059" w:name="_Toc247527750"/>
      <w:bookmarkStart w:id="1060" w:name="_Toc68594861"/>
      <w:bookmarkStart w:id="1061" w:name="_Toc300835153"/>
      <w:bookmarkStart w:id="1062" w:name="_Toc247514149"/>
      <w:bookmarkStart w:id="1063" w:name="_Toc411736260"/>
      <w:bookmarkStart w:id="1064" w:name="_Toc410559454"/>
      <w:bookmarkStart w:id="1065" w:name="_Toc411736536"/>
      <w:bookmarkStart w:id="1066" w:name="_Toc476860471"/>
      <w:r>
        <w:rPr>
          <w:rFonts w:hint="eastAsia" w:eastAsia="宋体" w:cs="宋体"/>
          <w:snapToGrid w:val="0"/>
        </w:rPr>
        <w:t>17.3 工程进度付款</w:t>
      </w:r>
      <w:bookmarkEnd w:id="1059"/>
      <w:bookmarkEnd w:id="1060"/>
      <w:bookmarkEnd w:id="1061"/>
      <w:bookmarkEnd w:id="1062"/>
      <w:bookmarkEnd w:id="1063"/>
      <w:bookmarkEnd w:id="1064"/>
      <w:bookmarkEnd w:id="1065"/>
      <w:bookmarkEnd w:id="1066"/>
    </w:p>
    <w:p w14:paraId="3BBE1A32">
      <w:pPr>
        <w:pStyle w:val="403"/>
        <w:spacing w:line="460" w:lineRule="exact"/>
        <w:ind w:firstLine="480" w:firstLineChars="200"/>
        <w:rPr>
          <w:rFonts w:hint="eastAsia" w:eastAsia="宋体" w:cs="宋体"/>
          <w:snapToGrid w:val="0"/>
        </w:rPr>
      </w:pPr>
      <w:r>
        <w:rPr>
          <w:rFonts w:hint="eastAsia" w:eastAsia="宋体" w:cs="宋体"/>
          <w:snapToGrid w:val="0"/>
        </w:rPr>
        <w:t>17.3.1 付款时间</w:t>
      </w:r>
    </w:p>
    <w:p w14:paraId="17442C57">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除专用合同条款另有约定外，工程进度付款按月支付。</w:t>
      </w:r>
    </w:p>
    <w:p w14:paraId="0F4A868A">
      <w:pPr>
        <w:pStyle w:val="403"/>
        <w:spacing w:line="460" w:lineRule="exact"/>
        <w:ind w:firstLine="480" w:firstLineChars="200"/>
        <w:rPr>
          <w:rFonts w:hint="eastAsia" w:eastAsia="宋体" w:cs="宋体"/>
          <w:snapToGrid w:val="0"/>
        </w:rPr>
      </w:pPr>
      <w:r>
        <w:rPr>
          <w:rFonts w:hint="eastAsia" w:eastAsia="宋体" w:cs="宋体"/>
          <w:snapToGrid w:val="0"/>
        </w:rPr>
        <w:t>17.3.2 支付分解表</w:t>
      </w:r>
    </w:p>
    <w:p w14:paraId="7B32B243">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除专用合同条款另有约定外，承包人应根据价格清单的价格构成、费用性质、计划发生时间和相应工作量等因素，按照以下分类和分解原则，结合第4.12.1项约定的合同进度计划，汇总形成月度支付分解报告。</w:t>
      </w:r>
    </w:p>
    <w:p w14:paraId="1EC46127">
      <w:pPr>
        <w:pStyle w:val="403"/>
        <w:spacing w:line="460" w:lineRule="exact"/>
        <w:ind w:firstLine="480" w:firstLineChars="200"/>
        <w:rPr>
          <w:rFonts w:hint="eastAsia" w:eastAsia="宋体" w:cs="宋体"/>
          <w:snapToGrid w:val="0"/>
        </w:rPr>
      </w:pPr>
      <w:r>
        <w:rPr>
          <w:rFonts w:hint="eastAsia" w:eastAsia="宋体" w:cs="宋体"/>
          <w:snapToGrid w:val="0"/>
        </w:rPr>
        <w:t xml:space="preserve">（1）设计费。按照提供设计阶段性成果文件的时间、对应的工作量进行分解。 </w:t>
      </w:r>
    </w:p>
    <w:p w14:paraId="15E81D86">
      <w:pPr>
        <w:pStyle w:val="403"/>
        <w:spacing w:line="460" w:lineRule="exact"/>
        <w:ind w:firstLine="480" w:firstLineChars="200"/>
        <w:rPr>
          <w:rFonts w:hint="eastAsia" w:eastAsia="宋体" w:cs="宋体"/>
          <w:snapToGrid w:val="0"/>
        </w:rPr>
      </w:pPr>
      <w:r>
        <w:rPr>
          <w:rFonts w:hint="eastAsia" w:eastAsia="宋体" w:cs="宋体"/>
          <w:snapToGrid w:val="0"/>
        </w:rPr>
        <w:t>（2）材料和工程设备费。分别按订立采购合同、进场验收合格、安装就位、工程竣工等阶段和专用条款约定的比例进行分解。</w:t>
      </w:r>
    </w:p>
    <w:p w14:paraId="13F612B4">
      <w:pPr>
        <w:pStyle w:val="403"/>
        <w:spacing w:line="460" w:lineRule="exact"/>
        <w:ind w:firstLine="480" w:firstLineChars="200"/>
        <w:rPr>
          <w:rFonts w:hint="eastAsia" w:eastAsia="宋体" w:cs="宋体"/>
          <w:snapToGrid w:val="0"/>
        </w:rPr>
      </w:pPr>
      <w:r>
        <w:rPr>
          <w:rFonts w:hint="eastAsia" w:eastAsia="宋体" w:cs="宋体"/>
          <w:snapToGrid w:val="0"/>
        </w:rPr>
        <w:t>（3）技术服务培训费。按照价格清单中的单价，结合第4.12.1项约定的合同进度计划对应的工作量进行分解。</w:t>
      </w:r>
    </w:p>
    <w:p w14:paraId="2F57890B">
      <w:pPr>
        <w:pStyle w:val="403"/>
        <w:spacing w:line="460" w:lineRule="exact"/>
        <w:ind w:firstLine="480" w:firstLineChars="200"/>
        <w:rPr>
          <w:rFonts w:hint="eastAsia" w:eastAsia="宋体" w:cs="宋体"/>
          <w:snapToGrid w:val="0"/>
        </w:rPr>
      </w:pPr>
      <w:r>
        <w:rPr>
          <w:rFonts w:hint="eastAsia" w:eastAsia="宋体" w:cs="宋体"/>
          <w:snapToGrid w:val="0"/>
        </w:rPr>
        <w:t>（4）其他工程价款。除第17.1款约定按已完成工程量计量支付的工程价款外，按照价格清单中的价格，结合第4.12.1项约定的合同进度计划拟完成的工程量或者比例进行分解。</w:t>
      </w:r>
    </w:p>
    <w:p w14:paraId="16CCBF90">
      <w:pPr>
        <w:pStyle w:val="403"/>
        <w:spacing w:line="460" w:lineRule="exact"/>
        <w:ind w:firstLine="480" w:firstLineChars="200"/>
        <w:rPr>
          <w:rFonts w:hint="eastAsia" w:eastAsia="宋体" w:cs="宋体"/>
          <w:snapToGrid w:val="0"/>
        </w:rPr>
      </w:pPr>
      <w:r>
        <w:rPr>
          <w:rFonts w:hint="eastAsia" w:eastAsia="宋体" w:cs="宋体"/>
          <w:snapToGrid w:val="0"/>
        </w:rPr>
        <w:t>承包人应当在收到经监理人批复的合同进度计划后7天内，将支付分解报告以及形成支付分解报告的支持性资料报监理人审批，监理人应当在收到承包人报送的支付分解报告后7天内给予批复或提出修改意见，经监理人批准的支付分解报告为有合同约束力的支付分解表。合同进度计划进行了修订的，应相应修改支付分解表，并按本目规定报监理人批复。</w:t>
      </w:r>
    </w:p>
    <w:p w14:paraId="2D76BBDB">
      <w:pPr>
        <w:pStyle w:val="403"/>
        <w:spacing w:line="460" w:lineRule="exact"/>
        <w:ind w:firstLine="480" w:firstLineChars="200"/>
        <w:rPr>
          <w:rFonts w:hint="eastAsia" w:eastAsia="宋体" w:cs="宋体"/>
          <w:snapToGrid w:val="0"/>
        </w:rPr>
      </w:pPr>
      <w:r>
        <w:rPr>
          <w:rFonts w:hint="eastAsia" w:eastAsia="宋体" w:cs="宋体"/>
          <w:snapToGrid w:val="0"/>
        </w:rPr>
        <w:t>17.3.3 进度付款申请单</w:t>
      </w:r>
    </w:p>
    <w:p w14:paraId="2C466AC8">
      <w:pPr>
        <w:pStyle w:val="403"/>
        <w:spacing w:line="460" w:lineRule="exact"/>
        <w:ind w:firstLine="480" w:firstLineChars="200"/>
        <w:rPr>
          <w:rFonts w:hint="eastAsia" w:eastAsia="宋体" w:cs="宋体"/>
          <w:snapToGrid w:val="0"/>
        </w:rPr>
      </w:pPr>
      <w:r>
        <w:rPr>
          <w:rFonts w:hint="eastAsia" w:eastAsia="宋体" w:cs="宋体"/>
          <w:snapToGrid w:val="0"/>
        </w:rPr>
        <w:t>承包人应在每笔进度款支付前，按监理人批准的格式和专用合同条款约定的份数，向监理人提交进度付款申请单，并附相应的支持性证明文件。除合同另有约定外，进度付款申请单应包括下列内容：</w:t>
      </w:r>
    </w:p>
    <w:p w14:paraId="257A0CB0">
      <w:pPr>
        <w:pStyle w:val="403"/>
        <w:spacing w:line="460" w:lineRule="exact"/>
        <w:ind w:firstLine="480" w:firstLineChars="200"/>
        <w:rPr>
          <w:rFonts w:hint="eastAsia" w:eastAsia="宋体" w:cs="宋体"/>
          <w:snapToGrid w:val="0"/>
        </w:rPr>
      </w:pPr>
      <w:r>
        <w:rPr>
          <w:rFonts w:hint="eastAsia" w:eastAsia="宋体" w:cs="宋体"/>
          <w:snapToGrid w:val="0"/>
        </w:rPr>
        <w:t>（1）当期应支付金额总额，以及截至当期期末累计应支付金额总额、已支付的进度付款金额总额；</w:t>
      </w:r>
    </w:p>
    <w:p w14:paraId="5601162D">
      <w:pPr>
        <w:pStyle w:val="403"/>
        <w:spacing w:line="460" w:lineRule="exact"/>
        <w:ind w:firstLine="480" w:firstLineChars="200"/>
        <w:rPr>
          <w:rFonts w:hint="eastAsia" w:eastAsia="宋体" w:cs="宋体"/>
          <w:snapToGrid w:val="0"/>
        </w:rPr>
      </w:pPr>
      <w:r>
        <w:rPr>
          <w:rFonts w:hint="eastAsia" w:eastAsia="宋体" w:cs="宋体"/>
          <w:snapToGrid w:val="0"/>
        </w:rPr>
        <w:t>（2）当期根据支付分解表应支付金额，以及截至当期期末累计应支付金额；</w:t>
      </w:r>
    </w:p>
    <w:p w14:paraId="76857F1D">
      <w:pPr>
        <w:pStyle w:val="403"/>
        <w:spacing w:line="460" w:lineRule="exact"/>
        <w:ind w:firstLine="480" w:firstLineChars="200"/>
        <w:rPr>
          <w:rFonts w:hint="eastAsia" w:eastAsia="宋体" w:cs="宋体"/>
          <w:snapToGrid w:val="0"/>
        </w:rPr>
      </w:pPr>
      <w:r>
        <w:rPr>
          <w:rFonts w:hint="eastAsia" w:eastAsia="宋体" w:cs="宋体"/>
          <w:snapToGrid w:val="0"/>
        </w:rPr>
        <w:t>（3）当期根据第17.1款约定计量的已实施工程应支付金额，以及截至当期期末累计应支付金额；</w:t>
      </w:r>
    </w:p>
    <w:p w14:paraId="5844A3F0">
      <w:pPr>
        <w:pStyle w:val="403"/>
        <w:spacing w:line="460" w:lineRule="exact"/>
        <w:ind w:firstLine="480" w:firstLineChars="200"/>
        <w:rPr>
          <w:rFonts w:hint="eastAsia" w:eastAsia="宋体" w:cs="宋体"/>
          <w:snapToGrid w:val="0"/>
        </w:rPr>
      </w:pPr>
      <w:r>
        <w:rPr>
          <w:rFonts w:hint="eastAsia" w:eastAsia="宋体" w:cs="宋体"/>
          <w:snapToGrid w:val="0"/>
        </w:rPr>
        <w:t>（4）当期根据第15条应增加和扣减的变更金额，以及截至当期期末累计变更金额；</w:t>
      </w:r>
    </w:p>
    <w:p w14:paraId="4826AD48">
      <w:pPr>
        <w:pStyle w:val="403"/>
        <w:spacing w:line="460" w:lineRule="exact"/>
        <w:ind w:firstLine="480" w:firstLineChars="200"/>
        <w:rPr>
          <w:rFonts w:hint="eastAsia" w:eastAsia="宋体" w:cs="宋体"/>
          <w:snapToGrid w:val="0"/>
        </w:rPr>
      </w:pPr>
      <w:r>
        <w:rPr>
          <w:rFonts w:hint="eastAsia" w:eastAsia="宋体" w:cs="宋体"/>
          <w:snapToGrid w:val="0"/>
        </w:rPr>
        <w:t>（5）当期根据第23条应增加和扣减的索赔金额，以及截至当期期末累计索赔金额；</w:t>
      </w:r>
    </w:p>
    <w:p w14:paraId="01E31483">
      <w:pPr>
        <w:pStyle w:val="403"/>
        <w:spacing w:line="460" w:lineRule="exact"/>
        <w:ind w:firstLine="480" w:firstLineChars="200"/>
        <w:rPr>
          <w:rFonts w:hint="eastAsia" w:eastAsia="宋体" w:cs="宋体"/>
          <w:snapToGrid w:val="0"/>
        </w:rPr>
      </w:pPr>
      <w:r>
        <w:rPr>
          <w:rFonts w:hint="eastAsia" w:eastAsia="宋体" w:cs="宋体"/>
          <w:snapToGrid w:val="0"/>
        </w:rPr>
        <w:t>（6）当期根据第17.2款约定应支付的预付款和扣减的返还预付款金额，以及截至当期期末累计返还预付款金额；</w:t>
      </w:r>
    </w:p>
    <w:p w14:paraId="197771BF">
      <w:pPr>
        <w:pStyle w:val="403"/>
        <w:spacing w:line="460" w:lineRule="exact"/>
        <w:ind w:firstLine="480" w:firstLineChars="200"/>
        <w:rPr>
          <w:rFonts w:hint="eastAsia" w:eastAsia="宋体" w:cs="宋体"/>
          <w:snapToGrid w:val="0"/>
        </w:rPr>
      </w:pPr>
      <w:r>
        <w:rPr>
          <w:rFonts w:hint="eastAsia" w:eastAsia="宋体" w:cs="宋体"/>
          <w:snapToGrid w:val="0"/>
        </w:rPr>
        <w:t>（7）当期根据第17.4.1项约定应扣减的质量保证金金额，以及截至当期期末累计扣减的质量保证金金额；</w:t>
      </w:r>
    </w:p>
    <w:p w14:paraId="4F297632">
      <w:pPr>
        <w:pStyle w:val="403"/>
        <w:spacing w:line="460" w:lineRule="exact"/>
        <w:ind w:firstLine="480" w:firstLineChars="200"/>
        <w:rPr>
          <w:rFonts w:hint="eastAsia" w:eastAsia="宋体" w:cs="宋体"/>
          <w:snapToGrid w:val="0"/>
        </w:rPr>
      </w:pPr>
      <w:r>
        <w:rPr>
          <w:rFonts w:hint="eastAsia" w:eastAsia="宋体" w:cs="宋体"/>
          <w:snapToGrid w:val="0"/>
        </w:rPr>
        <w:t>（8）当期根据合同应增加和扣减的其他金额，以及截至当期期末累计增加和扣减的金额。</w:t>
      </w:r>
    </w:p>
    <w:p w14:paraId="6F8195B6">
      <w:pPr>
        <w:pStyle w:val="403"/>
        <w:spacing w:line="460" w:lineRule="exact"/>
        <w:ind w:firstLine="480" w:firstLineChars="200"/>
        <w:rPr>
          <w:rFonts w:hint="eastAsia" w:eastAsia="宋体" w:cs="宋体"/>
          <w:snapToGrid w:val="0"/>
        </w:rPr>
      </w:pPr>
      <w:r>
        <w:rPr>
          <w:rFonts w:hint="eastAsia" w:eastAsia="宋体" w:cs="宋体"/>
          <w:snapToGrid w:val="0"/>
        </w:rPr>
        <w:t>17.3.4 进度付款证书和支付时间</w:t>
      </w:r>
    </w:p>
    <w:p w14:paraId="6D9FC65A">
      <w:pPr>
        <w:pStyle w:val="403"/>
        <w:spacing w:line="460" w:lineRule="exact"/>
        <w:ind w:firstLine="480" w:firstLineChars="200"/>
        <w:rPr>
          <w:rFonts w:hint="eastAsia" w:eastAsia="宋体" w:cs="宋体"/>
          <w:snapToGrid w:val="0"/>
        </w:rPr>
      </w:pPr>
      <w:r>
        <w:rPr>
          <w:rFonts w:hint="eastAsia" w:eastAsia="宋体" w:cs="宋体"/>
          <w:snapToGrid w:val="0"/>
        </w:rPr>
        <w:t>（1）监理人在收到承包人进度付款申请单以及相应的支持性证明文件后的14天内完成审核，提出发包人到期应支付给承包人的金额以及相应的支持性材料，经发包人审批同意后，由监理人向承包人出具经发包人签认的进度付款证书。监理人未能在前述时间完成审核的，视为监理人同意承包人进度付款申请。监理人有权核减承包人未能按照合同要求履行任何工作或义务的相应金额。</w:t>
      </w:r>
    </w:p>
    <w:p w14:paraId="2CFF80F6">
      <w:pPr>
        <w:pStyle w:val="403"/>
        <w:spacing w:line="460" w:lineRule="exact"/>
        <w:ind w:firstLine="480" w:firstLineChars="200"/>
        <w:rPr>
          <w:rFonts w:hint="eastAsia" w:eastAsia="宋体" w:cs="宋体"/>
          <w:snapToGrid w:val="0"/>
        </w:rPr>
      </w:pPr>
      <w:r>
        <w:rPr>
          <w:rFonts w:hint="eastAsia" w:eastAsia="宋体" w:cs="宋体"/>
          <w:snapToGrid w:val="0"/>
        </w:rPr>
        <w:t>（2）发包人最迟应在监理人收到进度付款申请单后的28 天内，将进度应付款支付给承包人。发包人未能在前述时间内完成审批或不予答复的，视为发包人同意进度付款申请。发包人不按期支付的，按专用合同条款的约定支付逾期付款违约金。</w:t>
      </w:r>
    </w:p>
    <w:p w14:paraId="23EB3970">
      <w:pPr>
        <w:pStyle w:val="403"/>
        <w:spacing w:line="460" w:lineRule="exact"/>
        <w:ind w:firstLine="480" w:firstLineChars="200"/>
        <w:rPr>
          <w:rFonts w:hint="eastAsia" w:eastAsia="宋体" w:cs="宋体"/>
          <w:snapToGrid w:val="0"/>
        </w:rPr>
      </w:pPr>
      <w:r>
        <w:rPr>
          <w:rFonts w:hint="eastAsia" w:eastAsia="宋体" w:cs="宋体"/>
          <w:snapToGrid w:val="0"/>
        </w:rPr>
        <w:t>（3）监理人出具进度付款证书，不应视为监理人已同意、批准或接受了承包人完成的该部分工作。</w:t>
      </w:r>
    </w:p>
    <w:p w14:paraId="48242B60">
      <w:pPr>
        <w:pStyle w:val="403"/>
        <w:spacing w:line="460" w:lineRule="exact"/>
        <w:ind w:firstLine="480" w:firstLineChars="200"/>
        <w:rPr>
          <w:rFonts w:hint="eastAsia" w:eastAsia="宋体" w:cs="宋体"/>
          <w:snapToGrid w:val="0"/>
        </w:rPr>
      </w:pPr>
      <w:r>
        <w:rPr>
          <w:rFonts w:hint="eastAsia" w:eastAsia="宋体" w:cs="宋体"/>
          <w:snapToGrid w:val="0"/>
        </w:rPr>
        <w:t>（4）进度付款涉及政府投资资金的，按照国库集中支付等国家相关规定和专用合同条款的约定执行。</w:t>
      </w:r>
    </w:p>
    <w:p w14:paraId="28D3379A">
      <w:pPr>
        <w:pStyle w:val="403"/>
        <w:spacing w:line="460" w:lineRule="exact"/>
        <w:ind w:firstLine="480" w:firstLineChars="200"/>
        <w:rPr>
          <w:rFonts w:hint="eastAsia" w:eastAsia="宋体" w:cs="宋体"/>
          <w:snapToGrid w:val="0"/>
        </w:rPr>
      </w:pPr>
      <w:r>
        <w:rPr>
          <w:rFonts w:hint="eastAsia" w:eastAsia="宋体" w:cs="宋体"/>
          <w:snapToGrid w:val="0"/>
        </w:rPr>
        <w:t>17.3.5 工程进度付款的修正</w:t>
      </w:r>
    </w:p>
    <w:p w14:paraId="3EDAABA0">
      <w:pPr>
        <w:pStyle w:val="403"/>
        <w:spacing w:line="460" w:lineRule="exact"/>
        <w:ind w:firstLine="480" w:firstLineChars="200"/>
        <w:rPr>
          <w:rFonts w:hint="eastAsia" w:eastAsia="宋体" w:cs="宋体"/>
          <w:snapToGrid w:val="0"/>
        </w:rPr>
      </w:pPr>
      <w:r>
        <w:rPr>
          <w:rFonts w:hint="eastAsia" w:eastAsia="宋体" w:cs="宋体"/>
          <w:snapToGrid w:val="0"/>
        </w:rPr>
        <w:t>在对以往历次已签发的进度付款证书进行汇总和复核中发现错、漏或重复的，监理人有权予以修正，承包人也有权提出修正申请。经监理人、承包人复核同意的修正，应在本次进度付款中支付或扣除。</w:t>
      </w:r>
    </w:p>
    <w:p w14:paraId="6515A002">
      <w:pPr>
        <w:pStyle w:val="403"/>
        <w:spacing w:line="460" w:lineRule="exact"/>
        <w:ind w:firstLine="480" w:firstLineChars="200"/>
        <w:rPr>
          <w:rFonts w:hint="eastAsia" w:eastAsia="宋体" w:cs="宋体"/>
          <w:snapToGrid w:val="0"/>
        </w:rPr>
      </w:pPr>
      <w:bookmarkStart w:id="1067" w:name="_Toc300835154"/>
      <w:bookmarkStart w:id="1068" w:name="_Toc247527751"/>
      <w:bookmarkStart w:id="1069" w:name="_Toc411736537"/>
      <w:bookmarkStart w:id="1070" w:name="_Toc68594862"/>
      <w:bookmarkStart w:id="1071" w:name="_Toc410559455"/>
      <w:bookmarkStart w:id="1072" w:name="_Toc411736261"/>
      <w:bookmarkStart w:id="1073" w:name="_Toc247514150"/>
      <w:bookmarkStart w:id="1074" w:name="_Toc476860472"/>
      <w:r>
        <w:rPr>
          <w:rFonts w:hint="eastAsia" w:eastAsia="宋体" w:cs="宋体"/>
          <w:snapToGrid w:val="0"/>
        </w:rPr>
        <w:t>17.4 质量保证金</w:t>
      </w:r>
      <w:bookmarkEnd w:id="1067"/>
      <w:bookmarkEnd w:id="1068"/>
      <w:bookmarkEnd w:id="1069"/>
      <w:bookmarkEnd w:id="1070"/>
      <w:bookmarkEnd w:id="1071"/>
      <w:bookmarkEnd w:id="1072"/>
      <w:bookmarkEnd w:id="1073"/>
      <w:bookmarkEnd w:id="1074"/>
    </w:p>
    <w:p w14:paraId="471B5715">
      <w:pPr>
        <w:pStyle w:val="403"/>
        <w:spacing w:line="460" w:lineRule="exact"/>
        <w:ind w:firstLine="480" w:firstLineChars="200"/>
        <w:rPr>
          <w:rFonts w:hint="eastAsia" w:eastAsia="宋体" w:cs="宋体"/>
          <w:snapToGrid w:val="0"/>
        </w:rPr>
      </w:pPr>
      <w:r>
        <w:rPr>
          <w:rFonts w:hint="eastAsia" w:eastAsia="宋体" w:cs="宋体"/>
          <w:snapToGrid w:val="0"/>
        </w:rPr>
        <w:t>17.4.1 监理人应从发包人的每笔进度付款中，按专用合同条款的约定扣留质量保证金，直至扣留的质量保证金总额达到专用合同条款约定的金额或比例为止。质量保证金的计算额度不包括预付款的支付、扣回以及价格调整的金额。</w:t>
      </w:r>
    </w:p>
    <w:p w14:paraId="358FD917">
      <w:pPr>
        <w:pStyle w:val="403"/>
        <w:spacing w:line="460" w:lineRule="exact"/>
        <w:ind w:firstLine="480" w:firstLineChars="200"/>
        <w:rPr>
          <w:rFonts w:hint="eastAsia" w:eastAsia="宋体" w:cs="宋体"/>
          <w:snapToGrid w:val="0"/>
        </w:rPr>
      </w:pPr>
      <w:r>
        <w:rPr>
          <w:rFonts w:hint="eastAsia" w:eastAsia="宋体" w:cs="宋体"/>
          <w:snapToGrid w:val="0"/>
        </w:rPr>
        <w:t>17.4.2 在第1.1.4.5 目约定的缺陷责任期满时，承包人向发包人申请到期应返还承包人剩余的质量保证金，发包人应在14天内会同承包人按照合同约定的内容核实承包人是否完成缺陷责任。如无异议，发包人应当在核实后将剩余质量保证金返还承包人。</w:t>
      </w:r>
    </w:p>
    <w:p w14:paraId="14974353">
      <w:pPr>
        <w:pStyle w:val="403"/>
        <w:spacing w:line="460" w:lineRule="exact"/>
        <w:ind w:firstLine="480" w:firstLineChars="200"/>
        <w:rPr>
          <w:rFonts w:hint="eastAsia" w:eastAsia="宋体" w:cs="宋体"/>
          <w:snapToGrid w:val="0"/>
        </w:rPr>
      </w:pPr>
      <w:r>
        <w:rPr>
          <w:rFonts w:hint="eastAsia" w:eastAsia="宋体" w:cs="宋体"/>
          <w:snapToGrid w:val="0"/>
        </w:rPr>
        <w:t>17.4.3 在第1.1.4.5 目约定的缺陷责任期满时，承包人没有完成缺陷责任的，发包人有权扣留与未履行责任剩余工作所需金额相应的质量保证金余额，并有权根据第19.3 款约定要求延长缺陷责任期，直至完成剩余工作为止。</w:t>
      </w:r>
    </w:p>
    <w:p w14:paraId="3A14EDCE">
      <w:pPr>
        <w:pStyle w:val="403"/>
        <w:spacing w:line="460" w:lineRule="exact"/>
        <w:ind w:firstLine="480" w:firstLineChars="200"/>
        <w:rPr>
          <w:rFonts w:hint="eastAsia" w:eastAsia="宋体" w:cs="宋体"/>
          <w:snapToGrid w:val="0"/>
        </w:rPr>
      </w:pPr>
      <w:bookmarkStart w:id="1075" w:name="_Toc300835155"/>
      <w:bookmarkStart w:id="1076" w:name="_Toc410559456"/>
      <w:bookmarkStart w:id="1077" w:name="_Toc247514151"/>
      <w:bookmarkStart w:id="1078" w:name="_Toc411736262"/>
      <w:bookmarkStart w:id="1079" w:name="_Toc411736538"/>
      <w:bookmarkStart w:id="1080" w:name="_Toc247527752"/>
      <w:bookmarkStart w:id="1081" w:name="_Toc68594863"/>
      <w:bookmarkStart w:id="1082" w:name="_Toc476860473"/>
      <w:r>
        <w:rPr>
          <w:rFonts w:hint="eastAsia" w:eastAsia="宋体" w:cs="宋体"/>
          <w:snapToGrid w:val="0"/>
        </w:rPr>
        <w:t>17.5 竣工结算</w:t>
      </w:r>
      <w:bookmarkEnd w:id="1075"/>
      <w:bookmarkEnd w:id="1076"/>
      <w:bookmarkEnd w:id="1077"/>
      <w:bookmarkEnd w:id="1078"/>
      <w:bookmarkEnd w:id="1079"/>
      <w:bookmarkEnd w:id="1080"/>
      <w:bookmarkEnd w:id="1081"/>
      <w:bookmarkEnd w:id="1082"/>
    </w:p>
    <w:p w14:paraId="4243C1FB">
      <w:pPr>
        <w:pStyle w:val="403"/>
        <w:spacing w:line="460" w:lineRule="exact"/>
        <w:ind w:firstLine="480" w:firstLineChars="200"/>
        <w:rPr>
          <w:rFonts w:hint="eastAsia" w:eastAsia="宋体" w:cs="宋体"/>
          <w:snapToGrid w:val="0"/>
        </w:rPr>
      </w:pPr>
      <w:r>
        <w:rPr>
          <w:rFonts w:hint="eastAsia" w:eastAsia="宋体" w:cs="宋体"/>
          <w:snapToGrid w:val="0"/>
        </w:rPr>
        <w:t>17.5.1 竣工付款申请单</w:t>
      </w:r>
    </w:p>
    <w:p w14:paraId="20BABC36">
      <w:pPr>
        <w:pStyle w:val="403"/>
        <w:spacing w:line="460" w:lineRule="exact"/>
        <w:ind w:firstLine="480" w:firstLineChars="200"/>
        <w:rPr>
          <w:rFonts w:hint="eastAsia" w:eastAsia="宋体" w:cs="宋体"/>
          <w:snapToGrid w:val="0"/>
        </w:rPr>
      </w:pPr>
      <w:r>
        <w:rPr>
          <w:rFonts w:hint="eastAsia" w:eastAsia="宋体" w:cs="宋体"/>
          <w:snapToGrid w:val="0"/>
        </w:rPr>
        <w:t>（1）工程接收证书颁发后，承包人应按专用合同条款约定的份数和期限向监理人提交竣工付款申请单，并提供相关证明材料。除专用合同条款另有约定外，竣工付款申请单应包括下列内容：竣工结算合同总价、发包人已支付承包人的工程价款、应扣留的质量保证金、应支付的竣工付款金额。</w:t>
      </w:r>
    </w:p>
    <w:p w14:paraId="4A9BCDA3">
      <w:pPr>
        <w:pStyle w:val="403"/>
        <w:spacing w:line="460" w:lineRule="exact"/>
        <w:ind w:firstLine="480" w:firstLineChars="200"/>
        <w:rPr>
          <w:rFonts w:hint="eastAsia" w:eastAsia="宋体" w:cs="宋体"/>
          <w:snapToGrid w:val="0"/>
        </w:rPr>
      </w:pPr>
      <w:r>
        <w:rPr>
          <w:rFonts w:hint="eastAsia" w:eastAsia="宋体" w:cs="宋体"/>
          <w:snapToGrid w:val="0"/>
        </w:rPr>
        <w:t>（2）监理人对竣工付款申请单有异议的，有权要求承包人进行修正和提供补充资料。经监理人和承包人协商后，由承包人向监理人提交修正后的竣工付款申请单。</w:t>
      </w:r>
    </w:p>
    <w:p w14:paraId="3B8D2945">
      <w:pPr>
        <w:pStyle w:val="403"/>
        <w:spacing w:line="460" w:lineRule="exact"/>
        <w:ind w:firstLine="480" w:firstLineChars="200"/>
        <w:rPr>
          <w:rFonts w:hint="eastAsia" w:eastAsia="宋体" w:cs="宋体"/>
          <w:snapToGrid w:val="0"/>
        </w:rPr>
      </w:pPr>
      <w:r>
        <w:rPr>
          <w:rFonts w:hint="eastAsia" w:eastAsia="宋体" w:cs="宋体"/>
          <w:snapToGrid w:val="0"/>
        </w:rPr>
        <w:t>17.5.2 竣工付款证书及支付时间</w:t>
      </w:r>
    </w:p>
    <w:p w14:paraId="05D88355">
      <w:pPr>
        <w:pStyle w:val="403"/>
        <w:spacing w:line="460" w:lineRule="exact"/>
        <w:ind w:firstLine="480" w:firstLineChars="200"/>
        <w:rPr>
          <w:rFonts w:hint="eastAsia" w:eastAsia="宋体" w:cs="宋体"/>
          <w:snapToGrid w:val="0"/>
        </w:rPr>
      </w:pPr>
      <w:r>
        <w:rPr>
          <w:rFonts w:hint="eastAsia" w:eastAsia="宋体" w:cs="宋体"/>
          <w:snapToGrid w:val="0"/>
        </w:rPr>
        <w:t>（1）监理人在收到承包人提交的竣工付款申请单后的14天内完成核查，提出发包人到期应支付给承包人的价款送发包人审核并抄送承包人。发包人应在收到后14天内审核完毕，由监理人向承包人出具经发包人签认的竣工付款证书。监理人未在约定时间内核查，又未提出具体意见的，视为承包人提交的竣工付款申请单已经监理人核查同意；发包人未在约定时间内审核又未提出具体意见的，监理人提出发包人到期应支付给承包人的价款视为已经发包人同意。</w:t>
      </w:r>
    </w:p>
    <w:p w14:paraId="4AB74098">
      <w:pPr>
        <w:pStyle w:val="403"/>
        <w:spacing w:line="460" w:lineRule="exact"/>
        <w:ind w:firstLine="480" w:firstLineChars="200"/>
        <w:rPr>
          <w:rFonts w:hint="eastAsia" w:eastAsia="宋体" w:cs="宋体"/>
          <w:snapToGrid w:val="0"/>
        </w:rPr>
      </w:pPr>
      <w:r>
        <w:rPr>
          <w:rFonts w:hint="eastAsia" w:eastAsia="宋体" w:cs="宋体"/>
          <w:snapToGrid w:val="0"/>
        </w:rPr>
        <w:t>（2）发包人应在监理人出具竣工付款证书后的14 天内，将应支付款支付给承包人。发包人不按期支付的，按第17.3.4（2）目的约定，将逾期付款违约金支付给承包人。</w:t>
      </w:r>
    </w:p>
    <w:p w14:paraId="72A90993">
      <w:pPr>
        <w:pStyle w:val="403"/>
        <w:spacing w:line="460" w:lineRule="exact"/>
        <w:ind w:firstLine="480" w:firstLineChars="200"/>
        <w:rPr>
          <w:rFonts w:hint="eastAsia" w:eastAsia="宋体" w:cs="宋体"/>
          <w:snapToGrid w:val="0"/>
        </w:rPr>
      </w:pPr>
      <w:r>
        <w:rPr>
          <w:rFonts w:hint="eastAsia" w:eastAsia="宋体" w:cs="宋体"/>
          <w:snapToGrid w:val="0"/>
        </w:rPr>
        <w:t>（3）承包人对发包人签认的竣工付款证书有异议的，发包人可出具竣工付款申请单中承包人已同意部分的临时付款证书。存在争议的部分，按第24条的约定执行。</w:t>
      </w:r>
    </w:p>
    <w:p w14:paraId="3058FCE3">
      <w:pPr>
        <w:pStyle w:val="403"/>
        <w:spacing w:line="460" w:lineRule="exact"/>
        <w:ind w:firstLine="480" w:firstLineChars="200"/>
        <w:rPr>
          <w:rFonts w:hint="eastAsia" w:eastAsia="宋体" w:cs="宋体"/>
          <w:snapToGrid w:val="0"/>
        </w:rPr>
      </w:pPr>
      <w:r>
        <w:rPr>
          <w:rFonts w:hint="eastAsia" w:eastAsia="宋体" w:cs="宋体"/>
          <w:snapToGrid w:val="0"/>
        </w:rPr>
        <w:t>（4）竣工付款涉及政府投资资金的，按第17.3.4（4）目的约定执行。</w:t>
      </w:r>
    </w:p>
    <w:p w14:paraId="26F27FC3">
      <w:pPr>
        <w:pStyle w:val="403"/>
        <w:spacing w:line="460" w:lineRule="exact"/>
        <w:ind w:firstLine="480" w:firstLineChars="200"/>
        <w:rPr>
          <w:rFonts w:hint="eastAsia" w:eastAsia="宋体" w:cs="宋体"/>
          <w:snapToGrid w:val="0"/>
        </w:rPr>
      </w:pPr>
      <w:bookmarkStart w:id="1083" w:name="_Toc410559457"/>
      <w:bookmarkStart w:id="1084" w:name="_Toc411736539"/>
      <w:bookmarkStart w:id="1085" w:name="_Toc247527753"/>
      <w:bookmarkStart w:id="1086" w:name="_Toc411736263"/>
      <w:bookmarkStart w:id="1087" w:name="_Toc68594864"/>
      <w:bookmarkStart w:id="1088" w:name="_Toc247514152"/>
      <w:bookmarkStart w:id="1089" w:name="_Toc300835156"/>
      <w:bookmarkStart w:id="1090" w:name="_Toc476860474"/>
      <w:r>
        <w:rPr>
          <w:rFonts w:hint="eastAsia" w:eastAsia="宋体" w:cs="宋体"/>
          <w:snapToGrid w:val="0"/>
        </w:rPr>
        <w:t>17.6 最终结清</w:t>
      </w:r>
      <w:bookmarkEnd w:id="1083"/>
      <w:bookmarkEnd w:id="1084"/>
      <w:bookmarkEnd w:id="1085"/>
      <w:bookmarkEnd w:id="1086"/>
      <w:bookmarkEnd w:id="1087"/>
      <w:bookmarkEnd w:id="1088"/>
      <w:bookmarkEnd w:id="1089"/>
      <w:bookmarkEnd w:id="1090"/>
    </w:p>
    <w:p w14:paraId="6AEA506F">
      <w:pPr>
        <w:pStyle w:val="403"/>
        <w:spacing w:line="460" w:lineRule="exact"/>
        <w:ind w:firstLine="480" w:firstLineChars="200"/>
        <w:rPr>
          <w:rFonts w:hint="eastAsia" w:eastAsia="宋体" w:cs="宋体"/>
          <w:snapToGrid w:val="0"/>
        </w:rPr>
      </w:pPr>
      <w:r>
        <w:rPr>
          <w:rFonts w:hint="eastAsia" w:eastAsia="宋体" w:cs="宋体"/>
          <w:snapToGrid w:val="0"/>
        </w:rPr>
        <w:t>17.6.1 最终结清申请单</w:t>
      </w:r>
    </w:p>
    <w:p w14:paraId="68C5E1D3">
      <w:pPr>
        <w:pStyle w:val="403"/>
        <w:spacing w:line="460" w:lineRule="exact"/>
        <w:ind w:firstLine="480" w:firstLineChars="200"/>
        <w:rPr>
          <w:rFonts w:hint="eastAsia" w:eastAsia="宋体" w:cs="宋体"/>
          <w:snapToGrid w:val="0"/>
        </w:rPr>
      </w:pPr>
      <w:r>
        <w:rPr>
          <w:rFonts w:hint="eastAsia" w:eastAsia="宋体" w:cs="宋体"/>
          <w:snapToGrid w:val="0"/>
        </w:rPr>
        <w:t>（1）缺陷责任期终止证书签发后，承包人可按专用合同条款约定的份数和期限向监理人提交最终结清申请单，并提供相关证明材料。</w:t>
      </w:r>
    </w:p>
    <w:p w14:paraId="5B472757">
      <w:pPr>
        <w:pStyle w:val="403"/>
        <w:spacing w:line="460" w:lineRule="exact"/>
        <w:ind w:firstLine="480" w:firstLineChars="200"/>
        <w:rPr>
          <w:rFonts w:hint="eastAsia" w:eastAsia="宋体" w:cs="宋体"/>
          <w:snapToGrid w:val="0"/>
        </w:rPr>
      </w:pPr>
      <w:r>
        <w:rPr>
          <w:rFonts w:hint="eastAsia" w:eastAsia="宋体" w:cs="宋体"/>
          <w:snapToGrid w:val="0"/>
        </w:rPr>
        <w:t>（2）发包人对最终结清申请单内容有异议的，有权要求承包人进行修正和提供补充资料，由承包人向监理人提交修正后的最终结清申请单。</w:t>
      </w:r>
    </w:p>
    <w:p w14:paraId="4F6EA775">
      <w:pPr>
        <w:pStyle w:val="403"/>
        <w:spacing w:line="460" w:lineRule="exact"/>
        <w:ind w:firstLine="480" w:firstLineChars="200"/>
        <w:rPr>
          <w:rFonts w:hint="eastAsia" w:eastAsia="宋体" w:cs="宋体"/>
          <w:snapToGrid w:val="0"/>
        </w:rPr>
      </w:pPr>
      <w:r>
        <w:rPr>
          <w:rFonts w:hint="eastAsia" w:eastAsia="宋体" w:cs="宋体"/>
          <w:snapToGrid w:val="0"/>
        </w:rPr>
        <w:t>17.6.2 最终结清证书和支付时间</w:t>
      </w:r>
    </w:p>
    <w:p w14:paraId="313076D7">
      <w:pPr>
        <w:pStyle w:val="403"/>
        <w:spacing w:line="460" w:lineRule="exact"/>
        <w:ind w:firstLine="480" w:firstLineChars="200"/>
        <w:rPr>
          <w:rFonts w:hint="eastAsia" w:eastAsia="宋体" w:cs="宋体"/>
          <w:snapToGrid w:val="0"/>
        </w:rPr>
      </w:pPr>
      <w:r>
        <w:rPr>
          <w:rFonts w:hint="eastAsia" w:eastAsia="宋体" w:cs="宋体"/>
          <w:snapToGrid w:val="0"/>
        </w:rPr>
        <w:t>（1）监理人收到承包人提交的最终结清申请单后的14天内，提出发包人应支付给承包人的价款送发包人审核并抄送承包人。发包人应在收到后14天内审核完毕，由监理人向承包人出具经发包人签认的最终结清证书。监理人未在约定时间内核查，又未提出具体意见的，视为承包人提交的最终结清申请已经监理人核查同意；发包人未在约定时间内审核又未提出具体意见的，监理人提出应支付给承包人的价款视为已经发包人同意。</w:t>
      </w:r>
    </w:p>
    <w:p w14:paraId="0CB01AF9">
      <w:pPr>
        <w:pStyle w:val="403"/>
        <w:spacing w:line="460" w:lineRule="exact"/>
        <w:ind w:firstLine="480" w:firstLineChars="200"/>
        <w:rPr>
          <w:rFonts w:hint="eastAsia" w:eastAsia="宋体" w:cs="宋体"/>
          <w:snapToGrid w:val="0"/>
        </w:rPr>
      </w:pPr>
      <w:r>
        <w:rPr>
          <w:rFonts w:hint="eastAsia" w:eastAsia="宋体" w:cs="宋体"/>
          <w:snapToGrid w:val="0"/>
        </w:rPr>
        <w:t>（2）发包人应在监理人出具最终结清证书后的14 天内，将应支付款支付给承包人。</w:t>
      </w:r>
    </w:p>
    <w:p w14:paraId="6ECA7D44">
      <w:pPr>
        <w:pStyle w:val="403"/>
        <w:spacing w:line="460" w:lineRule="exact"/>
        <w:ind w:firstLine="480" w:firstLineChars="200"/>
        <w:rPr>
          <w:rFonts w:hint="eastAsia" w:eastAsia="宋体" w:cs="宋体"/>
          <w:snapToGrid w:val="0"/>
        </w:rPr>
      </w:pPr>
      <w:r>
        <w:rPr>
          <w:rFonts w:hint="eastAsia" w:eastAsia="宋体" w:cs="宋体"/>
          <w:snapToGrid w:val="0"/>
        </w:rPr>
        <w:t>发包人不按期支付的，按第17.3.4（2）目的约定，将逾期付款违约金支付给承包人。</w:t>
      </w:r>
    </w:p>
    <w:p w14:paraId="5C93D591">
      <w:pPr>
        <w:pStyle w:val="403"/>
        <w:spacing w:line="460" w:lineRule="exact"/>
        <w:ind w:firstLine="480" w:firstLineChars="200"/>
        <w:rPr>
          <w:rFonts w:hint="eastAsia" w:eastAsia="宋体" w:cs="宋体"/>
          <w:snapToGrid w:val="0"/>
        </w:rPr>
      </w:pPr>
      <w:r>
        <w:rPr>
          <w:rFonts w:hint="eastAsia" w:eastAsia="宋体" w:cs="宋体"/>
          <w:snapToGrid w:val="0"/>
        </w:rPr>
        <w:t>（3）承包人对发包人签认的最终结清证书有异议的，按第24条的约定执行。</w:t>
      </w:r>
    </w:p>
    <w:p w14:paraId="185D0A29">
      <w:pPr>
        <w:pStyle w:val="403"/>
        <w:spacing w:line="460" w:lineRule="exact"/>
        <w:ind w:firstLine="480" w:firstLineChars="200"/>
        <w:rPr>
          <w:rFonts w:hint="eastAsia" w:eastAsia="宋体" w:cs="宋体"/>
          <w:snapToGrid w:val="0"/>
        </w:rPr>
      </w:pPr>
      <w:r>
        <w:rPr>
          <w:rFonts w:hint="eastAsia" w:eastAsia="宋体" w:cs="宋体"/>
          <w:snapToGrid w:val="0"/>
        </w:rPr>
        <w:t>（4）最终结清付款涉及政府投资资金的，按第17.3.4（4）目的约定执行。</w:t>
      </w:r>
    </w:p>
    <w:p w14:paraId="0DD7EDAF">
      <w:pPr>
        <w:pStyle w:val="5"/>
        <w:spacing w:before="360" w:after="120" w:afterLines="50" w:line="480" w:lineRule="exact"/>
        <w:rPr>
          <w:rFonts w:hint="eastAsia" w:ascii="宋体" w:hAnsi="宋体" w:eastAsia="宋体" w:cs="宋体"/>
          <w:bCs/>
          <w:sz w:val="28"/>
          <w:szCs w:val="28"/>
        </w:rPr>
      </w:pPr>
      <w:bookmarkStart w:id="1091" w:name="_Toc411736264"/>
      <w:bookmarkStart w:id="1092" w:name="_Toc247527754"/>
      <w:bookmarkStart w:id="1093" w:name="_Toc247514153"/>
      <w:bookmarkStart w:id="1094" w:name="_Toc300835157"/>
      <w:bookmarkStart w:id="1095" w:name="_Toc23366"/>
      <w:bookmarkStart w:id="1096" w:name="_Toc68594865"/>
      <w:bookmarkStart w:id="1097" w:name="_Toc476860475"/>
      <w:bookmarkStart w:id="1098" w:name="_Toc198803804"/>
      <w:bookmarkStart w:id="1099" w:name="_Toc184635115"/>
      <w:bookmarkStart w:id="1100" w:name="_Toc411736540"/>
      <w:bookmarkStart w:id="1101" w:name="_Toc410559458"/>
      <w:bookmarkStart w:id="1102" w:name="_Toc83220608"/>
      <w:bookmarkStart w:id="1103" w:name="_Toc176268737"/>
      <w:r>
        <w:rPr>
          <w:rFonts w:hint="eastAsia" w:ascii="宋体" w:hAnsi="宋体" w:eastAsia="宋体" w:cs="宋体"/>
          <w:bCs/>
          <w:sz w:val="28"/>
          <w:szCs w:val="28"/>
        </w:rPr>
        <w:t>18. 竣工试验和竣工验收</w:t>
      </w:r>
      <w:bookmarkEnd w:id="1091"/>
      <w:bookmarkEnd w:id="1092"/>
      <w:bookmarkEnd w:id="1093"/>
      <w:bookmarkEnd w:id="1094"/>
      <w:bookmarkEnd w:id="1095"/>
      <w:bookmarkEnd w:id="1096"/>
      <w:bookmarkEnd w:id="1097"/>
      <w:bookmarkEnd w:id="1098"/>
      <w:bookmarkEnd w:id="1099"/>
      <w:bookmarkEnd w:id="1100"/>
      <w:bookmarkEnd w:id="1101"/>
      <w:bookmarkEnd w:id="1102"/>
      <w:bookmarkEnd w:id="1103"/>
    </w:p>
    <w:p w14:paraId="2E395448">
      <w:pPr>
        <w:pStyle w:val="403"/>
        <w:spacing w:line="460" w:lineRule="exact"/>
        <w:ind w:firstLine="480" w:firstLineChars="200"/>
        <w:rPr>
          <w:rFonts w:hint="eastAsia" w:eastAsia="宋体" w:cs="宋体"/>
          <w:snapToGrid w:val="0"/>
        </w:rPr>
      </w:pPr>
      <w:bookmarkStart w:id="1104" w:name="_Toc68594866"/>
      <w:bookmarkStart w:id="1105" w:name="_Toc410559459"/>
      <w:bookmarkStart w:id="1106" w:name="_Toc476860476"/>
      <w:bookmarkStart w:id="1107" w:name="_Toc411736541"/>
      <w:bookmarkStart w:id="1108" w:name="_Toc300835158"/>
      <w:bookmarkStart w:id="1109" w:name="_Toc411736265"/>
      <w:bookmarkStart w:id="1110" w:name="_Toc247527755"/>
      <w:bookmarkStart w:id="1111" w:name="_Toc247514154"/>
      <w:r>
        <w:rPr>
          <w:rFonts w:hint="eastAsia" w:eastAsia="宋体" w:cs="宋体"/>
          <w:snapToGrid w:val="0"/>
        </w:rPr>
        <w:t>18.1 竣工试验</w:t>
      </w:r>
      <w:bookmarkEnd w:id="1104"/>
      <w:bookmarkEnd w:id="1105"/>
      <w:bookmarkEnd w:id="1106"/>
      <w:bookmarkEnd w:id="1107"/>
      <w:bookmarkEnd w:id="1108"/>
      <w:bookmarkEnd w:id="1109"/>
    </w:p>
    <w:p w14:paraId="5AD5B60E">
      <w:pPr>
        <w:pStyle w:val="403"/>
        <w:spacing w:line="460" w:lineRule="exact"/>
        <w:ind w:firstLine="480" w:firstLineChars="200"/>
        <w:rPr>
          <w:rFonts w:hint="eastAsia" w:eastAsia="宋体" w:cs="宋体"/>
          <w:snapToGrid w:val="0"/>
        </w:rPr>
      </w:pPr>
      <w:r>
        <w:rPr>
          <w:rFonts w:hint="eastAsia" w:eastAsia="宋体" w:cs="宋体"/>
          <w:snapToGrid w:val="0"/>
        </w:rPr>
        <w:t>18.1.1承包人按照第5.5款和第5.6款提交文件后，进行竣工试验。</w:t>
      </w:r>
    </w:p>
    <w:p w14:paraId="27B4D42F">
      <w:pPr>
        <w:pStyle w:val="403"/>
        <w:spacing w:line="460" w:lineRule="exact"/>
        <w:ind w:firstLine="480" w:firstLineChars="200"/>
        <w:rPr>
          <w:rFonts w:hint="eastAsia" w:eastAsia="宋体" w:cs="宋体"/>
          <w:snapToGrid w:val="0"/>
        </w:rPr>
      </w:pPr>
      <w:r>
        <w:rPr>
          <w:rFonts w:hint="eastAsia" w:eastAsia="宋体" w:cs="宋体"/>
          <w:snapToGrid w:val="0"/>
        </w:rPr>
        <w:t>18.1.2承包人应提前21天将可以开始进行竣工试验的日期通知监理人，监理人应在该日期后14天内，确定竣工试验具体时间。除专用合同条款中另有约定外，竣工试验应按下述顺序进行：</w:t>
      </w:r>
    </w:p>
    <w:p w14:paraId="184362E1">
      <w:pPr>
        <w:pStyle w:val="403"/>
        <w:spacing w:line="460" w:lineRule="exact"/>
        <w:ind w:firstLine="480" w:firstLineChars="200"/>
        <w:rPr>
          <w:rFonts w:hint="eastAsia" w:eastAsia="宋体" w:cs="宋体"/>
          <w:snapToGrid w:val="0"/>
        </w:rPr>
      </w:pPr>
      <w:r>
        <w:rPr>
          <w:rFonts w:hint="eastAsia" w:eastAsia="宋体" w:cs="宋体"/>
          <w:snapToGrid w:val="0"/>
        </w:rPr>
        <w:t>（1）第一阶段，承包人进行适当的检查和功能性试验，保证每一项工程设备都满足合同要求，并能安全地进入下一阶段试验;</w:t>
      </w:r>
    </w:p>
    <w:p w14:paraId="2D997F48">
      <w:pPr>
        <w:pStyle w:val="403"/>
        <w:spacing w:line="460" w:lineRule="exact"/>
        <w:ind w:firstLine="480" w:firstLineChars="200"/>
        <w:rPr>
          <w:rFonts w:hint="eastAsia" w:eastAsia="宋体" w:cs="宋体"/>
          <w:snapToGrid w:val="0"/>
        </w:rPr>
      </w:pPr>
      <w:r>
        <w:rPr>
          <w:rFonts w:hint="eastAsia" w:eastAsia="宋体" w:cs="宋体"/>
          <w:snapToGrid w:val="0"/>
        </w:rPr>
        <w:t>（2）第二阶段，承包人进行试验，保证工程或区段工程满足合同要求，在所有可利用的操作条件下安全运行；</w:t>
      </w:r>
    </w:p>
    <w:p w14:paraId="6B572768">
      <w:pPr>
        <w:pStyle w:val="403"/>
        <w:spacing w:line="460" w:lineRule="exact"/>
        <w:ind w:firstLine="480" w:firstLineChars="200"/>
        <w:rPr>
          <w:rFonts w:hint="eastAsia" w:eastAsia="宋体" w:cs="宋体"/>
          <w:snapToGrid w:val="0"/>
        </w:rPr>
      </w:pPr>
      <w:r>
        <w:rPr>
          <w:rFonts w:hint="eastAsia" w:eastAsia="宋体" w:cs="宋体"/>
          <w:snapToGrid w:val="0"/>
        </w:rPr>
        <w:t>（3）第三阶段，当工程能安全运行时，承包人应通知监理人，可以进行其他竣工试验，包括各种性能测试，以证明工程符合发包人要求中列明的性能保证指标。</w:t>
      </w:r>
    </w:p>
    <w:p w14:paraId="614E7E0C">
      <w:pPr>
        <w:pStyle w:val="403"/>
        <w:spacing w:line="460" w:lineRule="exact"/>
        <w:ind w:firstLine="480" w:firstLineChars="200"/>
        <w:rPr>
          <w:rFonts w:hint="eastAsia" w:eastAsia="宋体" w:cs="宋体"/>
          <w:snapToGrid w:val="0"/>
        </w:rPr>
      </w:pPr>
      <w:r>
        <w:rPr>
          <w:rFonts w:hint="eastAsia" w:eastAsia="宋体" w:cs="宋体"/>
          <w:snapToGrid w:val="0"/>
        </w:rPr>
        <w:t>18.1.3 承包人应按合同约定进行工程及工程设备试运行。试运行所需人员、设备、材料、燃料、电力、消耗品、工具等必要的条件以及试运行费用等由专用合同条款规定。</w:t>
      </w:r>
    </w:p>
    <w:p w14:paraId="7E1FE9EE">
      <w:pPr>
        <w:pStyle w:val="403"/>
        <w:spacing w:line="460" w:lineRule="exact"/>
        <w:ind w:firstLine="480" w:firstLineChars="200"/>
        <w:rPr>
          <w:rFonts w:hint="eastAsia" w:eastAsia="宋体" w:cs="宋体"/>
          <w:snapToGrid w:val="0"/>
        </w:rPr>
      </w:pPr>
      <w:r>
        <w:rPr>
          <w:rFonts w:hint="eastAsia" w:eastAsia="宋体" w:cs="宋体"/>
          <w:snapToGrid w:val="0"/>
        </w:rPr>
        <w:t>18.1.4 某项竣工试验未能通过的，承包人应按照监理人的指示限期改正，并承担合同约定的相应责任。</w:t>
      </w:r>
    </w:p>
    <w:bookmarkEnd w:id="1110"/>
    <w:bookmarkEnd w:id="1111"/>
    <w:p w14:paraId="7EB211C5">
      <w:pPr>
        <w:pStyle w:val="403"/>
        <w:spacing w:line="460" w:lineRule="exact"/>
        <w:ind w:firstLine="480" w:firstLineChars="200"/>
        <w:rPr>
          <w:rFonts w:hint="eastAsia" w:eastAsia="宋体" w:cs="宋体"/>
          <w:snapToGrid w:val="0"/>
        </w:rPr>
      </w:pPr>
      <w:bookmarkStart w:id="1112" w:name="_Toc247514159"/>
      <w:bookmarkStart w:id="1113" w:name="_Toc410559460"/>
      <w:bookmarkStart w:id="1114" w:name="_Toc476860477"/>
      <w:bookmarkStart w:id="1115" w:name="_Toc300835159"/>
      <w:bookmarkStart w:id="1116" w:name="_Toc411736266"/>
      <w:bookmarkStart w:id="1117" w:name="_Toc68594867"/>
      <w:bookmarkStart w:id="1118" w:name="_Toc247527760"/>
      <w:bookmarkStart w:id="1119" w:name="_Toc411736542"/>
      <w:r>
        <w:rPr>
          <w:rFonts w:hint="eastAsia" w:eastAsia="宋体" w:cs="宋体"/>
          <w:snapToGrid w:val="0"/>
        </w:rPr>
        <w:t>18.2 竣工验收申请报告</w:t>
      </w:r>
      <w:bookmarkEnd w:id="1112"/>
      <w:bookmarkEnd w:id="1113"/>
      <w:bookmarkEnd w:id="1114"/>
      <w:bookmarkEnd w:id="1115"/>
      <w:bookmarkEnd w:id="1116"/>
      <w:bookmarkEnd w:id="1117"/>
      <w:bookmarkEnd w:id="1118"/>
      <w:bookmarkEnd w:id="1119"/>
    </w:p>
    <w:p w14:paraId="7C3B6568">
      <w:pPr>
        <w:pStyle w:val="403"/>
        <w:spacing w:line="460" w:lineRule="exact"/>
        <w:ind w:firstLine="480" w:firstLineChars="200"/>
        <w:rPr>
          <w:rFonts w:hint="eastAsia" w:eastAsia="宋体" w:cs="宋体"/>
          <w:snapToGrid w:val="0"/>
        </w:rPr>
      </w:pPr>
      <w:r>
        <w:rPr>
          <w:rFonts w:hint="eastAsia" w:eastAsia="宋体" w:cs="宋体"/>
          <w:snapToGrid w:val="0"/>
        </w:rPr>
        <w:t>当工程具备以下条件时，承包人即可向监理人报送竣工验收申请报告：</w:t>
      </w:r>
    </w:p>
    <w:p w14:paraId="3FEE2ABC">
      <w:pPr>
        <w:pStyle w:val="403"/>
        <w:spacing w:line="460" w:lineRule="exact"/>
        <w:ind w:firstLine="480" w:firstLineChars="200"/>
        <w:rPr>
          <w:rFonts w:hint="eastAsia" w:eastAsia="宋体" w:cs="宋体"/>
          <w:snapToGrid w:val="0"/>
        </w:rPr>
      </w:pPr>
      <w:r>
        <w:rPr>
          <w:rFonts w:hint="eastAsia" w:eastAsia="宋体" w:cs="宋体"/>
          <w:snapToGrid w:val="0"/>
        </w:rPr>
        <w:t>（1）除监理人同意列入缺陷责任期内完成的尾工（甩项）工程和缺陷修补工作外，合同范围内的全部区段工程以及有关工作，包括合同要求的试验和竣工试验均已完成，并符合合同要求；</w:t>
      </w:r>
    </w:p>
    <w:p w14:paraId="39C45126">
      <w:pPr>
        <w:pStyle w:val="403"/>
        <w:spacing w:line="460" w:lineRule="exact"/>
        <w:ind w:firstLine="480" w:firstLineChars="200"/>
        <w:rPr>
          <w:rFonts w:hint="eastAsia" w:eastAsia="宋体" w:cs="宋体"/>
          <w:snapToGrid w:val="0"/>
        </w:rPr>
      </w:pPr>
      <w:r>
        <w:rPr>
          <w:rFonts w:hint="eastAsia" w:eastAsia="宋体" w:cs="宋体"/>
          <w:snapToGrid w:val="0"/>
        </w:rPr>
        <w:t>（2）已按合同约定的内容和份数备齐了符合要求的竣工文件；</w:t>
      </w:r>
    </w:p>
    <w:p w14:paraId="4917B603">
      <w:pPr>
        <w:pStyle w:val="403"/>
        <w:spacing w:line="460" w:lineRule="exact"/>
        <w:ind w:firstLine="480" w:firstLineChars="200"/>
        <w:rPr>
          <w:rFonts w:hint="eastAsia" w:eastAsia="宋体" w:cs="宋体"/>
          <w:snapToGrid w:val="0"/>
        </w:rPr>
      </w:pPr>
      <w:r>
        <w:rPr>
          <w:rFonts w:hint="eastAsia" w:eastAsia="宋体" w:cs="宋体"/>
          <w:snapToGrid w:val="0"/>
        </w:rPr>
        <w:t>（3）已按监理人的要求编制了在缺陷责任期内完成的尾工（甩项）工程和缺陷修补工作清单以及相应施工计划；</w:t>
      </w:r>
    </w:p>
    <w:p w14:paraId="73B16BBB">
      <w:pPr>
        <w:pStyle w:val="403"/>
        <w:spacing w:line="460" w:lineRule="exact"/>
        <w:ind w:firstLine="480" w:firstLineChars="200"/>
        <w:rPr>
          <w:rFonts w:hint="eastAsia" w:eastAsia="宋体" w:cs="宋体"/>
          <w:snapToGrid w:val="0"/>
        </w:rPr>
      </w:pPr>
      <w:r>
        <w:rPr>
          <w:rFonts w:hint="eastAsia" w:eastAsia="宋体" w:cs="宋体"/>
          <w:snapToGrid w:val="0"/>
        </w:rPr>
        <w:t>（4）监理人要求在竣工验收前应完成的其他工作；</w:t>
      </w:r>
    </w:p>
    <w:p w14:paraId="3F781657">
      <w:pPr>
        <w:pStyle w:val="403"/>
        <w:spacing w:line="460" w:lineRule="exact"/>
        <w:ind w:firstLine="480" w:firstLineChars="200"/>
        <w:rPr>
          <w:rFonts w:hint="eastAsia" w:eastAsia="宋体" w:cs="宋体"/>
          <w:snapToGrid w:val="0"/>
        </w:rPr>
      </w:pPr>
      <w:r>
        <w:rPr>
          <w:rFonts w:hint="eastAsia" w:eastAsia="宋体" w:cs="宋体"/>
          <w:snapToGrid w:val="0"/>
        </w:rPr>
        <w:t>（5）监理人要求提交的竣工验收资料清单。</w:t>
      </w:r>
    </w:p>
    <w:p w14:paraId="3684EC7A">
      <w:pPr>
        <w:pStyle w:val="403"/>
        <w:spacing w:line="460" w:lineRule="exact"/>
        <w:ind w:firstLine="480" w:firstLineChars="200"/>
        <w:rPr>
          <w:rFonts w:hint="eastAsia" w:eastAsia="宋体" w:cs="宋体"/>
          <w:snapToGrid w:val="0"/>
        </w:rPr>
      </w:pPr>
      <w:bookmarkStart w:id="1120" w:name="_Toc247527761"/>
      <w:bookmarkStart w:id="1121" w:name="_Toc68594868"/>
      <w:bookmarkStart w:id="1122" w:name="_Toc411736267"/>
      <w:bookmarkStart w:id="1123" w:name="_Toc411736543"/>
      <w:bookmarkStart w:id="1124" w:name="_Toc247514160"/>
      <w:bookmarkStart w:id="1125" w:name="_Toc476860478"/>
      <w:bookmarkStart w:id="1126" w:name="_Toc410559461"/>
      <w:bookmarkStart w:id="1127" w:name="_Toc300835160"/>
      <w:r>
        <w:rPr>
          <w:rFonts w:hint="eastAsia" w:eastAsia="宋体" w:cs="宋体"/>
          <w:snapToGrid w:val="0"/>
        </w:rPr>
        <w:t>18.3 竣工验收</w:t>
      </w:r>
      <w:bookmarkEnd w:id="1120"/>
      <w:bookmarkEnd w:id="1121"/>
      <w:bookmarkEnd w:id="1122"/>
      <w:bookmarkEnd w:id="1123"/>
      <w:bookmarkEnd w:id="1124"/>
      <w:bookmarkEnd w:id="1125"/>
      <w:bookmarkEnd w:id="1126"/>
      <w:bookmarkEnd w:id="1127"/>
    </w:p>
    <w:p w14:paraId="66F48943">
      <w:pPr>
        <w:pStyle w:val="403"/>
        <w:spacing w:line="460" w:lineRule="exact"/>
        <w:ind w:firstLine="480" w:firstLineChars="200"/>
        <w:rPr>
          <w:rFonts w:hint="eastAsia" w:eastAsia="宋体" w:cs="宋体"/>
          <w:snapToGrid w:val="0"/>
        </w:rPr>
      </w:pPr>
      <w:r>
        <w:rPr>
          <w:rFonts w:hint="eastAsia" w:eastAsia="宋体" w:cs="宋体"/>
          <w:snapToGrid w:val="0"/>
        </w:rPr>
        <w:t>监理人收到承包人按第18.2 款约定提交的竣工验收申请报告后，应审查申请报告的各项内容，并按以下不同情况进行处理。</w:t>
      </w:r>
    </w:p>
    <w:p w14:paraId="733B7BE1">
      <w:pPr>
        <w:pStyle w:val="403"/>
        <w:spacing w:line="460" w:lineRule="exact"/>
        <w:ind w:firstLine="480" w:firstLineChars="200"/>
        <w:rPr>
          <w:rFonts w:hint="eastAsia" w:eastAsia="宋体" w:cs="宋体"/>
          <w:snapToGrid w:val="0"/>
        </w:rPr>
      </w:pPr>
      <w:r>
        <w:rPr>
          <w:rFonts w:hint="eastAsia" w:eastAsia="宋体" w:cs="宋体"/>
          <w:snapToGrid w:val="0"/>
        </w:rPr>
        <w:t>18.3.1 监理人审查后认为尚不具备竣工验收条件的，应在收到竣工验收申请报告后的28天内通知承包人，指出在颁发接收证书前承包人还需进行的工作内容。承包人完成监理人通知的全部工作内容后，应再次提交竣工验收申请报告，直至监理人同意为止。监理人收到竣工验收申请报告后28天内不予答复的，视为同意承包人的竣工验收申请，并应在收到该竣工验收申请报告后28天内提请发包人进行竣工验收。</w:t>
      </w:r>
    </w:p>
    <w:p w14:paraId="62F51A19">
      <w:pPr>
        <w:pStyle w:val="403"/>
        <w:spacing w:line="460" w:lineRule="exact"/>
        <w:ind w:firstLine="480" w:firstLineChars="200"/>
        <w:rPr>
          <w:rFonts w:hint="eastAsia" w:eastAsia="宋体" w:cs="宋体"/>
          <w:snapToGrid w:val="0"/>
        </w:rPr>
      </w:pPr>
      <w:r>
        <w:rPr>
          <w:rFonts w:hint="eastAsia" w:eastAsia="宋体" w:cs="宋体"/>
          <w:snapToGrid w:val="0"/>
        </w:rPr>
        <w:t>18.3.2 监理人同意承包人提交的竣工验收申请报告的，应在收到该竣工验收申请报告后的28天内提请发包人进行工程验收。</w:t>
      </w:r>
    </w:p>
    <w:p w14:paraId="633AC5FC">
      <w:pPr>
        <w:pStyle w:val="403"/>
        <w:spacing w:line="460" w:lineRule="exact"/>
        <w:ind w:firstLine="480" w:firstLineChars="200"/>
        <w:rPr>
          <w:rFonts w:hint="eastAsia" w:eastAsia="宋体" w:cs="宋体"/>
          <w:snapToGrid w:val="0"/>
        </w:rPr>
      </w:pPr>
      <w:r>
        <w:rPr>
          <w:rFonts w:hint="eastAsia" w:eastAsia="宋体" w:cs="宋体"/>
          <w:snapToGrid w:val="0"/>
        </w:rPr>
        <w:t>18.3.3 发包人经过验收后同意接受工程的，应在监理人收到竣工验收申请报告后的56天内，由监理人向承包人出具经发包人签认的工程接收证书。发包人验收后同意接收工程但提出整修和完善要求的，限期修好，并缓发工程接收证书。整修和完善工作完成后，监理人复查达到要求的，经发包人同意后，再向承包人出具工程接收证书。</w:t>
      </w:r>
    </w:p>
    <w:p w14:paraId="4C6F2CBE">
      <w:pPr>
        <w:pStyle w:val="403"/>
        <w:spacing w:line="460" w:lineRule="exact"/>
        <w:ind w:firstLine="480" w:firstLineChars="200"/>
        <w:rPr>
          <w:rFonts w:hint="eastAsia" w:eastAsia="宋体" w:cs="宋体"/>
          <w:snapToGrid w:val="0"/>
        </w:rPr>
      </w:pPr>
      <w:r>
        <w:rPr>
          <w:rFonts w:hint="eastAsia" w:eastAsia="宋体" w:cs="宋体"/>
          <w:snapToGrid w:val="0"/>
        </w:rPr>
        <w:t>18.3.4 发包人验收后不同意接收工程的，监理人应按照发包人的验收意见发出指示，要求承包人对不合格工程认真返工重作或进行补救处理，并承担由此产生的费用。承包人在完成不合格工程的返工重作或补救工作后，应重新提交竣工验收申请报告，按第18.3.1 项、第18.3.2 项和第18.3.3 项的约定进行。</w:t>
      </w:r>
    </w:p>
    <w:p w14:paraId="3DB4250E">
      <w:pPr>
        <w:pStyle w:val="403"/>
        <w:spacing w:line="460" w:lineRule="exact"/>
        <w:ind w:firstLine="480" w:firstLineChars="200"/>
        <w:rPr>
          <w:rFonts w:hint="eastAsia" w:eastAsia="宋体" w:cs="宋体"/>
          <w:snapToGrid w:val="0"/>
        </w:rPr>
      </w:pPr>
      <w:r>
        <w:rPr>
          <w:rFonts w:hint="eastAsia" w:eastAsia="宋体" w:cs="宋体"/>
          <w:snapToGrid w:val="0"/>
        </w:rPr>
        <w:t>18.3.5 除专用合同条款另有约定外，经验收合格工程的实际竣工日期，以提交竣工验收申请报告的日期为准，并在工程接收证书中写明。</w:t>
      </w:r>
    </w:p>
    <w:p w14:paraId="4572E849">
      <w:pPr>
        <w:pStyle w:val="403"/>
        <w:spacing w:line="460" w:lineRule="exact"/>
        <w:ind w:firstLine="480" w:firstLineChars="200"/>
        <w:rPr>
          <w:rFonts w:hint="eastAsia" w:eastAsia="宋体" w:cs="宋体"/>
          <w:snapToGrid w:val="0"/>
        </w:rPr>
      </w:pPr>
      <w:r>
        <w:rPr>
          <w:rFonts w:hint="eastAsia" w:eastAsia="宋体" w:cs="宋体"/>
          <w:snapToGrid w:val="0"/>
        </w:rPr>
        <w:t>18.3.6 发包人在收到承包人竣工验收申请报告56 天后未进行验收的，视为验收合格，实际竣工日期以提交竣工验收申请报告的日期为准，但发包人由于不可抗力不能进行验收的除外。</w:t>
      </w:r>
    </w:p>
    <w:p w14:paraId="54A8E10D">
      <w:pPr>
        <w:pStyle w:val="403"/>
        <w:spacing w:line="460" w:lineRule="exact"/>
        <w:ind w:firstLine="480" w:firstLineChars="200"/>
        <w:rPr>
          <w:rFonts w:hint="eastAsia" w:eastAsia="宋体" w:cs="宋体"/>
          <w:snapToGrid w:val="0"/>
        </w:rPr>
      </w:pPr>
      <w:bookmarkStart w:id="1128" w:name="_Toc410559462"/>
      <w:bookmarkStart w:id="1129" w:name="_Toc300835161"/>
      <w:bookmarkStart w:id="1130" w:name="_Toc476860479"/>
      <w:bookmarkStart w:id="1131" w:name="_Toc411736544"/>
      <w:bookmarkStart w:id="1132" w:name="_Toc411736268"/>
      <w:bookmarkStart w:id="1133" w:name="_Toc68594869"/>
      <w:r>
        <w:rPr>
          <w:rFonts w:hint="eastAsia" w:eastAsia="宋体" w:cs="宋体"/>
          <w:snapToGrid w:val="0"/>
        </w:rPr>
        <w:t>18.4 国家验收</w:t>
      </w:r>
      <w:bookmarkEnd w:id="1128"/>
      <w:bookmarkEnd w:id="1129"/>
      <w:bookmarkEnd w:id="1130"/>
      <w:bookmarkEnd w:id="1131"/>
      <w:bookmarkEnd w:id="1132"/>
      <w:bookmarkEnd w:id="1133"/>
    </w:p>
    <w:p w14:paraId="57C5894B">
      <w:pPr>
        <w:pStyle w:val="403"/>
        <w:spacing w:line="460" w:lineRule="exact"/>
        <w:ind w:firstLine="480" w:firstLineChars="200"/>
        <w:rPr>
          <w:rFonts w:hint="eastAsia" w:eastAsia="宋体" w:cs="宋体"/>
          <w:snapToGrid w:val="0"/>
        </w:rPr>
      </w:pPr>
      <w:r>
        <w:rPr>
          <w:rFonts w:hint="eastAsia" w:eastAsia="宋体" w:cs="宋体"/>
          <w:snapToGrid w:val="0"/>
        </w:rPr>
        <w:t>需要进行国家验收的，竣工验收是国家验收的一部分。竣工验收所采用的各项验收和评定标准应符合国家验收标准。发包人和承包人为竣工验收提供的各项竣工验收资料应符合国家验收的要求。</w:t>
      </w:r>
    </w:p>
    <w:p w14:paraId="708232EB">
      <w:pPr>
        <w:pStyle w:val="403"/>
        <w:spacing w:line="460" w:lineRule="exact"/>
        <w:ind w:firstLine="480" w:firstLineChars="200"/>
        <w:rPr>
          <w:rFonts w:hint="eastAsia" w:eastAsia="宋体" w:cs="宋体"/>
          <w:snapToGrid w:val="0"/>
        </w:rPr>
      </w:pPr>
      <w:bookmarkStart w:id="1134" w:name="_Toc300835162"/>
      <w:bookmarkStart w:id="1135" w:name="_Toc411736269"/>
      <w:bookmarkStart w:id="1136" w:name="_Toc247514161"/>
      <w:bookmarkStart w:id="1137" w:name="_Toc68594870"/>
      <w:bookmarkStart w:id="1138" w:name="_Toc410559463"/>
      <w:bookmarkStart w:id="1139" w:name="_Toc476860480"/>
      <w:bookmarkStart w:id="1140" w:name="_Toc247527762"/>
      <w:bookmarkStart w:id="1141" w:name="_Toc411736545"/>
      <w:r>
        <w:rPr>
          <w:rFonts w:hint="eastAsia" w:eastAsia="宋体" w:cs="宋体"/>
          <w:snapToGrid w:val="0"/>
        </w:rPr>
        <w:t>18.5 区段工程验收</w:t>
      </w:r>
      <w:bookmarkEnd w:id="1134"/>
      <w:bookmarkEnd w:id="1135"/>
      <w:bookmarkEnd w:id="1136"/>
      <w:bookmarkEnd w:id="1137"/>
      <w:bookmarkEnd w:id="1138"/>
      <w:bookmarkEnd w:id="1139"/>
      <w:bookmarkEnd w:id="1140"/>
      <w:bookmarkEnd w:id="1141"/>
    </w:p>
    <w:p w14:paraId="5E2F1B0A">
      <w:pPr>
        <w:pStyle w:val="403"/>
        <w:spacing w:line="460" w:lineRule="exact"/>
        <w:ind w:firstLine="480" w:firstLineChars="200"/>
        <w:rPr>
          <w:rFonts w:hint="eastAsia" w:eastAsia="宋体" w:cs="宋体"/>
          <w:snapToGrid w:val="0"/>
        </w:rPr>
      </w:pPr>
      <w:r>
        <w:rPr>
          <w:rFonts w:hint="eastAsia" w:eastAsia="宋体" w:cs="宋体"/>
          <w:snapToGrid w:val="0"/>
        </w:rPr>
        <w:t>18.5.1 发包人根据合同进度计划安排，在全部工程竣工前需要使用已经竣工的区段工程时，或承包人提出经发包人同意时，可进行区段工程验收。验收的程序可参照第18.2款与第18.3 款的约定进行。验收合格后，由监理人向承包人出具经发包人签认的区段工程验收证书。已签发区段工程接收证书的区段工程由发包人负责照管。区段工程的验收成果和结论作为全部工程竣工验收申请报告的附件。</w:t>
      </w:r>
    </w:p>
    <w:p w14:paraId="276C592B">
      <w:pPr>
        <w:pStyle w:val="403"/>
        <w:spacing w:line="460" w:lineRule="exact"/>
        <w:ind w:firstLine="480" w:firstLineChars="200"/>
        <w:rPr>
          <w:rFonts w:hint="eastAsia" w:eastAsia="宋体" w:cs="宋体"/>
          <w:snapToGrid w:val="0"/>
        </w:rPr>
      </w:pPr>
      <w:r>
        <w:rPr>
          <w:rFonts w:hint="eastAsia" w:eastAsia="宋体" w:cs="宋体"/>
          <w:snapToGrid w:val="0"/>
        </w:rPr>
        <w:t>18.5.2 发包人在全部工程竣工前，使用已接收的区段工程导致承包人费用增加的，发包人应承担由此增加的费用和（或）工期延误，并支付承包人合理利润。</w:t>
      </w:r>
    </w:p>
    <w:p w14:paraId="72ACC558">
      <w:pPr>
        <w:pStyle w:val="403"/>
        <w:spacing w:line="460" w:lineRule="exact"/>
        <w:ind w:firstLine="480" w:firstLineChars="200"/>
        <w:rPr>
          <w:rFonts w:hint="eastAsia" w:eastAsia="宋体" w:cs="宋体"/>
          <w:snapToGrid w:val="0"/>
        </w:rPr>
      </w:pPr>
      <w:bookmarkStart w:id="1142" w:name="_Toc411736270"/>
      <w:bookmarkStart w:id="1143" w:name="_Toc410559464"/>
      <w:bookmarkStart w:id="1144" w:name="_Toc68594871"/>
      <w:bookmarkStart w:id="1145" w:name="_Toc476860481"/>
      <w:bookmarkStart w:id="1146" w:name="_Toc247514162"/>
      <w:bookmarkStart w:id="1147" w:name="_Toc247527763"/>
      <w:bookmarkStart w:id="1148" w:name="_Toc411736546"/>
      <w:bookmarkStart w:id="1149" w:name="_Toc300835163"/>
      <w:r>
        <w:rPr>
          <w:rFonts w:hint="eastAsia" w:eastAsia="宋体" w:cs="宋体"/>
          <w:snapToGrid w:val="0"/>
        </w:rPr>
        <w:t>18.6 施工期运行</w:t>
      </w:r>
      <w:bookmarkEnd w:id="1142"/>
      <w:bookmarkEnd w:id="1143"/>
      <w:bookmarkEnd w:id="1144"/>
      <w:bookmarkEnd w:id="1145"/>
      <w:bookmarkEnd w:id="1146"/>
      <w:bookmarkEnd w:id="1147"/>
      <w:bookmarkEnd w:id="1148"/>
      <w:bookmarkEnd w:id="1149"/>
    </w:p>
    <w:p w14:paraId="736B2054">
      <w:pPr>
        <w:pStyle w:val="403"/>
        <w:spacing w:line="460" w:lineRule="exact"/>
        <w:ind w:firstLine="480" w:firstLineChars="200"/>
        <w:rPr>
          <w:rFonts w:hint="eastAsia" w:eastAsia="宋体" w:cs="宋体"/>
          <w:snapToGrid w:val="0"/>
        </w:rPr>
      </w:pPr>
      <w:r>
        <w:rPr>
          <w:rFonts w:hint="eastAsia" w:eastAsia="宋体" w:cs="宋体"/>
          <w:snapToGrid w:val="0"/>
        </w:rPr>
        <w:t>18.6.1 施工期运行是指合同工程尚未全部竣工，其中某项或某几项区段工程或工程设备安装已竣工，根据专用合同条款约定，需要投入施工期运行的，经发包人按第18.5 款的约定验收合格，证明能确保安全后，才能在施工期投入运行。</w:t>
      </w:r>
    </w:p>
    <w:p w14:paraId="281421CE">
      <w:pPr>
        <w:pStyle w:val="403"/>
        <w:spacing w:line="460" w:lineRule="exact"/>
        <w:ind w:firstLine="480" w:firstLineChars="200"/>
        <w:rPr>
          <w:rFonts w:hint="eastAsia" w:eastAsia="宋体" w:cs="宋体"/>
          <w:snapToGrid w:val="0"/>
        </w:rPr>
      </w:pPr>
      <w:r>
        <w:rPr>
          <w:rFonts w:hint="eastAsia" w:eastAsia="宋体" w:cs="宋体"/>
          <w:snapToGrid w:val="0"/>
        </w:rPr>
        <w:t>18.6.2 在施工期运行中发现工程或工程设备损坏或存在缺陷的，由承包人按第19.2 款约定进行修复。</w:t>
      </w:r>
    </w:p>
    <w:p w14:paraId="57E26AC1">
      <w:pPr>
        <w:pStyle w:val="403"/>
        <w:spacing w:line="460" w:lineRule="exact"/>
        <w:ind w:firstLine="480" w:firstLineChars="200"/>
        <w:rPr>
          <w:rFonts w:hint="eastAsia" w:eastAsia="宋体" w:cs="宋体"/>
          <w:snapToGrid w:val="0"/>
        </w:rPr>
      </w:pPr>
      <w:bookmarkStart w:id="1150" w:name="_Toc247514163"/>
      <w:bookmarkStart w:id="1151" w:name="_Toc476860482"/>
      <w:bookmarkStart w:id="1152" w:name="_Toc300835164"/>
      <w:bookmarkStart w:id="1153" w:name="_Toc247527764"/>
      <w:bookmarkStart w:id="1154" w:name="_Toc411736547"/>
      <w:bookmarkStart w:id="1155" w:name="_Toc68594872"/>
      <w:bookmarkStart w:id="1156" w:name="_Toc410559465"/>
      <w:bookmarkStart w:id="1157" w:name="_Toc411736271"/>
      <w:r>
        <w:rPr>
          <w:rFonts w:hint="eastAsia" w:eastAsia="宋体" w:cs="宋体"/>
          <w:snapToGrid w:val="0"/>
        </w:rPr>
        <w:t>18.7 竣工清场</w:t>
      </w:r>
      <w:bookmarkEnd w:id="1150"/>
      <w:bookmarkEnd w:id="1151"/>
      <w:bookmarkEnd w:id="1152"/>
      <w:bookmarkEnd w:id="1153"/>
      <w:bookmarkEnd w:id="1154"/>
      <w:bookmarkEnd w:id="1155"/>
      <w:bookmarkEnd w:id="1156"/>
      <w:bookmarkEnd w:id="1157"/>
    </w:p>
    <w:p w14:paraId="16372FE6">
      <w:pPr>
        <w:pStyle w:val="403"/>
        <w:spacing w:line="460" w:lineRule="exact"/>
        <w:ind w:firstLine="480" w:firstLineChars="200"/>
        <w:rPr>
          <w:rFonts w:hint="eastAsia" w:eastAsia="宋体" w:cs="宋体"/>
          <w:snapToGrid w:val="0"/>
        </w:rPr>
      </w:pPr>
      <w:r>
        <w:rPr>
          <w:rFonts w:hint="eastAsia" w:eastAsia="宋体" w:cs="宋体"/>
          <w:snapToGrid w:val="0"/>
        </w:rPr>
        <w:t>18.7.1 除合同另有约定外，工程接收证书颁发后，承包人应按以下要求对施工场地进行清理，直至监理人检验合格为止。竣工清场费用由承包人承担。</w:t>
      </w:r>
    </w:p>
    <w:p w14:paraId="4F7EB3B1">
      <w:pPr>
        <w:pStyle w:val="403"/>
        <w:spacing w:line="460" w:lineRule="exact"/>
        <w:ind w:firstLine="480" w:firstLineChars="200"/>
        <w:rPr>
          <w:rFonts w:hint="eastAsia" w:eastAsia="宋体" w:cs="宋体"/>
          <w:snapToGrid w:val="0"/>
        </w:rPr>
      </w:pPr>
      <w:r>
        <w:rPr>
          <w:rFonts w:hint="eastAsia" w:eastAsia="宋体" w:cs="宋体"/>
          <w:snapToGrid w:val="0"/>
        </w:rPr>
        <w:t>（1）施工场地内残留的垃圾已全部清除出场；</w:t>
      </w:r>
    </w:p>
    <w:p w14:paraId="0B892E84">
      <w:pPr>
        <w:pStyle w:val="403"/>
        <w:spacing w:line="460" w:lineRule="exact"/>
        <w:ind w:firstLine="480" w:firstLineChars="200"/>
        <w:rPr>
          <w:rFonts w:hint="eastAsia" w:eastAsia="宋体" w:cs="宋体"/>
          <w:snapToGrid w:val="0"/>
        </w:rPr>
      </w:pPr>
      <w:r>
        <w:rPr>
          <w:rFonts w:hint="eastAsia" w:eastAsia="宋体" w:cs="宋体"/>
          <w:snapToGrid w:val="0"/>
        </w:rPr>
        <w:t>（2）临时工程已拆除，场地已按合同要求进行清理、平整或复原；</w:t>
      </w:r>
    </w:p>
    <w:p w14:paraId="1EE1B6A5">
      <w:pPr>
        <w:pStyle w:val="403"/>
        <w:spacing w:line="460" w:lineRule="exact"/>
        <w:ind w:firstLine="480" w:firstLineChars="200"/>
        <w:rPr>
          <w:rFonts w:hint="eastAsia" w:eastAsia="宋体" w:cs="宋体"/>
          <w:snapToGrid w:val="0"/>
        </w:rPr>
      </w:pPr>
      <w:r>
        <w:rPr>
          <w:rFonts w:hint="eastAsia" w:eastAsia="宋体" w:cs="宋体"/>
          <w:snapToGrid w:val="0"/>
        </w:rPr>
        <w:t>（3）按合同约定应撤离的承包人设备和剩余的材料，包括废弃的施工设备和材料，已按计划撤离施工场地；</w:t>
      </w:r>
    </w:p>
    <w:p w14:paraId="492CFF9B">
      <w:pPr>
        <w:pStyle w:val="403"/>
        <w:spacing w:line="460" w:lineRule="exact"/>
        <w:ind w:firstLine="480" w:firstLineChars="200"/>
        <w:rPr>
          <w:rFonts w:hint="eastAsia" w:eastAsia="宋体" w:cs="宋体"/>
          <w:snapToGrid w:val="0"/>
        </w:rPr>
      </w:pPr>
      <w:r>
        <w:rPr>
          <w:rFonts w:hint="eastAsia" w:eastAsia="宋体" w:cs="宋体"/>
          <w:snapToGrid w:val="0"/>
        </w:rPr>
        <w:t>（4）工程建筑物周边及其附近道路、河道的施工堆积物，已按监理人指示全部清理；</w:t>
      </w:r>
    </w:p>
    <w:p w14:paraId="17E62856">
      <w:pPr>
        <w:pStyle w:val="403"/>
        <w:spacing w:line="460" w:lineRule="exact"/>
        <w:ind w:firstLine="480" w:firstLineChars="200"/>
        <w:rPr>
          <w:rFonts w:hint="eastAsia" w:eastAsia="宋体" w:cs="宋体"/>
          <w:snapToGrid w:val="0"/>
        </w:rPr>
      </w:pPr>
      <w:r>
        <w:rPr>
          <w:rFonts w:hint="eastAsia" w:eastAsia="宋体" w:cs="宋体"/>
          <w:snapToGrid w:val="0"/>
        </w:rPr>
        <w:t>（5）监理人指示的其他场地清理工作已全部完成。</w:t>
      </w:r>
    </w:p>
    <w:p w14:paraId="0CEB29DA">
      <w:pPr>
        <w:pStyle w:val="403"/>
        <w:spacing w:line="460" w:lineRule="exact"/>
        <w:ind w:firstLine="480" w:firstLineChars="200"/>
        <w:rPr>
          <w:rFonts w:hint="eastAsia" w:eastAsia="宋体" w:cs="宋体"/>
          <w:snapToGrid w:val="0"/>
        </w:rPr>
      </w:pPr>
      <w:r>
        <w:rPr>
          <w:rFonts w:hint="eastAsia" w:eastAsia="宋体" w:cs="宋体"/>
          <w:snapToGrid w:val="0"/>
        </w:rPr>
        <w:t>18.7.2 承包人未按监理人的要求恢复临时占地，或者场地清理未达到合同约定的，发包人有权委托其他人恢复或清理，所发生的金额从拟支付给承包人的款项中扣除。</w:t>
      </w:r>
    </w:p>
    <w:p w14:paraId="54BBBDF1">
      <w:pPr>
        <w:pStyle w:val="403"/>
        <w:spacing w:line="460" w:lineRule="exact"/>
        <w:ind w:firstLine="480" w:firstLineChars="200"/>
        <w:rPr>
          <w:rFonts w:hint="eastAsia" w:eastAsia="宋体" w:cs="宋体"/>
          <w:snapToGrid w:val="0"/>
        </w:rPr>
      </w:pPr>
      <w:bookmarkStart w:id="1158" w:name="_Toc247514164"/>
      <w:bookmarkStart w:id="1159" w:name="_Toc411736272"/>
      <w:bookmarkStart w:id="1160" w:name="_Toc68594873"/>
      <w:bookmarkStart w:id="1161" w:name="_Toc476860483"/>
      <w:bookmarkStart w:id="1162" w:name="_Toc410559466"/>
      <w:bookmarkStart w:id="1163" w:name="_Toc411736548"/>
      <w:bookmarkStart w:id="1164" w:name="_Toc300835165"/>
      <w:bookmarkStart w:id="1165" w:name="_Toc247527765"/>
      <w:r>
        <w:rPr>
          <w:rFonts w:hint="eastAsia" w:eastAsia="宋体" w:cs="宋体"/>
          <w:snapToGrid w:val="0"/>
        </w:rPr>
        <w:t>18.8 施工队伍的撤离</w:t>
      </w:r>
      <w:bookmarkEnd w:id="1158"/>
      <w:bookmarkEnd w:id="1159"/>
      <w:bookmarkEnd w:id="1160"/>
      <w:bookmarkEnd w:id="1161"/>
      <w:bookmarkEnd w:id="1162"/>
      <w:bookmarkEnd w:id="1163"/>
      <w:bookmarkEnd w:id="1164"/>
      <w:bookmarkEnd w:id="1165"/>
    </w:p>
    <w:p w14:paraId="6C65F09B">
      <w:pPr>
        <w:pStyle w:val="403"/>
        <w:spacing w:line="460" w:lineRule="exact"/>
        <w:ind w:firstLine="480" w:firstLineChars="200"/>
        <w:rPr>
          <w:rFonts w:hint="eastAsia" w:eastAsia="宋体" w:cs="宋体"/>
          <w:snapToGrid w:val="0"/>
        </w:rPr>
      </w:pPr>
      <w:r>
        <w:rPr>
          <w:rFonts w:hint="eastAsia" w:eastAsia="宋体" w:cs="宋体"/>
          <w:snapToGrid w:val="0"/>
        </w:rPr>
        <w:t>工程接收证书颁发后的56天内，除了经监理人同意需在缺陷责任期内继续工作和使用的人员、施工设备和临时工程外，其余的人员、施工设备和临时工程均应撤离施工场地或拆除。除合同另有约定外，缺陷责任期满时，承包人的人员和施工设备应全部撤离施工场地。</w:t>
      </w:r>
    </w:p>
    <w:p w14:paraId="37BDC0D7">
      <w:pPr>
        <w:pStyle w:val="403"/>
        <w:spacing w:line="460" w:lineRule="exact"/>
        <w:ind w:firstLine="480" w:firstLineChars="200"/>
        <w:rPr>
          <w:rFonts w:hint="eastAsia" w:eastAsia="宋体" w:cs="宋体"/>
          <w:snapToGrid w:val="0"/>
        </w:rPr>
      </w:pPr>
      <w:bookmarkStart w:id="1166" w:name="_Toc411736549"/>
      <w:bookmarkStart w:id="1167" w:name="_Toc411736273"/>
      <w:bookmarkStart w:id="1168" w:name="_Toc410559467"/>
      <w:bookmarkStart w:id="1169" w:name="_Toc300835167"/>
      <w:bookmarkStart w:id="1170" w:name="_Toc68594874"/>
      <w:bookmarkStart w:id="1171" w:name="_Toc476860484"/>
      <w:r>
        <w:rPr>
          <w:rFonts w:hint="eastAsia" w:eastAsia="宋体" w:cs="宋体"/>
          <w:snapToGrid w:val="0"/>
        </w:rPr>
        <w:t>18.9 竣工后试验（B）</w:t>
      </w:r>
      <w:bookmarkEnd w:id="1166"/>
      <w:bookmarkEnd w:id="1167"/>
      <w:bookmarkEnd w:id="1168"/>
      <w:bookmarkEnd w:id="1169"/>
      <w:bookmarkEnd w:id="1170"/>
      <w:bookmarkEnd w:id="1171"/>
    </w:p>
    <w:p w14:paraId="535D28E8">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w:t>
      </w:r>
    </w:p>
    <w:p w14:paraId="7DDE06F1">
      <w:pPr>
        <w:pStyle w:val="403"/>
        <w:spacing w:line="460" w:lineRule="exact"/>
        <w:ind w:firstLine="480" w:firstLineChars="200"/>
        <w:rPr>
          <w:rFonts w:hint="eastAsia" w:eastAsia="宋体" w:cs="宋体"/>
          <w:snapToGrid w:val="0"/>
        </w:rPr>
      </w:pPr>
      <w:r>
        <w:rPr>
          <w:rFonts w:hint="eastAsia" w:eastAsia="宋体" w:cs="宋体"/>
          <w:snapToGrid w:val="0"/>
        </w:rPr>
        <w:t>（1）发包人为竣工后试验提供必要的电力、材料、燃料、发包人人员和工程设备；</w:t>
      </w:r>
    </w:p>
    <w:p w14:paraId="6941145A">
      <w:pPr>
        <w:pStyle w:val="403"/>
        <w:spacing w:line="460" w:lineRule="exact"/>
        <w:ind w:firstLine="480" w:firstLineChars="200"/>
        <w:rPr>
          <w:rFonts w:hint="eastAsia" w:eastAsia="宋体" w:cs="宋体"/>
          <w:snapToGrid w:val="0"/>
        </w:rPr>
      </w:pPr>
      <w:r>
        <w:rPr>
          <w:rFonts w:hint="eastAsia" w:eastAsia="宋体" w:cs="宋体"/>
          <w:snapToGrid w:val="0"/>
        </w:rPr>
        <w:t>（2）承包人应提供竣工后试验所需要的所有其他设备、仪器，以及有资格和经验的工作人员；</w:t>
      </w:r>
    </w:p>
    <w:p w14:paraId="7E38A339">
      <w:pPr>
        <w:pStyle w:val="403"/>
        <w:spacing w:line="460" w:lineRule="exact"/>
        <w:ind w:firstLine="480" w:firstLineChars="200"/>
        <w:rPr>
          <w:rFonts w:hint="eastAsia" w:eastAsia="宋体" w:cs="宋体"/>
          <w:snapToGrid w:val="0"/>
        </w:rPr>
      </w:pPr>
      <w:r>
        <w:rPr>
          <w:rFonts w:hint="eastAsia" w:eastAsia="宋体" w:cs="宋体"/>
          <w:snapToGrid w:val="0"/>
        </w:rPr>
        <w:t>（3）承包人应在发包人在场的情况下，进行竣工后试验。发包人应提前21天将竣工后试验的日期通知承包人。因承包人原因造成某项竣工后试验未能通过的，承包人应按照合同的约定进行赔偿，或者承包人提出修复建议，按照发包人指示的合理期限内改正，并承担合同约定的相应责任。</w:t>
      </w:r>
    </w:p>
    <w:p w14:paraId="6FBDECCA">
      <w:pPr>
        <w:pStyle w:val="5"/>
        <w:spacing w:before="360" w:after="120" w:afterLines="50" w:line="480" w:lineRule="exact"/>
        <w:rPr>
          <w:rFonts w:hint="eastAsia" w:ascii="宋体" w:hAnsi="宋体" w:eastAsia="宋体" w:cs="宋体"/>
          <w:bCs/>
          <w:sz w:val="28"/>
          <w:szCs w:val="28"/>
        </w:rPr>
      </w:pPr>
      <w:bookmarkStart w:id="1172" w:name="_Toc411736550"/>
      <w:bookmarkStart w:id="1173" w:name="_Toc83220609"/>
      <w:bookmarkStart w:id="1174" w:name="_Toc176268738"/>
      <w:bookmarkStart w:id="1175" w:name="_Toc198803805"/>
      <w:bookmarkStart w:id="1176" w:name="_Toc411736274"/>
      <w:bookmarkStart w:id="1177" w:name="_Toc300835168"/>
      <w:bookmarkStart w:id="1178" w:name="_Toc410559468"/>
      <w:bookmarkStart w:id="1179" w:name="_Toc3802"/>
      <w:bookmarkStart w:id="1180" w:name="_Toc184635116"/>
      <w:bookmarkStart w:id="1181" w:name="_Toc247514165"/>
      <w:bookmarkStart w:id="1182" w:name="_Toc247527766"/>
      <w:bookmarkStart w:id="1183" w:name="_Toc476860485"/>
      <w:bookmarkStart w:id="1184" w:name="_Toc68594875"/>
      <w:r>
        <w:rPr>
          <w:rFonts w:hint="eastAsia" w:ascii="宋体" w:hAnsi="宋体" w:eastAsia="宋体" w:cs="宋体"/>
          <w:bCs/>
          <w:sz w:val="28"/>
          <w:szCs w:val="28"/>
        </w:rPr>
        <w:t>19. 缺陷责任与保修责任</w:t>
      </w:r>
      <w:bookmarkEnd w:id="1172"/>
      <w:bookmarkEnd w:id="1173"/>
      <w:bookmarkEnd w:id="1174"/>
      <w:bookmarkEnd w:id="1175"/>
      <w:bookmarkEnd w:id="1176"/>
      <w:bookmarkEnd w:id="1177"/>
      <w:bookmarkEnd w:id="1178"/>
      <w:bookmarkEnd w:id="1179"/>
      <w:bookmarkEnd w:id="1180"/>
      <w:bookmarkEnd w:id="1181"/>
      <w:bookmarkEnd w:id="1182"/>
      <w:bookmarkEnd w:id="1183"/>
      <w:bookmarkEnd w:id="1184"/>
    </w:p>
    <w:p w14:paraId="6D596BE8">
      <w:pPr>
        <w:pStyle w:val="403"/>
        <w:spacing w:line="460" w:lineRule="exact"/>
        <w:ind w:firstLine="480" w:firstLineChars="200"/>
        <w:rPr>
          <w:rFonts w:hint="eastAsia" w:eastAsia="宋体" w:cs="宋体"/>
          <w:snapToGrid w:val="0"/>
        </w:rPr>
      </w:pPr>
      <w:bookmarkStart w:id="1185" w:name="_Toc68594876"/>
      <w:bookmarkStart w:id="1186" w:name="_Toc411736275"/>
      <w:bookmarkStart w:id="1187" w:name="_Toc410559469"/>
      <w:bookmarkStart w:id="1188" w:name="_Toc247514166"/>
      <w:bookmarkStart w:id="1189" w:name="_Toc247527767"/>
      <w:bookmarkStart w:id="1190" w:name="_Toc300835169"/>
      <w:bookmarkStart w:id="1191" w:name="_Toc476860486"/>
      <w:bookmarkStart w:id="1192" w:name="_Toc411736551"/>
      <w:r>
        <w:rPr>
          <w:rFonts w:hint="eastAsia" w:eastAsia="宋体" w:cs="宋体"/>
          <w:snapToGrid w:val="0"/>
        </w:rPr>
        <w:t>19.1 缺陷责任期的起算时间</w:t>
      </w:r>
      <w:bookmarkEnd w:id="1185"/>
      <w:bookmarkEnd w:id="1186"/>
      <w:bookmarkEnd w:id="1187"/>
      <w:bookmarkEnd w:id="1188"/>
      <w:bookmarkEnd w:id="1189"/>
      <w:bookmarkEnd w:id="1190"/>
      <w:bookmarkEnd w:id="1191"/>
      <w:bookmarkEnd w:id="1192"/>
    </w:p>
    <w:p w14:paraId="0143A1FA">
      <w:pPr>
        <w:pStyle w:val="403"/>
        <w:spacing w:line="460" w:lineRule="exact"/>
        <w:ind w:firstLine="480" w:firstLineChars="200"/>
        <w:rPr>
          <w:rFonts w:hint="eastAsia" w:eastAsia="宋体" w:cs="宋体"/>
          <w:snapToGrid w:val="0"/>
        </w:rPr>
      </w:pPr>
      <w:r>
        <w:rPr>
          <w:rFonts w:hint="eastAsia" w:eastAsia="宋体" w:cs="宋体"/>
        </w:rPr>
        <w:t>缺</w:t>
      </w:r>
      <w:r>
        <w:rPr>
          <w:rFonts w:hint="eastAsia" w:eastAsia="宋体" w:cs="宋体"/>
          <w:snapToGrid w:val="0"/>
        </w:rPr>
        <w:t>陷责任期自实际竣工日期起计算。在全部工程竣工验收前，已经发包人提前验收的区段工程或进入施工期运行的工程，其缺陷责任期的起算日期相应提前到相应工程竣工日。</w:t>
      </w:r>
    </w:p>
    <w:p w14:paraId="3E621484">
      <w:pPr>
        <w:pStyle w:val="403"/>
        <w:spacing w:line="460" w:lineRule="exact"/>
        <w:ind w:firstLine="480" w:firstLineChars="200"/>
        <w:rPr>
          <w:rFonts w:hint="eastAsia" w:eastAsia="宋体" w:cs="宋体"/>
          <w:snapToGrid w:val="0"/>
        </w:rPr>
      </w:pPr>
      <w:bookmarkStart w:id="1193" w:name="_Toc68594877"/>
      <w:bookmarkStart w:id="1194" w:name="_Toc411736276"/>
      <w:bookmarkStart w:id="1195" w:name="_Toc410559470"/>
      <w:bookmarkStart w:id="1196" w:name="_Toc247527768"/>
      <w:bookmarkStart w:id="1197" w:name="_Toc476860487"/>
      <w:bookmarkStart w:id="1198" w:name="_Toc411736552"/>
      <w:bookmarkStart w:id="1199" w:name="_Toc300835170"/>
      <w:bookmarkStart w:id="1200" w:name="_Toc247514167"/>
      <w:r>
        <w:rPr>
          <w:rFonts w:hint="eastAsia" w:eastAsia="宋体" w:cs="宋体"/>
          <w:snapToGrid w:val="0"/>
        </w:rPr>
        <w:t>19.2 缺陷责任</w:t>
      </w:r>
      <w:bookmarkEnd w:id="1193"/>
      <w:bookmarkEnd w:id="1194"/>
      <w:bookmarkEnd w:id="1195"/>
      <w:bookmarkEnd w:id="1196"/>
      <w:bookmarkEnd w:id="1197"/>
      <w:bookmarkEnd w:id="1198"/>
      <w:bookmarkEnd w:id="1199"/>
      <w:bookmarkEnd w:id="1200"/>
    </w:p>
    <w:p w14:paraId="217B2B5C">
      <w:pPr>
        <w:pStyle w:val="403"/>
        <w:spacing w:line="460" w:lineRule="exact"/>
        <w:ind w:firstLine="480" w:firstLineChars="200"/>
        <w:rPr>
          <w:rFonts w:hint="eastAsia" w:eastAsia="宋体" w:cs="宋体"/>
          <w:snapToGrid w:val="0"/>
        </w:rPr>
      </w:pPr>
      <w:r>
        <w:rPr>
          <w:rFonts w:hint="eastAsia" w:eastAsia="宋体" w:cs="宋体"/>
          <w:snapToGrid w:val="0"/>
        </w:rPr>
        <w:t>19.2.1 承包人应在缺陷责任期内对已交付使用的工程承担缺陷责任。</w:t>
      </w:r>
    </w:p>
    <w:p w14:paraId="64CF8209">
      <w:pPr>
        <w:pStyle w:val="403"/>
        <w:spacing w:line="460" w:lineRule="exact"/>
        <w:ind w:firstLine="480" w:firstLineChars="200"/>
        <w:rPr>
          <w:rFonts w:hint="eastAsia" w:eastAsia="宋体" w:cs="宋体"/>
          <w:snapToGrid w:val="0"/>
        </w:rPr>
      </w:pPr>
      <w:r>
        <w:rPr>
          <w:rFonts w:hint="eastAsia" w:eastAsia="宋体" w:cs="宋体"/>
          <w:snapToGrid w:val="0"/>
        </w:rPr>
        <w:t>19.2.2 缺陷责任期内，发包人对已接收使用的工程负责日常维护工作。发包人在使用过程中，发现已接收的工程存在新的缺陷或已修复的缺陷部位或部件又遭损坏的，承包人应负责修复，直至检验合格为止。</w:t>
      </w:r>
    </w:p>
    <w:p w14:paraId="197F50D1">
      <w:pPr>
        <w:pStyle w:val="403"/>
        <w:spacing w:line="460" w:lineRule="exact"/>
        <w:ind w:firstLine="480" w:firstLineChars="200"/>
        <w:rPr>
          <w:rFonts w:hint="eastAsia" w:eastAsia="宋体" w:cs="宋体"/>
          <w:snapToGrid w:val="0"/>
        </w:rPr>
      </w:pPr>
      <w:r>
        <w:rPr>
          <w:rFonts w:hint="eastAsia" w:eastAsia="宋体" w:cs="宋体"/>
          <w:snapToGrid w:val="0"/>
        </w:rPr>
        <w:t>19.2.3 监理人和承包人应共同查清缺陷和（或）损坏的原因。经查明属承包人原因造成的，应由承包人承担修复和查验的费用。经查验属发包人原因造成的，发包人应承担修复和查验的费用，并支付承包人合理利润。</w:t>
      </w:r>
    </w:p>
    <w:p w14:paraId="0ACB20C0">
      <w:pPr>
        <w:pStyle w:val="403"/>
        <w:spacing w:line="460" w:lineRule="exact"/>
        <w:ind w:firstLine="480" w:firstLineChars="200"/>
        <w:rPr>
          <w:rFonts w:hint="eastAsia" w:eastAsia="宋体" w:cs="宋体"/>
          <w:snapToGrid w:val="0"/>
        </w:rPr>
      </w:pPr>
      <w:r>
        <w:rPr>
          <w:rFonts w:hint="eastAsia" w:eastAsia="宋体" w:cs="宋体"/>
          <w:snapToGrid w:val="0"/>
        </w:rPr>
        <w:t>19.2.4 承包人不能在合理时间内修复缺陷的，发包人可自行修复或委托其他人修复，所需费用和利润的承担，按第19.2.3 项约定执行。</w:t>
      </w:r>
    </w:p>
    <w:p w14:paraId="34C25D5A">
      <w:pPr>
        <w:pStyle w:val="403"/>
        <w:spacing w:line="460" w:lineRule="exact"/>
        <w:ind w:firstLine="480" w:firstLineChars="200"/>
        <w:rPr>
          <w:rFonts w:hint="eastAsia" w:eastAsia="宋体" w:cs="宋体"/>
          <w:snapToGrid w:val="0"/>
        </w:rPr>
      </w:pPr>
      <w:bookmarkStart w:id="1201" w:name="_Toc247527769"/>
      <w:bookmarkStart w:id="1202" w:name="_Toc411736277"/>
      <w:bookmarkStart w:id="1203" w:name="_Toc410559471"/>
      <w:bookmarkStart w:id="1204" w:name="_Toc247514168"/>
      <w:bookmarkStart w:id="1205" w:name="_Toc300835171"/>
      <w:bookmarkStart w:id="1206" w:name="_Toc476860488"/>
      <w:bookmarkStart w:id="1207" w:name="_Toc411736553"/>
      <w:bookmarkStart w:id="1208" w:name="_Toc68594878"/>
      <w:r>
        <w:rPr>
          <w:rFonts w:hint="eastAsia" w:eastAsia="宋体" w:cs="宋体"/>
          <w:snapToGrid w:val="0"/>
        </w:rPr>
        <w:t>19.3 缺陷责任期的延长</w:t>
      </w:r>
      <w:bookmarkEnd w:id="1201"/>
      <w:bookmarkEnd w:id="1202"/>
      <w:bookmarkEnd w:id="1203"/>
      <w:bookmarkEnd w:id="1204"/>
      <w:bookmarkEnd w:id="1205"/>
      <w:bookmarkEnd w:id="1206"/>
      <w:bookmarkEnd w:id="1207"/>
      <w:bookmarkEnd w:id="1208"/>
    </w:p>
    <w:p w14:paraId="44A3E117">
      <w:pPr>
        <w:pStyle w:val="403"/>
        <w:spacing w:line="460" w:lineRule="exact"/>
        <w:ind w:firstLine="480" w:firstLineChars="200"/>
        <w:rPr>
          <w:rFonts w:hint="eastAsia" w:eastAsia="宋体" w:cs="宋体"/>
          <w:snapToGrid w:val="0"/>
        </w:rPr>
      </w:pPr>
      <w:r>
        <w:rPr>
          <w:rFonts w:hint="eastAsia" w:eastAsia="宋体" w:cs="宋体"/>
          <w:snapToGrid w:val="0"/>
        </w:rPr>
        <w:t>由于承包人原因造成某项缺陷或损坏使某项工程或工程设备不能按原定目标使用而需要再次检查、检验和修复的，发包人有权要求承包人相应延长缺陷责任期，但缺陷责任期最长不超过2年。</w:t>
      </w:r>
    </w:p>
    <w:p w14:paraId="267E9A30">
      <w:pPr>
        <w:pStyle w:val="403"/>
        <w:spacing w:line="460" w:lineRule="exact"/>
        <w:ind w:firstLine="480" w:firstLineChars="200"/>
        <w:rPr>
          <w:rFonts w:hint="eastAsia" w:eastAsia="宋体" w:cs="宋体"/>
          <w:snapToGrid w:val="0"/>
        </w:rPr>
      </w:pPr>
      <w:bookmarkStart w:id="1209" w:name="_Toc476860489"/>
      <w:bookmarkStart w:id="1210" w:name="_Toc247527770"/>
      <w:bookmarkStart w:id="1211" w:name="_Toc410559472"/>
      <w:bookmarkStart w:id="1212" w:name="_Toc300835172"/>
      <w:bookmarkStart w:id="1213" w:name="_Toc68594879"/>
      <w:bookmarkStart w:id="1214" w:name="_Toc411736554"/>
      <w:bookmarkStart w:id="1215" w:name="_Toc247514169"/>
      <w:bookmarkStart w:id="1216" w:name="_Toc411736278"/>
      <w:r>
        <w:rPr>
          <w:rFonts w:hint="eastAsia" w:eastAsia="宋体" w:cs="宋体"/>
          <w:snapToGrid w:val="0"/>
        </w:rPr>
        <w:t>19.4 进一步试验和试运行</w:t>
      </w:r>
      <w:bookmarkEnd w:id="1209"/>
      <w:bookmarkEnd w:id="1210"/>
      <w:bookmarkEnd w:id="1211"/>
      <w:bookmarkEnd w:id="1212"/>
      <w:bookmarkEnd w:id="1213"/>
      <w:bookmarkEnd w:id="1214"/>
      <w:bookmarkEnd w:id="1215"/>
      <w:bookmarkEnd w:id="1216"/>
    </w:p>
    <w:p w14:paraId="04C078B9">
      <w:pPr>
        <w:pStyle w:val="403"/>
        <w:spacing w:line="460" w:lineRule="exact"/>
        <w:ind w:firstLine="480" w:firstLineChars="200"/>
        <w:rPr>
          <w:rFonts w:hint="eastAsia" w:eastAsia="宋体" w:cs="宋体"/>
          <w:snapToGrid w:val="0"/>
        </w:rPr>
      </w:pPr>
      <w:r>
        <w:rPr>
          <w:rFonts w:hint="eastAsia" w:eastAsia="宋体" w:cs="宋体"/>
          <w:snapToGrid w:val="0"/>
        </w:rPr>
        <w:t>任何一项缺陷或损坏修复后，经检查证明其影响了工程或工程设备的使用性能，承包人应重新进行合同约定的试验和试运行，试验和试运行的全部费用应由责任方承担。</w:t>
      </w:r>
    </w:p>
    <w:p w14:paraId="0C928589">
      <w:pPr>
        <w:pStyle w:val="403"/>
        <w:spacing w:line="460" w:lineRule="exact"/>
        <w:ind w:firstLine="480" w:firstLineChars="200"/>
        <w:rPr>
          <w:rFonts w:hint="eastAsia" w:eastAsia="宋体" w:cs="宋体"/>
          <w:snapToGrid w:val="0"/>
        </w:rPr>
      </w:pPr>
      <w:bookmarkStart w:id="1217" w:name="_Toc247514170"/>
      <w:bookmarkStart w:id="1218" w:name="_Toc68594880"/>
      <w:bookmarkStart w:id="1219" w:name="_Toc476860490"/>
      <w:bookmarkStart w:id="1220" w:name="_Toc410559473"/>
      <w:bookmarkStart w:id="1221" w:name="_Toc247527771"/>
      <w:bookmarkStart w:id="1222" w:name="_Toc300835173"/>
      <w:bookmarkStart w:id="1223" w:name="_Toc411736555"/>
      <w:bookmarkStart w:id="1224" w:name="_Toc411736279"/>
      <w:r>
        <w:rPr>
          <w:rFonts w:hint="eastAsia" w:eastAsia="宋体" w:cs="宋体"/>
          <w:snapToGrid w:val="0"/>
        </w:rPr>
        <w:t>19.5 承包人的进入权</w:t>
      </w:r>
      <w:bookmarkEnd w:id="1217"/>
      <w:bookmarkEnd w:id="1218"/>
      <w:bookmarkEnd w:id="1219"/>
      <w:bookmarkEnd w:id="1220"/>
      <w:bookmarkEnd w:id="1221"/>
      <w:bookmarkEnd w:id="1222"/>
      <w:bookmarkEnd w:id="1223"/>
      <w:bookmarkEnd w:id="1224"/>
    </w:p>
    <w:p w14:paraId="0C2A8601">
      <w:pPr>
        <w:pStyle w:val="403"/>
        <w:spacing w:line="460" w:lineRule="exact"/>
        <w:ind w:firstLine="480" w:firstLineChars="200"/>
        <w:rPr>
          <w:rFonts w:hint="eastAsia" w:eastAsia="宋体" w:cs="宋体"/>
          <w:snapToGrid w:val="0"/>
        </w:rPr>
      </w:pPr>
      <w:r>
        <w:rPr>
          <w:rFonts w:hint="eastAsia" w:eastAsia="宋体" w:cs="宋体"/>
          <w:snapToGrid w:val="0"/>
        </w:rPr>
        <w:t>缺陷责任期内承包人为缺陷修复工作需要，有权进入工程现场，但应遵守发包人的保安和保密规定。</w:t>
      </w:r>
    </w:p>
    <w:p w14:paraId="3506E5D1">
      <w:pPr>
        <w:pStyle w:val="403"/>
        <w:spacing w:line="460" w:lineRule="exact"/>
        <w:ind w:firstLine="480" w:firstLineChars="200"/>
        <w:rPr>
          <w:rFonts w:hint="eastAsia" w:eastAsia="宋体" w:cs="宋体"/>
          <w:snapToGrid w:val="0"/>
        </w:rPr>
      </w:pPr>
      <w:bookmarkStart w:id="1225" w:name="_Toc247514171"/>
      <w:bookmarkStart w:id="1226" w:name="_Toc411736556"/>
      <w:bookmarkStart w:id="1227" w:name="_Toc68594881"/>
      <w:bookmarkStart w:id="1228" w:name="_Toc476860491"/>
      <w:bookmarkStart w:id="1229" w:name="_Toc300835174"/>
      <w:bookmarkStart w:id="1230" w:name="_Toc411736280"/>
      <w:bookmarkStart w:id="1231" w:name="_Toc247527772"/>
      <w:bookmarkStart w:id="1232" w:name="_Toc410559474"/>
      <w:r>
        <w:rPr>
          <w:rFonts w:hint="eastAsia" w:eastAsia="宋体" w:cs="宋体"/>
          <w:snapToGrid w:val="0"/>
        </w:rPr>
        <w:t>19.6 缺陷责任期终止证书</w:t>
      </w:r>
      <w:bookmarkEnd w:id="1225"/>
      <w:bookmarkEnd w:id="1226"/>
      <w:bookmarkEnd w:id="1227"/>
      <w:bookmarkEnd w:id="1228"/>
      <w:bookmarkEnd w:id="1229"/>
      <w:bookmarkEnd w:id="1230"/>
      <w:bookmarkEnd w:id="1231"/>
      <w:bookmarkEnd w:id="1232"/>
    </w:p>
    <w:p w14:paraId="4E7CE037">
      <w:pPr>
        <w:pStyle w:val="403"/>
        <w:spacing w:line="460" w:lineRule="exact"/>
        <w:ind w:firstLine="480" w:firstLineChars="200"/>
        <w:rPr>
          <w:rFonts w:hint="eastAsia" w:eastAsia="宋体" w:cs="宋体"/>
          <w:snapToGrid w:val="0"/>
        </w:rPr>
      </w:pPr>
      <w:r>
        <w:rPr>
          <w:rFonts w:hint="eastAsia" w:eastAsia="宋体" w:cs="宋体"/>
          <w:snapToGrid w:val="0"/>
        </w:rPr>
        <w:t>在第1.1.4.5目约定的缺陷责任期，包括根据第19.3款延长的期限终止后14天内，由监理人向承包人出具经发包人签认的缺陷责任期终止证书，并退还剩余的质量保证金。</w:t>
      </w:r>
    </w:p>
    <w:p w14:paraId="72C9B7FE">
      <w:pPr>
        <w:pStyle w:val="403"/>
        <w:spacing w:line="460" w:lineRule="exact"/>
        <w:ind w:firstLine="480" w:firstLineChars="200"/>
        <w:rPr>
          <w:rFonts w:hint="eastAsia" w:eastAsia="宋体" w:cs="宋体"/>
          <w:snapToGrid w:val="0"/>
        </w:rPr>
      </w:pPr>
      <w:bookmarkStart w:id="1233" w:name="_Toc411736557"/>
      <w:bookmarkStart w:id="1234" w:name="_Toc476860492"/>
      <w:bookmarkStart w:id="1235" w:name="_Toc247514172"/>
      <w:bookmarkStart w:id="1236" w:name="_Toc411736281"/>
      <w:bookmarkStart w:id="1237" w:name="_Toc410559475"/>
      <w:bookmarkStart w:id="1238" w:name="_Toc68594882"/>
      <w:bookmarkStart w:id="1239" w:name="_Toc300835175"/>
      <w:bookmarkStart w:id="1240" w:name="_Toc247527773"/>
      <w:r>
        <w:rPr>
          <w:rFonts w:hint="eastAsia" w:eastAsia="宋体" w:cs="宋体"/>
          <w:snapToGrid w:val="0"/>
        </w:rPr>
        <w:t>19.7 保修责任</w:t>
      </w:r>
      <w:bookmarkEnd w:id="1233"/>
      <w:bookmarkEnd w:id="1234"/>
      <w:bookmarkEnd w:id="1235"/>
      <w:bookmarkEnd w:id="1236"/>
      <w:bookmarkEnd w:id="1237"/>
      <w:bookmarkEnd w:id="1238"/>
      <w:bookmarkEnd w:id="1239"/>
      <w:bookmarkEnd w:id="1240"/>
    </w:p>
    <w:p w14:paraId="187391E0">
      <w:pPr>
        <w:pStyle w:val="403"/>
        <w:spacing w:line="460" w:lineRule="exact"/>
        <w:ind w:firstLine="480" w:firstLineChars="200"/>
        <w:rPr>
          <w:rFonts w:hint="eastAsia" w:eastAsia="宋体" w:cs="宋体"/>
          <w:snapToGrid w:val="0"/>
        </w:rPr>
      </w:pPr>
      <w:r>
        <w:rPr>
          <w:rFonts w:hint="eastAsia" w:eastAsia="宋体" w:cs="宋体"/>
          <w:snapToGrid w:val="0"/>
        </w:rPr>
        <w:t>合同当事人根据有关法律规定，在专用合同条款中约定工程质量保修范围、期限和责任。保修期自实际竣工日期起计算。在全部工程竣工验收前，已经发包人提前验收的区段工程，其保修期的起算日期相应提前。</w:t>
      </w:r>
    </w:p>
    <w:p w14:paraId="75FAB481">
      <w:pPr>
        <w:pStyle w:val="5"/>
        <w:spacing w:before="360" w:after="120" w:afterLines="50" w:line="480" w:lineRule="exact"/>
        <w:rPr>
          <w:rFonts w:hint="eastAsia" w:ascii="宋体" w:hAnsi="宋体" w:eastAsia="宋体" w:cs="宋体"/>
          <w:bCs/>
          <w:sz w:val="28"/>
          <w:szCs w:val="28"/>
        </w:rPr>
      </w:pPr>
      <w:bookmarkStart w:id="1241" w:name="_Toc247527774"/>
      <w:bookmarkStart w:id="1242" w:name="_Toc176268739"/>
      <w:bookmarkStart w:id="1243" w:name="_Toc184635117"/>
      <w:bookmarkStart w:id="1244" w:name="_Toc247514173"/>
      <w:bookmarkStart w:id="1245" w:name="_Toc476860493"/>
      <w:bookmarkStart w:id="1246" w:name="_Toc411736282"/>
      <w:bookmarkStart w:id="1247" w:name="_Toc68594883"/>
      <w:bookmarkStart w:id="1248" w:name="_Toc19076"/>
      <w:bookmarkStart w:id="1249" w:name="_Toc83220610"/>
      <w:bookmarkStart w:id="1250" w:name="_Toc198803806"/>
      <w:bookmarkStart w:id="1251" w:name="_Toc411736558"/>
      <w:bookmarkStart w:id="1252" w:name="_Toc300835176"/>
      <w:bookmarkStart w:id="1253" w:name="_Toc410559476"/>
      <w:r>
        <w:rPr>
          <w:rFonts w:hint="eastAsia" w:ascii="宋体" w:hAnsi="宋体" w:eastAsia="宋体" w:cs="宋体"/>
          <w:bCs/>
          <w:sz w:val="28"/>
          <w:szCs w:val="28"/>
        </w:rPr>
        <w:t>20. 保险</w:t>
      </w:r>
      <w:bookmarkEnd w:id="1241"/>
      <w:bookmarkEnd w:id="1242"/>
      <w:bookmarkEnd w:id="1243"/>
      <w:bookmarkEnd w:id="1244"/>
      <w:bookmarkEnd w:id="1245"/>
      <w:bookmarkEnd w:id="1246"/>
      <w:bookmarkEnd w:id="1247"/>
      <w:bookmarkEnd w:id="1248"/>
      <w:bookmarkEnd w:id="1249"/>
      <w:bookmarkEnd w:id="1250"/>
      <w:bookmarkEnd w:id="1251"/>
      <w:bookmarkEnd w:id="1252"/>
      <w:bookmarkEnd w:id="1253"/>
    </w:p>
    <w:p w14:paraId="235DA077">
      <w:pPr>
        <w:pStyle w:val="403"/>
        <w:spacing w:line="460" w:lineRule="exact"/>
        <w:ind w:firstLine="480" w:firstLineChars="200"/>
        <w:rPr>
          <w:rFonts w:hint="eastAsia" w:eastAsia="宋体" w:cs="宋体"/>
          <w:snapToGrid w:val="0"/>
        </w:rPr>
      </w:pPr>
      <w:bookmarkStart w:id="1254" w:name="_Toc411736283"/>
      <w:bookmarkStart w:id="1255" w:name="_Toc476860494"/>
      <w:bookmarkStart w:id="1256" w:name="_Toc247527775"/>
      <w:bookmarkStart w:id="1257" w:name="_Toc300835177"/>
      <w:bookmarkStart w:id="1258" w:name="_Toc247514174"/>
      <w:bookmarkStart w:id="1259" w:name="_Toc68594884"/>
      <w:bookmarkStart w:id="1260" w:name="_Toc410559477"/>
      <w:bookmarkStart w:id="1261" w:name="_Toc411736559"/>
      <w:r>
        <w:rPr>
          <w:rFonts w:hint="eastAsia" w:eastAsia="宋体" w:cs="宋体"/>
          <w:snapToGrid w:val="0"/>
        </w:rPr>
        <w:t>20.1 设计和工程保险</w:t>
      </w:r>
      <w:bookmarkEnd w:id="1254"/>
      <w:bookmarkEnd w:id="1255"/>
      <w:bookmarkEnd w:id="1256"/>
      <w:bookmarkEnd w:id="1257"/>
      <w:bookmarkEnd w:id="1258"/>
      <w:bookmarkEnd w:id="1259"/>
      <w:bookmarkEnd w:id="1260"/>
      <w:bookmarkEnd w:id="1261"/>
    </w:p>
    <w:p w14:paraId="2D32A1C8">
      <w:pPr>
        <w:pStyle w:val="403"/>
        <w:spacing w:line="460" w:lineRule="exact"/>
        <w:ind w:firstLine="480" w:firstLineChars="200"/>
        <w:rPr>
          <w:rFonts w:hint="eastAsia" w:eastAsia="宋体" w:cs="宋体"/>
          <w:snapToGrid w:val="0"/>
        </w:rPr>
      </w:pPr>
      <w:r>
        <w:rPr>
          <w:rFonts w:hint="eastAsia" w:eastAsia="宋体" w:cs="宋体"/>
          <w:snapToGrid w:val="0"/>
        </w:rPr>
        <w:t>20.1.1 承包人按照专用合同条款的约定向双方同意的保险人投保建设工程设计责任险、建筑工程一切险或安装工程一切险等保险。具体的投保险种、保险范围、保险金额、保险费率、保险期限等有关内容应当在专用合同条款中明确约定。</w:t>
      </w:r>
    </w:p>
    <w:p w14:paraId="1925F04A">
      <w:pPr>
        <w:pStyle w:val="403"/>
        <w:spacing w:line="460" w:lineRule="exact"/>
        <w:ind w:firstLine="480" w:firstLineChars="200"/>
        <w:rPr>
          <w:rFonts w:hint="eastAsia" w:eastAsia="宋体" w:cs="宋体"/>
          <w:snapToGrid w:val="0"/>
        </w:rPr>
      </w:pPr>
      <w:r>
        <w:rPr>
          <w:rFonts w:hint="eastAsia" w:eastAsia="宋体" w:cs="宋体"/>
          <w:snapToGrid w:val="0"/>
        </w:rPr>
        <w:t>20.1.2 在缺陷责任期终止证书颁发前，承包人应按照专用合同条款的约定投保第三者责任险。</w:t>
      </w:r>
    </w:p>
    <w:p w14:paraId="7E437314">
      <w:pPr>
        <w:pStyle w:val="403"/>
        <w:spacing w:line="460" w:lineRule="exact"/>
        <w:ind w:firstLine="480" w:firstLineChars="200"/>
        <w:rPr>
          <w:rFonts w:hint="eastAsia" w:eastAsia="宋体" w:cs="宋体"/>
          <w:snapToGrid w:val="0"/>
        </w:rPr>
      </w:pPr>
      <w:bookmarkStart w:id="1262" w:name="_Toc411736560"/>
      <w:bookmarkStart w:id="1263" w:name="_Toc410559478"/>
      <w:bookmarkStart w:id="1264" w:name="_Toc68594885"/>
      <w:bookmarkStart w:id="1265" w:name="_Toc300835178"/>
      <w:bookmarkStart w:id="1266" w:name="_Toc247514175"/>
      <w:bookmarkStart w:id="1267" w:name="_Toc476860495"/>
      <w:bookmarkStart w:id="1268" w:name="_Toc247527776"/>
      <w:bookmarkStart w:id="1269" w:name="_Toc411736284"/>
      <w:r>
        <w:rPr>
          <w:rFonts w:hint="eastAsia" w:eastAsia="宋体" w:cs="宋体"/>
          <w:snapToGrid w:val="0"/>
        </w:rPr>
        <w:t>20.2 工伤保险</w:t>
      </w:r>
      <w:bookmarkEnd w:id="1262"/>
      <w:bookmarkEnd w:id="1263"/>
      <w:bookmarkEnd w:id="1264"/>
      <w:bookmarkEnd w:id="1265"/>
      <w:bookmarkEnd w:id="1266"/>
      <w:bookmarkEnd w:id="1267"/>
      <w:bookmarkEnd w:id="1268"/>
      <w:bookmarkEnd w:id="1269"/>
    </w:p>
    <w:p w14:paraId="594C5FB5">
      <w:pPr>
        <w:pStyle w:val="403"/>
        <w:spacing w:line="460" w:lineRule="exact"/>
        <w:ind w:firstLine="480" w:firstLineChars="200"/>
        <w:rPr>
          <w:rFonts w:hint="eastAsia" w:eastAsia="宋体" w:cs="宋体"/>
          <w:snapToGrid w:val="0"/>
        </w:rPr>
      </w:pPr>
      <w:r>
        <w:rPr>
          <w:rFonts w:hint="eastAsia" w:eastAsia="宋体" w:cs="宋体"/>
          <w:snapToGrid w:val="0"/>
        </w:rPr>
        <w:t>20.2.1 承包人员工伤保险</w:t>
      </w:r>
    </w:p>
    <w:p w14:paraId="3A423D00">
      <w:pPr>
        <w:pStyle w:val="403"/>
        <w:spacing w:line="460" w:lineRule="exact"/>
        <w:ind w:firstLine="480" w:firstLineChars="200"/>
        <w:rPr>
          <w:rFonts w:hint="eastAsia" w:eastAsia="宋体" w:cs="宋体"/>
          <w:snapToGrid w:val="0"/>
        </w:rPr>
      </w:pPr>
      <w:r>
        <w:rPr>
          <w:rFonts w:hint="eastAsia" w:eastAsia="宋体" w:cs="宋体"/>
          <w:snapToGrid w:val="0"/>
        </w:rPr>
        <w:t>承包人应依照有关法律规定，为其履行合同所雇佣的全部人员投保工伤保险，缴纳工伤保险费，并要求其分包人也投保此项保险。</w:t>
      </w:r>
    </w:p>
    <w:p w14:paraId="2B754296">
      <w:pPr>
        <w:pStyle w:val="403"/>
        <w:spacing w:line="460" w:lineRule="exact"/>
        <w:ind w:firstLine="480" w:firstLineChars="200"/>
        <w:rPr>
          <w:rFonts w:hint="eastAsia" w:eastAsia="宋体" w:cs="宋体"/>
          <w:snapToGrid w:val="0"/>
        </w:rPr>
      </w:pPr>
      <w:r>
        <w:rPr>
          <w:rFonts w:hint="eastAsia" w:eastAsia="宋体" w:cs="宋体"/>
          <w:snapToGrid w:val="0"/>
        </w:rPr>
        <w:t>20.2.2 发包人员工伤保险</w:t>
      </w:r>
    </w:p>
    <w:p w14:paraId="7B24ACDE">
      <w:pPr>
        <w:pStyle w:val="403"/>
        <w:spacing w:line="460" w:lineRule="exact"/>
        <w:ind w:firstLine="480" w:firstLineChars="200"/>
        <w:rPr>
          <w:rFonts w:hint="eastAsia" w:eastAsia="宋体" w:cs="宋体"/>
          <w:snapToGrid w:val="0"/>
        </w:rPr>
      </w:pPr>
      <w:r>
        <w:rPr>
          <w:rFonts w:hint="eastAsia" w:eastAsia="宋体" w:cs="宋体"/>
          <w:snapToGrid w:val="0"/>
        </w:rPr>
        <w:t>发包人应依照有关法律规定，为其现场机构雇佣的全部人员投保工伤保险，缴纳工伤保险费，并要求其监理人也进行此项保险。</w:t>
      </w:r>
    </w:p>
    <w:p w14:paraId="225856D0">
      <w:pPr>
        <w:pStyle w:val="403"/>
        <w:spacing w:line="460" w:lineRule="exact"/>
        <w:ind w:firstLine="480" w:firstLineChars="200"/>
        <w:rPr>
          <w:rFonts w:hint="eastAsia" w:eastAsia="宋体" w:cs="宋体"/>
          <w:snapToGrid w:val="0"/>
        </w:rPr>
      </w:pPr>
      <w:bookmarkStart w:id="1270" w:name="_Toc247527777"/>
      <w:bookmarkStart w:id="1271" w:name="_Toc411736285"/>
      <w:bookmarkStart w:id="1272" w:name="_Toc476860496"/>
      <w:bookmarkStart w:id="1273" w:name="_Toc411736561"/>
      <w:bookmarkStart w:id="1274" w:name="_Toc300835179"/>
      <w:bookmarkStart w:id="1275" w:name="_Toc68594886"/>
      <w:bookmarkStart w:id="1276" w:name="_Toc247514176"/>
      <w:bookmarkStart w:id="1277" w:name="_Toc410559479"/>
      <w:r>
        <w:rPr>
          <w:rFonts w:hint="eastAsia" w:eastAsia="宋体" w:cs="宋体"/>
          <w:snapToGrid w:val="0"/>
        </w:rPr>
        <w:t>20.3 人身意外伤害险</w:t>
      </w:r>
      <w:bookmarkEnd w:id="1270"/>
      <w:bookmarkEnd w:id="1271"/>
      <w:bookmarkEnd w:id="1272"/>
      <w:bookmarkEnd w:id="1273"/>
      <w:bookmarkEnd w:id="1274"/>
      <w:bookmarkEnd w:id="1275"/>
      <w:bookmarkEnd w:id="1276"/>
      <w:bookmarkEnd w:id="1277"/>
    </w:p>
    <w:p w14:paraId="29949B0B">
      <w:pPr>
        <w:pStyle w:val="403"/>
        <w:spacing w:line="460" w:lineRule="exact"/>
        <w:ind w:firstLine="480" w:firstLineChars="200"/>
        <w:rPr>
          <w:rFonts w:hint="eastAsia" w:eastAsia="宋体" w:cs="宋体"/>
          <w:snapToGrid w:val="0"/>
        </w:rPr>
      </w:pPr>
      <w:r>
        <w:rPr>
          <w:rFonts w:hint="eastAsia" w:eastAsia="宋体" w:cs="宋体"/>
          <w:snapToGrid w:val="0"/>
        </w:rPr>
        <w:t>20.3.1 发包人应在整个施工期间为其现场机构雇用的全部人员，投保人身意外伤害险，缴纳保险费，并要求其监理人也进行此项保险。</w:t>
      </w:r>
    </w:p>
    <w:p w14:paraId="361DB0EC">
      <w:pPr>
        <w:pStyle w:val="403"/>
        <w:spacing w:line="460" w:lineRule="exact"/>
        <w:ind w:firstLine="480" w:firstLineChars="200"/>
        <w:rPr>
          <w:rFonts w:hint="eastAsia" w:eastAsia="宋体" w:cs="宋体"/>
          <w:snapToGrid w:val="0"/>
        </w:rPr>
      </w:pPr>
      <w:r>
        <w:rPr>
          <w:rFonts w:hint="eastAsia" w:eastAsia="宋体" w:cs="宋体"/>
          <w:snapToGrid w:val="0"/>
        </w:rPr>
        <w:t>20.3.2 承包人应在整个施工期间为其现场机构雇用的全部人员，投保人身意外伤害险，缴纳保险费，并要求其分包人也进行此项保险。</w:t>
      </w:r>
      <w:bookmarkStart w:id="1278" w:name="_Toc247527778"/>
      <w:bookmarkStart w:id="1279" w:name="_Toc247514177"/>
      <w:r>
        <w:rPr>
          <w:rFonts w:hint="eastAsia" w:eastAsia="宋体" w:cs="宋体"/>
          <w:snapToGrid w:val="0"/>
        </w:rPr>
        <w:t xml:space="preserve"> </w:t>
      </w:r>
      <w:bookmarkEnd w:id="1278"/>
      <w:bookmarkEnd w:id="1279"/>
    </w:p>
    <w:p w14:paraId="50D5F08D">
      <w:pPr>
        <w:pStyle w:val="403"/>
        <w:spacing w:line="460" w:lineRule="exact"/>
        <w:ind w:firstLine="480" w:firstLineChars="200"/>
        <w:rPr>
          <w:rFonts w:hint="eastAsia" w:eastAsia="宋体" w:cs="宋体"/>
          <w:snapToGrid w:val="0"/>
        </w:rPr>
      </w:pPr>
      <w:bookmarkStart w:id="1280" w:name="_Toc476860497"/>
      <w:bookmarkStart w:id="1281" w:name="_Toc411736286"/>
      <w:bookmarkStart w:id="1282" w:name="_Toc68594887"/>
      <w:bookmarkStart w:id="1283" w:name="_Toc300835180"/>
      <w:bookmarkStart w:id="1284" w:name="_Toc410559480"/>
      <w:bookmarkStart w:id="1285" w:name="_Toc411736562"/>
      <w:bookmarkStart w:id="1286" w:name="_Toc247527779"/>
      <w:bookmarkStart w:id="1287" w:name="_Toc247514178"/>
      <w:r>
        <w:rPr>
          <w:rFonts w:hint="eastAsia" w:eastAsia="宋体" w:cs="宋体"/>
          <w:snapToGrid w:val="0"/>
        </w:rPr>
        <w:t>20.4 其他保险</w:t>
      </w:r>
      <w:bookmarkEnd w:id="1280"/>
      <w:bookmarkEnd w:id="1281"/>
      <w:bookmarkEnd w:id="1282"/>
      <w:bookmarkEnd w:id="1283"/>
      <w:bookmarkEnd w:id="1284"/>
      <w:bookmarkEnd w:id="1285"/>
      <w:bookmarkEnd w:id="1286"/>
      <w:bookmarkEnd w:id="1287"/>
    </w:p>
    <w:p w14:paraId="76F0365D">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除专用合同条款另有约定外，承包人应为其施工设备、进场的材料和工程设备等办理保险。</w:t>
      </w:r>
    </w:p>
    <w:p w14:paraId="46F2D2A7">
      <w:pPr>
        <w:pStyle w:val="403"/>
        <w:spacing w:line="460" w:lineRule="exact"/>
        <w:ind w:firstLine="480" w:firstLineChars="200"/>
        <w:rPr>
          <w:rFonts w:hint="eastAsia" w:eastAsia="宋体" w:cs="宋体"/>
          <w:snapToGrid w:val="0"/>
        </w:rPr>
      </w:pPr>
      <w:bookmarkStart w:id="1288" w:name="_Toc411736287"/>
      <w:bookmarkStart w:id="1289" w:name="_Toc247527780"/>
      <w:bookmarkStart w:id="1290" w:name="_Toc410559481"/>
      <w:bookmarkStart w:id="1291" w:name="_Toc68594888"/>
      <w:bookmarkStart w:id="1292" w:name="_Toc247514179"/>
      <w:bookmarkStart w:id="1293" w:name="_Toc411736563"/>
      <w:bookmarkStart w:id="1294" w:name="_Toc476860498"/>
      <w:bookmarkStart w:id="1295" w:name="_Toc300835181"/>
      <w:r>
        <w:rPr>
          <w:rFonts w:hint="eastAsia" w:eastAsia="宋体" w:cs="宋体"/>
          <w:snapToGrid w:val="0"/>
        </w:rPr>
        <w:t>20.5 对各项保险的一般要求</w:t>
      </w:r>
      <w:bookmarkEnd w:id="1288"/>
      <w:bookmarkEnd w:id="1289"/>
      <w:bookmarkEnd w:id="1290"/>
      <w:bookmarkEnd w:id="1291"/>
      <w:bookmarkEnd w:id="1292"/>
      <w:bookmarkEnd w:id="1293"/>
      <w:bookmarkEnd w:id="1294"/>
      <w:bookmarkEnd w:id="1295"/>
    </w:p>
    <w:p w14:paraId="171C09D6">
      <w:pPr>
        <w:pStyle w:val="403"/>
        <w:spacing w:line="460" w:lineRule="exact"/>
        <w:ind w:firstLine="480" w:firstLineChars="200"/>
        <w:rPr>
          <w:rFonts w:hint="eastAsia" w:eastAsia="宋体" w:cs="宋体"/>
          <w:snapToGrid w:val="0"/>
        </w:rPr>
      </w:pPr>
      <w:r>
        <w:rPr>
          <w:rFonts w:hint="eastAsia" w:eastAsia="宋体" w:cs="宋体"/>
          <w:snapToGrid w:val="0"/>
        </w:rPr>
        <w:t>20.5.1 保险凭证</w:t>
      </w:r>
    </w:p>
    <w:p w14:paraId="401CCAEE">
      <w:pPr>
        <w:pStyle w:val="403"/>
        <w:spacing w:line="460" w:lineRule="exact"/>
        <w:ind w:firstLine="480" w:firstLineChars="200"/>
        <w:rPr>
          <w:rFonts w:hint="eastAsia" w:eastAsia="宋体" w:cs="宋体"/>
          <w:snapToGrid w:val="0"/>
        </w:rPr>
      </w:pPr>
      <w:r>
        <w:rPr>
          <w:rFonts w:hint="eastAsia" w:eastAsia="宋体" w:cs="宋体"/>
          <w:snapToGrid w:val="0"/>
        </w:rPr>
        <w:t>承包人应在专用合同条款约定的期限内向发包人提交各项保险生效的证据和保险单副本，保险单必须与专用合同条款约定的条件保持一致。</w:t>
      </w:r>
    </w:p>
    <w:p w14:paraId="0E5B2270">
      <w:pPr>
        <w:pStyle w:val="403"/>
        <w:spacing w:line="460" w:lineRule="exact"/>
        <w:ind w:firstLine="480" w:firstLineChars="200"/>
        <w:rPr>
          <w:rFonts w:hint="eastAsia" w:eastAsia="宋体" w:cs="宋体"/>
          <w:snapToGrid w:val="0"/>
        </w:rPr>
      </w:pPr>
      <w:r>
        <w:rPr>
          <w:rFonts w:hint="eastAsia" w:eastAsia="宋体" w:cs="宋体"/>
          <w:snapToGrid w:val="0"/>
        </w:rPr>
        <w:t>20.5.2 保险合同条款的变动</w:t>
      </w:r>
    </w:p>
    <w:p w14:paraId="6D6009B9">
      <w:pPr>
        <w:pStyle w:val="403"/>
        <w:spacing w:line="460" w:lineRule="exact"/>
        <w:ind w:firstLine="480" w:firstLineChars="200"/>
        <w:rPr>
          <w:rFonts w:hint="eastAsia" w:eastAsia="宋体" w:cs="宋体"/>
          <w:snapToGrid w:val="0"/>
        </w:rPr>
      </w:pPr>
      <w:r>
        <w:rPr>
          <w:rFonts w:hint="eastAsia" w:eastAsia="宋体" w:cs="宋体"/>
          <w:snapToGrid w:val="0"/>
        </w:rPr>
        <w:t>承包人需要变动保险合同条款时，应事先征得发包人同意，并通知监理人。保险人作出变动的，承包人应在收到保险人通知后立即通知发包人和监理人。</w:t>
      </w:r>
    </w:p>
    <w:p w14:paraId="6E603EDA">
      <w:pPr>
        <w:pStyle w:val="403"/>
        <w:spacing w:line="460" w:lineRule="exact"/>
        <w:ind w:firstLine="480" w:firstLineChars="200"/>
        <w:rPr>
          <w:rFonts w:hint="eastAsia" w:eastAsia="宋体" w:cs="宋体"/>
          <w:snapToGrid w:val="0"/>
        </w:rPr>
      </w:pPr>
      <w:r>
        <w:rPr>
          <w:rFonts w:hint="eastAsia" w:eastAsia="宋体" w:cs="宋体"/>
          <w:snapToGrid w:val="0"/>
        </w:rPr>
        <w:t>20.5.3 持续保险</w:t>
      </w:r>
    </w:p>
    <w:p w14:paraId="49642A02">
      <w:pPr>
        <w:pStyle w:val="403"/>
        <w:spacing w:line="460" w:lineRule="exact"/>
        <w:ind w:firstLine="480" w:firstLineChars="200"/>
        <w:rPr>
          <w:rFonts w:hint="eastAsia" w:eastAsia="宋体" w:cs="宋体"/>
          <w:snapToGrid w:val="0"/>
        </w:rPr>
      </w:pPr>
      <w:r>
        <w:rPr>
          <w:rFonts w:hint="eastAsia" w:eastAsia="宋体" w:cs="宋体"/>
          <w:snapToGrid w:val="0"/>
        </w:rPr>
        <w:t>承包人应与保险人保持联系，使保险人能够随时了解工程实施中的变动，并确保按保险合同条款要求持续保险。</w:t>
      </w:r>
    </w:p>
    <w:p w14:paraId="1ED35B55">
      <w:pPr>
        <w:pStyle w:val="403"/>
        <w:spacing w:line="460" w:lineRule="exact"/>
        <w:ind w:firstLine="480" w:firstLineChars="200"/>
        <w:rPr>
          <w:rFonts w:hint="eastAsia" w:eastAsia="宋体" w:cs="宋体"/>
          <w:snapToGrid w:val="0"/>
        </w:rPr>
      </w:pPr>
      <w:r>
        <w:rPr>
          <w:rFonts w:hint="eastAsia" w:eastAsia="宋体" w:cs="宋体"/>
          <w:snapToGrid w:val="0"/>
        </w:rPr>
        <w:t>20.5.4 保险金不足的补偿</w:t>
      </w:r>
    </w:p>
    <w:p w14:paraId="26F7E08F">
      <w:pPr>
        <w:pStyle w:val="403"/>
        <w:spacing w:line="460" w:lineRule="exact"/>
        <w:ind w:firstLine="480" w:firstLineChars="200"/>
        <w:rPr>
          <w:rFonts w:hint="eastAsia" w:eastAsia="宋体" w:cs="宋体"/>
          <w:snapToGrid w:val="0"/>
        </w:rPr>
      </w:pPr>
      <w:r>
        <w:rPr>
          <w:rFonts w:hint="eastAsia" w:eastAsia="宋体" w:cs="宋体"/>
          <w:snapToGrid w:val="0"/>
        </w:rPr>
        <w:t>保险金不足以补偿损失的，应由承包人和（或）发包人按合同约定负责补偿。</w:t>
      </w:r>
    </w:p>
    <w:p w14:paraId="0CD607D9">
      <w:pPr>
        <w:pStyle w:val="403"/>
        <w:spacing w:line="460" w:lineRule="exact"/>
        <w:ind w:firstLine="480" w:firstLineChars="200"/>
        <w:rPr>
          <w:rFonts w:hint="eastAsia" w:eastAsia="宋体" w:cs="宋体"/>
          <w:snapToGrid w:val="0"/>
        </w:rPr>
      </w:pPr>
      <w:r>
        <w:rPr>
          <w:rFonts w:hint="eastAsia" w:eastAsia="宋体" w:cs="宋体"/>
          <w:snapToGrid w:val="0"/>
        </w:rPr>
        <w:t>20.5.5 未按约定投保的补救</w:t>
      </w:r>
    </w:p>
    <w:p w14:paraId="1B77A54A">
      <w:pPr>
        <w:pStyle w:val="403"/>
        <w:spacing w:line="460" w:lineRule="exact"/>
        <w:ind w:firstLine="480" w:firstLineChars="200"/>
        <w:rPr>
          <w:rFonts w:hint="eastAsia" w:eastAsia="宋体" w:cs="宋体"/>
          <w:snapToGrid w:val="0"/>
        </w:rPr>
      </w:pPr>
      <w:r>
        <w:rPr>
          <w:rFonts w:hint="eastAsia" w:eastAsia="宋体" w:cs="宋体"/>
          <w:snapToGrid w:val="0"/>
        </w:rPr>
        <w:t>（1）由于负有投保义务的一方当事人未按合同约定办理保险，或未能使保险持续有效的，另一方当事人可代为办理，所需费用由对方当事人承担。</w:t>
      </w:r>
    </w:p>
    <w:p w14:paraId="08554C41">
      <w:pPr>
        <w:pStyle w:val="403"/>
        <w:spacing w:line="460" w:lineRule="exact"/>
        <w:ind w:firstLine="480" w:firstLineChars="200"/>
        <w:rPr>
          <w:rFonts w:hint="eastAsia" w:eastAsia="宋体" w:cs="宋体"/>
          <w:snapToGrid w:val="0"/>
        </w:rPr>
      </w:pPr>
      <w:r>
        <w:rPr>
          <w:rFonts w:hint="eastAsia" w:eastAsia="宋体" w:cs="宋体"/>
          <w:snapToGrid w:val="0"/>
        </w:rPr>
        <w:t>（2）由于负有投保义务的一方当事人未按合同约定办理某项保险，导致受益人未能得到保险人的赔偿，原应从该项保险得到的保险金应由负有投保义务的一方当事人支付。</w:t>
      </w:r>
    </w:p>
    <w:p w14:paraId="132E390A">
      <w:pPr>
        <w:pStyle w:val="403"/>
        <w:spacing w:line="460" w:lineRule="exact"/>
        <w:ind w:firstLine="480" w:firstLineChars="200"/>
        <w:rPr>
          <w:rFonts w:hint="eastAsia" w:eastAsia="宋体" w:cs="宋体"/>
          <w:snapToGrid w:val="0"/>
        </w:rPr>
      </w:pPr>
      <w:r>
        <w:rPr>
          <w:rFonts w:hint="eastAsia" w:eastAsia="宋体" w:cs="宋体"/>
          <w:snapToGrid w:val="0"/>
        </w:rPr>
        <w:t>20.5.6 报告义务</w:t>
      </w:r>
    </w:p>
    <w:p w14:paraId="25740081">
      <w:pPr>
        <w:pStyle w:val="403"/>
        <w:spacing w:line="460" w:lineRule="exact"/>
        <w:ind w:firstLine="480" w:firstLineChars="200"/>
        <w:rPr>
          <w:rFonts w:hint="eastAsia" w:eastAsia="宋体" w:cs="宋体"/>
          <w:snapToGrid w:val="0"/>
        </w:rPr>
      </w:pPr>
      <w:r>
        <w:rPr>
          <w:rFonts w:hint="eastAsia" w:eastAsia="宋体" w:cs="宋体"/>
          <w:snapToGrid w:val="0"/>
        </w:rPr>
        <w:t>当保险事故发生时，投保人应按照保险单规定的条件和期限及时向保险人报告。</w:t>
      </w:r>
    </w:p>
    <w:p w14:paraId="7557344E">
      <w:pPr>
        <w:pStyle w:val="5"/>
        <w:spacing w:before="360" w:after="120" w:afterLines="50" w:line="480" w:lineRule="exact"/>
        <w:rPr>
          <w:rFonts w:hint="eastAsia" w:ascii="宋体" w:hAnsi="宋体" w:eastAsia="宋体" w:cs="宋体"/>
          <w:bCs/>
          <w:sz w:val="28"/>
          <w:szCs w:val="28"/>
        </w:rPr>
      </w:pPr>
      <w:bookmarkStart w:id="1296" w:name="_Toc68594889"/>
      <w:bookmarkStart w:id="1297" w:name="_Toc176268740"/>
      <w:bookmarkStart w:id="1298" w:name="_Toc247527781"/>
      <w:bookmarkStart w:id="1299" w:name="_Toc411736564"/>
      <w:bookmarkStart w:id="1300" w:name="_Toc300835182"/>
      <w:bookmarkStart w:id="1301" w:name="_Toc411736288"/>
      <w:bookmarkStart w:id="1302" w:name="_Toc22079"/>
      <w:bookmarkStart w:id="1303" w:name="_Toc410559482"/>
      <w:bookmarkStart w:id="1304" w:name="_Toc476860499"/>
      <w:bookmarkStart w:id="1305" w:name="_Toc184635118"/>
      <w:bookmarkStart w:id="1306" w:name="_Toc198803807"/>
      <w:bookmarkStart w:id="1307" w:name="_Toc247514180"/>
      <w:bookmarkStart w:id="1308" w:name="_Toc83220611"/>
      <w:r>
        <w:rPr>
          <w:rFonts w:hint="eastAsia" w:ascii="宋体" w:hAnsi="宋体" w:eastAsia="宋体" w:cs="宋体"/>
          <w:bCs/>
          <w:sz w:val="28"/>
          <w:szCs w:val="28"/>
        </w:rPr>
        <w:t>21. 不可抗力</w:t>
      </w:r>
      <w:bookmarkEnd w:id="1296"/>
      <w:bookmarkEnd w:id="1297"/>
      <w:bookmarkEnd w:id="1298"/>
      <w:bookmarkEnd w:id="1299"/>
      <w:bookmarkEnd w:id="1300"/>
      <w:bookmarkEnd w:id="1301"/>
      <w:bookmarkEnd w:id="1302"/>
      <w:bookmarkEnd w:id="1303"/>
      <w:bookmarkEnd w:id="1304"/>
      <w:bookmarkEnd w:id="1305"/>
      <w:bookmarkEnd w:id="1306"/>
      <w:bookmarkEnd w:id="1307"/>
      <w:bookmarkEnd w:id="1308"/>
    </w:p>
    <w:p w14:paraId="737197FD">
      <w:pPr>
        <w:pStyle w:val="403"/>
        <w:spacing w:line="460" w:lineRule="exact"/>
        <w:ind w:firstLine="480" w:firstLineChars="200"/>
        <w:rPr>
          <w:rFonts w:hint="eastAsia" w:eastAsia="宋体" w:cs="宋体"/>
          <w:snapToGrid w:val="0"/>
        </w:rPr>
      </w:pPr>
      <w:bookmarkStart w:id="1309" w:name="_Toc411736289"/>
      <w:bookmarkStart w:id="1310" w:name="_Toc247527782"/>
      <w:bookmarkStart w:id="1311" w:name="_Toc411736565"/>
      <w:bookmarkStart w:id="1312" w:name="_Toc410559483"/>
      <w:bookmarkStart w:id="1313" w:name="_Toc247514181"/>
      <w:bookmarkStart w:id="1314" w:name="_Toc300835183"/>
      <w:bookmarkStart w:id="1315" w:name="_Toc476860500"/>
      <w:r>
        <w:rPr>
          <w:rFonts w:hint="eastAsia" w:eastAsia="宋体" w:cs="宋体"/>
          <w:snapToGrid w:val="0"/>
        </w:rPr>
        <w:t>21.1 不可抗力的确认</w:t>
      </w:r>
      <w:bookmarkEnd w:id="1309"/>
      <w:bookmarkEnd w:id="1310"/>
      <w:bookmarkEnd w:id="1311"/>
      <w:bookmarkEnd w:id="1312"/>
      <w:bookmarkEnd w:id="1313"/>
      <w:bookmarkEnd w:id="1314"/>
      <w:bookmarkEnd w:id="1315"/>
    </w:p>
    <w:p w14:paraId="3363C98F">
      <w:pPr>
        <w:pStyle w:val="403"/>
        <w:spacing w:line="460" w:lineRule="exact"/>
        <w:ind w:firstLine="480" w:firstLineChars="200"/>
        <w:rPr>
          <w:rFonts w:hint="eastAsia" w:eastAsia="宋体" w:cs="宋体"/>
          <w:snapToGrid w:val="0"/>
        </w:rPr>
      </w:pPr>
      <w:r>
        <w:rPr>
          <w:rFonts w:hint="eastAsia" w:eastAsia="宋体" w:cs="宋体"/>
          <w:snapToGrid w:val="0"/>
        </w:rPr>
        <w:t>21.1.1 不可抗力是指承包人和发包人在订立合同时不可预见，在履行合同过程中不可避免发生并不能克服的自然灾害和社会性突发事件，如地震、海啸、瘟疫、水灾、骚乱、暴动、战争和专用合同条款约定的其他情形。</w:t>
      </w:r>
    </w:p>
    <w:p w14:paraId="6CBA3FD4">
      <w:pPr>
        <w:pStyle w:val="403"/>
        <w:spacing w:line="460" w:lineRule="exact"/>
        <w:ind w:firstLine="480" w:firstLineChars="200"/>
        <w:rPr>
          <w:rFonts w:hint="eastAsia" w:eastAsia="宋体" w:cs="宋体"/>
          <w:snapToGrid w:val="0"/>
        </w:rPr>
      </w:pPr>
      <w:r>
        <w:rPr>
          <w:rFonts w:hint="eastAsia" w:eastAsia="宋体" w:cs="宋体"/>
          <w:snapToGrid w:val="0"/>
        </w:rPr>
        <w:t>21.1.2 不可抗力发生后，发包人和承包人应及时认真统计所造成的损失，收集不可抗力造成损失的证据。合同双方对是否属于不可抗力或其损失的意见不一致的，由监理人按第3.5 款商定或确定。发生争议时，按第24条的约定执行。</w:t>
      </w:r>
    </w:p>
    <w:p w14:paraId="06064BF2">
      <w:pPr>
        <w:pStyle w:val="403"/>
        <w:spacing w:line="460" w:lineRule="exact"/>
        <w:ind w:firstLine="480" w:firstLineChars="200"/>
        <w:rPr>
          <w:rFonts w:hint="eastAsia" w:eastAsia="宋体" w:cs="宋体"/>
          <w:snapToGrid w:val="0"/>
        </w:rPr>
      </w:pPr>
      <w:bookmarkStart w:id="1316" w:name="_Toc247527783"/>
      <w:bookmarkStart w:id="1317" w:name="_Toc247514182"/>
      <w:bookmarkStart w:id="1318" w:name="_Toc411736566"/>
      <w:bookmarkStart w:id="1319" w:name="_Toc410559484"/>
      <w:bookmarkStart w:id="1320" w:name="_Toc411736290"/>
      <w:bookmarkStart w:id="1321" w:name="_Toc476860501"/>
      <w:bookmarkStart w:id="1322" w:name="_Toc300835184"/>
      <w:r>
        <w:rPr>
          <w:rFonts w:hint="eastAsia" w:eastAsia="宋体" w:cs="宋体"/>
          <w:snapToGrid w:val="0"/>
        </w:rPr>
        <w:t>21.2 不可抗力的通知</w:t>
      </w:r>
      <w:bookmarkEnd w:id="1316"/>
      <w:bookmarkEnd w:id="1317"/>
      <w:bookmarkEnd w:id="1318"/>
      <w:bookmarkEnd w:id="1319"/>
      <w:bookmarkEnd w:id="1320"/>
      <w:bookmarkEnd w:id="1321"/>
      <w:bookmarkEnd w:id="1322"/>
    </w:p>
    <w:p w14:paraId="7E20A40A">
      <w:pPr>
        <w:pStyle w:val="403"/>
        <w:spacing w:line="460" w:lineRule="exact"/>
        <w:ind w:firstLine="480" w:firstLineChars="200"/>
        <w:rPr>
          <w:rFonts w:hint="eastAsia" w:eastAsia="宋体" w:cs="宋体"/>
          <w:snapToGrid w:val="0"/>
        </w:rPr>
      </w:pPr>
      <w:r>
        <w:rPr>
          <w:rFonts w:hint="eastAsia" w:eastAsia="宋体" w:cs="宋体"/>
          <w:snapToGrid w:val="0"/>
        </w:rPr>
        <w:t>21.2.1 合同一方当事人遇到不可抗力事件，使其履行合同义务受到阻碍时，应立即通知合同另一方当事人和监理人，书面说明不可抗力和受阻碍的详细情况，并提供必要的证明。</w:t>
      </w:r>
    </w:p>
    <w:p w14:paraId="6CD59FD5">
      <w:pPr>
        <w:pStyle w:val="403"/>
        <w:spacing w:line="460" w:lineRule="exact"/>
        <w:ind w:firstLine="480" w:firstLineChars="200"/>
        <w:rPr>
          <w:rFonts w:hint="eastAsia" w:eastAsia="宋体" w:cs="宋体"/>
          <w:snapToGrid w:val="0"/>
        </w:rPr>
      </w:pPr>
      <w:r>
        <w:rPr>
          <w:rFonts w:hint="eastAsia" w:eastAsia="宋体" w:cs="宋体"/>
          <w:snapToGrid w:val="0"/>
        </w:rPr>
        <w:t>21.2.2 如不可抗力持续发生，合同一方当事人应及时向合同另一方当事人和监理人提交中间报告，说明不可抗力和履行合同受阻的情况，并于不可抗力事件结束后28天内提交最终报告及有关资料。</w:t>
      </w:r>
    </w:p>
    <w:p w14:paraId="67FAAB8D">
      <w:pPr>
        <w:pStyle w:val="403"/>
        <w:spacing w:line="460" w:lineRule="exact"/>
        <w:ind w:firstLine="480" w:firstLineChars="200"/>
        <w:rPr>
          <w:rFonts w:hint="eastAsia" w:eastAsia="宋体" w:cs="宋体"/>
          <w:snapToGrid w:val="0"/>
        </w:rPr>
      </w:pPr>
      <w:bookmarkStart w:id="1323" w:name="_Toc476860502"/>
      <w:bookmarkStart w:id="1324" w:name="_Toc300835185"/>
      <w:bookmarkStart w:id="1325" w:name="_Toc247527784"/>
      <w:bookmarkStart w:id="1326" w:name="_Toc247514183"/>
      <w:bookmarkStart w:id="1327" w:name="_Toc411736567"/>
      <w:bookmarkStart w:id="1328" w:name="_Toc410559485"/>
      <w:bookmarkStart w:id="1329" w:name="_Toc411736291"/>
      <w:r>
        <w:rPr>
          <w:rFonts w:hint="eastAsia" w:eastAsia="宋体" w:cs="宋体"/>
          <w:snapToGrid w:val="0"/>
        </w:rPr>
        <w:t>21.3 不可抗力后果及其处理</w:t>
      </w:r>
      <w:bookmarkEnd w:id="1323"/>
      <w:bookmarkEnd w:id="1324"/>
      <w:bookmarkEnd w:id="1325"/>
      <w:bookmarkEnd w:id="1326"/>
      <w:bookmarkEnd w:id="1327"/>
      <w:bookmarkEnd w:id="1328"/>
      <w:bookmarkEnd w:id="1329"/>
    </w:p>
    <w:p w14:paraId="13EFE8D0">
      <w:pPr>
        <w:pStyle w:val="403"/>
        <w:spacing w:line="460" w:lineRule="exact"/>
        <w:ind w:firstLine="480" w:firstLineChars="200"/>
        <w:rPr>
          <w:rFonts w:hint="eastAsia" w:eastAsia="宋体" w:cs="宋体"/>
          <w:snapToGrid w:val="0"/>
        </w:rPr>
      </w:pPr>
      <w:r>
        <w:rPr>
          <w:rFonts w:hint="eastAsia" w:eastAsia="宋体" w:cs="宋体"/>
          <w:snapToGrid w:val="0"/>
        </w:rPr>
        <w:t>21.3.1 不可抗力造成损害的责任</w:t>
      </w:r>
    </w:p>
    <w:p w14:paraId="1906227D">
      <w:pPr>
        <w:pStyle w:val="403"/>
        <w:spacing w:line="460" w:lineRule="exact"/>
        <w:ind w:firstLine="480" w:firstLineChars="200"/>
        <w:rPr>
          <w:rFonts w:hint="eastAsia" w:eastAsia="宋体" w:cs="宋体"/>
          <w:snapToGrid w:val="0"/>
        </w:rPr>
      </w:pPr>
      <w:r>
        <w:rPr>
          <w:rFonts w:hint="eastAsia" w:eastAsia="宋体" w:cs="宋体"/>
          <w:snapToGrid w:val="0"/>
        </w:rPr>
        <w:t>除专用合同条款另有约定外，不可抗力导致的人员伤亡、财产损失、费用增加和（或）工期延误等后果，由合同双方按以下原则承担：</w:t>
      </w:r>
    </w:p>
    <w:p w14:paraId="7024BCB4">
      <w:pPr>
        <w:pStyle w:val="403"/>
        <w:spacing w:line="460" w:lineRule="exact"/>
        <w:ind w:firstLine="480" w:firstLineChars="200"/>
        <w:rPr>
          <w:rFonts w:hint="eastAsia" w:eastAsia="宋体" w:cs="宋体"/>
          <w:snapToGrid w:val="0"/>
        </w:rPr>
      </w:pPr>
      <w:r>
        <w:rPr>
          <w:rFonts w:hint="eastAsia" w:eastAsia="宋体" w:cs="宋体"/>
          <w:snapToGrid w:val="0"/>
        </w:rPr>
        <w:t>（1）永久工程，包括已运至施工场地的材料和工程设备的损害，以及因工程损害造成的第三者人员伤亡和财产损失由发包人承担；</w:t>
      </w:r>
    </w:p>
    <w:p w14:paraId="46576103">
      <w:pPr>
        <w:pStyle w:val="403"/>
        <w:spacing w:line="460" w:lineRule="exact"/>
        <w:ind w:firstLine="480" w:firstLineChars="200"/>
        <w:rPr>
          <w:rFonts w:hint="eastAsia" w:eastAsia="宋体" w:cs="宋体"/>
          <w:snapToGrid w:val="0"/>
        </w:rPr>
      </w:pPr>
      <w:r>
        <w:rPr>
          <w:rFonts w:hint="eastAsia" w:eastAsia="宋体" w:cs="宋体"/>
          <w:snapToGrid w:val="0"/>
        </w:rPr>
        <w:t>（2）承包人设备的损坏由承包人承担；</w:t>
      </w:r>
    </w:p>
    <w:p w14:paraId="3A63BDC0">
      <w:pPr>
        <w:pStyle w:val="403"/>
        <w:spacing w:line="460" w:lineRule="exact"/>
        <w:ind w:firstLine="480" w:firstLineChars="200"/>
        <w:rPr>
          <w:rFonts w:hint="eastAsia" w:eastAsia="宋体" w:cs="宋体"/>
          <w:snapToGrid w:val="0"/>
        </w:rPr>
      </w:pPr>
      <w:r>
        <w:rPr>
          <w:rFonts w:hint="eastAsia" w:eastAsia="宋体" w:cs="宋体"/>
          <w:snapToGrid w:val="0"/>
        </w:rPr>
        <w:t>（3）发包人和承包人各自承担其人员伤亡和其他财产损失及其相关费用；</w:t>
      </w:r>
    </w:p>
    <w:p w14:paraId="2BF9ED8F">
      <w:pPr>
        <w:pStyle w:val="403"/>
        <w:spacing w:line="460" w:lineRule="exact"/>
        <w:ind w:firstLine="480" w:firstLineChars="200"/>
        <w:rPr>
          <w:rFonts w:hint="eastAsia" w:eastAsia="宋体" w:cs="宋体"/>
          <w:snapToGrid w:val="0"/>
        </w:rPr>
      </w:pPr>
      <w:r>
        <w:rPr>
          <w:rFonts w:hint="eastAsia" w:eastAsia="宋体" w:cs="宋体"/>
          <w:snapToGrid w:val="0"/>
        </w:rPr>
        <w:t>（4）承包人的停工损失由承包人承担，但停工期间应监理人要求照管工程和清理、修复工程的金额由发包人承担；</w:t>
      </w:r>
    </w:p>
    <w:p w14:paraId="22289E64">
      <w:pPr>
        <w:pStyle w:val="403"/>
        <w:spacing w:line="460" w:lineRule="exact"/>
        <w:ind w:firstLine="480" w:firstLineChars="200"/>
        <w:rPr>
          <w:rFonts w:hint="eastAsia" w:eastAsia="宋体" w:cs="宋体"/>
          <w:snapToGrid w:val="0"/>
        </w:rPr>
      </w:pPr>
      <w:r>
        <w:rPr>
          <w:rFonts w:hint="eastAsia" w:eastAsia="宋体" w:cs="宋体"/>
          <w:snapToGrid w:val="0"/>
        </w:rPr>
        <w:t>（5）不能按期竣工的，应合理延长工期，承包人不需支付逾期竣工违约金。发包人要求赶工的，承包人应采取赶工措施，赶工费用由发包人承担。</w:t>
      </w:r>
    </w:p>
    <w:p w14:paraId="74C24CBB">
      <w:pPr>
        <w:pStyle w:val="403"/>
        <w:spacing w:line="460" w:lineRule="exact"/>
        <w:ind w:firstLine="480" w:firstLineChars="200"/>
        <w:rPr>
          <w:rFonts w:hint="eastAsia" w:eastAsia="宋体" w:cs="宋体"/>
          <w:snapToGrid w:val="0"/>
        </w:rPr>
      </w:pPr>
      <w:r>
        <w:rPr>
          <w:rFonts w:hint="eastAsia" w:eastAsia="宋体" w:cs="宋体"/>
          <w:snapToGrid w:val="0"/>
        </w:rPr>
        <w:t>21.3.2 延迟履行期间发生的不可抗力</w:t>
      </w:r>
    </w:p>
    <w:p w14:paraId="5497E400">
      <w:pPr>
        <w:pStyle w:val="403"/>
        <w:spacing w:line="460" w:lineRule="exact"/>
        <w:ind w:firstLine="480" w:firstLineChars="200"/>
        <w:rPr>
          <w:rFonts w:hint="eastAsia" w:eastAsia="宋体" w:cs="宋体"/>
          <w:snapToGrid w:val="0"/>
        </w:rPr>
      </w:pPr>
      <w:r>
        <w:rPr>
          <w:rFonts w:hint="eastAsia" w:eastAsia="宋体" w:cs="宋体"/>
          <w:snapToGrid w:val="0"/>
        </w:rPr>
        <w:t>合同一方当事人延迟履行，在延迟履行期间发生不可抗力的，不免除其责任。</w:t>
      </w:r>
    </w:p>
    <w:p w14:paraId="0FCC98E3">
      <w:pPr>
        <w:pStyle w:val="403"/>
        <w:spacing w:line="460" w:lineRule="exact"/>
        <w:ind w:firstLine="480" w:firstLineChars="200"/>
        <w:rPr>
          <w:rFonts w:hint="eastAsia" w:eastAsia="宋体" w:cs="宋体"/>
          <w:snapToGrid w:val="0"/>
        </w:rPr>
      </w:pPr>
      <w:r>
        <w:rPr>
          <w:rFonts w:hint="eastAsia" w:eastAsia="宋体" w:cs="宋体"/>
          <w:snapToGrid w:val="0"/>
        </w:rPr>
        <w:t>21.3.3 避免和减少不可抗力损失</w:t>
      </w:r>
    </w:p>
    <w:p w14:paraId="5A304207">
      <w:pPr>
        <w:pStyle w:val="403"/>
        <w:spacing w:line="460" w:lineRule="exact"/>
        <w:ind w:firstLine="480" w:firstLineChars="200"/>
        <w:rPr>
          <w:rFonts w:hint="eastAsia" w:eastAsia="宋体" w:cs="宋体"/>
          <w:snapToGrid w:val="0"/>
        </w:rPr>
      </w:pPr>
      <w:r>
        <w:rPr>
          <w:rFonts w:hint="eastAsia" w:eastAsia="宋体" w:cs="宋体"/>
          <w:snapToGrid w:val="0"/>
        </w:rPr>
        <w:t>不可抗力发生后，发包人和承包人均应采取措施尽量避免和减少损失的扩大，任何一方没有采取有效措施导致损失扩大的，应对扩大的损失承担责任。</w:t>
      </w:r>
    </w:p>
    <w:p w14:paraId="48208216">
      <w:pPr>
        <w:pStyle w:val="403"/>
        <w:spacing w:line="460" w:lineRule="exact"/>
        <w:ind w:firstLine="480" w:firstLineChars="200"/>
        <w:rPr>
          <w:rFonts w:hint="eastAsia" w:eastAsia="宋体" w:cs="宋体"/>
          <w:snapToGrid w:val="0"/>
        </w:rPr>
      </w:pPr>
      <w:r>
        <w:rPr>
          <w:rFonts w:hint="eastAsia" w:eastAsia="宋体" w:cs="宋体"/>
          <w:snapToGrid w:val="0"/>
        </w:rPr>
        <w:t>21.3.4 因不可抗力解除合同</w:t>
      </w:r>
    </w:p>
    <w:p w14:paraId="1333E8EF">
      <w:pPr>
        <w:pStyle w:val="403"/>
        <w:spacing w:line="460" w:lineRule="exact"/>
        <w:ind w:firstLine="480" w:firstLineChars="200"/>
        <w:rPr>
          <w:rFonts w:hint="eastAsia" w:eastAsia="宋体" w:cs="宋体"/>
          <w:snapToGrid w:val="0"/>
        </w:rPr>
      </w:pPr>
      <w:r>
        <w:rPr>
          <w:rFonts w:hint="eastAsia" w:eastAsia="宋体" w:cs="宋体"/>
          <w:snapToGrid w:val="0"/>
        </w:rPr>
        <w:t>合同一方当事人因不可抗力不能履行合同的，应当及时通知对方解除合同。合同解除后，承包人应按照第22.2.4 项约定撤离施工场地。已经订货的材料、设备由订货方负责退货或解除订货合同，不能退还的货款和因退货、解除订货合同发生的费用，由发包人承担，因未及时退货造成的损失由责任方承担。合同解除后的付款，参照第22.2.3 项约定，由监理人按第3.5 款商定或确定。</w:t>
      </w:r>
    </w:p>
    <w:p w14:paraId="2C193271">
      <w:pPr>
        <w:pStyle w:val="5"/>
        <w:spacing w:before="360" w:after="120" w:afterLines="50" w:line="480" w:lineRule="exact"/>
        <w:rPr>
          <w:rFonts w:hint="eastAsia" w:ascii="宋体" w:hAnsi="宋体" w:eastAsia="宋体" w:cs="宋体"/>
          <w:bCs/>
          <w:sz w:val="28"/>
          <w:szCs w:val="28"/>
        </w:rPr>
      </w:pPr>
      <w:bookmarkStart w:id="1330" w:name="_Toc28948"/>
      <w:bookmarkStart w:id="1331" w:name="_Toc300835186"/>
      <w:bookmarkStart w:id="1332" w:name="_Toc411736568"/>
      <w:bookmarkStart w:id="1333" w:name="_Toc198803808"/>
      <w:bookmarkStart w:id="1334" w:name="_Toc411736292"/>
      <w:bookmarkStart w:id="1335" w:name="_Toc176268741"/>
      <w:bookmarkStart w:id="1336" w:name="_Toc247527785"/>
      <w:bookmarkStart w:id="1337" w:name="_Toc247514184"/>
      <w:bookmarkStart w:id="1338" w:name="_Toc68594890"/>
      <w:bookmarkStart w:id="1339" w:name="_Toc476860503"/>
      <w:bookmarkStart w:id="1340" w:name="_Toc410559486"/>
      <w:bookmarkStart w:id="1341" w:name="_Toc83220612"/>
      <w:bookmarkStart w:id="1342" w:name="_Toc184635119"/>
      <w:r>
        <w:rPr>
          <w:rFonts w:hint="eastAsia" w:ascii="宋体" w:hAnsi="宋体" w:eastAsia="宋体" w:cs="宋体"/>
          <w:bCs/>
          <w:sz w:val="28"/>
          <w:szCs w:val="28"/>
        </w:rPr>
        <w:t>22. 违约</w:t>
      </w:r>
      <w:bookmarkEnd w:id="1330"/>
      <w:bookmarkEnd w:id="1331"/>
      <w:bookmarkEnd w:id="1332"/>
      <w:bookmarkEnd w:id="1333"/>
      <w:bookmarkEnd w:id="1334"/>
      <w:bookmarkEnd w:id="1335"/>
      <w:bookmarkEnd w:id="1336"/>
      <w:bookmarkEnd w:id="1337"/>
      <w:bookmarkEnd w:id="1338"/>
      <w:bookmarkEnd w:id="1339"/>
      <w:bookmarkEnd w:id="1340"/>
      <w:bookmarkEnd w:id="1341"/>
      <w:bookmarkEnd w:id="1342"/>
    </w:p>
    <w:p w14:paraId="4BE5C74A">
      <w:pPr>
        <w:pStyle w:val="403"/>
        <w:spacing w:line="460" w:lineRule="exact"/>
        <w:ind w:firstLine="480" w:firstLineChars="200"/>
        <w:rPr>
          <w:rFonts w:hint="eastAsia" w:eastAsia="宋体" w:cs="宋体"/>
          <w:snapToGrid w:val="0"/>
        </w:rPr>
      </w:pPr>
      <w:bookmarkStart w:id="1343" w:name="_Toc476860504"/>
      <w:bookmarkStart w:id="1344" w:name="_Toc247514185"/>
      <w:bookmarkStart w:id="1345" w:name="_Toc410559487"/>
      <w:bookmarkStart w:id="1346" w:name="_Toc300835187"/>
      <w:bookmarkStart w:id="1347" w:name="_Toc411736293"/>
      <w:bookmarkStart w:id="1348" w:name="_Toc411736569"/>
      <w:bookmarkStart w:id="1349" w:name="_Toc247527786"/>
      <w:r>
        <w:rPr>
          <w:rFonts w:hint="eastAsia" w:eastAsia="宋体" w:cs="宋体"/>
          <w:snapToGrid w:val="0"/>
        </w:rPr>
        <w:t>22.1 承包人违约</w:t>
      </w:r>
      <w:bookmarkEnd w:id="1343"/>
      <w:bookmarkEnd w:id="1344"/>
      <w:bookmarkEnd w:id="1345"/>
      <w:bookmarkEnd w:id="1346"/>
      <w:bookmarkEnd w:id="1347"/>
      <w:bookmarkEnd w:id="1348"/>
      <w:bookmarkEnd w:id="1349"/>
    </w:p>
    <w:p w14:paraId="7D11F21A">
      <w:pPr>
        <w:pStyle w:val="403"/>
        <w:spacing w:line="460" w:lineRule="exact"/>
        <w:ind w:firstLine="480" w:firstLineChars="200"/>
        <w:rPr>
          <w:rFonts w:hint="eastAsia" w:eastAsia="宋体" w:cs="宋体"/>
          <w:snapToGrid w:val="0"/>
        </w:rPr>
      </w:pPr>
      <w:bookmarkStart w:id="1350" w:name="_Toc528255591"/>
      <w:bookmarkStart w:id="1351" w:name="_Toc28358545"/>
      <w:r>
        <w:rPr>
          <w:rFonts w:hint="eastAsia" w:eastAsia="宋体" w:cs="宋体"/>
          <w:snapToGrid w:val="0"/>
        </w:rPr>
        <w:t>22.1.1 承包人违约的情形</w:t>
      </w:r>
      <w:bookmarkEnd w:id="1350"/>
      <w:bookmarkEnd w:id="1351"/>
    </w:p>
    <w:p w14:paraId="41C54D0E">
      <w:pPr>
        <w:pStyle w:val="403"/>
        <w:spacing w:line="460" w:lineRule="exact"/>
        <w:ind w:firstLine="480" w:firstLineChars="200"/>
        <w:rPr>
          <w:rFonts w:hint="eastAsia" w:eastAsia="宋体" w:cs="宋体"/>
          <w:snapToGrid w:val="0"/>
        </w:rPr>
      </w:pPr>
      <w:r>
        <w:rPr>
          <w:rFonts w:hint="eastAsia" w:eastAsia="宋体" w:cs="宋体"/>
          <w:snapToGrid w:val="0"/>
        </w:rPr>
        <w:t>在履行合同过程中发生的下列情况之一的，属承包人违约：</w:t>
      </w:r>
    </w:p>
    <w:p w14:paraId="54015257">
      <w:pPr>
        <w:pStyle w:val="403"/>
        <w:spacing w:line="460" w:lineRule="exact"/>
        <w:ind w:firstLine="480" w:firstLineChars="200"/>
        <w:rPr>
          <w:rFonts w:hint="eastAsia" w:eastAsia="宋体" w:cs="宋体"/>
          <w:snapToGrid w:val="0"/>
        </w:rPr>
      </w:pPr>
      <w:r>
        <w:rPr>
          <w:rFonts w:hint="eastAsia" w:eastAsia="宋体" w:cs="宋体"/>
          <w:snapToGrid w:val="0"/>
        </w:rPr>
        <w:t>（1）承包人的设计（包括但不限于设计图纸）、承包人文件（包括但不限于技术文件）、实施和竣工的工程不符合法律、国家规范以及合同约定；</w:t>
      </w:r>
    </w:p>
    <w:p w14:paraId="64E68E1D">
      <w:pPr>
        <w:pStyle w:val="403"/>
        <w:spacing w:line="460" w:lineRule="exact"/>
        <w:ind w:firstLine="480" w:firstLineChars="200"/>
        <w:rPr>
          <w:rFonts w:hint="eastAsia" w:eastAsia="宋体" w:cs="宋体"/>
          <w:snapToGrid w:val="0"/>
        </w:rPr>
      </w:pPr>
      <w:r>
        <w:rPr>
          <w:rFonts w:hint="eastAsia" w:eastAsia="宋体" w:cs="宋体"/>
          <w:snapToGrid w:val="0"/>
        </w:rPr>
        <w:t>（2）承包人违反第1.8款或第4.3款的约定，私自将合同的全部或部分权利转让给其他人，或私自将合同的全部或部分义务转移给其他人；</w:t>
      </w:r>
    </w:p>
    <w:p w14:paraId="42872404">
      <w:pPr>
        <w:pStyle w:val="403"/>
        <w:spacing w:line="460" w:lineRule="exact"/>
        <w:ind w:firstLine="480" w:firstLineChars="200"/>
        <w:rPr>
          <w:rFonts w:hint="eastAsia" w:eastAsia="宋体" w:cs="宋体"/>
          <w:snapToGrid w:val="0"/>
        </w:rPr>
      </w:pPr>
      <w:r>
        <w:rPr>
          <w:rFonts w:hint="eastAsia" w:eastAsia="宋体" w:cs="宋体"/>
          <w:snapToGrid w:val="0"/>
        </w:rPr>
        <w:t>（3）承包人违反第6.3款或第7.4款的约定，未经监理人批准，私自将已按合同约定进入施工场地的施工设备、临时设施或材料撤离施工场地；</w:t>
      </w:r>
    </w:p>
    <w:p w14:paraId="05D54082">
      <w:pPr>
        <w:pStyle w:val="403"/>
        <w:spacing w:line="460" w:lineRule="exact"/>
        <w:ind w:firstLine="480" w:firstLineChars="200"/>
        <w:rPr>
          <w:rFonts w:hint="eastAsia" w:eastAsia="宋体" w:cs="宋体"/>
          <w:snapToGrid w:val="0"/>
        </w:rPr>
      </w:pPr>
      <w:r>
        <w:rPr>
          <w:rFonts w:hint="eastAsia" w:eastAsia="宋体" w:cs="宋体"/>
          <w:snapToGrid w:val="0"/>
        </w:rPr>
        <w:t>（4）承包人违反第6.5款的约定使用了不合格材料或工程设备，工程质量达不到标准要求，又拒绝清除不合格工程；</w:t>
      </w:r>
    </w:p>
    <w:p w14:paraId="6A13A00F">
      <w:pPr>
        <w:pStyle w:val="403"/>
        <w:spacing w:line="460" w:lineRule="exact"/>
        <w:ind w:firstLine="480" w:firstLineChars="200"/>
        <w:rPr>
          <w:rFonts w:hint="eastAsia" w:eastAsia="宋体" w:cs="宋体"/>
          <w:snapToGrid w:val="0"/>
        </w:rPr>
      </w:pPr>
      <w:r>
        <w:rPr>
          <w:rFonts w:hint="eastAsia" w:eastAsia="宋体" w:cs="宋体"/>
          <w:snapToGrid w:val="0"/>
        </w:rPr>
        <w:t>（5）承包人未能按合同进度计划及时完成合同约定的工作，造成工期延误；</w:t>
      </w:r>
    </w:p>
    <w:p w14:paraId="6AADAADF">
      <w:pPr>
        <w:pStyle w:val="403"/>
        <w:spacing w:line="460" w:lineRule="exact"/>
        <w:ind w:firstLine="480" w:firstLineChars="200"/>
        <w:rPr>
          <w:rFonts w:hint="eastAsia" w:eastAsia="宋体" w:cs="宋体"/>
          <w:snapToGrid w:val="0"/>
        </w:rPr>
      </w:pPr>
      <w:r>
        <w:rPr>
          <w:rFonts w:hint="eastAsia" w:eastAsia="宋体" w:cs="宋体"/>
          <w:snapToGrid w:val="0"/>
        </w:rPr>
        <w:t>（6）由于承包人原因未能通过竣工试验或竣工后试验的；</w:t>
      </w:r>
    </w:p>
    <w:p w14:paraId="5781F841">
      <w:pPr>
        <w:pStyle w:val="403"/>
        <w:spacing w:line="460" w:lineRule="exact"/>
        <w:ind w:firstLine="480" w:firstLineChars="200"/>
        <w:rPr>
          <w:rFonts w:hint="eastAsia" w:eastAsia="宋体" w:cs="宋体"/>
          <w:snapToGrid w:val="0"/>
        </w:rPr>
      </w:pPr>
      <w:r>
        <w:rPr>
          <w:rFonts w:hint="eastAsia" w:eastAsia="宋体" w:cs="宋体"/>
          <w:snapToGrid w:val="0"/>
        </w:rPr>
        <w:t>（7）承包人在缺陷责任期内，未能对工程接收证书所列的缺陷清单的内容或缺陷责任期内发生的缺陷进行修复，而又拒绝按监理人指示再进行修补；</w:t>
      </w:r>
    </w:p>
    <w:p w14:paraId="696A7E00">
      <w:pPr>
        <w:pStyle w:val="403"/>
        <w:spacing w:line="460" w:lineRule="exact"/>
        <w:ind w:firstLine="480" w:firstLineChars="200"/>
        <w:rPr>
          <w:rFonts w:hint="eastAsia" w:eastAsia="宋体" w:cs="宋体"/>
          <w:snapToGrid w:val="0"/>
        </w:rPr>
      </w:pPr>
      <w:r>
        <w:rPr>
          <w:rFonts w:hint="eastAsia" w:eastAsia="宋体" w:cs="宋体"/>
          <w:snapToGrid w:val="0"/>
        </w:rPr>
        <w:t>（8）承包人无法继续履行或明确表示不履行或实质上已停止履行合同；</w:t>
      </w:r>
    </w:p>
    <w:p w14:paraId="6B8A8725">
      <w:pPr>
        <w:pStyle w:val="403"/>
        <w:spacing w:line="460" w:lineRule="exact"/>
        <w:ind w:firstLine="480" w:firstLineChars="200"/>
        <w:rPr>
          <w:rFonts w:hint="eastAsia" w:eastAsia="宋体" w:cs="宋体"/>
          <w:snapToGrid w:val="0"/>
        </w:rPr>
      </w:pPr>
      <w:r>
        <w:rPr>
          <w:rFonts w:hint="eastAsia" w:eastAsia="宋体" w:cs="宋体"/>
          <w:snapToGrid w:val="0"/>
        </w:rPr>
        <w:t>（9）承包人不按合同约定履行义务的其他情况。</w:t>
      </w:r>
    </w:p>
    <w:p w14:paraId="49AD7145">
      <w:pPr>
        <w:pStyle w:val="403"/>
        <w:spacing w:line="460" w:lineRule="exact"/>
        <w:ind w:firstLine="480" w:firstLineChars="200"/>
        <w:rPr>
          <w:rFonts w:hint="eastAsia" w:eastAsia="宋体" w:cs="宋体"/>
          <w:snapToGrid w:val="0"/>
        </w:rPr>
      </w:pPr>
      <w:bookmarkStart w:id="1352" w:name="_Toc528255592"/>
      <w:bookmarkStart w:id="1353" w:name="_Toc28358546"/>
      <w:r>
        <w:rPr>
          <w:rFonts w:hint="eastAsia" w:eastAsia="宋体" w:cs="宋体"/>
          <w:snapToGrid w:val="0"/>
        </w:rPr>
        <w:t>22.1.2 对承包人违约的处理</w:t>
      </w:r>
      <w:bookmarkEnd w:id="1352"/>
      <w:bookmarkEnd w:id="1353"/>
    </w:p>
    <w:p w14:paraId="673ACB84">
      <w:pPr>
        <w:pStyle w:val="403"/>
        <w:spacing w:line="460" w:lineRule="exact"/>
        <w:ind w:firstLine="480" w:firstLineChars="200"/>
        <w:rPr>
          <w:rFonts w:hint="eastAsia" w:eastAsia="宋体" w:cs="宋体"/>
          <w:snapToGrid w:val="0"/>
        </w:rPr>
      </w:pPr>
      <w:r>
        <w:rPr>
          <w:rFonts w:hint="eastAsia" w:eastAsia="宋体" w:cs="宋体"/>
          <w:snapToGrid w:val="0"/>
        </w:rPr>
        <w:t>（1）承包人发生第22.1.1（6）目约定的违约情况时，按照发包人要求中的未能通过竣工/竣工后试验的损害进行赔偿。发生延期的，承包人应承担延期责任。</w:t>
      </w:r>
    </w:p>
    <w:p w14:paraId="0E7A0CD8">
      <w:pPr>
        <w:pStyle w:val="403"/>
        <w:spacing w:line="460" w:lineRule="exact"/>
        <w:ind w:firstLine="480" w:firstLineChars="200"/>
        <w:rPr>
          <w:rFonts w:hint="eastAsia" w:eastAsia="宋体" w:cs="宋体"/>
          <w:snapToGrid w:val="0"/>
        </w:rPr>
      </w:pPr>
      <w:r>
        <w:rPr>
          <w:rFonts w:hint="eastAsia" w:eastAsia="宋体" w:cs="宋体"/>
          <w:snapToGrid w:val="0"/>
        </w:rPr>
        <w:t>（2）承包人发生第22.1.1（8）目约定的违约情况时，发包人可通知承包人立即解除合同，并按第22.1.3项、第22.1.4项、第22.1.5项约定处理。</w:t>
      </w:r>
    </w:p>
    <w:p w14:paraId="34ACA940">
      <w:pPr>
        <w:pStyle w:val="403"/>
        <w:spacing w:line="460" w:lineRule="exact"/>
        <w:ind w:firstLine="480" w:firstLineChars="200"/>
        <w:rPr>
          <w:rFonts w:hint="eastAsia" w:eastAsia="宋体" w:cs="宋体"/>
          <w:snapToGrid w:val="0"/>
        </w:rPr>
      </w:pPr>
      <w:r>
        <w:rPr>
          <w:rFonts w:hint="eastAsia" w:eastAsia="宋体" w:cs="宋体"/>
          <w:snapToGrid w:val="0"/>
        </w:rPr>
        <w:t>（3）承包人发生除第22.1.1（6）目和第22.1.1（8）目约定以外的其他违约情况时，监理人可向承包人发出整改通知，要求其在指定的期限内纠正。除合同条款另有约定外，承包人应承担其违约所引起的费用增加和（或）工期延误。</w:t>
      </w:r>
    </w:p>
    <w:p w14:paraId="70D2F7B0">
      <w:pPr>
        <w:pStyle w:val="403"/>
        <w:spacing w:line="460" w:lineRule="exact"/>
        <w:ind w:firstLine="480" w:firstLineChars="200"/>
        <w:rPr>
          <w:rFonts w:hint="eastAsia" w:eastAsia="宋体" w:cs="宋体"/>
          <w:snapToGrid w:val="0"/>
        </w:rPr>
      </w:pPr>
      <w:r>
        <w:rPr>
          <w:rFonts w:hint="eastAsia" w:eastAsia="宋体" w:cs="宋体"/>
          <w:snapToGrid w:val="0"/>
        </w:rPr>
        <w:t>22.1.3 因承包人违约解除合同</w:t>
      </w:r>
    </w:p>
    <w:p w14:paraId="66401F18">
      <w:pPr>
        <w:pStyle w:val="403"/>
        <w:spacing w:line="460" w:lineRule="exact"/>
        <w:ind w:firstLine="480" w:firstLineChars="200"/>
        <w:rPr>
          <w:rFonts w:hint="eastAsia" w:eastAsia="宋体" w:cs="宋体"/>
          <w:snapToGrid w:val="0"/>
        </w:rPr>
      </w:pPr>
      <w:r>
        <w:rPr>
          <w:rFonts w:hint="eastAsia" w:eastAsia="宋体" w:cs="宋体"/>
          <w:snapToGrid w:val="0"/>
        </w:rPr>
        <w:t>监理人发出整改通知28天后，承包人仍不纠正违约行为的，发包人有权解除合同并向承包人发出解除合同通知。承包人收到发包人解除合同通知后14天内，承包人应撤离现场，发包人派员进驻施工场地完成现场交接手续，发包人有权另行组织人员或委托其他承包人。发包人因继续完成该工程的需要，有权扣留使用承包人在现场的材料、设备和临时设施。但发包人的这一行动不免除承包人应承担的违约责任，也不影响发包人根据合同约定享有的索赔权利。</w:t>
      </w:r>
    </w:p>
    <w:p w14:paraId="3B50B7B2">
      <w:pPr>
        <w:pStyle w:val="403"/>
        <w:spacing w:line="460" w:lineRule="exact"/>
        <w:ind w:firstLine="480" w:firstLineChars="200"/>
        <w:rPr>
          <w:rFonts w:hint="eastAsia" w:eastAsia="宋体" w:cs="宋体"/>
          <w:snapToGrid w:val="0"/>
        </w:rPr>
      </w:pPr>
      <w:bookmarkStart w:id="1354" w:name="_Toc28358547"/>
      <w:bookmarkStart w:id="1355" w:name="_Toc528255593"/>
      <w:r>
        <w:rPr>
          <w:rFonts w:hint="eastAsia" w:eastAsia="宋体" w:cs="宋体"/>
          <w:snapToGrid w:val="0"/>
        </w:rPr>
        <w:t>22.1.4 发包人发出合同解除通知后的估价、付款和结清</w:t>
      </w:r>
      <w:bookmarkEnd w:id="1354"/>
      <w:bookmarkEnd w:id="1355"/>
    </w:p>
    <w:p w14:paraId="6F2F1C25">
      <w:pPr>
        <w:pStyle w:val="403"/>
        <w:spacing w:line="460" w:lineRule="exact"/>
        <w:ind w:firstLine="480" w:firstLineChars="200"/>
        <w:rPr>
          <w:rFonts w:hint="eastAsia" w:eastAsia="宋体" w:cs="宋体"/>
          <w:snapToGrid w:val="0"/>
        </w:rPr>
      </w:pPr>
      <w:r>
        <w:rPr>
          <w:rFonts w:hint="eastAsia" w:eastAsia="宋体" w:cs="宋体"/>
          <w:snapToGrid w:val="0"/>
        </w:rPr>
        <w:t>（1）承包人收到发包人解除合同通知后28天内，监理人按第3.5 款商定或确定承包人实际完成工作的价值，包括发包人扣留承包人的材料、设备及临时设施和承包人已提供的设计、材料、施工设备、工程设备、临时工程等的价值。</w:t>
      </w:r>
    </w:p>
    <w:p w14:paraId="5D8E827C">
      <w:pPr>
        <w:pStyle w:val="403"/>
        <w:spacing w:line="460" w:lineRule="exact"/>
        <w:ind w:firstLine="480" w:firstLineChars="200"/>
        <w:rPr>
          <w:rFonts w:hint="eastAsia" w:eastAsia="宋体" w:cs="宋体"/>
          <w:snapToGrid w:val="0"/>
        </w:rPr>
      </w:pPr>
      <w:r>
        <w:rPr>
          <w:rFonts w:hint="eastAsia" w:eastAsia="宋体" w:cs="宋体"/>
          <w:snapToGrid w:val="0"/>
        </w:rPr>
        <w:t>（2）发包人发出解除合同通知后，发包人有权暂停对承包人的一切付款，查清各项付款和已扣款金额，包括承包人应支付的违约金。</w:t>
      </w:r>
    </w:p>
    <w:p w14:paraId="67B95535">
      <w:pPr>
        <w:pStyle w:val="403"/>
        <w:spacing w:line="460" w:lineRule="exact"/>
        <w:ind w:firstLine="480" w:firstLineChars="200"/>
        <w:rPr>
          <w:rFonts w:hint="eastAsia" w:eastAsia="宋体" w:cs="宋体"/>
          <w:snapToGrid w:val="0"/>
        </w:rPr>
      </w:pPr>
      <w:r>
        <w:rPr>
          <w:rFonts w:hint="eastAsia" w:eastAsia="宋体" w:cs="宋体"/>
          <w:snapToGrid w:val="0"/>
        </w:rPr>
        <w:t>（3）发包人发出解除合同通知后，发包人有权按第23.4 款的约定向承包人索赔由于解除合同给发包人造成的损失。</w:t>
      </w:r>
    </w:p>
    <w:p w14:paraId="6B7DD358">
      <w:pPr>
        <w:pStyle w:val="403"/>
        <w:spacing w:line="460" w:lineRule="exact"/>
        <w:ind w:firstLine="480" w:firstLineChars="200"/>
        <w:rPr>
          <w:rFonts w:hint="eastAsia" w:eastAsia="宋体" w:cs="宋体"/>
          <w:snapToGrid w:val="0"/>
        </w:rPr>
      </w:pPr>
      <w:r>
        <w:rPr>
          <w:rFonts w:hint="eastAsia" w:eastAsia="宋体" w:cs="宋体"/>
          <w:snapToGrid w:val="0"/>
        </w:rPr>
        <w:t>（4）合同双方确认合同价款后，发包人颁发最终结清付款证书，并结清全部合同款项。</w:t>
      </w:r>
    </w:p>
    <w:p w14:paraId="16DEE2CA">
      <w:pPr>
        <w:pStyle w:val="403"/>
        <w:spacing w:line="460" w:lineRule="exact"/>
        <w:ind w:firstLine="480" w:firstLineChars="200"/>
        <w:rPr>
          <w:rFonts w:hint="eastAsia" w:eastAsia="宋体" w:cs="宋体"/>
          <w:snapToGrid w:val="0"/>
        </w:rPr>
      </w:pPr>
      <w:r>
        <w:rPr>
          <w:rFonts w:hint="eastAsia" w:eastAsia="宋体" w:cs="宋体"/>
          <w:snapToGrid w:val="0"/>
        </w:rPr>
        <w:t>（5）发包人和承包人未能就解除合同后的结清达成一致而形成争议的，按第24条的约定执行。</w:t>
      </w:r>
    </w:p>
    <w:p w14:paraId="4DCCEB85">
      <w:pPr>
        <w:pStyle w:val="403"/>
        <w:spacing w:line="460" w:lineRule="exact"/>
        <w:ind w:firstLine="480" w:firstLineChars="200"/>
        <w:rPr>
          <w:rFonts w:hint="eastAsia" w:eastAsia="宋体" w:cs="宋体"/>
          <w:snapToGrid w:val="0"/>
        </w:rPr>
      </w:pPr>
      <w:r>
        <w:rPr>
          <w:rFonts w:hint="eastAsia" w:eastAsia="宋体" w:cs="宋体"/>
          <w:snapToGrid w:val="0"/>
        </w:rPr>
        <w:t>22.1.5 协议利益的转让</w:t>
      </w:r>
    </w:p>
    <w:p w14:paraId="52B7CB12">
      <w:pPr>
        <w:pStyle w:val="403"/>
        <w:spacing w:line="460" w:lineRule="exact"/>
        <w:ind w:firstLine="480" w:firstLineChars="200"/>
        <w:rPr>
          <w:rFonts w:hint="eastAsia" w:eastAsia="宋体" w:cs="宋体"/>
          <w:snapToGrid w:val="0"/>
        </w:rPr>
      </w:pPr>
      <w:r>
        <w:rPr>
          <w:rFonts w:hint="eastAsia" w:eastAsia="宋体" w:cs="宋体"/>
          <w:snapToGrid w:val="0"/>
        </w:rPr>
        <w:t>因承包人违约解除合同的，发包人有权要求承包人将其为实施合同而签订的材料和设备的订货协议或任何服务协议利益转让给发包人，并在承包人收到解除合同通知后的14天内，依法办理转让手续。发包人有权使用承包人文件和由承包人或以其名义编制的其他设计文件。</w:t>
      </w:r>
    </w:p>
    <w:p w14:paraId="07ABA5C8">
      <w:pPr>
        <w:pStyle w:val="403"/>
        <w:spacing w:line="460" w:lineRule="exact"/>
        <w:ind w:firstLine="480" w:firstLineChars="200"/>
        <w:rPr>
          <w:rFonts w:hint="eastAsia" w:eastAsia="宋体" w:cs="宋体"/>
          <w:snapToGrid w:val="0"/>
        </w:rPr>
      </w:pPr>
      <w:r>
        <w:rPr>
          <w:rFonts w:hint="eastAsia" w:eastAsia="宋体" w:cs="宋体"/>
          <w:snapToGrid w:val="0"/>
        </w:rPr>
        <w:t>22.1.6 紧急情况下无能力或不愿进行抢救</w:t>
      </w:r>
    </w:p>
    <w:p w14:paraId="369B451C">
      <w:pPr>
        <w:pStyle w:val="403"/>
        <w:spacing w:line="460" w:lineRule="exact"/>
        <w:ind w:firstLine="480" w:firstLineChars="200"/>
        <w:rPr>
          <w:rFonts w:hint="eastAsia" w:eastAsia="宋体" w:cs="宋体"/>
          <w:snapToGrid w:val="0"/>
        </w:rPr>
      </w:pPr>
      <w:r>
        <w:rPr>
          <w:rFonts w:hint="eastAsia" w:eastAsia="宋体" w:cs="宋体"/>
          <w:snapToGrid w:val="0"/>
        </w:rPr>
        <w:t>在工程实施期间或缺陷责任期内发生危及工程安全的事件，监理人通知承包人进行抢救，承包人声明无能力或不愿立即执行的，发包人有权雇佣其他人员进行抢救。此类抢救按合同约定属于承包人义务的，由此发生的金额和（或）工期延误由承包人承担。</w:t>
      </w:r>
    </w:p>
    <w:p w14:paraId="64BE5C50">
      <w:pPr>
        <w:pStyle w:val="403"/>
        <w:spacing w:line="460" w:lineRule="exact"/>
        <w:ind w:firstLine="480" w:firstLineChars="200"/>
        <w:rPr>
          <w:rFonts w:hint="eastAsia" w:eastAsia="宋体" w:cs="宋体"/>
          <w:snapToGrid w:val="0"/>
        </w:rPr>
      </w:pPr>
      <w:bookmarkStart w:id="1356" w:name="_Toc411736294"/>
      <w:bookmarkStart w:id="1357" w:name="_Toc410559488"/>
      <w:bookmarkStart w:id="1358" w:name="_Toc247514186"/>
      <w:bookmarkStart w:id="1359" w:name="_Toc411736570"/>
      <w:bookmarkStart w:id="1360" w:name="_Toc476860505"/>
      <w:bookmarkStart w:id="1361" w:name="_Toc247527787"/>
      <w:bookmarkStart w:id="1362" w:name="_Toc68594891"/>
      <w:bookmarkStart w:id="1363" w:name="_Toc300835188"/>
      <w:r>
        <w:rPr>
          <w:rFonts w:hint="eastAsia" w:eastAsia="宋体" w:cs="宋体"/>
          <w:snapToGrid w:val="0"/>
        </w:rPr>
        <w:t>22.2 发包人违约</w:t>
      </w:r>
      <w:bookmarkEnd w:id="1356"/>
      <w:bookmarkEnd w:id="1357"/>
      <w:bookmarkEnd w:id="1358"/>
      <w:bookmarkEnd w:id="1359"/>
      <w:bookmarkEnd w:id="1360"/>
      <w:bookmarkEnd w:id="1361"/>
      <w:bookmarkEnd w:id="1362"/>
      <w:bookmarkEnd w:id="1363"/>
    </w:p>
    <w:p w14:paraId="335961AE">
      <w:pPr>
        <w:pStyle w:val="403"/>
        <w:spacing w:line="460" w:lineRule="exact"/>
        <w:ind w:firstLine="480" w:firstLineChars="200"/>
        <w:rPr>
          <w:rFonts w:hint="eastAsia" w:eastAsia="宋体" w:cs="宋体"/>
          <w:snapToGrid w:val="0"/>
        </w:rPr>
      </w:pPr>
      <w:bookmarkStart w:id="1364" w:name="_Toc68594892"/>
      <w:bookmarkStart w:id="1365" w:name="_Toc28358549"/>
      <w:bookmarkStart w:id="1366" w:name="_Toc528255594"/>
      <w:r>
        <w:rPr>
          <w:rFonts w:hint="eastAsia" w:eastAsia="宋体" w:cs="宋体"/>
          <w:snapToGrid w:val="0"/>
        </w:rPr>
        <w:t>22.2.1 发包人违约的情形</w:t>
      </w:r>
      <w:bookmarkEnd w:id="1364"/>
      <w:bookmarkEnd w:id="1365"/>
      <w:bookmarkEnd w:id="1366"/>
    </w:p>
    <w:p w14:paraId="3DFE6037">
      <w:pPr>
        <w:pStyle w:val="403"/>
        <w:spacing w:line="460" w:lineRule="exact"/>
        <w:ind w:firstLine="480" w:firstLineChars="200"/>
        <w:rPr>
          <w:rFonts w:hint="eastAsia" w:eastAsia="宋体" w:cs="宋体"/>
          <w:snapToGrid w:val="0"/>
        </w:rPr>
      </w:pPr>
      <w:r>
        <w:rPr>
          <w:rFonts w:hint="eastAsia" w:eastAsia="宋体" w:cs="宋体"/>
          <w:snapToGrid w:val="0"/>
        </w:rPr>
        <w:t>在履行合同过程中发生下列情形之一的，属发包人违约：</w:t>
      </w:r>
    </w:p>
    <w:p w14:paraId="7F56913D">
      <w:pPr>
        <w:pStyle w:val="403"/>
        <w:spacing w:line="460" w:lineRule="exact"/>
        <w:ind w:firstLine="480" w:firstLineChars="200"/>
        <w:rPr>
          <w:rFonts w:hint="eastAsia" w:eastAsia="宋体" w:cs="宋体"/>
          <w:snapToGrid w:val="0"/>
        </w:rPr>
      </w:pPr>
      <w:r>
        <w:rPr>
          <w:rFonts w:hint="eastAsia" w:eastAsia="宋体" w:cs="宋体"/>
          <w:snapToGrid w:val="0"/>
        </w:rPr>
        <w:t>（1）发包人未能按合同约定支付价款，或拖延、拒绝批准付款申请和支付凭证，导致付款延误；</w:t>
      </w:r>
    </w:p>
    <w:p w14:paraId="08AE1398">
      <w:pPr>
        <w:pStyle w:val="403"/>
        <w:spacing w:line="460" w:lineRule="exact"/>
        <w:ind w:firstLine="480" w:firstLineChars="200"/>
        <w:rPr>
          <w:rFonts w:hint="eastAsia" w:eastAsia="宋体" w:cs="宋体"/>
          <w:snapToGrid w:val="0"/>
        </w:rPr>
      </w:pPr>
      <w:r>
        <w:rPr>
          <w:rFonts w:hint="eastAsia" w:eastAsia="宋体" w:cs="宋体"/>
          <w:snapToGrid w:val="0"/>
        </w:rPr>
        <w:t>（2）发包人原因造成停工；</w:t>
      </w:r>
    </w:p>
    <w:p w14:paraId="1D5FC71D">
      <w:pPr>
        <w:pStyle w:val="403"/>
        <w:spacing w:line="460" w:lineRule="exact"/>
        <w:ind w:firstLine="480" w:firstLineChars="200"/>
        <w:rPr>
          <w:rFonts w:hint="eastAsia" w:eastAsia="宋体" w:cs="宋体"/>
          <w:snapToGrid w:val="0"/>
        </w:rPr>
      </w:pPr>
      <w:r>
        <w:rPr>
          <w:rFonts w:hint="eastAsia" w:eastAsia="宋体" w:cs="宋体"/>
          <w:snapToGrid w:val="0"/>
        </w:rPr>
        <w:t>（3）监理人无正当理由没有在约定期限内发出复工指示，导致承包人无法复工；</w:t>
      </w:r>
    </w:p>
    <w:p w14:paraId="5C88612C">
      <w:pPr>
        <w:pStyle w:val="403"/>
        <w:spacing w:line="460" w:lineRule="exact"/>
        <w:ind w:firstLine="480" w:firstLineChars="200"/>
        <w:rPr>
          <w:rFonts w:hint="eastAsia" w:eastAsia="宋体" w:cs="宋体"/>
          <w:snapToGrid w:val="0"/>
        </w:rPr>
      </w:pPr>
      <w:r>
        <w:rPr>
          <w:rFonts w:hint="eastAsia" w:eastAsia="宋体" w:cs="宋体"/>
          <w:snapToGrid w:val="0"/>
        </w:rPr>
        <w:t>（4）发包人无法继续履行或明确表示不履行或实质上已停止履行合同；</w:t>
      </w:r>
    </w:p>
    <w:p w14:paraId="6AAA4B1F">
      <w:pPr>
        <w:pStyle w:val="403"/>
        <w:spacing w:line="460" w:lineRule="exact"/>
        <w:ind w:firstLine="480" w:firstLineChars="200"/>
        <w:rPr>
          <w:rFonts w:hint="eastAsia" w:eastAsia="宋体" w:cs="宋体"/>
          <w:snapToGrid w:val="0"/>
        </w:rPr>
      </w:pPr>
      <w:r>
        <w:rPr>
          <w:rFonts w:hint="eastAsia" w:eastAsia="宋体" w:cs="宋体"/>
          <w:snapToGrid w:val="0"/>
        </w:rPr>
        <w:t>（5）发包人不履行合同约定其他义务。</w:t>
      </w:r>
    </w:p>
    <w:p w14:paraId="1FD96785">
      <w:pPr>
        <w:pStyle w:val="403"/>
        <w:spacing w:line="460" w:lineRule="exact"/>
        <w:ind w:firstLine="480" w:firstLineChars="200"/>
        <w:rPr>
          <w:rFonts w:hint="eastAsia" w:eastAsia="宋体" w:cs="宋体"/>
          <w:snapToGrid w:val="0"/>
        </w:rPr>
      </w:pPr>
      <w:bookmarkStart w:id="1367" w:name="_Toc528255595"/>
      <w:bookmarkStart w:id="1368" w:name="_Toc68594893"/>
      <w:bookmarkStart w:id="1369" w:name="_Toc28358550"/>
      <w:r>
        <w:rPr>
          <w:rFonts w:hint="eastAsia" w:eastAsia="宋体" w:cs="宋体"/>
          <w:snapToGrid w:val="0"/>
        </w:rPr>
        <w:t>22.2.2 因发包人违约解除合同</w:t>
      </w:r>
      <w:bookmarkEnd w:id="1367"/>
      <w:bookmarkEnd w:id="1368"/>
      <w:bookmarkEnd w:id="1369"/>
    </w:p>
    <w:p w14:paraId="3C0E7722">
      <w:pPr>
        <w:pStyle w:val="403"/>
        <w:spacing w:line="460" w:lineRule="exact"/>
        <w:ind w:firstLine="480" w:firstLineChars="200"/>
        <w:rPr>
          <w:rFonts w:hint="eastAsia" w:eastAsia="宋体" w:cs="宋体"/>
          <w:snapToGrid w:val="0"/>
        </w:rPr>
      </w:pPr>
      <w:r>
        <w:rPr>
          <w:rFonts w:hint="eastAsia" w:eastAsia="宋体" w:cs="宋体"/>
          <w:snapToGrid w:val="0"/>
        </w:rPr>
        <w:t>（1）发生第22.2.1（4）目的违约情况时，承包人可书面通知发包人解除合同。</w:t>
      </w:r>
    </w:p>
    <w:p w14:paraId="2923E01F">
      <w:pPr>
        <w:pStyle w:val="403"/>
        <w:spacing w:line="460" w:lineRule="exact"/>
        <w:ind w:firstLine="480" w:firstLineChars="200"/>
        <w:rPr>
          <w:rFonts w:hint="eastAsia" w:eastAsia="宋体" w:cs="宋体"/>
          <w:snapToGrid w:val="0"/>
        </w:rPr>
      </w:pPr>
      <w:r>
        <w:rPr>
          <w:rFonts w:hint="eastAsia" w:eastAsia="宋体" w:cs="宋体"/>
          <w:snapToGrid w:val="0"/>
        </w:rPr>
        <w:t>（2）承包人按12.2.1项约定暂停施工28天后，发包人仍不纠正违约行为的，承包人可向发包人发出解除合同通知。但承包人的这一行为不免除发包人承担的违约责任，也不影响承包人根据合同约定享有的索赔权利。</w:t>
      </w:r>
    </w:p>
    <w:p w14:paraId="2BFE0C19">
      <w:pPr>
        <w:pStyle w:val="403"/>
        <w:spacing w:line="460" w:lineRule="exact"/>
        <w:ind w:firstLine="480" w:firstLineChars="200"/>
        <w:rPr>
          <w:rFonts w:hint="eastAsia" w:eastAsia="宋体" w:cs="宋体"/>
          <w:snapToGrid w:val="0"/>
        </w:rPr>
      </w:pPr>
      <w:r>
        <w:rPr>
          <w:rFonts w:hint="eastAsia" w:eastAsia="宋体" w:cs="宋体"/>
          <w:snapToGrid w:val="0"/>
        </w:rPr>
        <w:t>22.2.3 解除合同后的付款</w:t>
      </w:r>
    </w:p>
    <w:p w14:paraId="45D3C53B">
      <w:pPr>
        <w:pStyle w:val="403"/>
        <w:spacing w:line="460" w:lineRule="exact"/>
        <w:ind w:firstLine="480" w:firstLineChars="200"/>
        <w:rPr>
          <w:rFonts w:hint="eastAsia" w:eastAsia="宋体" w:cs="宋体"/>
          <w:snapToGrid w:val="0"/>
        </w:rPr>
      </w:pPr>
      <w:r>
        <w:rPr>
          <w:rFonts w:hint="eastAsia" w:eastAsia="宋体" w:cs="宋体"/>
          <w:snapToGrid w:val="0"/>
        </w:rPr>
        <w:t>因发包人违约解除合同的，发包人应在解除合同后28天内向承包人支付下列款项，承包人应在此期限内及时向发包人提交要求支付下列金额的有关资料和凭证：</w:t>
      </w:r>
    </w:p>
    <w:p w14:paraId="3A2FFD44">
      <w:pPr>
        <w:pStyle w:val="403"/>
        <w:spacing w:line="460" w:lineRule="exact"/>
        <w:ind w:firstLine="480" w:firstLineChars="200"/>
        <w:rPr>
          <w:rFonts w:hint="eastAsia" w:eastAsia="宋体" w:cs="宋体"/>
          <w:snapToGrid w:val="0"/>
        </w:rPr>
      </w:pPr>
      <w:r>
        <w:rPr>
          <w:rFonts w:hint="eastAsia" w:eastAsia="宋体" w:cs="宋体"/>
          <w:snapToGrid w:val="0"/>
        </w:rPr>
        <w:t>（1）承包人发出解除合同通知前所完成工作的价款；</w:t>
      </w:r>
    </w:p>
    <w:p w14:paraId="331DC111">
      <w:pPr>
        <w:pStyle w:val="403"/>
        <w:spacing w:line="460" w:lineRule="exact"/>
        <w:ind w:firstLine="480" w:firstLineChars="200"/>
        <w:rPr>
          <w:rFonts w:hint="eastAsia" w:eastAsia="宋体" w:cs="宋体"/>
          <w:snapToGrid w:val="0"/>
        </w:rPr>
      </w:pPr>
      <w:r>
        <w:rPr>
          <w:rFonts w:hint="eastAsia" w:eastAsia="宋体" w:cs="宋体"/>
          <w:snapToGrid w:val="0"/>
        </w:rPr>
        <w:t>（2）承包人为该工程施工订购并已付款的材料、工程设备和其他物品的金额。发包人付款后，该材料、工程设备和其他物品归发包人所有；</w:t>
      </w:r>
    </w:p>
    <w:p w14:paraId="1EBF5BFB">
      <w:pPr>
        <w:pStyle w:val="403"/>
        <w:spacing w:line="460" w:lineRule="exact"/>
        <w:ind w:firstLine="480" w:firstLineChars="200"/>
        <w:rPr>
          <w:rFonts w:hint="eastAsia" w:eastAsia="宋体" w:cs="宋体"/>
          <w:snapToGrid w:val="0"/>
        </w:rPr>
      </w:pPr>
      <w:r>
        <w:rPr>
          <w:rFonts w:hint="eastAsia" w:eastAsia="宋体" w:cs="宋体"/>
          <w:snapToGrid w:val="0"/>
        </w:rPr>
        <w:t>（3）承包人为完成工程所发生的，而发包人未支付的金额；</w:t>
      </w:r>
    </w:p>
    <w:p w14:paraId="08F3EC1B">
      <w:pPr>
        <w:pStyle w:val="403"/>
        <w:spacing w:line="460" w:lineRule="exact"/>
        <w:ind w:firstLine="480" w:firstLineChars="200"/>
        <w:rPr>
          <w:rFonts w:hint="eastAsia" w:eastAsia="宋体" w:cs="宋体"/>
          <w:snapToGrid w:val="0"/>
        </w:rPr>
      </w:pPr>
      <w:r>
        <w:rPr>
          <w:rFonts w:hint="eastAsia" w:eastAsia="宋体" w:cs="宋体"/>
          <w:snapToGrid w:val="0"/>
        </w:rPr>
        <w:t>（4）承包人撤离施工场地以及遣散承包人人员的金额；</w:t>
      </w:r>
    </w:p>
    <w:p w14:paraId="662FA956">
      <w:pPr>
        <w:pStyle w:val="403"/>
        <w:spacing w:line="460" w:lineRule="exact"/>
        <w:ind w:firstLine="480" w:firstLineChars="200"/>
        <w:rPr>
          <w:rFonts w:hint="eastAsia" w:eastAsia="宋体" w:cs="宋体"/>
          <w:snapToGrid w:val="0"/>
        </w:rPr>
      </w:pPr>
      <w:r>
        <w:rPr>
          <w:rFonts w:hint="eastAsia" w:eastAsia="宋体" w:cs="宋体"/>
          <w:snapToGrid w:val="0"/>
        </w:rPr>
        <w:t>（5）因解除合同造成的承包人损失；</w:t>
      </w:r>
    </w:p>
    <w:p w14:paraId="7A7B4A7D">
      <w:pPr>
        <w:pStyle w:val="403"/>
        <w:spacing w:line="460" w:lineRule="exact"/>
        <w:ind w:firstLine="480" w:firstLineChars="200"/>
        <w:rPr>
          <w:rFonts w:hint="eastAsia" w:eastAsia="宋体" w:cs="宋体"/>
          <w:snapToGrid w:val="0"/>
        </w:rPr>
      </w:pPr>
      <w:r>
        <w:rPr>
          <w:rFonts w:hint="eastAsia" w:eastAsia="宋体" w:cs="宋体"/>
          <w:snapToGrid w:val="0"/>
        </w:rPr>
        <w:t>（6）按合同约定在承包人发出解除合同通知前应支付给承包人的其他金额。</w:t>
      </w:r>
    </w:p>
    <w:p w14:paraId="2C8D7BBF">
      <w:pPr>
        <w:pStyle w:val="403"/>
        <w:spacing w:line="460" w:lineRule="exact"/>
        <w:ind w:firstLine="480" w:firstLineChars="200"/>
        <w:rPr>
          <w:rFonts w:hint="eastAsia" w:eastAsia="宋体" w:cs="宋体"/>
          <w:snapToGrid w:val="0"/>
        </w:rPr>
      </w:pPr>
      <w:r>
        <w:rPr>
          <w:rFonts w:hint="eastAsia" w:eastAsia="宋体" w:cs="宋体"/>
          <w:snapToGrid w:val="0"/>
        </w:rPr>
        <w:t>发包人应按本项约定支付上述金额并退还质量保证金和履约担保，但有权要求承包人支付应偿还给发包人的各项金额。</w:t>
      </w:r>
    </w:p>
    <w:p w14:paraId="440F6B05">
      <w:pPr>
        <w:pStyle w:val="403"/>
        <w:spacing w:line="460" w:lineRule="exact"/>
        <w:ind w:firstLine="480" w:firstLineChars="200"/>
        <w:rPr>
          <w:rFonts w:hint="eastAsia" w:eastAsia="宋体" w:cs="宋体"/>
          <w:snapToGrid w:val="0"/>
        </w:rPr>
      </w:pPr>
      <w:bookmarkStart w:id="1370" w:name="_Toc68594894"/>
      <w:bookmarkStart w:id="1371" w:name="_Toc28358551"/>
      <w:bookmarkStart w:id="1372" w:name="_Toc528255596"/>
      <w:r>
        <w:rPr>
          <w:rFonts w:hint="eastAsia" w:eastAsia="宋体" w:cs="宋体"/>
          <w:snapToGrid w:val="0"/>
        </w:rPr>
        <w:t>22.2.4 解除合同后的承包人撤离</w:t>
      </w:r>
      <w:bookmarkEnd w:id="1370"/>
      <w:bookmarkEnd w:id="1371"/>
      <w:bookmarkEnd w:id="1372"/>
    </w:p>
    <w:p w14:paraId="59039732">
      <w:pPr>
        <w:pStyle w:val="403"/>
        <w:spacing w:line="460" w:lineRule="exact"/>
        <w:ind w:firstLine="480" w:firstLineChars="200"/>
        <w:rPr>
          <w:rFonts w:hint="eastAsia" w:eastAsia="宋体" w:cs="宋体"/>
          <w:snapToGrid w:val="0"/>
        </w:rPr>
      </w:pPr>
      <w:r>
        <w:rPr>
          <w:rFonts w:hint="eastAsia" w:eastAsia="宋体" w:cs="宋体"/>
          <w:snapToGrid w:val="0"/>
        </w:rPr>
        <w:t>因发包人违约而解除合同后，承包人应妥善处理正在施工的工程和已购材料、设备的保护和移交工作，并按发包人的要求将承包人设备和人员撤出施工场地。承包人撤出施工场地应遵守第18.7.1 项的约定，发包人应为承包人撤出提供必要条件并办理移交手续。</w:t>
      </w:r>
    </w:p>
    <w:p w14:paraId="5A2528E5">
      <w:pPr>
        <w:pStyle w:val="403"/>
        <w:spacing w:line="460" w:lineRule="exact"/>
        <w:ind w:firstLine="480" w:firstLineChars="200"/>
        <w:rPr>
          <w:rFonts w:hint="eastAsia" w:eastAsia="宋体" w:cs="宋体"/>
          <w:snapToGrid w:val="0"/>
        </w:rPr>
      </w:pPr>
      <w:bookmarkStart w:id="1373" w:name="_Toc300835189"/>
      <w:bookmarkStart w:id="1374" w:name="_Toc411736295"/>
      <w:bookmarkStart w:id="1375" w:name="_Toc476860506"/>
      <w:bookmarkStart w:id="1376" w:name="_Toc410559489"/>
      <w:bookmarkStart w:id="1377" w:name="_Toc411736571"/>
      <w:bookmarkStart w:id="1378" w:name="_Toc247514187"/>
      <w:bookmarkStart w:id="1379" w:name="_Toc247527788"/>
      <w:bookmarkStart w:id="1380" w:name="_Toc68594895"/>
      <w:r>
        <w:rPr>
          <w:rFonts w:hint="eastAsia" w:eastAsia="宋体" w:cs="宋体"/>
          <w:snapToGrid w:val="0"/>
        </w:rPr>
        <w:t>22.3 第三人造成的违约</w:t>
      </w:r>
      <w:bookmarkEnd w:id="1373"/>
      <w:bookmarkEnd w:id="1374"/>
      <w:bookmarkEnd w:id="1375"/>
      <w:bookmarkEnd w:id="1376"/>
      <w:bookmarkEnd w:id="1377"/>
      <w:bookmarkEnd w:id="1378"/>
      <w:bookmarkEnd w:id="1379"/>
      <w:bookmarkEnd w:id="1380"/>
    </w:p>
    <w:p w14:paraId="745BC5CA">
      <w:pPr>
        <w:pStyle w:val="403"/>
        <w:spacing w:line="460" w:lineRule="exact"/>
        <w:ind w:firstLine="480" w:firstLineChars="200"/>
        <w:rPr>
          <w:rFonts w:hint="eastAsia" w:eastAsia="宋体" w:cs="宋体"/>
          <w:snapToGrid w:val="0"/>
        </w:rPr>
      </w:pPr>
      <w:r>
        <w:rPr>
          <w:rFonts w:hint="eastAsia" w:eastAsia="宋体" w:cs="宋体"/>
          <w:snapToGrid w:val="0"/>
        </w:rPr>
        <w:t>在履行合同过程中，一方当事人因第三人的原因造成违约的，应当向对方当事人承担违约责任。一方当事人和第三人之间的纠纷，依照法律规定或者按照约定解决。</w:t>
      </w:r>
    </w:p>
    <w:p w14:paraId="0E19E76A">
      <w:pPr>
        <w:pStyle w:val="5"/>
        <w:spacing w:before="360" w:after="120" w:afterLines="50" w:line="480" w:lineRule="exact"/>
        <w:rPr>
          <w:rFonts w:hint="eastAsia" w:ascii="宋体" w:hAnsi="宋体" w:eastAsia="宋体" w:cs="宋体"/>
          <w:bCs/>
          <w:sz w:val="28"/>
          <w:szCs w:val="28"/>
        </w:rPr>
      </w:pPr>
      <w:bookmarkStart w:id="1381" w:name="_Toc198803809"/>
      <w:bookmarkStart w:id="1382" w:name="_Toc411736296"/>
      <w:bookmarkStart w:id="1383" w:name="_Toc14326"/>
      <w:bookmarkStart w:id="1384" w:name="_Toc300835190"/>
      <w:bookmarkStart w:id="1385" w:name="_Toc184635120"/>
      <w:bookmarkStart w:id="1386" w:name="_Toc411736572"/>
      <w:bookmarkStart w:id="1387" w:name="_Toc68594896"/>
      <w:bookmarkStart w:id="1388" w:name="_Toc476860507"/>
      <w:bookmarkStart w:id="1389" w:name="_Toc247527789"/>
      <w:bookmarkStart w:id="1390" w:name="_Toc410559490"/>
      <w:bookmarkStart w:id="1391" w:name="_Toc83220613"/>
      <w:bookmarkStart w:id="1392" w:name="_Toc176268742"/>
      <w:bookmarkStart w:id="1393" w:name="_Toc247514188"/>
      <w:r>
        <w:rPr>
          <w:rFonts w:hint="eastAsia" w:ascii="宋体" w:hAnsi="宋体" w:eastAsia="宋体" w:cs="宋体"/>
          <w:bCs/>
          <w:sz w:val="28"/>
          <w:szCs w:val="28"/>
        </w:rPr>
        <w:t>23. 索赔</w:t>
      </w:r>
      <w:bookmarkEnd w:id="1381"/>
      <w:bookmarkEnd w:id="1382"/>
      <w:bookmarkEnd w:id="1383"/>
      <w:bookmarkEnd w:id="1384"/>
      <w:bookmarkEnd w:id="1385"/>
      <w:bookmarkEnd w:id="1386"/>
      <w:bookmarkEnd w:id="1387"/>
      <w:bookmarkEnd w:id="1388"/>
      <w:bookmarkEnd w:id="1389"/>
      <w:bookmarkEnd w:id="1390"/>
      <w:bookmarkEnd w:id="1391"/>
      <w:bookmarkEnd w:id="1392"/>
      <w:bookmarkEnd w:id="1393"/>
    </w:p>
    <w:p w14:paraId="2CB45EE3">
      <w:pPr>
        <w:pStyle w:val="403"/>
        <w:spacing w:line="460" w:lineRule="exact"/>
        <w:ind w:firstLine="480" w:firstLineChars="200"/>
        <w:rPr>
          <w:rFonts w:hint="eastAsia" w:eastAsia="宋体" w:cs="宋体"/>
          <w:snapToGrid w:val="0"/>
        </w:rPr>
      </w:pPr>
      <w:bookmarkStart w:id="1394" w:name="_Toc411736573"/>
      <w:bookmarkStart w:id="1395" w:name="_Toc247527790"/>
      <w:bookmarkStart w:id="1396" w:name="_Toc410559491"/>
      <w:bookmarkStart w:id="1397" w:name="_Toc247514189"/>
      <w:bookmarkStart w:id="1398" w:name="_Toc300835191"/>
      <w:bookmarkStart w:id="1399" w:name="_Toc411736297"/>
      <w:bookmarkStart w:id="1400" w:name="_Toc476860508"/>
      <w:r>
        <w:rPr>
          <w:rFonts w:hint="eastAsia" w:eastAsia="宋体" w:cs="宋体"/>
          <w:snapToGrid w:val="0"/>
        </w:rPr>
        <w:t>23.1 承包人索赔的提出</w:t>
      </w:r>
      <w:bookmarkEnd w:id="1394"/>
      <w:bookmarkEnd w:id="1395"/>
      <w:bookmarkEnd w:id="1396"/>
      <w:bookmarkEnd w:id="1397"/>
      <w:bookmarkEnd w:id="1398"/>
      <w:bookmarkEnd w:id="1399"/>
      <w:bookmarkEnd w:id="1400"/>
    </w:p>
    <w:p w14:paraId="2C35D12E">
      <w:pPr>
        <w:pStyle w:val="403"/>
        <w:spacing w:line="460" w:lineRule="exact"/>
        <w:ind w:firstLine="480" w:firstLineChars="200"/>
        <w:rPr>
          <w:rFonts w:hint="eastAsia" w:eastAsia="宋体" w:cs="宋体"/>
          <w:snapToGrid w:val="0"/>
        </w:rPr>
      </w:pPr>
      <w:r>
        <w:rPr>
          <w:rFonts w:hint="eastAsia" w:eastAsia="宋体" w:cs="宋体"/>
          <w:snapToGrid w:val="0"/>
        </w:rPr>
        <w:t>根据合同约定，承包人认为有权得到追加付款和（或）延长工期的，应按以下程序向发包人提出索赔：</w:t>
      </w:r>
    </w:p>
    <w:p w14:paraId="50038C29">
      <w:pPr>
        <w:pStyle w:val="403"/>
        <w:spacing w:line="460" w:lineRule="exact"/>
        <w:ind w:firstLine="480" w:firstLineChars="200"/>
        <w:rPr>
          <w:rFonts w:hint="eastAsia" w:eastAsia="宋体" w:cs="宋体"/>
          <w:snapToGrid w:val="0"/>
        </w:rPr>
      </w:pPr>
      <w:r>
        <w:rPr>
          <w:rFonts w:hint="eastAsia" w:eastAsia="宋体" w:cs="宋体"/>
          <w:snapToGrid w:val="0"/>
        </w:rPr>
        <w:t>（1）承包人应在知道或应当知道索赔事件发生后28 天内，向监理人递交索赔意向通知书，并说明发生索赔事件的事由。承包人未在前述28天内发出索赔意向通知书的，工期不予顺延，且承包人无权获得追加付款；</w:t>
      </w:r>
    </w:p>
    <w:p w14:paraId="6A65DFD5">
      <w:pPr>
        <w:pStyle w:val="403"/>
        <w:spacing w:line="460" w:lineRule="exact"/>
        <w:ind w:firstLine="480" w:firstLineChars="200"/>
        <w:rPr>
          <w:rFonts w:hint="eastAsia" w:eastAsia="宋体" w:cs="宋体"/>
          <w:snapToGrid w:val="0"/>
        </w:rPr>
      </w:pPr>
      <w:r>
        <w:rPr>
          <w:rFonts w:hint="eastAsia" w:eastAsia="宋体" w:cs="宋体"/>
          <w:snapToGrid w:val="0"/>
        </w:rPr>
        <w:t>（2）承包人应在发出索赔意向通知书后28天内，向监理人正式递交索赔通知书。索赔通知书应详细说明索赔理由以及要求追加的付款金额和（或）延长的工期，并附必要的记录和证明材料；</w:t>
      </w:r>
    </w:p>
    <w:p w14:paraId="5B59CFCC">
      <w:pPr>
        <w:pStyle w:val="403"/>
        <w:spacing w:line="460" w:lineRule="exact"/>
        <w:ind w:firstLine="480" w:firstLineChars="200"/>
        <w:rPr>
          <w:rFonts w:hint="eastAsia" w:eastAsia="宋体" w:cs="宋体"/>
          <w:snapToGrid w:val="0"/>
        </w:rPr>
      </w:pPr>
      <w:r>
        <w:rPr>
          <w:rFonts w:hint="eastAsia" w:eastAsia="宋体" w:cs="宋体"/>
          <w:snapToGrid w:val="0"/>
        </w:rPr>
        <w:t>（3）索赔事件具有连续影响的，承包人应按合理时间间隔继续递交延续索赔通知，说明连续影响的实际情况和记录，列出累计的追加付款金额和（或）工期延长天数；</w:t>
      </w:r>
    </w:p>
    <w:p w14:paraId="216C9FCD">
      <w:pPr>
        <w:pStyle w:val="403"/>
        <w:spacing w:line="460" w:lineRule="exact"/>
        <w:ind w:firstLine="480" w:firstLineChars="200"/>
        <w:rPr>
          <w:rFonts w:hint="eastAsia" w:eastAsia="宋体" w:cs="宋体"/>
          <w:snapToGrid w:val="0"/>
        </w:rPr>
      </w:pPr>
      <w:r>
        <w:rPr>
          <w:rFonts w:hint="eastAsia" w:eastAsia="宋体" w:cs="宋体"/>
          <w:snapToGrid w:val="0"/>
        </w:rPr>
        <w:t>（4）在索赔事件影响结束后的28 天内，承包人应向监理人递交最终索赔通知书，说明最终要求索赔的追加付款金额和延长的工期，并附必要的记录和证明材料。</w:t>
      </w:r>
    </w:p>
    <w:p w14:paraId="068580AE">
      <w:pPr>
        <w:pStyle w:val="403"/>
        <w:spacing w:line="460" w:lineRule="exact"/>
        <w:ind w:firstLine="480" w:firstLineChars="200"/>
        <w:rPr>
          <w:rFonts w:hint="eastAsia" w:eastAsia="宋体" w:cs="宋体"/>
          <w:snapToGrid w:val="0"/>
        </w:rPr>
      </w:pPr>
      <w:bookmarkStart w:id="1401" w:name="_Toc411736298"/>
      <w:bookmarkStart w:id="1402" w:name="_Toc476860509"/>
      <w:bookmarkStart w:id="1403" w:name="_Toc247514190"/>
      <w:bookmarkStart w:id="1404" w:name="_Toc411736574"/>
      <w:bookmarkStart w:id="1405" w:name="_Toc410559492"/>
      <w:bookmarkStart w:id="1406" w:name="_Toc300835192"/>
      <w:bookmarkStart w:id="1407" w:name="_Toc247527791"/>
      <w:r>
        <w:rPr>
          <w:rFonts w:hint="eastAsia" w:eastAsia="宋体" w:cs="宋体"/>
          <w:snapToGrid w:val="0"/>
        </w:rPr>
        <w:t>23.2 承包人索赔处理程序</w:t>
      </w:r>
      <w:bookmarkEnd w:id="1401"/>
      <w:bookmarkEnd w:id="1402"/>
      <w:bookmarkEnd w:id="1403"/>
      <w:bookmarkEnd w:id="1404"/>
      <w:bookmarkEnd w:id="1405"/>
      <w:bookmarkEnd w:id="1406"/>
      <w:bookmarkEnd w:id="1407"/>
    </w:p>
    <w:p w14:paraId="5E3929A2">
      <w:pPr>
        <w:pStyle w:val="403"/>
        <w:spacing w:line="460" w:lineRule="exact"/>
        <w:ind w:firstLine="480" w:firstLineChars="200"/>
        <w:rPr>
          <w:rFonts w:hint="eastAsia" w:eastAsia="宋体" w:cs="宋体"/>
          <w:snapToGrid w:val="0"/>
        </w:rPr>
      </w:pPr>
      <w:r>
        <w:rPr>
          <w:rFonts w:hint="eastAsia" w:eastAsia="宋体" w:cs="宋体"/>
          <w:snapToGrid w:val="0"/>
        </w:rPr>
        <w:t>（1）监理人收到承包人提交的索赔通知书后，应及时审查索赔通知书的内容、查验承包人的记录和证明材料，必要时监理人可要求承包人提交全部原始记录副本。</w:t>
      </w:r>
    </w:p>
    <w:p w14:paraId="2C43B4F9">
      <w:pPr>
        <w:pStyle w:val="403"/>
        <w:spacing w:line="460" w:lineRule="exact"/>
        <w:ind w:firstLine="480" w:firstLineChars="200"/>
        <w:rPr>
          <w:rFonts w:hint="eastAsia" w:eastAsia="宋体" w:cs="宋体"/>
          <w:snapToGrid w:val="0"/>
        </w:rPr>
      </w:pPr>
      <w:r>
        <w:rPr>
          <w:rFonts w:hint="eastAsia" w:eastAsia="宋体" w:cs="宋体"/>
          <w:snapToGrid w:val="0"/>
        </w:rPr>
        <w:t>（2）监理人应按第3.5 款商定或确定追加的付款和（或）延长的工期，并在收到上述索赔通知书或有关索赔的进一步证明材料后的42天内，将索赔处理结果答复承包人。监理人应当在收到索赔通知书或有关索赔的进一步证明材料后的42天内不予答复的，视为认可索赔。</w:t>
      </w:r>
    </w:p>
    <w:p w14:paraId="51ADAEA0">
      <w:pPr>
        <w:pStyle w:val="403"/>
        <w:spacing w:line="460" w:lineRule="exact"/>
        <w:ind w:firstLine="480" w:firstLineChars="200"/>
        <w:rPr>
          <w:rFonts w:hint="eastAsia" w:eastAsia="宋体" w:cs="宋体"/>
          <w:snapToGrid w:val="0"/>
        </w:rPr>
      </w:pPr>
      <w:r>
        <w:rPr>
          <w:rFonts w:hint="eastAsia" w:eastAsia="宋体" w:cs="宋体"/>
          <w:snapToGrid w:val="0"/>
        </w:rPr>
        <w:t>（3）承包人接受索赔处理结果的，发包人应在作出索赔处理结果答复后28 天内完成赔付。承包人不接受索赔处理结果的，按第24条的约定执行。</w:t>
      </w:r>
    </w:p>
    <w:p w14:paraId="502F1E8C">
      <w:pPr>
        <w:pStyle w:val="403"/>
        <w:spacing w:line="460" w:lineRule="exact"/>
        <w:ind w:firstLine="480" w:firstLineChars="200"/>
        <w:rPr>
          <w:rFonts w:hint="eastAsia" w:eastAsia="宋体" w:cs="宋体"/>
          <w:snapToGrid w:val="0"/>
        </w:rPr>
      </w:pPr>
      <w:bookmarkStart w:id="1408" w:name="_Toc411736575"/>
      <w:bookmarkStart w:id="1409" w:name="_Toc476860510"/>
      <w:bookmarkStart w:id="1410" w:name="_Toc410559493"/>
      <w:bookmarkStart w:id="1411" w:name="_Toc300835193"/>
      <w:bookmarkStart w:id="1412" w:name="_Toc247527792"/>
      <w:bookmarkStart w:id="1413" w:name="_Toc247514191"/>
      <w:bookmarkStart w:id="1414" w:name="_Toc411736299"/>
      <w:r>
        <w:rPr>
          <w:rFonts w:hint="eastAsia" w:eastAsia="宋体" w:cs="宋体"/>
          <w:snapToGrid w:val="0"/>
        </w:rPr>
        <w:t>23.3 承包人提出索赔的期限</w:t>
      </w:r>
      <w:bookmarkEnd w:id="1408"/>
      <w:bookmarkEnd w:id="1409"/>
      <w:bookmarkEnd w:id="1410"/>
      <w:bookmarkEnd w:id="1411"/>
      <w:bookmarkEnd w:id="1412"/>
      <w:bookmarkEnd w:id="1413"/>
      <w:bookmarkEnd w:id="1414"/>
    </w:p>
    <w:p w14:paraId="48D9BCED">
      <w:pPr>
        <w:pStyle w:val="403"/>
        <w:spacing w:line="460" w:lineRule="exact"/>
        <w:ind w:firstLine="480" w:firstLineChars="200"/>
        <w:rPr>
          <w:rFonts w:hint="eastAsia" w:eastAsia="宋体" w:cs="宋体"/>
          <w:snapToGrid w:val="0"/>
        </w:rPr>
      </w:pPr>
      <w:r>
        <w:rPr>
          <w:rFonts w:hint="eastAsia" w:eastAsia="宋体" w:cs="宋体"/>
          <w:snapToGrid w:val="0"/>
        </w:rPr>
        <w:t>23.3.1 承包人按第17.5 款的约定接受了竣工付款证书后，应被认为已无权再提出在合同工程接收证书颁发前所发生的任何索赔。</w:t>
      </w:r>
    </w:p>
    <w:p w14:paraId="331CE05F">
      <w:pPr>
        <w:pStyle w:val="403"/>
        <w:spacing w:line="460" w:lineRule="exact"/>
        <w:ind w:firstLine="480" w:firstLineChars="200"/>
        <w:rPr>
          <w:rFonts w:hint="eastAsia" w:eastAsia="宋体" w:cs="宋体"/>
          <w:snapToGrid w:val="0"/>
        </w:rPr>
      </w:pPr>
      <w:r>
        <w:rPr>
          <w:rFonts w:hint="eastAsia" w:eastAsia="宋体" w:cs="宋体"/>
          <w:snapToGrid w:val="0"/>
        </w:rPr>
        <w:t>23.3.2 承包人按第17.6 款的约定提交的最终结清申请单中，只限于提出工程接收证书颁发后发生的索赔。提出索赔的期限自接受最终结清证书时终止。</w:t>
      </w:r>
    </w:p>
    <w:p w14:paraId="62FFD61C">
      <w:pPr>
        <w:pStyle w:val="403"/>
        <w:spacing w:line="460" w:lineRule="exact"/>
        <w:ind w:firstLine="480" w:firstLineChars="200"/>
        <w:rPr>
          <w:rFonts w:hint="eastAsia" w:eastAsia="宋体" w:cs="宋体"/>
          <w:snapToGrid w:val="0"/>
        </w:rPr>
      </w:pPr>
      <w:bookmarkStart w:id="1415" w:name="_Toc300835194"/>
      <w:bookmarkStart w:id="1416" w:name="_Toc411736300"/>
      <w:bookmarkStart w:id="1417" w:name="_Toc247514192"/>
      <w:bookmarkStart w:id="1418" w:name="_Toc247527793"/>
      <w:bookmarkStart w:id="1419" w:name="_Toc411736576"/>
      <w:bookmarkStart w:id="1420" w:name="_Toc410559494"/>
      <w:bookmarkStart w:id="1421" w:name="_Toc476860511"/>
      <w:r>
        <w:rPr>
          <w:rFonts w:hint="eastAsia" w:eastAsia="宋体" w:cs="宋体"/>
          <w:snapToGrid w:val="0"/>
        </w:rPr>
        <w:t>23.4 发包人的索赔</w:t>
      </w:r>
      <w:bookmarkEnd w:id="1415"/>
      <w:bookmarkEnd w:id="1416"/>
      <w:bookmarkEnd w:id="1417"/>
      <w:bookmarkEnd w:id="1418"/>
      <w:bookmarkEnd w:id="1419"/>
      <w:bookmarkEnd w:id="1420"/>
      <w:bookmarkEnd w:id="1421"/>
    </w:p>
    <w:p w14:paraId="646B072C">
      <w:pPr>
        <w:pStyle w:val="403"/>
        <w:spacing w:line="460" w:lineRule="exact"/>
        <w:ind w:firstLine="480" w:firstLineChars="200"/>
        <w:rPr>
          <w:rFonts w:hint="eastAsia" w:eastAsia="宋体" w:cs="宋体"/>
          <w:snapToGrid w:val="0"/>
        </w:rPr>
      </w:pPr>
      <w:r>
        <w:rPr>
          <w:rFonts w:hint="eastAsia" w:eastAsia="宋体" w:cs="宋体"/>
          <w:snapToGrid w:val="0"/>
        </w:rPr>
        <w:t>23.4.1 发包人应在知道或应当知道索赔事件发生后28天内，向承包人发出索赔通知，并说明发包人有权扣减的付款和（或）延长缺陷责任期的细节和依据。发包人未在前述28天内发出索赔通知的，丧失要求扣减付款和（或）延长缺陷责任期的权利。发包人提出索赔的期限和要求与第23.3 款的约定相同，要求延长缺陷责任期的通知应在缺陷责任期届满前发出。</w:t>
      </w:r>
    </w:p>
    <w:p w14:paraId="36DEE18A">
      <w:pPr>
        <w:pStyle w:val="403"/>
        <w:spacing w:line="460" w:lineRule="exact"/>
        <w:ind w:firstLine="480" w:firstLineChars="200"/>
        <w:rPr>
          <w:rFonts w:hint="eastAsia" w:eastAsia="宋体" w:cs="宋体"/>
          <w:snapToGrid w:val="0"/>
        </w:rPr>
      </w:pPr>
      <w:r>
        <w:rPr>
          <w:rFonts w:hint="eastAsia" w:eastAsia="宋体" w:cs="宋体"/>
          <w:snapToGrid w:val="0"/>
        </w:rPr>
        <w:t>23.4.2 发包人按第3.5 款商定或确定发包人从承包人处得到赔付的金额和（或）缺陷责任期的延长期。承包人应付给发包人的金额可从拟支付给承包人的合同价款中扣除，或由承包人以其他方式支付给发包人。</w:t>
      </w:r>
    </w:p>
    <w:p w14:paraId="5AC96E86">
      <w:pPr>
        <w:pStyle w:val="5"/>
        <w:spacing w:before="360" w:after="120" w:afterLines="50" w:line="480" w:lineRule="exact"/>
        <w:rPr>
          <w:rFonts w:hint="eastAsia" w:ascii="宋体" w:hAnsi="宋体" w:eastAsia="宋体" w:cs="宋体"/>
          <w:bCs/>
          <w:sz w:val="28"/>
          <w:szCs w:val="28"/>
        </w:rPr>
      </w:pPr>
      <w:bookmarkStart w:id="1422" w:name="_Toc411736301"/>
      <w:bookmarkStart w:id="1423" w:name="_Toc411736577"/>
      <w:bookmarkStart w:id="1424" w:name="_Toc176268743"/>
      <w:bookmarkStart w:id="1425" w:name="_Toc198803810"/>
      <w:bookmarkStart w:id="1426" w:name="_Toc26848"/>
      <w:bookmarkStart w:id="1427" w:name="_Toc410559495"/>
      <w:bookmarkStart w:id="1428" w:name="_Toc68594897"/>
      <w:bookmarkStart w:id="1429" w:name="_Toc300835195"/>
      <w:bookmarkStart w:id="1430" w:name="_Toc476860512"/>
      <w:bookmarkStart w:id="1431" w:name="_Toc247514193"/>
      <w:bookmarkStart w:id="1432" w:name="_Toc83220614"/>
      <w:bookmarkStart w:id="1433" w:name="_Toc247527794"/>
      <w:bookmarkStart w:id="1434" w:name="_Toc184635121"/>
      <w:r>
        <w:rPr>
          <w:rFonts w:hint="eastAsia" w:ascii="宋体" w:hAnsi="宋体" w:eastAsia="宋体" w:cs="宋体"/>
          <w:bCs/>
          <w:sz w:val="28"/>
          <w:szCs w:val="28"/>
        </w:rPr>
        <w:t>24. 争议的解决</w:t>
      </w:r>
      <w:bookmarkEnd w:id="1422"/>
      <w:bookmarkEnd w:id="1423"/>
      <w:bookmarkEnd w:id="1424"/>
      <w:bookmarkEnd w:id="1425"/>
      <w:bookmarkEnd w:id="1426"/>
      <w:bookmarkEnd w:id="1427"/>
      <w:bookmarkEnd w:id="1428"/>
      <w:bookmarkEnd w:id="1429"/>
      <w:bookmarkEnd w:id="1430"/>
      <w:bookmarkEnd w:id="1431"/>
      <w:bookmarkEnd w:id="1432"/>
      <w:bookmarkEnd w:id="1433"/>
      <w:bookmarkEnd w:id="1434"/>
    </w:p>
    <w:p w14:paraId="77826CF8">
      <w:pPr>
        <w:pStyle w:val="403"/>
        <w:spacing w:line="460" w:lineRule="exact"/>
        <w:ind w:firstLine="480" w:firstLineChars="200"/>
        <w:rPr>
          <w:rFonts w:hint="eastAsia" w:eastAsia="宋体" w:cs="宋体"/>
          <w:snapToGrid w:val="0"/>
        </w:rPr>
      </w:pPr>
      <w:bookmarkStart w:id="1435" w:name="_Toc411736302"/>
      <w:bookmarkStart w:id="1436" w:name="_Toc247514194"/>
      <w:bookmarkStart w:id="1437" w:name="_Toc411736578"/>
      <w:bookmarkStart w:id="1438" w:name="_Toc300835196"/>
      <w:bookmarkStart w:id="1439" w:name="_Toc247527795"/>
      <w:bookmarkStart w:id="1440" w:name="_Toc410559496"/>
      <w:bookmarkStart w:id="1441" w:name="_Toc476860513"/>
      <w:r>
        <w:rPr>
          <w:rFonts w:hint="eastAsia" w:eastAsia="宋体" w:cs="宋体"/>
          <w:snapToGrid w:val="0"/>
        </w:rPr>
        <w:t>24.1 争议的解决方式</w:t>
      </w:r>
      <w:bookmarkEnd w:id="1435"/>
      <w:bookmarkEnd w:id="1436"/>
      <w:bookmarkEnd w:id="1437"/>
      <w:bookmarkEnd w:id="1438"/>
      <w:bookmarkEnd w:id="1439"/>
      <w:bookmarkEnd w:id="1440"/>
      <w:bookmarkEnd w:id="1441"/>
    </w:p>
    <w:p w14:paraId="2A94F569">
      <w:pPr>
        <w:pStyle w:val="403"/>
        <w:spacing w:line="460" w:lineRule="exact"/>
        <w:ind w:firstLine="480" w:firstLineChars="200"/>
        <w:rPr>
          <w:rFonts w:hint="eastAsia" w:eastAsia="宋体" w:cs="宋体"/>
          <w:snapToGrid w:val="0"/>
        </w:rPr>
      </w:pPr>
      <w:r>
        <w:rPr>
          <w:rFonts w:hint="eastAsia" w:eastAsia="宋体" w:cs="宋体"/>
          <w:snapToGrid w:val="0"/>
        </w:rPr>
        <w:t>发包人和承包人在履行合同中发生争议的，可以友好协商解决或者提请争议评审组评审。合同当事人友好协商解决不成、不愿提请争议评审或者不接受争议评审组意见的，可在专用合同条款中约定下列一种方式解决：</w:t>
      </w:r>
    </w:p>
    <w:p w14:paraId="426CF0D3">
      <w:pPr>
        <w:pStyle w:val="403"/>
        <w:spacing w:line="460" w:lineRule="exact"/>
        <w:ind w:firstLine="480" w:firstLineChars="200"/>
        <w:rPr>
          <w:rFonts w:hint="eastAsia" w:eastAsia="宋体" w:cs="宋体"/>
          <w:snapToGrid w:val="0"/>
        </w:rPr>
      </w:pPr>
      <w:r>
        <w:rPr>
          <w:rFonts w:hint="eastAsia" w:eastAsia="宋体" w:cs="宋体"/>
          <w:snapToGrid w:val="0"/>
        </w:rPr>
        <w:t>（1）向约定的仲裁委员会申请仲裁；</w:t>
      </w:r>
    </w:p>
    <w:p w14:paraId="61F329AC">
      <w:pPr>
        <w:pStyle w:val="403"/>
        <w:spacing w:line="460" w:lineRule="exact"/>
        <w:ind w:firstLine="480" w:firstLineChars="200"/>
        <w:rPr>
          <w:rFonts w:hint="eastAsia" w:eastAsia="宋体" w:cs="宋体"/>
          <w:snapToGrid w:val="0"/>
        </w:rPr>
      </w:pPr>
      <w:r>
        <w:rPr>
          <w:rFonts w:hint="eastAsia" w:eastAsia="宋体" w:cs="宋体"/>
          <w:snapToGrid w:val="0"/>
        </w:rPr>
        <w:t>（2）向有管辖权的人民法院提起诉讼。</w:t>
      </w:r>
    </w:p>
    <w:p w14:paraId="2BCDFE70">
      <w:pPr>
        <w:pStyle w:val="403"/>
        <w:spacing w:line="460" w:lineRule="exact"/>
        <w:ind w:firstLine="480" w:firstLineChars="200"/>
        <w:rPr>
          <w:rFonts w:hint="eastAsia" w:eastAsia="宋体" w:cs="宋体"/>
          <w:snapToGrid w:val="0"/>
        </w:rPr>
      </w:pPr>
      <w:bookmarkStart w:id="1442" w:name="_Toc247527796"/>
      <w:bookmarkStart w:id="1443" w:name="_Toc247514195"/>
      <w:bookmarkStart w:id="1444" w:name="_Toc476860514"/>
      <w:bookmarkStart w:id="1445" w:name="_Toc411736579"/>
      <w:bookmarkStart w:id="1446" w:name="_Toc300835197"/>
      <w:bookmarkStart w:id="1447" w:name="_Toc410559497"/>
      <w:bookmarkStart w:id="1448" w:name="_Toc411736303"/>
      <w:r>
        <w:rPr>
          <w:rFonts w:hint="eastAsia" w:eastAsia="宋体" w:cs="宋体"/>
          <w:snapToGrid w:val="0"/>
        </w:rPr>
        <w:t>24.2 友好解决</w:t>
      </w:r>
      <w:bookmarkEnd w:id="1442"/>
      <w:bookmarkEnd w:id="1443"/>
      <w:bookmarkEnd w:id="1444"/>
      <w:bookmarkEnd w:id="1445"/>
      <w:bookmarkEnd w:id="1446"/>
      <w:bookmarkEnd w:id="1447"/>
      <w:bookmarkEnd w:id="1448"/>
    </w:p>
    <w:p w14:paraId="54C1ED8E">
      <w:pPr>
        <w:pStyle w:val="403"/>
        <w:spacing w:line="460" w:lineRule="exact"/>
        <w:ind w:firstLine="480" w:firstLineChars="200"/>
        <w:rPr>
          <w:rFonts w:hint="eastAsia" w:eastAsia="宋体" w:cs="宋体"/>
          <w:snapToGrid w:val="0"/>
        </w:rPr>
      </w:pPr>
      <w:r>
        <w:rPr>
          <w:rFonts w:hint="eastAsia" w:eastAsia="宋体" w:cs="宋体"/>
          <w:snapToGrid w:val="0"/>
        </w:rPr>
        <w:t>在提请争议评审、仲裁或者诉讼前，以及在争议评审、仲裁或诉讼过程中，发包人和承包人均可共同努力友好协商解决争议。</w:t>
      </w:r>
    </w:p>
    <w:p w14:paraId="3AE9DF54">
      <w:pPr>
        <w:pStyle w:val="403"/>
        <w:spacing w:line="460" w:lineRule="exact"/>
        <w:ind w:firstLine="480" w:firstLineChars="200"/>
        <w:rPr>
          <w:rFonts w:hint="eastAsia" w:eastAsia="宋体" w:cs="宋体"/>
          <w:snapToGrid w:val="0"/>
        </w:rPr>
      </w:pPr>
      <w:bookmarkStart w:id="1449" w:name="_Toc476860515"/>
      <w:bookmarkStart w:id="1450" w:name="_Toc411736304"/>
      <w:bookmarkStart w:id="1451" w:name="_Toc247514196"/>
      <w:bookmarkStart w:id="1452" w:name="_Toc247527797"/>
      <w:bookmarkStart w:id="1453" w:name="_Toc410559498"/>
      <w:bookmarkStart w:id="1454" w:name="_Toc300835198"/>
      <w:bookmarkStart w:id="1455" w:name="_Toc411736580"/>
      <w:r>
        <w:rPr>
          <w:rFonts w:hint="eastAsia" w:eastAsia="宋体" w:cs="宋体"/>
          <w:snapToGrid w:val="0"/>
        </w:rPr>
        <w:t>24.3 争议评审</w:t>
      </w:r>
      <w:bookmarkEnd w:id="1449"/>
      <w:bookmarkEnd w:id="1450"/>
      <w:bookmarkEnd w:id="1451"/>
      <w:bookmarkEnd w:id="1452"/>
      <w:bookmarkEnd w:id="1453"/>
      <w:bookmarkEnd w:id="1454"/>
      <w:bookmarkEnd w:id="1455"/>
    </w:p>
    <w:p w14:paraId="65617E4A">
      <w:pPr>
        <w:pStyle w:val="403"/>
        <w:spacing w:line="460" w:lineRule="exact"/>
        <w:ind w:firstLine="480" w:firstLineChars="200"/>
        <w:rPr>
          <w:rFonts w:hint="eastAsia" w:eastAsia="宋体" w:cs="宋体"/>
          <w:snapToGrid w:val="0"/>
        </w:rPr>
      </w:pPr>
      <w:r>
        <w:rPr>
          <w:rFonts w:hint="eastAsia" w:eastAsia="宋体" w:cs="宋体"/>
          <w:snapToGrid w:val="0"/>
        </w:rPr>
        <w:t>24.3.1 采用争议评审的，发包人和承包人应在开工日后的28天内或在争议发生后，协商成立争议评审组。争议评审组由有合同管理和工程实践经验的专家组成。</w:t>
      </w:r>
    </w:p>
    <w:p w14:paraId="249E4750">
      <w:pPr>
        <w:pStyle w:val="403"/>
        <w:spacing w:line="460" w:lineRule="exact"/>
        <w:ind w:firstLine="480" w:firstLineChars="200"/>
        <w:rPr>
          <w:rFonts w:hint="eastAsia" w:eastAsia="宋体" w:cs="宋体"/>
          <w:snapToGrid w:val="0"/>
        </w:rPr>
      </w:pPr>
      <w:r>
        <w:rPr>
          <w:rFonts w:hint="eastAsia" w:eastAsia="宋体" w:cs="宋体"/>
          <w:snapToGrid w:val="0"/>
        </w:rPr>
        <w:t>24.3.2 合同双方的争议，应首先由申请人向争议评审组提交一份详细的评审申请报告，并附必要的文件、图纸和证明材料，申请人还应将上述报告的副本同时提交给被申请人和监理人。</w:t>
      </w:r>
    </w:p>
    <w:p w14:paraId="6E5F06F7">
      <w:pPr>
        <w:pStyle w:val="403"/>
        <w:spacing w:line="460" w:lineRule="exact"/>
        <w:ind w:firstLine="480" w:firstLineChars="200"/>
        <w:rPr>
          <w:rFonts w:hint="eastAsia" w:eastAsia="宋体" w:cs="宋体"/>
          <w:snapToGrid w:val="0"/>
        </w:rPr>
      </w:pPr>
      <w:r>
        <w:rPr>
          <w:rFonts w:hint="eastAsia" w:eastAsia="宋体" w:cs="宋体"/>
          <w:snapToGrid w:val="0"/>
        </w:rPr>
        <w:t>24.3.3 被申请人在收到申请人评审申请报告副本后的28 天内，向争议评审组提交一份答辩报告，并附证明材料。被申请人应将答辩报告的副本同时提交给申请人和监理人。</w:t>
      </w:r>
    </w:p>
    <w:p w14:paraId="5A8AFAC1">
      <w:pPr>
        <w:pStyle w:val="403"/>
        <w:spacing w:line="460" w:lineRule="exact"/>
        <w:ind w:firstLine="480" w:firstLineChars="200"/>
        <w:rPr>
          <w:rFonts w:hint="eastAsia" w:eastAsia="宋体" w:cs="宋体"/>
          <w:snapToGrid w:val="0"/>
        </w:rPr>
      </w:pPr>
      <w:r>
        <w:rPr>
          <w:rFonts w:hint="eastAsia" w:eastAsia="宋体" w:cs="宋体"/>
          <w:snapToGrid w:val="0"/>
        </w:rPr>
        <w:t>24.3.4 除专用合同条款另有约定外，争议评审组在收到合同双方报告后的14天内，邀请双方代表和有关人员举行调查会，向双方调查争议细节；必要时争议评审组可要求双方进一步提供补充材料。</w:t>
      </w:r>
    </w:p>
    <w:p w14:paraId="6C3C5A2B">
      <w:pPr>
        <w:pStyle w:val="403"/>
        <w:spacing w:line="460" w:lineRule="exact"/>
        <w:ind w:firstLine="480" w:firstLineChars="200"/>
        <w:rPr>
          <w:rFonts w:hint="eastAsia" w:eastAsia="宋体" w:cs="宋体"/>
          <w:snapToGrid w:val="0"/>
        </w:rPr>
      </w:pPr>
      <w:r>
        <w:rPr>
          <w:rFonts w:hint="eastAsia" w:eastAsia="宋体" w:cs="宋体"/>
          <w:snapToGrid w:val="0"/>
        </w:rPr>
        <w:t>24.3.5 除专用合同条款另有约定外，在调查会结束后的14天内，争议评审组应在不受任何干扰的情况下进行独立、公正的评审，作出书面评审意见，并说明理由。在争议评审期间，争议双方暂按总监理工程师的确定执行。</w:t>
      </w:r>
    </w:p>
    <w:p w14:paraId="46441AE0">
      <w:pPr>
        <w:pStyle w:val="403"/>
        <w:spacing w:line="460" w:lineRule="exact"/>
        <w:ind w:firstLine="480" w:firstLineChars="200"/>
        <w:rPr>
          <w:rFonts w:hint="eastAsia" w:eastAsia="宋体" w:cs="宋体"/>
          <w:snapToGrid w:val="0"/>
        </w:rPr>
      </w:pPr>
      <w:r>
        <w:rPr>
          <w:rFonts w:hint="eastAsia" w:eastAsia="宋体" w:cs="宋体"/>
          <w:snapToGrid w:val="0"/>
        </w:rPr>
        <w:t>24.3.6 发包人和承包人接受评审意见的，由监理人根据评审意见拟定执行协议，经争议双方签字后作为合同的补充文件，并遵照执行。</w:t>
      </w:r>
    </w:p>
    <w:p w14:paraId="109B13C2">
      <w:pPr>
        <w:pStyle w:val="403"/>
        <w:spacing w:line="460" w:lineRule="exact"/>
        <w:ind w:firstLine="480" w:firstLineChars="200"/>
        <w:rPr>
          <w:rFonts w:hint="eastAsia" w:eastAsia="宋体" w:cs="宋体"/>
          <w:snapToGrid w:val="0"/>
        </w:rPr>
      </w:pPr>
      <w:r>
        <w:rPr>
          <w:rFonts w:hint="eastAsia" w:eastAsia="宋体" w:cs="宋体"/>
          <w:snapToGrid w:val="0"/>
        </w:rPr>
        <w:t>24.3.7 发包人或承包人不接受评审意见，并要求提交仲裁或提起诉讼的，应在收到评审意见后的14 天内将仲裁或起诉意向书面通知另一方，并抄送监理人，但在仲裁或诉讼结束前应暂按总监理工程师的确定执行。</w:t>
      </w:r>
    </w:p>
    <w:p w14:paraId="6CADB553">
      <w:pPr>
        <w:pStyle w:val="403"/>
        <w:spacing w:line="460" w:lineRule="exact"/>
        <w:ind w:firstLine="480" w:firstLineChars="200"/>
        <w:rPr>
          <w:rFonts w:hint="eastAsia" w:eastAsia="宋体" w:cs="宋体"/>
          <w:snapToGrid w:val="0"/>
        </w:rPr>
        <w:sectPr>
          <w:pgSz w:w="11907" w:h="16840"/>
          <w:pgMar w:top="1417" w:right="1531" w:bottom="1304" w:left="1531" w:header="851" w:footer="992" w:gutter="0"/>
          <w:cols w:space="720" w:num="1"/>
          <w:docGrid w:linePitch="312" w:charSpace="0"/>
        </w:sectPr>
      </w:pPr>
    </w:p>
    <w:p w14:paraId="6BF1FB1E">
      <w:pPr>
        <w:pStyle w:val="403"/>
        <w:spacing w:after="240" w:afterLines="100" w:line="460" w:lineRule="exact"/>
        <w:jc w:val="center"/>
        <w:outlineLvl w:val="0"/>
        <w:rPr>
          <w:rFonts w:hint="eastAsia" w:eastAsia="宋体" w:cs="宋体"/>
          <w:b/>
          <w:bCs/>
          <w:sz w:val="44"/>
          <w:szCs w:val="44"/>
        </w:rPr>
      </w:pPr>
      <w:bookmarkStart w:id="1456" w:name="_Toc83220615"/>
      <w:bookmarkStart w:id="1457" w:name="_Toc68594898"/>
      <w:bookmarkStart w:id="1458" w:name="_Toc198803811"/>
      <w:bookmarkStart w:id="1459" w:name="_Toc528255597"/>
      <w:bookmarkStart w:id="1460" w:name="_Toc411736581"/>
      <w:bookmarkStart w:id="1461" w:name="_Toc476860516"/>
      <w:bookmarkStart w:id="1462" w:name="_Toc411736305"/>
      <w:bookmarkStart w:id="1463" w:name="_Toc8796"/>
      <w:bookmarkStart w:id="1464" w:name="_Toc176268744"/>
      <w:r>
        <w:rPr>
          <w:rFonts w:hint="eastAsia" w:eastAsia="宋体" w:cs="宋体"/>
          <w:b/>
          <w:bCs/>
          <w:sz w:val="44"/>
          <w:szCs w:val="44"/>
        </w:rPr>
        <w:t>第三部分  专用合同条款</w:t>
      </w:r>
      <w:bookmarkEnd w:id="1456"/>
      <w:bookmarkEnd w:id="1457"/>
      <w:bookmarkEnd w:id="1458"/>
      <w:bookmarkEnd w:id="1459"/>
      <w:bookmarkEnd w:id="1460"/>
      <w:bookmarkEnd w:id="1461"/>
      <w:bookmarkEnd w:id="1462"/>
      <w:bookmarkEnd w:id="1463"/>
      <w:bookmarkEnd w:id="1464"/>
    </w:p>
    <w:p w14:paraId="267010D4">
      <w:pPr>
        <w:pStyle w:val="5"/>
        <w:spacing w:before="360" w:after="120" w:afterLines="50" w:line="480" w:lineRule="exact"/>
        <w:rPr>
          <w:rFonts w:hint="eastAsia" w:ascii="宋体" w:hAnsi="宋体" w:eastAsia="宋体" w:cs="宋体"/>
          <w:bCs/>
          <w:sz w:val="28"/>
          <w:szCs w:val="28"/>
        </w:rPr>
      </w:pPr>
      <w:bookmarkStart w:id="1465" w:name="_Toc83220616"/>
      <w:bookmarkStart w:id="1466" w:name="_Toc68594899"/>
      <w:bookmarkStart w:id="1467" w:name="_Toc528255598"/>
      <w:bookmarkStart w:id="1468" w:name="_Toc14960"/>
      <w:bookmarkStart w:id="1469" w:name="_Toc198803812"/>
      <w:bookmarkStart w:id="1470" w:name="_Toc176268745"/>
      <w:r>
        <w:rPr>
          <w:rFonts w:hint="eastAsia" w:ascii="宋体" w:hAnsi="宋体" w:eastAsia="宋体" w:cs="宋体"/>
          <w:bCs/>
          <w:sz w:val="28"/>
          <w:szCs w:val="28"/>
        </w:rPr>
        <w:t>1. 一般约定</w:t>
      </w:r>
      <w:bookmarkEnd w:id="1465"/>
      <w:bookmarkEnd w:id="1466"/>
      <w:bookmarkEnd w:id="1467"/>
      <w:bookmarkEnd w:id="1468"/>
      <w:bookmarkEnd w:id="1469"/>
      <w:bookmarkEnd w:id="1470"/>
    </w:p>
    <w:p w14:paraId="54C0574A">
      <w:pPr>
        <w:pStyle w:val="403"/>
        <w:spacing w:line="460" w:lineRule="exact"/>
        <w:ind w:firstLine="480" w:firstLineChars="200"/>
        <w:rPr>
          <w:rFonts w:hint="eastAsia" w:eastAsia="宋体" w:cs="宋体"/>
          <w:snapToGrid w:val="0"/>
        </w:rPr>
      </w:pPr>
      <w:bookmarkStart w:id="1471" w:name="_Toc68594900"/>
      <w:bookmarkStart w:id="1472" w:name="_Toc528255599"/>
      <w:r>
        <w:rPr>
          <w:rFonts w:hint="eastAsia" w:eastAsia="宋体" w:cs="宋体"/>
          <w:snapToGrid w:val="0"/>
        </w:rPr>
        <w:t>1.1 词语定义</w:t>
      </w:r>
      <w:bookmarkEnd w:id="1471"/>
      <w:bookmarkEnd w:id="1472"/>
    </w:p>
    <w:p w14:paraId="71A013EF">
      <w:pPr>
        <w:pStyle w:val="403"/>
        <w:spacing w:line="460" w:lineRule="exact"/>
        <w:ind w:firstLine="480" w:firstLineChars="200"/>
        <w:rPr>
          <w:rFonts w:hint="eastAsia" w:eastAsia="宋体" w:cs="宋体"/>
          <w:snapToGrid w:val="0"/>
        </w:rPr>
      </w:pPr>
      <w:r>
        <w:rPr>
          <w:rFonts w:hint="eastAsia" w:eastAsia="宋体" w:cs="宋体"/>
          <w:snapToGrid w:val="0"/>
        </w:rPr>
        <w:t>1.1.1.1 合同文件（或称合同）：指合同协议书、中标通知书、投标函及投标函附录、专用合同条款、通用合同条款、发包人要求、价格清单、招标文件，以及其他构成合同组成部分的文件。</w:t>
      </w:r>
    </w:p>
    <w:p w14:paraId="28F04F1D">
      <w:pPr>
        <w:pStyle w:val="403"/>
        <w:spacing w:line="460" w:lineRule="exact"/>
        <w:ind w:firstLine="480" w:firstLineChars="200"/>
        <w:rPr>
          <w:rFonts w:hint="eastAsia" w:eastAsia="宋体" w:cs="宋体"/>
          <w:snapToGrid w:val="0"/>
        </w:rPr>
      </w:pPr>
      <w:r>
        <w:rPr>
          <w:rFonts w:hint="eastAsia" w:eastAsia="宋体" w:cs="宋体"/>
          <w:snapToGrid w:val="0"/>
        </w:rPr>
        <w:t>1.1.1.7 价格清单：本合同指承包人按专用合同条款第17.1款要求编制，并经监理单位审核的价格清单。</w:t>
      </w:r>
    </w:p>
    <w:p w14:paraId="0E307AF0">
      <w:pPr>
        <w:pStyle w:val="403"/>
        <w:spacing w:line="460" w:lineRule="exact"/>
        <w:ind w:firstLine="480" w:firstLineChars="200"/>
        <w:rPr>
          <w:rFonts w:hint="eastAsia" w:eastAsia="宋体" w:cs="宋体"/>
          <w:snapToGrid w:val="0"/>
        </w:rPr>
      </w:pPr>
      <w:r>
        <w:rPr>
          <w:rFonts w:hint="eastAsia" w:eastAsia="宋体" w:cs="宋体"/>
          <w:snapToGrid w:val="0"/>
        </w:rPr>
        <w:t>1.1.1.8 承包人建议书：本合同不适用。</w:t>
      </w:r>
    </w:p>
    <w:p w14:paraId="29285067">
      <w:pPr>
        <w:pStyle w:val="403"/>
        <w:spacing w:line="460" w:lineRule="exact"/>
        <w:ind w:firstLine="480" w:firstLineChars="200"/>
        <w:rPr>
          <w:rFonts w:hint="eastAsia" w:eastAsia="宋体" w:cs="宋体"/>
          <w:snapToGrid w:val="0"/>
        </w:rPr>
      </w:pPr>
      <w:r>
        <w:rPr>
          <w:rFonts w:hint="eastAsia" w:eastAsia="宋体" w:cs="宋体"/>
          <w:snapToGrid w:val="0"/>
        </w:rPr>
        <w:t>1.1.2 合同当事人和人员</w:t>
      </w:r>
    </w:p>
    <w:p w14:paraId="4180469F">
      <w:pPr>
        <w:pStyle w:val="403"/>
        <w:spacing w:line="460" w:lineRule="exact"/>
        <w:ind w:firstLine="480" w:firstLineChars="200"/>
        <w:rPr>
          <w:rFonts w:hint="eastAsia" w:eastAsia="宋体" w:cs="宋体"/>
          <w:snapToGrid w:val="0"/>
        </w:rPr>
      </w:pPr>
      <w:r>
        <w:rPr>
          <w:rFonts w:hint="eastAsia" w:eastAsia="宋体" w:cs="宋体"/>
          <w:snapToGrid w:val="0"/>
        </w:rPr>
        <w:t>1.1.2.4 承包人项目经理（即项目总负责人、施工负责人）为</w:t>
      </w:r>
      <w:r>
        <w:rPr>
          <w:rFonts w:hint="eastAsia" w:eastAsia="宋体" w:cs="宋体"/>
          <w:snapToGrid w:val="0"/>
          <w:kern w:val="0"/>
          <w:u w:val="single"/>
        </w:rPr>
        <w:t xml:space="preserve">          </w:t>
      </w:r>
      <w:r>
        <w:rPr>
          <w:rFonts w:hint="eastAsia" w:eastAsia="宋体" w:cs="宋体"/>
          <w:snapToGrid w:val="0"/>
        </w:rPr>
        <w:t>。</w:t>
      </w:r>
    </w:p>
    <w:p w14:paraId="7AB395A3">
      <w:pPr>
        <w:pStyle w:val="403"/>
        <w:spacing w:line="460" w:lineRule="exact"/>
        <w:ind w:firstLine="480" w:firstLineChars="200"/>
        <w:rPr>
          <w:rFonts w:hint="eastAsia" w:eastAsia="宋体" w:cs="宋体"/>
          <w:snapToGrid w:val="0"/>
        </w:rPr>
      </w:pPr>
      <w:r>
        <w:rPr>
          <w:rFonts w:hint="eastAsia" w:eastAsia="宋体" w:cs="宋体"/>
          <w:snapToGrid w:val="0"/>
        </w:rPr>
        <w:t>1.1.2.5 本合同设计负责人为</w:t>
      </w:r>
      <w:r>
        <w:rPr>
          <w:rFonts w:hint="eastAsia" w:eastAsia="宋体" w:cs="宋体"/>
          <w:snapToGrid w:val="0"/>
          <w:kern w:val="0"/>
          <w:u w:val="single"/>
        </w:rPr>
        <w:t xml:space="preserve">          </w:t>
      </w:r>
      <w:r>
        <w:rPr>
          <w:rFonts w:hint="eastAsia" w:eastAsia="宋体" w:cs="宋体"/>
          <w:snapToGrid w:val="0"/>
        </w:rPr>
        <w:t>。</w:t>
      </w:r>
    </w:p>
    <w:p w14:paraId="24C0D6C1">
      <w:pPr>
        <w:pStyle w:val="403"/>
        <w:spacing w:line="460" w:lineRule="exact"/>
        <w:ind w:firstLine="480" w:firstLineChars="200"/>
        <w:rPr>
          <w:rFonts w:hint="eastAsia" w:eastAsia="宋体" w:cs="宋体"/>
          <w:snapToGrid w:val="0"/>
        </w:rPr>
      </w:pPr>
      <w:r>
        <w:rPr>
          <w:rFonts w:hint="eastAsia" w:eastAsia="宋体" w:cs="宋体"/>
          <w:snapToGrid w:val="0"/>
        </w:rPr>
        <w:t>1.1.2.6 本合同施工负责人（即承包人项目经理）为</w:t>
      </w:r>
      <w:r>
        <w:rPr>
          <w:rFonts w:hint="eastAsia" w:eastAsia="宋体" w:cs="宋体"/>
          <w:snapToGrid w:val="0"/>
          <w:kern w:val="0"/>
          <w:u w:val="single"/>
        </w:rPr>
        <w:t xml:space="preserve">          </w:t>
      </w:r>
      <w:r>
        <w:rPr>
          <w:rFonts w:hint="eastAsia" w:eastAsia="宋体" w:cs="宋体"/>
          <w:snapToGrid w:val="0"/>
        </w:rPr>
        <w:t>。</w:t>
      </w:r>
    </w:p>
    <w:p w14:paraId="0261897C">
      <w:pPr>
        <w:pStyle w:val="403"/>
        <w:spacing w:line="460" w:lineRule="exact"/>
        <w:ind w:firstLine="480" w:firstLineChars="200"/>
        <w:rPr>
          <w:rFonts w:hint="eastAsia" w:eastAsia="宋体" w:cs="宋体"/>
          <w:snapToGrid w:val="0"/>
        </w:rPr>
      </w:pPr>
      <w:r>
        <w:rPr>
          <w:rFonts w:hint="eastAsia" w:eastAsia="宋体" w:cs="宋体"/>
          <w:snapToGrid w:val="0"/>
        </w:rPr>
        <w:t>1.1.2.7 本合同采购负责人为</w:t>
      </w:r>
      <w:r>
        <w:rPr>
          <w:rFonts w:hint="eastAsia" w:eastAsia="宋体" w:cs="宋体"/>
          <w:snapToGrid w:val="0"/>
          <w:kern w:val="0"/>
          <w:u w:val="single"/>
        </w:rPr>
        <w:t xml:space="preserve">          </w:t>
      </w:r>
      <w:r>
        <w:rPr>
          <w:rFonts w:hint="eastAsia" w:eastAsia="宋体" w:cs="宋体"/>
          <w:snapToGrid w:val="0"/>
        </w:rPr>
        <w:t>。</w:t>
      </w:r>
    </w:p>
    <w:p w14:paraId="7889B594">
      <w:pPr>
        <w:pStyle w:val="403"/>
        <w:spacing w:line="460" w:lineRule="exact"/>
        <w:ind w:firstLine="480" w:firstLineChars="200"/>
        <w:rPr>
          <w:rFonts w:hint="eastAsia" w:eastAsia="宋体" w:cs="宋体"/>
          <w:snapToGrid w:val="0"/>
        </w:rPr>
      </w:pPr>
      <w:r>
        <w:rPr>
          <w:rFonts w:hint="eastAsia" w:eastAsia="宋体" w:cs="宋体"/>
          <w:snapToGrid w:val="0"/>
        </w:rPr>
        <w:t>1.1.2.8 分包人：经发包人批准的专业工程分包单位。</w:t>
      </w:r>
    </w:p>
    <w:p w14:paraId="3E48A9F4">
      <w:pPr>
        <w:pStyle w:val="403"/>
        <w:spacing w:line="460" w:lineRule="exact"/>
        <w:ind w:firstLine="480" w:firstLineChars="200"/>
        <w:rPr>
          <w:rFonts w:hint="eastAsia" w:eastAsia="宋体" w:cs="宋体"/>
          <w:snapToGrid w:val="0"/>
        </w:rPr>
      </w:pPr>
      <w:r>
        <w:rPr>
          <w:rFonts w:hint="eastAsia" w:eastAsia="宋体" w:cs="宋体"/>
          <w:snapToGrid w:val="0"/>
        </w:rPr>
        <w:t>1.1.2.9 本合同监理人为</w:t>
      </w:r>
      <w:r>
        <w:rPr>
          <w:rFonts w:hint="eastAsia" w:eastAsia="宋体" w:cs="宋体"/>
          <w:snapToGrid w:val="0"/>
          <w:kern w:val="0"/>
          <w:u w:val="single"/>
        </w:rPr>
        <w:t xml:space="preserve">          </w:t>
      </w:r>
      <w:r>
        <w:rPr>
          <w:rFonts w:hint="eastAsia" w:eastAsia="宋体" w:cs="宋体"/>
          <w:snapToGrid w:val="0"/>
        </w:rPr>
        <w:t>。</w:t>
      </w:r>
    </w:p>
    <w:p w14:paraId="0AB42035">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 xml:space="preserve">.1.2.11 </w:t>
      </w:r>
      <w:r>
        <w:rPr>
          <w:rFonts w:hint="eastAsia" w:eastAsia="宋体" w:cs="宋体"/>
          <w:snapToGrid w:val="0"/>
        </w:rPr>
        <w:t>项目业主：指</w:t>
      </w:r>
      <w:r>
        <w:rPr>
          <w:rFonts w:hint="eastAsia" w:eastAsia="宋体" w:cs="宋体"/>
          <w:snapToGrid w:val="0"/>
          <w:kern w:val="0"/>
          <w:u w:val="single"/>
        </w:rPr>
        <w:t xml:space="preserve">                 </w:t>
      </w:r>
      <w:r>
        <w:rPr>
          <w:rFonts w:hint="eastAsia" w:eastAsia="宋体" w:cs="宋体"/>
          <w:snapToGrid w:val="0"/>
        </w:rPr>
        <w:t>。</w:t>
      </w:r>
    </w:p>
    <w:p w14:paraId="1E92F5BE">
      <w:pPr>
        <w:pStyle w:val="403"/>
        <w:spacing w:line="460" w:lineRule="exact"/>
        <w:ind w:firstLine="480" w:firstLineChars="200"/>
        <w:rPr>
          <w:rFonts w:hint="eastAsia" w:eastAsia="宋体" w:cs="宋体"/>
          <w:snapToGrid w:val="0"/>
        </w:rPr>
      </w:pPr>
      <w:r>
        <w:rPr>
          <w:rFonts w:hint="eastAsia" w:eastAsia="宋体" w:cs="宋体"/>
          <w:snapToGrid w:val="0"/>
        </w:rPr>
        <w:t>1.1.4 日期、检验和竣工</w:t>
      </w:r>
    </w:p>
    <w:p w14:paraId="763C3881">
      <w:pPr>
        <w:pStyle w:val="403"/>
        <w:spacing w:line="460" w:lineRule="exact"/>
        <w:ind w:firstLine="480" w:firstLineChars="200"/>
        <w:rPr>
          <w:rFonts w:hint="eastAsia" w:eastAsia="宋体" w:cs="宋体"/>
          <w:snapToGrid w:val="0"/>
        </w:rPr>
      </w:pPr>
      <w:r>
        <w:rPr>
          <w:rFonts w:hint="eastAsia" w:eastAsia="宋体" w:cs="宋体"/>
          <w:snapToGrid w:val="0"/>
        </w:rPr>
        <w:t>1.1.4.5 缺陷责任期：2年。</w:t>
      </w:r>
    </w:p>
    <w:p w14:paraId="205278F5">
      <w:pPr>
        <w:pStyle w:val="403"/>
        <w:spacing w:line="460" w:lineRule="exact"/>
        <w:ind w:firstLine="480" w:firstLineChars="200"/>
        <w:rPr>
          <w:rFonts w:hint="eastAsia" w:eastAsia="宋体" w:cs="宋体"/>
          <w:snapToGrid w:val="0"/>
        </w:rPr>
      </w:pPr>
      <w:r>
        <w:rPr>
          <w:rFonts w:hint="eastAsia" w:eastAsia="宋体" w:cs="宋体"/>
          <w:snapToGrid w:val="0"/>
        </w:rPr>
        <w:t>1.1.4.6 基准日期：指施工图通过</w:t>
      </w:r>
      <w:r>
        <w:rPr>
          <w:rFonts w:eastAsia="宋体" w:cs="宋体"/>
          <w:snapToGrid w:val="0"/>
        </w:rPr>
        <w:t>审查</w:t>
      </w:r>
      <w:r>
        <w:rPr>
          <w:rFonts w:hint="eastAsia" w:eastAsia="宋体" w:cs="宋体"/>
          <w:snapToGrid w:val="0"/>
        </w:rPr>
        <w:t>当期。</w:t>
      </w:r>
    </w:p>
    <w:p w14:paraId="032E9FEA">
      <w:pPr>
        <w:pStyle w:val="403"/>
        <w:spacing w:line="460" w:lineRule="exact"/>
        <w:ind w:firstLine="480" w:firstLineChars="200"/>
        <w:rPr>
          <w:rFonts w:hint="eastAsia" w:eastAsia="宋体" w:cs="宋体"/>
          <w:snapToGrid w:val="0"/>
        </w:rPr>
      </w:pPr>
      <w:r>
        <w:rPr>
          <w:rFonts w:hint="eastAsia" w:eastAsia="宋体" w:cs="宋体"/>
          <w:snapToGrid w:val="0"/>
        </w:rPr>
        <w:t>1.1.4.12 完工日期：指发包人确认的具备单位工程验收条件之日。</w:t>
      </w:r>
    </w:p>
    <w:p w14:paraId="2735C08F">
      <w:pPr>
        <w:pStyle w:val="403"/>
        <w:spacing w:line="460" w:lineRule="exact"/>
        <w:ind w:firstLine="480" w:firstLineChars="200"/>
        <w:rPr>
          <w:rFonts w:hint="eastAsia" w:eastAsia="宋体" w:cs="宋体"/>
          <w:snapToGrid w:val="0"/>
        </w:rPr>
      </w:pPr>
      <w:r>
        <w:rPr>
          <w:rFonts w:hint="eastAsia" w:eastAsia="宋体" w:cs="宋体"/>
          <w:snapToGrid w:val="0"/>
        </w:rPr>
        <w:t>1.1.5 合同价格和费用</w:t>
      </w:r>
    </w:p>
    <w:p w14:paraId="399E31A2">
      <w:pPr>
        <w:pStyle w:val="403"/>
        <w:spacing w:line="460" w:lineRule="exact"/>
        <w:ind w:firstLine="480" w:firstLineChars="200"/>
        <w:rPr>
          <w:rFonts w:hint="eastAsia" w:eastAsia="宋体" w:cs="宋体"/>
          <w:snapToGrid w:val="0"/>
        </w:rPr>
      </w:pPr>
      <w:r>
        <w:rPr>
          <w:rFonts w:hint="eastAsia" w:eastAsia="宋体" w:cs="宋体"/>
          <w:snapToGrid w:val="0"/>
        </w:rPr>
        <w:t>1.1.5.6 计日工：本合同除另有约定外，不采用计日工方式计量及支付。</w:t>
      </w:r>
    </w:p>
    <w:p w14:paraId="05D4276F">
      <w:pPr>
        <w:pStyle w:val="403"/>
        <w:spacing w:line="460" w:lineRule="exact"/>
        <w:ind w:firstLine="480" w:firstLineChars="200"/>
        <w:rPr>
          <w:rFonts w:hint="eastAsia" w:eastAsia="宋体" w:cs="宋体"/>
          <w:snapToGrid w:val="0"/>
        </w:rPr>
      </w:pPr>
      <w:r>
        <w:rPr>
          <w:rFonts w:hint="eastAsia" w:eastAsia="宋体" w:cs="宋体"/>
          <w:snapToGrid w:val="0"/>
        </w:rPr>
        <w:t>1.1.6 其他</w:t>
      </w:r>
    </w:p>
    <w:p w14:paraId="56A01F0C">
      <w:pPr>
        <w:pStyle w:val="403"/>
        <w:spacing w:line="460" w:lineRule="exact"/>
        <w:ind w:firstLine="480" w:firstLineChars="200"/>
        <w:rPr>
          <w:rFonts w:hint="eastAsia" w:eastAsia="宋体" w:cs="宋体"/>
          <w:snapToGrid w:val="0"/>
        </w:rPr>
      </w:pPr>
      <w:r>
        <w:rPr>
          <w:rFonts w:hint="eastAsia" w:eastAsia="宋体" w:cs="宋体"/>
          <w:snapToGrid w:val="0"/>
        </w:rPr>
        <w:t>1.1.6.3 变更：本合同的变更均是指在承包人设计并经发包人及政府相关部门批准后的施工图设计文件确定后，根据第15 条的约定，经指示或批准对发包人要求的改变。</w:t>
      </w:r>
    </w:p>
    <w:p w14:paraId="518DF575">
      <w:pPr>
        <w:pStyle w:val="403"/>
        <w:spacing w:line="460" w:lineRule="exact"/>
        <w:ind w:firstLine="480" w:firstLineChars="200"/>
        <w:rPr>
          <w:rFonts w:hint="eastAsia" w:eastAsia="宋体" w:cs="宋体"/>
          <w:snapToGrid w:val="0"/>
        </w:rPr>
      </w:pPr>
      <w:r>
        <w:rPr>
          <w:rFonts w:hint="eastAsia" w:eastAsia="宋体" w:cs="宋体"/>
          <w:snapToGrid w:val="0"/>
        </w:rPr>
        <w:t>1.6 文件的提供和照管</w:t>
      </w:r>
    </w:p>
    <w:p w14:paraId="276894AB">
      <w:pPr>
        <w:pStyle w:val="403"/>
        <w:spacing w:line="460" w:lineRule="exact"/>
        <w:ind w:firstLine="480" w:firstLineChars="200"/>
        <w:rPr>
          <w:rFonts w:hint="eastAsia" w:eastAsia="宋体" w:cs="宋体"/>
          <w:snapToGrid w:val="0"/>
        </w:rPr>
      </w:pPr>
      <w:bookmarkStart w:id="1473" w:name="_Toc528255600"/>
      <w:bookmarkStart w:id="1474" w:name="_Toc68594901"/>
      <w:r>
        <w:rPr>
          <w:rFonts w:hint="eastAsia" w:eastAsia="宋体" w:cs="宋体"/>
          <w:snapToGrid w:val="0"/>
        </w:rPr>
        <w:t>1.6.1 承包人文件的提供：承包人须按发包人要求按时交付设计及施工文件资料，满足工期进度要求</w:t>
      </w:r>
      <w:bookmarkEnd w:id="1473"/>
      <w:r>
        <w:rPr>
          <w:rFonts w:hint="eastAsia" w:eastAsia="宋体" w:cs="宋体"/>
          <w:snapToGrid w:val="0"/>
        </w:rPr>
        <w:t>。</w:t>
      </w:r>
      <w:bookmarkEnd w:id="1474"/>
    </w:p>
    <w:p w14:paraId="55C9EDD6">
      <w:pPr>
        <w:pStyle w:val="403"/>
        <w:spacing w:line="460" w:lineRule="exact"/>
        <w:ind w:firstLine="480" w:firstLineChars="200"/>
        <w:rPr>
          <w:rFonts w:hint="eastAsia" w:eastAsia="宋体" w:cs="宋体"/>
          <w:snapToGrid w:val="0"/>
        </w:rPr>
      </w:pPr>
      <w:r>
        <w:rPr>
          <w:rFonts w:hint="eastAsia" w:eastAsia="宋体" w:cs="宋体"/>
          <w:snapToGrid w:val="0"/>
        </w:rPr>
        <w:t>1.6.1.1承包人提交的施工进度计划必须满足协议书对工期的要求，形式应包括关键线路网络计划图或横道进度计划图，要求能明示其施工前期的准备、施工阶段和施工顺序，以及每一进度阶段的预计时间，进度计划中还应预留冬季、雨季停工时间。还应显示出承包人及其分包人、指定分包人及交叉施工部分的每一工序的顺序及工期，特别是以下的数据：</w:t>
      </w:r>
    </w:p>
    <w:p w14:paraId="291E2C99">
      <w:pPr>
        <w:pStyle w:val="403"/>
        <w:spacing w:line="460" w:lineRule="exact"/>
        <w:ind w:firstLine="480" w:firstLineChars="200"/>
        <w:rPr>
          <w:rFonts w:hint="eastAsia" w:eastAsia="宋体" w:cs="宋体"/>
          <w:snapToGrid w:val="0"/>
        </w:rPr>
      </w:pPr>
      <w:r>
        <w:rPr>
          <w:rFonts w:hint="eastAsia" w:eastAsia="宋体" w:cs="宋体"/>
          <w:snapToGrid w:val="0"/>
        </w:rPr>
        <w:t>（1）各工种在工程各部位施工的进度要求说明。</w:t>
      </w:r>
    </w:p>
    <w:p w14:paraId="20FA0013">
      <w:pPr>
        <w:pStyle w:val="403"/>
        <w:spacing w:line="460" w:lineRule="exact"/>
        <w:ind w:firstLine="480" w:firstLineChars="200"/>
        <w:rPr>
          <w:rFonts w:hint="eastAsia" w:eastAsia="宋体" w:cs="宋体"/>
          <w:snapToGrid w:val="0"/>
        </w:rPr>
      </w:pPr>
      <w:r>
        <w:rPr>
          <w:rFonts w:hint="eastAsia" w:eastAsia="宋体" w:cs="宋体"/>
          <w:snapToGrid w:val="0"/>
        </w:rPr>
        <w:t>（2）重要的现场外工作，例如由承包人或分包人进行的预制工程，连同预计各工作所需的时间。</w:t>
      </w:r>
    </w:p>
    <w:p w14:paraId="14D5D1EB">
      <w:pPr>
        <w:pStyle w:val="403"/>
        <w:spacing w:line="460" w:lineRule="exact"/>
        <w:ind w:firstLine="480" w:firstLineChars="200"/>
        <w:rPr>
          <w:rFonts w:hint="eastAsia" w:eastAsia="宋体" w:cs="宋体"/>
          <w:snapToGrid w:val="0"/>
        </w:rPr>
      </w:pPr>
      <w:r>
        <w:rPr>
          <w:rFonts w:hint="eastAsia" w:eastAsia="宋体" w:cs="宋体"/>
          <w:snapToGrid w:val="0"/>
        </w:rPr>
        <w:t>（3）自行分包招标及进场时间，材料设备采购及到货时间。</w:t>
      </w:r>
    </w:p>
    <w:p w14:paraId="7856E265">
      <w:pPr>
        <w:pStyle w:val="403"/>
        <w:spacing w:line="460" w:lineRule="exact"/>
        <w:ind w:firstLine="480" w:firstLineChars="200"/>
        <w:rPr>
          <w:rFonts w:hint="eastAsia" w:eastAsia="宋体" w:cs="宋体"/>
          <w:snapToGrid w:val="0"/>
        </w:rPr>
      </w:pPr>
      <w:r>
        <w:rPr>
          <w:rFonts w:hint="eastAsia" w:eastAsia="宋体" w:cs="宋体"/>
          <w:snapToGrid w:val="0"/>
        </w:rPr>
        <w:t>（4）为保证施工进度计划正常运作，承包人认为需要由其他人提供的数据、批准、供应或材料设备，需要此等数据、资料或工作配合的细部工作均须明确标明。</w:t>
      </w:r>
    </w:p>
    <w:p w14:paraId="411C912D">
      <w:pPr>
        <w:pStyle w:val="403"/>
        <w:spacing w:line="460" w:lineRule="exact"/>
        <w:ind w:firstLine="480" w:firstLineChars="200"/>
        <w:rPr>
          <w:rFonts w:hint="eastAsia" w:eastAsia="宋体" w:cs="宋体"/>
          <w:snapToGrid w:val="0"/>
        </w:rPr>
      </w:pPr>
      <w:r>
        <w:rPr>
          <w:rFonts w:hint="eastAsia" w:eastAsia="宋体" w:cs="宋体"/>
          <w:snapToGrid w:val="0"/>
        </w:rPr>
        <w:t>（5）承包人负责的全部设计工作，应为发包人、监理工程师及/或政府有关部门审批预留合理的时间。</w:t>
      </w:r>
    </w:p>
    <w:p w14:paraId="2C0BC0E6">
      <w:pPr>
        <w:pStyle w:val="403"/>
        <w:spacing w:line="460" w:lineRule="exact"/>
        <w:ind w:firstLine="480" w:firstLineChars="200"/>
        <w:rPr>
          <w:rFonts w:hint="eastAsia" w:eastAsia="宋体" w:cs="宋体"/>
          <w:snapToGrid w:val="0"/>
        </w:rPr>
      </w:pPr>
      <w:r>
        <w:rPr>
          <w:rFonts w:hint="eastAsia" w:eastAsia="宋体" w:cs="宋体"/>
          <w:snapToGrid w:val="0"/>
        </w:rPr>
        <w:t>（6）临时工程及设施拆卸方法及次序。</w:t>
      </w:r>
    </w:p>
    <w:p w14:paraId="5869DDA2">
      <w:pPr>
        <w:pStyle w:val="403"/>
        <w:spacing w:line="460" w:lineRule="exact"/>
        <w:ind w:firstLine="480" w:firstLineChars="200"/>
        <w:rPr>
          <w:rFonts w:hint="eastAsia" w:eastAsia="宋体" w:cs="宋体"/>
          <w:snapToGrid w:val="0"/>
        </w:rPr>
      </w:pPr>
      <w:r>
        <w:rPr>
          <w:rFonts w:hint="eastAsia" w:eastAsia="宋体" w:cs="宋体"/>
          <w:snapToGrid w:val="0"/>
        </w:rPr>
        <w:t>（7）施工期间承包人应按发包人要求编制工程进度表，包括督促和汇总各指定分包人提交的进度表。进度表应包括本月完成情况及下月计划，具体内容如下：</w:t>
      </w:r>
    </w:p>
    <w:p w14:paraId="0FCF6D10">
      <w:pPr>
        <w:pStyle w:val="403"/>
        <w:spacing w:line="460" w:lineRule="exact"/>
        <w:ind w:firstLine="480" w:firstLineChars="200"/>
        <w:rPr>
          <w:rFonts w:hint="eastAsia" w:eastAsia="宋体" w:cs="宋体"/>
          <w:snapToGrid w:val="0"/>
        </w:rPr>
      </w:pPr>
      <w:r>
        <w:rPr>
          <w:rFonts w:hint="eastAsia" w:eastAsia="宋体" w:cs="宋体"/>
          <w:snapToGrid w:val="0"/>
        </w:rPr>
        <w:t>1）采用关键线路网络图或工程进度横道图形式，进度报表应能清楚显示整体工程及各分部分项工程的形象进度；并说明工程进度情况、提前或拖后，若存在进度拖后，承包人应同时提供相应的赶工补救措施。</w:t>
      </w:r>
    </w:p>
    <w:p w14:paraId="48810AB8">
      <w:pPr>
        <w:pStyle w:val="403"/>
        <w:spacing w:line="460" w:lineRule="exact"/>
        <w:ind w:firstLine="480" w:firstLineChars="200"/>
        <w:rPr>
          <w:rFonts w:hint="eastAsia" w:eastAsia="宋体" w:cs="宋体"/>
          <w:snapToGrid w:val="0"/>
        </w:rPr>
      </w:pPr>
      <w:r>
        <w:rPr>
          <w:rFonts w:hint="eastAsia" w:eastAsia="宋体" w:cs="宋体"/>
          <w:snapToGrid w:val="0"/>
        </w:rPr>
        <w:t>2）现场各工种人员（包括施工管理人员及作业人员）配置及变动情况。</w:t>
      </w:r>
    </w:p>
    <w:p w14:paraId="4AB09EED">
      <w:pPr>
        <w:pStyle w:val="403"/>
        <w:spacing w:line="460" w:lineRule="exact"/>
        <w:ind w:firstLine="480" w:firstLineChars="200"/>
        <w:rPr>
          <w:rFonts w:hint="eastAsia" w:eastAsia="宋体" w:cs="宋体"/>
          <w:snapToGrid w:val="0"/>
        </w:rPr>
      </w:pPr>
      <w:r>
        <w:rPr>
          <w:rFonts w:hint="eastAsia" w:eastAsia="宋体" w:cs="宋体"/>
          <w:snapToGrid w:val="0"/>
        </w:rPr>
        <w:t>3）现场材料设备进场情况及计划进场情况。</w:t>
      </w:r>
    </w:p>
    <w:p w14:paraId="7066673B">
      <w:pPr>
        <w:pStyle w:val="403"/>
        <w:spacing w:line="460" w:lineRule="exact"/>
        <w:ind w:firstLine="480" w:firstLineChars="200"/>
        <w:rPr>
          <w:rFonts w:hint="eastAsia" w:eastAsia="宋体" w:cs="宋体"/>
          <w:snapToGrid w:val="0"/>
        </w:rPr>
      </w:pPr>
      <w:r>
        <w:rPr>
          <w:rFonts w:hint="eastAsia" w:eastAsia="宋体" w:cs="宋体"/>
          <w:snapToGrid w:val="0"/>
        </w:rPr>
        <w:t>4）现场施工机械设备配备及变动情况。</w:t>
      </w:r>
    </w:p>
    <w:p w14:paraId="445EED42">
      <w:pPr>
        <w:pStyle w:val="403"/>
        <w:spacing w:line="460" w:lineRule="exact"/>
        <w:ind w:firstLine="480" w:firstLineChars="200"/>
        <w:rPr>
          <w:rFonts w:hint="eastAsia" w:eastAsia="宋体" w:cs="宋体"/>
          <w:snapToGrid w:val="0"/>
        </w:rPr>
      </w:pPr>
      <w:r>
        <w:rPr>
          <w:rFonts w:hint="eastAsia" w:eastAsia="宋体" w:cs="宋体"/>
          <w:snapToGrid w:val="0"/>
        </w:rPr>
        <w:t>5）现场进度照片，并需附有概括工程进度的说明（包括分包工程）。</w:t>
      </w:r>
    </w:p>
    <w:p w14:paraId="4FB3B09F">
      <w:pPr>
        <w:pStyle w:val="403"/>
        <w:spacing w:line="460" w:lineRule="exact"/>
        <w:ind w:firstLine="480" w:firstLineChars="200"/>
        <w:rPr>
          <w:rFonts w:hint="eastAsia" w:eastAsia="宋体" w:cs="宋体"/>
          <w:snapToGrid w:val="0"/>
        </w:rPr>
      </w:pPr>
      <w:r>
        <w:rPr>
          <w:rFonts w:hint="eastAsia" w:eastAsia="宋体" w:cs="宋体"/>
          <w:snapToGrid w:val="0"/>
        </w:rPr>
        <w:t>（8）承包人应及时向发包人和监理工程师报告已经出现的或可能出现的施工或材料供应延误。</w:t>
      </w:r>
    </w:p>
    <w:p w14:paraId="44CC8339">
      <w:pPr>
        <w:pStyle w:val="403"/>
        <w:spacing w:line="460" w:lineRule="exact"/>
        <w:ind w:firstLine="480" w:firstLineChars="200"/>
        <w:rPr>
          <w:rFonts w:hint="eastAsia" w:eastAsia="宋体" w:cs="宋体"/>
          <w:snapToGrid w:val="0"/>
        </w:rPr>
      </w:pPr>
      <w:r>
        <w:rPr>
          <w:rFonts w:hint="eastAsia" w:eastAsia="宋体" w:cs="宋体"/>
          <w:snapToGrid w:val="0"/>
        </w:rPr>
        <w:t>1.6.1.2总体施工方案是承包人向发包人和监理工程师提交、适合于整个工程的施工组织设计和主要工序的施工方案，以供发包人和监理工程师批准。该施工方案须包括（但不限于）下列各项：</w:t>
      </w:r>
    </w:p>
    <w:p w14:paraId="0D462A40">
      <w:pPr>
        <w:pStyle w:val="403"/>
        <w:spacing w:line="460" w:lineRule="exact"/>
        <w:ind w:firstLine="480" w:firstLineChars="200"/>
        <w:rPr>
          <w:rFonts w:hint="eastAsia" w:eastAsia="宋体" w:cs="宋体"/>
          <w:snapToGrid w:val="0"/>
        </w:rPr>
      </w:pPr>
      <w:r>
        <w:rPr>
          <w:rFonts w:hint="eastAsia" w:eastAsia="宋体" w:cs="宋体"/>
          <w:snapToGrid w:val="0"/>
        </w:rPr>
        <w:t>（1） 临时工程、脚手架及其后的拆卸方案。</w:t>
      </w:r>
    </w:p>
    <w:p w14:paraId="70892FCA">
      <w:pPr>
        <w:pStyle w:val="403"/>
        <w:spacing w:line="460" w:lineRule="exact"/>
        <w:ind w:firstLine="480" w:firstLineChars="200"/>
        <w:rPr>
          <w:rFonts w:hint="eastAsia" w:eastAsia="宋体" w:cs="宋体"/>
          <w:snapToGrid w:val="0"/>
        </w:rPr>
      </w:pPr>
      <w:r>
        <w:rPr>
          <w:rFonts w:hint="eastAsia" w:eastAsia="宋体" w:cs="宋体"/>
          <w:snapToGrid w:val="0"/>
        </w:rPr>
        <w:t>（2） 临时通道及工作空间的要求，场地布置图。</w:t>
      </w:r>
    </w:p>
    <w:p w14:paraId="31BBFFC5">
      <w:pPr>
        <w:pStyle w:val="403"/>
        <w:spacing w:line="460" w:lineRule="exact"/>
        <w:ind w:firstLine="480" w:firstLineChars="200"/>
        <w:rPr>
          <w:rFonts w:hint="eastAsia" w:eastAsia="宋体" w:cs="宋体"/>
          <w:snapToGrid w:val="0"/>
        </w:rPr>
      </w:pPr>
      <w:r>
        <w:rPr>
          <w:rFonts w:hint="eastAsia" w:eastAsia="宋体" w:cs="宋体"/>
          <w:snapToGrid w:val="0"/>
        </w:rPr>
        <w:t>（3） 各部分永久工程的施工方案（如：混凝土工程施工方案等）。</w:t>
      </w:r>
    </w:p>
    <w:p w14:paraId="7CFFBB4B">
      <w:pPr>
        <w:pStyle w:val="403"/>
        <w:spacing w:line="460" w:lineRule="exact"/>
        <w:ind w:firstLine="480" w:firstLineChars="200"/>
        <w:rPr>
          <w:rFonts w:hint="eastAsia" w:eastAsia="宋体" w:cs="宋体"/>
          <w:snapToGrid w:val="0"/>
        </w:rPr>
      </w:pPr>
      <w:r>
        <w:rPr>
          <w:rFonts w:hint="eastAsia" w:eastAsia="宋体" w:cs="宋体"/>
          <w:snapToGrid w:val="0"/>
        </w:rPr>
        <w:t>（4） 施工现场内所采用的垂吊及运输设备。</w:t>
      </w:r>
    </w:p>
    <w:p w14:paraId="68894B43">
      <w:pPr>
        <w:pStyle w:val="403"/>
        <w:spacing w:line="460" w:lineRule="exact"/>
        <w:ind w:firstLine="480" w:firstLineChars="200"/>
        <w:rPr>
          <w:rFonts w:hint="eastAsia" w:eastAsia="宋体" w:cs="宋体"/>
          <w:snapToGrid w:val="0"/>
        </w:rPr>
      </w:pPr>
      <w:r>
        <w:rPr>
          <w:rFonts w:hint="eastAsia" w:eastAsia="宋体" w:cs="宋体"/>
          <w:snapToGrid w:val="0"/>
        </w:rPr>
        <w:t>（5） 施工机械用表，显示各机械的操作位置、型号、功率及施工高峰期使用数量。</w:t>
      </w:r>
    </w:p>
    <w:p w14:paraId="14AAB9F3">
      <w:pPr>
        <w:pStyle w:val="403"/>
        <w:spacing w:line="460" w:lineRule="exact"/>
        <w:ind w:firstLine="480" w:firstLineChars="200"/>
        <w:rPr>
          <w:rFonts w:hint="eastAsia" w:eastAsia="宋体" w:cs="宋体"/>
          <w:snapToGrid w:val="0"/>
        </w:rPr>
      </w:pPr>
      <w:r>
        <w:rPr>
          <w:rFonts w:hint="eastAsia" w:eastAsia="宋体" w:cs="宋体"/>
          <w:snapToGrid w:val="0"/>
        </w:rPr>
        <w:t>（6） 冬、雨季施工方案。</w:t>
      </w:r>
    </w:p>
    <w:p w14:paraId="08F74231">
      <w:pPr>
        <w:pStyle w:val="403"/>
        <w:spacing w:line="460" w:lineRule="exact"/>
        <w:ind w:firstLine="480" w:firstLineChars="200"/>
        <w:rPr>
          <w:rFonts w:hint="eastAsia" w:eastAsia="宋体" w:cs="宋体"/>
          <w:snapToGrid w:val="0"/>
        </w:rPr>
      </w:pPr>
      <w:r>
        <w:rPr>
          <w:rFonts w:hint="eastAsia" w:eastAsia="宋体" w:cs="宋体"/>
          <w:snapToGrid w:val="0"/>
        </w:rPr>
        <w:t>（7） 恶劣天气等各种不利条件因素下的应对措施和方案。</w:t>
      </w:r>
    </w:p>
    <w:p w14:paraId="5EC48AEB">
      <w:pPr>
        <w:pStyle w:val="403"/>
        <w:spacing w:line="460" w:lineRule="exact"/>
        <w:ind w:firstLine="480" w:firstLineChars="200"/>
        <w:rPr>
          <w:rFonts w:hint="eastAsia" w:eastAsia="宋体" w:cs="宋体"/>
          <w:snapToGrid w:val="0"/>
        </w:rPr>
      </w:pPr>
      <w:r>
        <w:rPr>
          <w:rFonts w:hint="eastAsia" w:eastAsia="宋体" w:cs="宋体"/>
          <w:snapToGrid w:val="0"/>
        </w:rPr>
        <w:t>（8） 建议采用的专利设计及其施工方案（如有）的说明书或目录册。</w:t>
      </w:r>
    </w:p>
    <w:p w14:paraId="7EC4ECFE">
      <w:pPr>
        <w:pStyle w:val="403"/>
        <w:spacing w:line="460" w:lineRule="exact"/>
        <w:ind w:firstLine="480" w:firstLineChars="200"/>
        <w:rPr>
          <w:rFonts w:hint="eastAsia" w:eastAsia="宋体" w:cs="宋体"/>
          <w:snapToGrid w:val="0"/>
        </w:rPr>
      </w:pPr>
      <w:r>
        <w:rPr>
          <w:rFonts w:hint="eastAsia" w:eastAsia="宋体" w:cs="宋体"/>
          <w:snapToGrid w:val="0"/>
        </w:rPr>
        <w:t>（9） 施工质量保证方案及工地保安方案。</w:t>
      </w:r>
    </w:p>
    <w:p w14:paraId="4DCC252C">
      <w:pPr>
        <w:pStyle w:val="403"/>
        <w:spacing w:line="460" w:lineRule="exact"/>
        <w:ind w:firstLine="480" w:firstLineChars="200"/>
        <w:rPr>
          <w:rFonts w:hint="eastAsia" w:eastAsia="宋体" w:cs="宋体"/>
          <w:snapToGrid w:val="0"/>
        </w:rPr>
      </w:pPr>
      <w:r>
        <w:rPr>
          <w:rFonts w:hint="eastAsia" w:eastAsia="宋体" w:cs="宋体"/>
          <w:snapToGrid w:val="0"/>
        </w:rPr>
        <w:t>施工过程中，发包人和监理工程师有权要求承包人随时提交发包人或监理工程师认为必要的关于施工组织设计和施工方案的任何说明或文件，对此类指示，承包人应遵照执行。</w:t>
      </w:r>
    </w:p>
    <w:p w14:paraId="37029B43">
      <w:pPr>
        <w:pStyle w:val="403"/>
        <w:spacing w:line="460" w:lineRule="exact"/>
        <w:ind w:firstLine="480" w:firstLineChars="200"/>
        <w:rPr>
          <w:rFonts w:hint="eastAsia" w:eastAsia="宋体" w:cs="宋体"/>
          <w:snapToGrid w:val="0"/>
        </w:rPr>
      </w:pPr>
      <w:bookmarkStart w:id="1475" w:name="_Toc68594902"/>
      <w:r>
        <w:rPr>
          <w:rFonts w:hint="eastAsia" w:eastAsia="宋体" w:cs="宋体"/>
          <w:snapToGrid w:val="0"/>
        </w:rPr>
        <w:t>1.6.1.3 承包人未按本合同第1.6.1.1-1.6.1.2条的约定提交相关报表、方案、报告等的，发包人可限期要求承包人整改，承包人限期不整改的，发包人有权暂停支付进度款或结算款，且不能作为承包人延迟工期的理由。</w:t>
      </w:r>
      <w:bookmarkEnd w:id="1475"/>
    </w:p>
    <w:p w14:paraId="6CB1E72D">
      <w:pPr>
        <w:pStyle w:val="403"/>
        <w:spacing w:line="460" w:lineRule="exact"/>
        <w:ind w:firstLine="480" w:firstLineChars="200"/>
        <w:rPr>
          <w:rFonts w:hint="eastAsia" w:eastAsia="宋体" w:cs="宋体"/>
          <w:snapToGrid w:val="0"/>
        </w:rPr>
      </w:pPr>
      <w:r>
        <w:rPr>
          <w:rFonts w:hint="eastAsia" w:eastAsia="宋体" w:cs="宋体"/>
          <w:snapToGrid w:val="0"/>
        </w:rPr>
        <w:t>1.7 联络</w:t>
      </w:r>
    </w:p>
    <w:p w14:paraId="00F27AB8">
      <w:pPr>
        <w:pStyle w:val="403"/>
        <w:spacing w:line="460" w:lineRule="exact"/>
        <w:ind w:firstLine="480" w:firstLineChars="200"/>
        <w:rPr>
          <w:rFonts w:hint="eastAsia" w:eastAsia="宋体" w:cs="宋体"/>
          <w:snapToGrid w:val="0"/>
        </w:rPr>
      </w:pPr>
      <w:r>
        <w:rPr>
          <w:rFonts w:hint="eastAsia" w:eastAsia="宋体" w:cs="宋体"/>
          <w:snapToGrid w:val="0"/>
        </w:rPr>
        <w:t>1.7.2发包人、监理人的发函和答复由承包人项目经理签收，送达地点为承包人项目经理部。如承包人拒绝签收，监理人可在签收回执上注明相关情况及原因，并由发包人现场工程师签字证明，并将函件放置于承包人项目经理部即视为送达。</w:t>
      </w:r>
    </w:p>
    <w:p w14:paraId="2099BCF6">
      <w:pPr>
        <w:pStyle w:val="403"/>
        <w:spacing w:line="460" w:lineRule="exact"/>
        <w:ind w:firstLine="480" w:firstLineChars="200"/>
        <w:rPr>
          <w:rFonts w:hint="eastAsia" w:eastAsia="宋体" w:cs="宋体"/>
          <w:snapToGrid w:val="0"/>
        </w:rPr>
      </w:pPr>
      <w:bookmarkStart w:id="1476" w:name="_Toc528255602"/>
      <w:bookmarkStart w:id="1477" w:name="_Toc68594903"/>
      <w:r>
        <w:rPr>
          <w:rFonts w:hint="eastAsia" w:eastAsia="宋体" w:cs="宋体"/>
          <w:snapToGrid w:val="0"/>
        </w:rPr>
        <w:t>1.13 发包人要求中的错误（B）</w:t>
      </w:r>
      <w:bookmarkEnd w:id="1476"/>
      <w:bookmarkEnd w:id="1477"/>
    </w:p>
    <w:p w14:paraId="14E6588F">
      <w:pPr>
        <w:pStyle w:val="403"/>
        <w:spacing w:line="460" w:lineRule="exact"/>
        <w:ind w:firstLine="480" w:firstLineChars="200"/>
        <w:rPr>
          <w:rFonts w:hint="eastAsia" w:eastAsia="宋体" w:cs="宋体"/>
          <w:snapToGrid w:val="0"/>
        </w:rPr>
      </w:pPr>
      <w:r>
        <w:rPr>
          <w:rFonts w:hint="eastAsia" w:eastAsia="宋体" w:cs="宋体"/>
          <w:snapToGrid w:val="0"/>
        </w:rPr>
        <w:t>1.13.3“发包人要求中的下列错误导致承包人增加的费用和（或）延误的工期，由发包人承担，并向承包人支付合理利润”修改为“发包人要求中的错误按工程变更处理，其余责任由承包人自行承担”。</w:t>
      </w:r>
    </w:p>
    <w:p w14:paraId="0C59062B">
      <w:pPr>
        <w:pStyle w:val="5"/>
        <w:spacing w:before="360" w:after="120" w:afterLines="50" w:line="480" w:lineRule="exact"/>
        <w:rPr>
          <w:rFonts w:hint="eastAsia" w:ascii="宋体" w:hAnsi="宋体" w:eastAsia="宋体" w:cs="宋体"/>
          <w:bCs/>
          <w:sz w:val="28"/>
          <w:szCs w:val="28"/>
        </w:rPr>
      </w:pPr>
      <w:bookmarkStart w:id="1478" w:name="_Toc83220617"/>
      <w:bookmarkStart w:id="1479" w:name="_Toc26896"/>
      <w:bookmarkStart w:id="1480" w:name="_Toc176268746"/>
      <w:bookmarkStart w:id="1481" w:name="_Toc528255603"/>
      <w:bookmarkStart w:id="1482" w:name="_Toc68594904"/>
      <w:bookmarkStart w:id="1483" w:name="_Toc198803813"/>
      <w:r>
        <w:rPr>
          <w:rFonts w:hint="eastAsia" w:ascii="宋体" w:hAnsi="宋体" w:eastAsia="宋体" w:cs="宋体"/>
          <w:bCs/>
          <w:sz w:val="28"/>
          <w:szCs w:val="28"/>
        </w:rPr>
        <w:t>2. 发包人义务</w:t>
      </w:r>
      <w:bookmarkEnd w:id="1478"/>
      <w:bookmarkEnd w:id="1479"/>
      <w:bookmarkEnd w:id="1480"/>
      <w:bookmarkEnd w:id="1481"/>
      <w:bookmarkEnd w:id="1482"/>
      <w:bookmarkEnd w:id="1483"/>
    </w:p>
    <w:p w14:paraId="1B4D38BF">
      <w:pPr>
        <w:pStyle w:val="403"/>
        <w:spacing w:line="460" w:lineRule="exact"/>
        <w:ind w:firstLine="480" w:firstLineChars="200"/>
        <w:rPr>
          <w:rFonts w:hint="eastAsia" w:eastAsia="宋体" w:cs="宋体"/>
          <w:snapToGrid w:val="0"/>
        </w:rPr>
      </w:pPr>
      <w:bookmarkStart w:id="1484" w:name="_Toc528255604"/>
      <w:bookmarkStart w:id="1485" w:name="_Toc68594905"/>
      <w:r>
        <w:rPr>
          <w:rFonts w:hint="eastAsia" w:eastAsia="宋体" w:cs="宋体"/>
          <w:snapToGrid w:val="0"/>
        </w:rPr>
        <w:t>2.3 提供施工场地</w:t>
      </w:r>
      <w:bookmarkEnd w:id="1484"/>
      <w:bookmarkEnd w:id="1485"/>
    </w:p>
    <w:p w14:paraId="6A4F022A">
      <w:pPr>
        <w:pStyle w:val="403"/>
        <w:spacing w:line="460" w:lineRule="exact"/>
        <w:ind w:firstLine="480" w:firstLineChars="200"/>
        <w:rPr>
          <w:rFonts w:hint="eastAsia" w:eastAsia="宋体" w:cs="宋体"/>
          <w:snapToGrid w:val="0"/>
        </w:rPr>
      </w:pPr>
      <w:r>
        <w:rPr>
          <w:rFonts w:hint="eastAsia" w:eastAsia="宋体" w:cs="宋体"/>
          <w:snapToGrid w:val="0"/>
        </w:rPr>
        <w:t>在监理人批准的施工总进度计划中要求提供用地时间的前3天提供施工图纸用地范围内施工用地。在不影响关键节点工期的前提下，发包人可以分批、分阶段前提供施工场地。</w:t>
      </w:r>
    </w:p>
    <w:p w14:paraId="2919B050">
      <w:pPr>
        <w:pStyle w:val="403"/>
        <w:spacing w:line="460" w:lineRule="exact"/>
        <w:ind w:firstLine="480" w:firstLineChars="200"/>
        <w:rPr>
          <w:rFonts w:hint="eastAsia" w:eastAsia="宋体" w:cs="宋体"/>
          <w:snapToGrid w:val="0"/>
        </w:rPr>
      </w:pPr>
      <w:bookmarkStart w:id="1486" w:name="_Toc68594906"/>
      <w:bookmarkStart w:id="1487" w:name="_Toc528255605"/>
      <w:r>
        <w:rPr>
          <w:rFonts w:hint="eastAsia" w:eastAsia="宋体" w:cs="宋体"/>
          <w:snapToGrid w:val="0"/>
        </w:rPr>
        <w:t>2.4 办理证件和批件</w:t>
      </w:r>
      <w:bookmarkEnd w:id="1486"/>
      <w:bookmarkEnd w:id="1487"/>
    </w:p>
    <w:p w14:paraId="05A30F68">
      <w:pPr>
        <w:pStyle w:val="403"/>
        <w:spacing w:line="460" w:lineRule="exact"/>
        <w:ind w:firstLine="480" w:firstLineChars="200"/>
        <w:rPr>
          <w:rFonts w:hint="eastAsia" w:eastAsia="宋体" w:cs="宋体"/>
          <w:snapToGrid w:val="0"/>
        </w:rPr>
      </w:pPr>
      <w:r>
        <w:rPr>
          <w:rFonts w:hint="eastAsia" w:eastAsia="宋体" w:cs="宋体"/>
          <w:snapToGrid w:val="0"/>
        </w:rPr>
        <w:t>对于按规定应由发包人办理各类审批、核准或备案手续，承包人应主动提出使用时间计划并积极协助发包人协调，以便于保证项目工期。</w:t>
      </w:r>
    </w:p>
    <w:p w14:paraId="628A7DED">
      <w:pPr>
        <w:pStyle w:val="403"/>
        <w:spacing w:line="460" w:lineRule="exact"/>
        <w:ind w:firstLine="480" w:firstLineChars="200"/>
        <w:rPr>
          <w:rFonts w:hint="eastAsia" w:eastAsia="宋体" w:cs="宋体"/>
          <w:snapToGrid w:val="0"/>
        </w:rPr>
      </w:pPr>
      <w:bookmarkStart w:id="1488" w:name="_Toc528255606"/>
      <w:bookmarkStart w:id="1489" w:name="_Toc68594907"/>
      <w:r>
        <w:rPr>
          <w:rFonts w:hint="eastAsia" w:eastAsia="宋体" w:cs="宋体"/>
          <w:snapToGrid w:val="0"/>
        </w:rPr>
        <w:t>2.5 支付合同价款</w:t>
      </w:r>
      <w:bookmarkEnd w:id="1488"/>
      <w:bookmarkEnd w:id="1489"/>
    </w:p>
    <w:p w14:paraId="091E69DA">
      <w:pPr>
        <w:pStyle w:val="403"/>
        <w:spacing w:line="460" w:lineRule="exact"/>
        <w:ind w:firstLine="480" w:firstLineChars="200"/>
        <w:rPr>
          <w:rFonts w:hint="eastAsia" w:eastAsia="宋体" w:cs="宋体"/>
          <w:snapToGrid w:val="0"/>
        </w:rPr>
      </w:pPr>
      <w:r>
        <w:rPr>
          <w:rFonts w:hint="eastAsia" w:eastAsia="宋体" w:cs="宋体"/>
          <w:snapToGrid w:val="0"/>
        </w:rPr>
        <w:t>本款双方约定为：发包人按合同约定支付合同价款，发包人无需提供支付担保。</w:t>
      </w:r>
    </w:p>
    <w:p w14:paraId="6033039C">
      <w:pPr>
        <w:pStyle w:val="403"/>
        <w:spacing w:line="460" w:lineRule="exact"/>
        <w:ind w:firstLine="480" w:firstLineChars="200"/>
        <w:rPr>
          <w:rFonts w:hint="eastAsia" w:eastAsia="宋体" w:cs="宋体"/>
          <w:snapToGrid w:val="0"/>
        </w:rPr>
      </w:pPr>
      <w:bookmarkStart w:id="1490" w:name="_Toc68594908"/>
      <w:bookmarkStart w:id="1491" w:name="_Toc528255607"/>
      <w:r>
        <w:rPr>
          <w:rFonts w:hint="eastAsia" w:eastAsia="宋体" w:cs="宋体"/>
          <w:snapToGrid w:val="0"/>
        </w:rPr>
        <w:t>2.7 其他义务</w:t>
      </w:r>
      <w:bookmarkEnd w:id="1490"/>
      <w:bookmarkEnd w:id="1491"/>
    </w:p>
    <w:p w14:paraId="7CD95ACE">
      <w:pPr>
        <w:pStyle w:val="403"/>
        <w:spacing w:line="460" w:lineRule="exact"/>
        <w:ind w:firstLine="480" w:firstLineChars="200"/>
        <w:rPr>
          <w:rFonts w:hint="eastAsia" w:eastAsia="宋体" w:cs="宋体"/>
          <w:snapToGrid w:val="0"/>
        </w:rPr>
      </w:pPr>
      <w:r>
        <w:rPr>
          <w:rFonts w:hint="eastAsia" w:eastAsia="宋体" w:cs="宋体"/>
          <w:snapToGrid w:val="0"/>
        </w:rPr>
        <w:t>无。</w:t>
      </w:r>
    </w:p>
    <w:p w14:paraId="1A615D37">
      <w:pPr>
        <w:pStyle w:val="5"/>
        <w:spacing w:before="360" w:after="120" w:afterLines="50" w:line="480" w:lineRule="exact"/>
        <w:rPr>
          <w:rFonts w:hint="eastAsia" w:ascii="宋体" w:hAnsi="宋体" w:eastAsia="宋体" w:cs="宋体"/>
          <w:bCs/>
          <w:sz w:val="28"/>
          <w:szCs w:val="28"/>
        </w:rPr>
      </w:pPr>
      <w:bookmarkStart w:id="1492" w:name="_Toc176268747"/>
      <w:bookmarkStart w:id="1493" w:name="_Toc27465"/>
      <w:bookmarkStart w:id="1494" w:name="_Toc83220618"/>
      <w:bookmarkStart w:id="1495" w:name="_Toc198803814"/>
      <w:r>
        <w:rPr>
          <w:rFonts w:hint="eastAsia" w:ascii="宋体" w:hAnsi="宋体" w:eastAsia="宋体" w:cs="宋体"/>
          <w:bCs/>
          <w:sz w:val="28"/>
          <w:szCs w:val="28"/>
        </w:rPr>
        <w:t>3. 监理人</w:t>
      </w:r>
      <w:bookmarkEnd w:id="1492"/>
      <w:bookmarkEnd w:id="1493"/>
      <w:bookmarkEnd w:id="1494"/>
      <w:bookmarkEnd w:id="1495"/>
    </w:p>
    <w:p w14:paraId="09D840CF">
      <w:pPr>
        <w:pStyle w:val="403"/>
        <w:spacing w:line="460" w:lineRule="exact"/>
        <w:ind w:firstLine="480" w:firstLineChars="200"/>
        <w:rPr>
          <w:rFonts w:hint="eastAsia" w:eastAsia="宋体" w:cs="宋体"/>
          <w:snapToGrid w:val="0"/>
        </w:rPr>
      </w:pPr>
      <w:bookmarkStart w:id="1496" w:name="_Toc528255608"/>
      <w:bookmarkStart w:id="1497" w:name="_Toc68594909"/>
      <w:r>
        <w:rPr>
          <w:rFonts w:hint="eastAsia" w:eastAsia="宋体" w:cs="宋体"/>
          <w:snapToGrid w:val="0"/>
        </w:rPr>
        <w:t>3.1 监理人的职责和权力</w:t>
      </w:r>
      <w:bookmarkEnd w:id="1496"/>
      <w:bookmarkEnd w:id="1497"/>
    </w:p>
    <w:p w14:paraId="1DBAACEF">
      <w:pPr>
        <w:pStyle w:val="403"/>
        <w:spacing w:line="460" w:lineRule="exact"/>
        <w:ind w:firstLine="480" w:firstLineChars="200"/>
        <w:rPr>
          <w:rFonts w:hint="eastAsia" w:eastAsia="宋体" w:cs="宋体"/>
          <w:snapToGrid w:val="0"/>
        </w:rPr>
      </w:pPr>
      <w:r>
        <w:rPr>
          <w:rFonts w:hint="eastAsia" w:eastAsia="宋体" w:cs="宋体"/>
          <w:snapToGrid w:val="0"/>
        </w:rPr>
        <w:t>3.1.1 监理人在行使下列权力前，必须得到发包人的批准：</w:t>
      </w:r>
    </w:p>
    <w:p w14:paraId="188ABD5E">
      <w:pPr>
        <w:pStyle w:val="403"/>
        <w:spacing w:line="460" w:lineRule="exact"/>
        <w:ind w:firstLine="480" w:firstLineChars="200"/>
        <w:rPr>
          <w:rFonts w:hint="eastAsia" w:eastAsia="宋体" w:cs="宋体"/>
          <w:snapToGrid w:val="0"/>
        </w:rPr>
      </w:pPr>
      <w:r>
        <w:rPr>
          <w:rFonts w:hint="eastAsia" w:eastAsia="宋体" w:cs="宋体"/>
          <w:snapToGrid w:val="0"/>
        </w:rPr>
        <w:t>（1）确定延长完工期限。</w:t>
      </w:r>
    </w:p>
    <w:p w14:paraId="28E6BF69">
      <w:pPr>
        <w:pStyle w:val="403"/>
        <w:spacing w:line="460" w:lineRule="exact"/>
        <w:ind w:firstLine="480" w:firstLineChars="200"/>
        <w:rPr>
          <w:rFonts w:hint="eastAsia" w:eastAsia="宋体" w:cs="宋体"/>
          <w:snapToGrid w:val="0"/>
        </w:rPr>
      </w:pPr>
      <w:r>
        <w:rPr>
          <w:rFonts w:hint="eastAsia" w:eastAsia="宋体" w:cs="宋体"/>
          <w:snapToGrid w:val="0"/>
        </w:rPr>
        <w:t>（2）作出变更决定及审批变更金额。</w:t>
      </w:r>
    </w:p>
    <w:p w14:paraId="729B2633">
      <w:pPr>
        <w:pStyle w:val="403"/>
        <w:spacing w:line="460" w:lineRule="exact"/>
        <w:ind w:firstLine="480" w:firstLineChars="200"/>
        <w:rPr>
          <w:rFonts w:hint="eastAsia" w:eastAsia="宋体" w:cs="宋体"/>
          <w:snapToGrid w:val="0"/>
        </w:rPr>
      </w:pPr>
      <w:r>
        <w:rPr>
          <w:rFonts w:hint="eastAsia" w:eastAsia="宋体" w:cs="宋体"/>
          <w:snapToGrid w:val="0"/>
        </w:rPr>
        <w:t>（3）批准承包人更换施工负责人、技术负责人、设计负责人、主要设计及施工管理及技术人员。</w:t>
      </w:r>
    </w:p>
    <w:p w14:paraId="7485BAD4">
      <w:pPr>
        <w:pStyle w:val="403"/>
        <w:spacing w:line="460" w:lineRule="exact"/>
        <w:ind w:firstLine="480" w:firstLineChars="200"/>
        <w:rPr>
          <w:rFonts w:hint="eastAsia" w:eastAsia="宋体" w:cs="宋体"/>
          <w:snapToGrid w:val="0"/>
        </w:rPr>
      </w:pPr>
      <w:r>
        <w:rPr>
          <w:rFonts w:hint="eastAsia" w:eastAsia="宋体" w:cs="宋体"/>
          <w:snapToGrid w:val="0"/>
        </w:rPr>
        <w:t>（4）在合同履行期间，发包人有权根据具体情况调整监理人需经发包人批准的权力范围并通知承包人。</w:t>
      </w:r>
    </w:p>
    <w:p w14:paraId="7AE4E371">
      <w:pPr>
        <w:pStyle w:val="403"/>
        <w:spacing w:line="460" w:lineRule="exact"/>
        <w:ind w:firstLine="480" w:firstLineChars="200"/>
        <w:rPr>
          <w:rFonts w:hint="eastAsia" w:eastAsia="宋体" w:cs="宋体"/>
          <w:snapToGrid w:val="0"/>
        </w:rPr>
      </w:pPr>
      <w:r>
        <w:rPr>
          <w:rFonts w:hint="eastAsia" w:eastAsia="宋体" w:cs="宋体"/>
          <w:snapToGrid w:val="0"/>
        </w:rPr>
        <w:t>尽管有以上规定，但当监理人认为出现了危及生命、工程或毗邻财产等安全的紧急事件时，在不免除合同规定的承包人责任的情况下，监理人可以指示承包人实施为消除或减少这种危险所必须进行的工作，即使没有发包人的事先批准，承包人也应立即遵照执行。监理人应按合同规定计算相应增加的费用，并通知承包人。</w:t>
      </w:r>
    </w:p>
    <w:p w14:paraId="25E657F9">
      <w:pPr>
        <w:pStyle w:val="403"/>
        <w:spacing w:line="460" w:lineRule="exact"/>
        <w:ind w:firstLine="480" w:firstLineChars="200"/>
        <w:rPr>
          <w:rFonts w:hint="eastAsia" w:eastAsia="宋体" w:cs="宋体"/>
          <w:snapToGrid w:val="0"/>
        </w:rPr>
      </w:pPr>
      <w:r>
        <w:rPr>
          <w:rFonts w:hint="eastAsia" w:eastAsia="宋体" w:cs="宋体"/>
          <w:snapToGrid w:val="0"/>
        </w:rPr>
        <w:t>关于监理人的具体监理内容、监理权限，按发包人与监理人的监理合同要求执行。</w:t>
      </w:r>
    </w:p>
    <w:p w14:paraId="220CA2CA">
      <w:pPr>
        <w:pStyle w:val="5"/>
        <w:spacing w:before="360" w:after="120" w:afterLines="50" w:line="480" w:lineRule="exact"/>
        <w:rPr>
          <w:rFonts w:hint="eastAsia" w:ascii="宋体" w:hAnsi="宋体" w:eastAsia="宋体" w:cs="宋体"/>
          <w:bCs/>
          <w:sz w:val="28"/>
          <w:szCs w:val="28"/>
        </w:rPr>
      </w:pPr>
      <w:bookmarkStart w:id="1498" w:name="_Toc8769"/>
      <w:bookmarkStart w:id="1499" w:name="_Toc83220619"/>
      <w:bookmarkStart w:id="1500" w:name="_Toc198803815"/>
      <w:bookmarkStart w:id="1501" w:name="_Toc176268748"/>
      <w:r>
        <w:rPr>
          <w:rFonts w:hint="eastAsia" w:ascii="宋体" w:hAnsi="宋体" w:eastAsia="宋体" w:cs="宋体"/>
          <w:bCs/>
          <w:sz w:val="28"/>
          <w:szCs w:val="28"/>
        </w:rPr>
        <w:t>4. 承包人</w:t>
      </w:r>
      <w:bookmarkEnd w:id="1498"/>
      <w:bookmarkEnd w:id="1499"/>
      <w:bookmarkEnd w:id="1500"/>
      <w:bookmarkEnd w:id="1501"/>
    </w:p>
    <w:p w14:paraId="5C73213F">
      <w:pPr>
        <w:pStyle w:val="403"/>
        <w:spacing w:line="460" w:lineRule="exact"/>
        <w:ind w:firstLine="480" w:firstLineChars="200"/>
        <w:rPr>
          <w:rFonts w:hint="eastAsia" w:eastAsia="宋体" w:cs="宋体"/>
          <w:snapToGrid w:val="0"/>
        </w:rPr>
      </w:pPr>
      <w:r>
        <w:rPr>
          <w:rFonts w:hint="eastAsia" w:eastAsia="宋体" w:cs="宋体"/>
          <w:snapToGrid w:val="0"/>
        </w:rPr>
        <w:t>4.1 承包人的一般义务</w:t>
      </w:r>
    </w:p>
    <w:p w14:paraId="7D64D27F">
      <w:pPr>
        <w:pStyle w:val="403"/>
        <w:spacing w:line="460" w:lineRule="exact"/>
        <w:ind w:firstLine="480" w:firstLineChars="200"/>
        <w:rPr>
          <w:rFonts w:hint="eastAsia" w:eastAsia="宋体" w:cs="宋体"/>
          <w:snapToGrid w:val="0"/>
        </w:rPr>
      </w:pPr>
      <w:r>
        <w:rPr>
          <w:rFonts w:hint="eastAsia" w:eastAsia="宋体" w:cs="宋体"/>
          <w:snapToGrid w:val="0"/>
        </w:rPr>
        <w:t>4.1.10 其他义务</w:t>
      </w:r>
    </w:p>
    <w:p w14:paraId="500D7B68">
      <w:pPr>
        <w:pStyle w:val="403"/>
        <w:spacing w:line="460" w:lineRule="exact"/>
        <w:ind w:firstLine="480" w:firstLineChars="200"/>
        <w:rPr>
          <w:rFonts w:hint="eastAsia" w:eastAsia="宋体" w:cs="宋体"/>
          <w:snapToGrid w:val="0"/>
        </w:rPr>
      </w:pPr>
      <w:r>
        <w:rPr>
          <w:rFonts w:hint="eastAsia" w:eastAsia="宋体" w:cs="宋体"/>
          <w:snapToGrid w:val="0"/>
        </w:rPr>
        <w:t>（1）在勘察设计及施工过程中要保护好临近建筑物和构筑物，如发现地下管线、地下文物等，应立即停止该部位施工并及时向监理人反映。对地下管线、地下文物及临近建筑物和构筑物等，谁损坏谁负责。由此导致的方案优化、调整由承包人承担，相关费用已在本合同设计费中考虑，项目业主与发包人不另行支付。</w:t>
      </w:r>
    </w:p>
    <w:p w14:paraId="08BB128B">
      <w:pPr>
        <w:pStyle w:val="403"/>
        <w:spacing w:line="460" w:lineRule="exact"/>
        <w:ind w:firstLine="480" w:firstLineChars="200"/>
        <w:rPr>
          <w:rFonts w:hint="eastAsia" w:eastAsia="宋体" w:cs="宋体"/>
          <w:snapToGrid w:val="0"/>
        </w:rPr>
      </w:pPr>
      <w:r>
        <w:rPr>
          <w:rFonts w:hint="eastAsia" w:eastAsia="宋体" w:cs="宋体"/>
          <w:snapToGrid w:val="0"/>
        </w:rPr>
        <w:t>（2）自行解决施工临时用水、用电、施工物料垂直运输等问题，发包人可以予以协助。</w:t>
      </w:r>
    </w:p>
    <w:p w14:paraId="0113CC63">
      <w:pPr>
        <w:pStyle w:val="403"/>
        <w:spacing w:line="460" w:lineRule="exact"/>
        <w:ind w:firstLine="480" w:firstLineChars="200"/>
        <w:rPr>
          <w:rFonts w:hint="eastAsia" w:eastAsia="宋体" w:cs="宋体"/>
          <w:snapToGrid w:val="0"/>
        </w:rPr>
      </w:pPr>
      <w:r>
        <w:rPr>
          <w:rFonts w:hint="eastAsia" w:eastAsia="宋体" w:cs="宋体"/>
          <w:snapToGrid w:val="0"/>
        </w:rPr>
        <w:t>（3）承包人应与其雇用人员签订雇用合同按时发放工资，不许无故拖欠或克扣所雇用人员工资。否则，发包人将有权采取必要措施进行处理。</w:t>
      </w:r>
    </w:p>
    <w:p w14:paraId="45731DDE">
      <w:pPr>
        <w:pStyle w:val="403"/>
        <w:spacing w:line="460" w:lineRule="exact"/>
        <w:ind w:firstLine="480" w:firstLineChars="200"/>
        <w:rPr>
          <w:rFonts w:hint="eastAsia" w:eastAsia="宋体" w:cs="宋体"/>
          <w:snapToGrid w:val="0"/>
        </w:rPr>
      </w:pPr>
      <w:r>
        <w:rPr>
          <w:rFonts w:hint="eastAsia" w:eastAsia="宋体" w:cs="宋体"/>
          <w:snapToGrid w:val="0"/>
        </w:rPr>
        <w:t>（4）办理设计、施工相关手续。负责按当地政府要求办理在设计、施工各阶段应由设计单位、施工单位办理的有关证件。</w:t>
      </w:r>
    </w:p>
    <w:p w14:paraId="499455E5">
      <w:pPr>
        <w:pStyle w:val="403"/>
        <w:spacing w:line="460" w:lineRule="exact"/>
        <w:ind w:firstLine="480" w:firstLineChars="200"/>
        <w:rPr>
          <w:rFonts w:hint="eastAsia" w:eastAsia="宋体" w:cs="宋体"/>
          <w:snapToGrid w:val="0"/>
        </w:rPr>
      </w:pPr>
      <w:r>
        <w:rPr>
          <w:rFonts w:hint="eastAsia" w:eastAsia="宋体" w:cs="宋体"/>
          <w:snapToGrid w:val="0"/>
        </w:rPr>
        <w:t>（5）承包人有义务配合发包人完成上级主管部门和其他政府部门、社会团体对本工程的检查。</w:t>
      </w:r>
    </w:p>
    <w:p w14:paraId="7C925BA9">
      <w:pPr>
        <w:pStyle w:val="403"/>
        <w:spacing w:line="460" w:lineRule="exact"/>
        <w:ind w:firstLine="480" w:firstLineChars="200"/>
        <w:rPr>
          <w:rFonts w:hint="eastAsia" w:eastAsia="宋体" w:cs="宋体"/>
          <w:snapToGrid w:val="0"/>
        </w:rPr>
      </w:pPr>
      <w:r>
        <w:rPr>
          <w:rFonts w:hint="eastAsia" w:eastAsia="宋体" w:cs="宋体"/>
          <w:snapToGrid w:val="0"/>
        </w:rPr>
        <w:t>（6）临时征地复原：承包人施工完毕后，应按要求使施工中使用过的道路及临时道路恢复原貌。</w:t>
      </w:r>
    </w:p>
    <w:p w14:paraId="50D033EF">
      <w:pPr>
        <w:pStyle w:val="403"/>
        <w:spacing w:line="460" w:lineRule="exact"/>
        <w:ind w:firstLine="480" w:firstLineChars="200"/>
        <w:rPr>
          <w:rFonts w:hint="eastAsia" w:eastAsia="宋体" w:cs="宋体"/>
          <w:snapToGrid w:val="0"/>
        </w:rPr>
      </w:pPr>
      <w:r>
        <w:rPr>
          <w:rFonts w:hint="eastAsia" w:eastAsia="宋体" w:cs="宋体"/>
          <w:snapToGrid w:val="0"/>
        </w:rPr>
        <w:t>（7）承包人应按约定时间和要求，完成以下工作：</w:t>
      </w:r>
    </w:p>
    <w:p w14:paraId="436FF40C">
      <w:pPr>
        <w:pStyle w:val="403"/>
        <w:spacing w:line="460" w:lineRule="exact"/>
        <w:ind w:firstLine="480" w:firstLineChars="200"/>
        <w:rPr>
          <w:rFonts w:hint="eastAsia" w:eastAsia="宋体" w:cs="宋体"/>
          <w:snapToGrid w:val="0"/>
        </w:rPr>
      </w:pPr>
      <w:r>
        <w:rPr>
          <w:rFonts w:hint="eastAsia" w:eastAsia="宋体" w:cs="宋体"/>
          <w:snapToGrid w:val="0"/>
        </w:rPr>
        <w:t>承包人须于每月最后一日向总监理工程师提供如下计划、报表，经监理人审核后，报发包人批准后实施：</w:t>
      </w:r>
    </w:p>
    <w:p w14:paraId="56FE938C">
      <w:pPr>
        <w:pStyle w:val="403"/>
        <w:spacing w:line="460" w:lineRule="exact"/>
        <w:ind w:firstLine="480" w:firstLineChars="200"/>
        <w:rPr>
          <w:rFonts w:hint="eastAsia" w:eastAsia="宋体" w:cs="宋体"/>
          <w:snapToGrid w:val="0"/>
        </w:rPr>
      </w:pPr>
      <w:r>
        <w:rPr>
          <w:rFonts w:hint="eastAsia" w:eastAsia="宋体" w:cs="宋体"/>
          <w:snapToGrid w:val="0"/>
        </w:rPr>
        <w:t>A、当月应完成的工程进度和实际完成进度统计报表一式四份（说明提前或拖延原因）（时间从上月最后1日至当月最后一日的前一日）；</w:t>
      </w:r>
    </w:p>
    <w:p w14:paraId="1B1678C1">
      <w:pPr>
        <w:pStyle w:val="403"/>
        <w:spacing w:line="460" w:lineRule="exact"/>
        <w:ind w:firstLine="480" w:firstLineChars="200"/>
        <w:rPr>
          <w:rFonts w:hint="eastAsia" w:eastAsia="宋体" w:cs="宋体"/>
          <w:snapToGrid w:val="0"/>
        </w:rPr>
      </w:pPr>
      <w:r>
        <w:rPr>
          <w:rFonts w:hint="eastAsia" w:eastAsia="宋体" w:cs="宋体"/>
          <w:snapToGrid w:val="0"/>
        </w:rPr>
        <w:t>B、当月完成的工程量申报，要求分细项申报，并有完成金额一式四份（时间从上月最后1日至当月最后一日的前一日）；</w:t>
      </w:r>
    </w:p>
    <w:p w14:paraId="3FC6695D">
      <w:pPr>
        <w:pStyle w:val="403"/>
        <w:spacing w:line="460" w:lineRule="exact"/>
        <w:ind w:firstLine="480" w:firstLineChars="200"/>
        <w:rPr>
          <w:rFonts w:hint="eastAsia" w:eastAsia="宋体" w:cs="宋体"/>
          <w:snapToGrid w:val="0"/>
        </w:rPr>
      </w:pPr>
      <w:r>
        <w:rPr>
          <w:rFonts w:hint="eastAsia" w:eastAsia="宋体" w:cs="宋体"/>
          <w:snapToGrid w:val="0"/>
        </w:rPr>
        <w:t>C、下月资金使用计划一式四份（时间从下月1日至下月最后一日）；</w:t>
      </w:r>
    </w:p>
    <w:p w14:paraId="7018AB0E">
      <w:pPr>
        <w:pStyle w:val="403"/>
        <w:spacing w:line="460" w:lineRule="exact"/>
        <w:ind w:firstLine="480" w:firstLineChars="200"/>
        <w:rPr>
          <w:rFonts w:hint="eastAsia" w:eastAsia="宋体" w:cs="宋体"/>
          <w:snapToGrid w:val="0"/>
        </w:rPr>
      </w:pPr>
      <w:r>
        <w:rPr>
          <w:rFonts w:hint="eastAsia" w:eastAsia="宋体" w:cs="宋体"/>
          <w:snapToGrid w:val="0"/>
        </w:rPr>
        <w:t>D、下月施工进度计划一式四份（时间从下月1日至下月最后一日）；</w:t>
      </w:r>
    </w:p>
    <w:p w14:paraId="634AB3EA">
      <w:pPr>
        <w:pStyle w:val="403"/>
        <w:spacing w:line="460" w:lineRule="exact"/>
        <w:ind w:firstLine="480" w:firstLineChars="200"/>
        <w:rPr>
          <w:rFonts w:hint="eastAsia" w:eastAsia="宋体" w:cs="宋体"/>
          <w:snapToGrid w:val="0"/>
        </w:rPr>
      </w:pPr>
      <w:r>
        <w:rPr>
          <w:rFonts w:hint="eastAsia" w:eastAsia="宋体" w:cs="宋体"/>
          <w:snapToGrid w:val="0"/>
        </w:rPr>
        <w:t>E、下月施工拟投入设备、劳动力计划一式四份（时间从下月1日至下月最后一日）；</w:t>
      </w:r>
    </w:p>
    <w:p w14:paraId="5F80DE06">
      <w:pPr>
        <w:pStyle w:val="403"/>
        <w:spacing w:line="460" w:lineRule="exact"/>
        <w:ind w:firstLine="480" w:firstLineChars="200"/>
        <w:rPr>
          <w:rFonts w:hint="eastAsia" w:eastAsia="宋体" w:cs="宋体"/>
          <w:snapToGrid w:val="0"/>
        </w:rPr>
      </w:pPr>
      <w:r>
        <w:rPr>
          <w:rFonts w:hint="eastAsia" w:eastAsia="宋体" w:cs="宋体"/>
          <w:snapToGrid w:val="0"/>
        </w:rPr>
        <w:t>F、当月工程质量、安全生产、文明施工情况报告一式四份（时间从上月最后1日至当月最后一日的前一日）；</w:t>
      </w:r>
    </w:p>
    <w:p w14:paraId="1F5D49E1">
      <w:pPr>
        <w:pStyle w:val="403"/>
        <w:spacing w:line="460" w:lineRule="exact"/>
        <w:ind w:firstLine="480" w:firstLineChars="200"/>
        <w:rPr>
          <w:rFonts w:hint="eastAsia" w:eastAsia="宋体" w:cs="宋体"/>
          <w:snapToGrid w:val="0"/>
        </w:rPr>
      </w:pPr>
      <w:r>
        <w:rPr>
          <w:rFonts w:hint="eastAsia" w:eastAsia="宋体" w:cs="宋体"/>
          <w:snapToGrid w:val="0"/>
        </w:rPr>
        <w:t xml:space="preserve">G、承包人负责向发包人提供工程事故报告一式四份（如果发生时）。 </w:t>
      </w:r>
    </w:p>
    <w:p w14:paraId="6B180397">
      <w:pPr>
        <w:pStyle w:val="403"/>
        <w:spacing w:line="460" w:lineRule="exact"/>
        <w:ind w:firstLine="480" w:firstLineChars="200"/>
        <w:rPr>
          <w:rFonts w:hint="eastAsia" w:eastAsia="宋体" w:cs="宋体"/>
          <w:snapToGrid w:val="0"/>
        </w:rPr>
      </w:pPr>
      <w:r>
        <w:rPr>
          <w:rFonts w:hint="eastAsia" w:eastAsia="宋体" w:cs="宋体"/>
          <w:snapToGrid w:val="0"/>
        </w:rPr>
        <w:t>上述计划、报表的具体格式，先由承包人提出格式建议，经监理人和发包人调整后按统一格式执行。</w:t>
      </w:r>
    </w:p>
    <w:p w14:paraId="55C33C87">
      <w:pPr>
        <w:pStyle w:val="403"/>
        <w:spacing w:line="460" w:lineRule="exact"/>
        <w:ind w:firstLine="480" w:firstLineChars="200"/>
        <w:rPr>
          <w:rFonts w:hint="eastAsia" w:eastAsia="宋体" w:cs="宋体"/>
          <w:snapToGrid w:val="0"/>
        </w:rPr>
      </w:pPr>
      <w:r>
        <w:rPr>
          <w:rFonts w:hint="eastAsia" w:eastAsia="宋体" w:cs="宋体"/>
          <w:snapToGrid w:val="0"/>
        </w:rPr>
        <w:t>（8）根据工程需要，承包人应提供和维修有关白天或夜间施工使用的照明、围栏设施，并负责安全保卫。若承包人未履行上述义务造成工程、财产、人身损害等，由承包人承担责任及因此所发生的一切费用。</w:t>
      </w:r>
    </w:p>
    <w:p w14:paraId="3A5C7FED">
      <w:pPr>
        <w:pStyle w:val="403"/>
        <w:spacing w:line="460" w:lineRule="exact"/>
        <w:ind w:firstLine="480" w:firstLineChars="200"/>
        <w:rPr>
          <w:rFonts w:hint="eastAsia" w:eastAsia="宋体" w:cs="宋体"/>
          <w:snapToGrid w:val="0"/>
        </w:rPr>
      </w:pPr>
      <w:r>
        <w:rPr>
          <w:rFonts w:hint="eastAsia" w:eastAsia="宋体" w:cs="宋体"/>
          <w:snapToGrid w:val="0"/>
        </w:rPr>
        <w:t>（9）在承包人进场后至整体工程移交前，负责工程施工场地安全和文明施工管理，承担有关安全保卫义务，要求符合当地有关安全生产、文明施工的相关规定。</w:t>
      </w:r>
    </w:p>
    <w:p w14:paraId="579ACB17">
      <w:pPr>
        <w:pStyle w:val="403"/>
        <w:spacing w:line="460" w:lineRule="exact"/>
        <w:ind w:firstLine="480" w:firstLineChars="200"/>
        <w:rPr>
          <w:rFonts w:hint="eastAsia" w:eastAsia="宋体" w:cs="宋体"/>
          <w:snapToGrid w:val="0"/>
        </w:rPr>
      </w:pPr>
      <w:r>
        <w:rPr>
          <w:rFonts w:hint="eastAsia" w:eastAsia="宋体" w:cs="宋体"/>
          <w:snapToGrid w:val="0"/>
        </w:rPr>
        <w:t>（10）未移交发包人使用前，对已完工工程的保护工作及费用均由承包人负责，发生损坏由承包人自费修复。</w:t>
      </w:r>
    </w:p>
    <w:p w14:paraId="0B424019">
      <w:pPr>
        <w:pStyle w:val="403"/>
        <w:spacing w:line="460" w:lineRule="exact"/>
        <w:ind w:firstLine="480" w:firstLineChars="200"/>
        <w:rPr>
          <w:rFonts w:hint="eastAsia" w:eastAsia="宋体" w:cs="宋体"/>
          <w:snapToGrid w:val="0"/>
        </w:rPr>
      </w:pPr>
      <w:r>
        <w:rPr>
          <w:rFonts w:hint="eastAsia" w:eastAsia="宋体" w:cs="宋体"/>
          <w:snapToGrid w:val="0"/>
        </w:rPr>
        <w:t>（11）承包人须按发包人批准的施工组织设计进行施工现场布置、放置材料机械及其他设施，及时将施工垃圾、余泥运出场外，达到省、市文明施工样板工地标准，保证施工场地清洁符合环境卫生管理的有关规定；承包人须配合发包人做好各项迎检工作,对场地进行清扫和布置。</w:t>
      </w:r>
    </w:p>
    <w:p w14:paraId="1D73582C">
      <w:pPr>
        <w:pStyle w:val="403"/>
        <w:spacing w:line="460" w:lineRule="exact"/>
        <w:ind w:firstLine="480" w:firstLineChars="200"/>
        <w:rPr>
          <w:rFonts w:hint="eastAsia" w:eastAsia="宋体" w:cs="宋体"/>
          <w:snapToGrid w:val="0"/>
        </w:rPr>
      </w:pPr>
      <w:r>
        <w:rPr>
          <w:rFonts w:hint="eastAsia" w:eastAsia="宋体" w:cs="宋体"/>
          <w:snapToGrid w:val="0"/>
        </w:rPr>
        <w:t>（12）交工前清理现场要求：工程完工验收后10天内，承包人应对施工场地进行清理。</w:t>
      </w:r>
    </w:p>
    <w:p w14:paraId="16085CF7">
      <w:pPr>
        <w:pStyle w:val="403"/>
        <w:spacing w:line="460" w:lineRule="exact"/>
        <w:ind w:firstLine="480" w:firstLineChars="200"/>
        <w:rPr>
          <w:rFonts w:hint="eastAsia" w:eastAsia="宋体" w:cs="宋体"/>
          <w:snapToGrid w:val="0"/>
        </w:rPr>
      </w:pPr>
      <w:r>
        <w:rPr>
          <w:rFonts w:hint="eastAsia" w:eastAsia="宋体" w:cs="宋体"/>
          <w:snapToGrid w:val="0"/>
        </w:rPr>
        <w:t>（13）严格遵守国家、省、市有关防火、爆破和施工安全以及文明施工、夜间施工、环卫和城管等规定，建立规章制度和防护措施，并承担由于自身措施不力造成事故的责任和发生的费用。</w:t>
      </w:r>
    </w:p>
    <w:p w14:paraId="7B8312AC">
      <w:pPr>
        <w:pStyle w:val="403"/>
        <w:spacing w:line="460" w:lineRule="exact"/>
        <w:ind w:firstLine="480" w:firstLineChars="200"/>
        <w:rPr>
          <w:rFonts w:hint="eastAsia" w:eastAsia="宋体" w:cs="宋体"/>
          <w:snapToGrid w:val="0"/>
        </w:rPr>
      </w:pPr>
      <w:r>
        <w:rPr>
          <w:rFonts w:hint="eastAsia" w:eastAsia="宋体" w:cs="宋体"/>
          <w:snapToGrid w:val="0"/>
        </w:rPr>
        <w:t>（14）对于承包人所雇用的工人出现的伤亡事故或损失，应由承包人自行负责，对于这类伤亡或损失，发包人不负责任，不负担涉及这类伤亡或损失的索赔、诉讼、损害赔偿及其它费用。</w:t>
      </w:r>
      <w:bookmarkStart w:id="1502" w:name="_Toc519583858"/>
      <w:bookmarkStart w:id="1503" w:name="_Toc535252420"/>
    </w:p>
    <w:bookmarkEnd w:id="1502"/>
    <w:bookmarkEnd w:id="1503"/>
    <w:p w14:paraId="14258DD2">
      <w:pPr>
        <w:pStyle w:val="403"/>
        <w:spacing w:line="460" w:lineRule="exact"/>
        <w:ind w:firstLine="480" w:firstLineChars="200"/>
        <w:rPr>
          <w:rFonts w:hint="eastAsia" w:eastAsia="宋体" w:cs="宋体"/>
          <w:snapToGrid w:val="0"/>
        </w:rPr>
      </w:pPr>
      <w:r>
        <w:rPr>
          <w:rFonts w:hint="eastAsia" w:eastAsia="宋体" w:cs="宋体"/>
          <w:snapToGrid w:val="0"/>
        </w:rPr>
        <w:t>（15）承包人应当清楚地预计到施工期间对外界可能产生的必需的不可能避免的干扰，并为此保证主动努力减少这些干扰对外界的影响，且应当积极主动与外界进行协调。</w:t>
      </w:r>
    </w:p>
    <w:p w14:paraId="41D64A65">
      <w:pPr>
        <w:pStyle w:val="403"/>
        <w:spacing w:line="460" w:lineRule="exact"/>
        <w:ind w:firstLine="480" w:firstLineChars="200"/>
        <w:rPr>
          <w:rFonts w:hint="eastAsia" w:eastAsia="宋体" w:cs="宋体"/>
          <w:snapToGrid w:val="0"/>
        </w:rPr>
      </w:pPr>
      <w:r>
        <w:rPr>
          <w:rFonts w:hint="eastAsia" w:eastAsia="宋体" w:cs="宋体"/>
          <w:snapToGrid w:val="0"/>
        </w:rPr>
        <w:t>（16）承包人应在合同签订的同时，与发包人签订《工程建设项目廉政责任书》。</w:t>
      </w:r>
    </w:p>
    <w:p w14:paraId="034602A8">
      <w:pPr>
        <w:pStyle w:val="403"/>
        <w:spacing w:line="460" w:lineRule="exact"/>
        <w:ind w:firstLine="480" w:firstLineChars="200"/>
        <w:rPr>
          <w:rFonts w:hint="eastAsia" w:eastAsia="宋体" w:cs="宋体"/>
          <w:snapToGrid w:val="0"/>
        </w:rPr>
      </w:pPr>
      <w:r>
        <w:rPr>
          <w:rFonts w:hint="eastAsia" w:eastAsia="宋体" w:cs="宋体"/>
          <w:snapToGrid w:val="0"/>
        </w:rPr>
        <w:t>（17）承包人应当按照国家及广东省、广州市有关规定和本合同的有关约定加强参与本合同工程建设人员（包括农民工）的管理。</w:t>
      </w:r>
    </w:p>
    <w:p w14:paraId="77C9FB3E">
      <w:pPr>
        <w:pStyle w:val="403"/>
        <w:spacing w:line="460" w:lineRule="exact"/>
        <w:ind w:firstLine="480" w:firstLineChars="200"/>
        <w:rPr>
          <w:rFonts w:hint="eastAsia" w:eastAsia="宋体" w:cs="宋体"/>
          <w:snapToGrid w:val="0"/>
        </w:rPr>
      </w:pPr>
      <w:r>
        <w:rPr>
          <w:rFonts w:hint="eastAsia" w:eastAsia="宋体" w:cs="宋体"/>
          <w:snapToGrid w:val="0"/>
        </w:rPr>
        <w:t>（18）按时足额支付本合同工程建设人员（包括农民工）工资，满足《广州市根治拖欠农民工工资工作领导小组办公室关于广州市建设领域工程项目全面实施农民工工资总包代发制度的通知》及国务院《保障农民工工资支付条例》（国令第724号）相关规定要求。承包人如为联合体，联合体中的施工牵头方应统筹各成员方农民工工资发放及相关管理工作。</w:t>
      </w:r>
    </w:p>
    <w:p w14:paraId="45F2B687">
      <w:pPr>
        <w:pStyle w:val="403"/>
        <w:spacing w:line="460" w:lineRule="exact"/>
        <w:ind w:firstLine="480" w:firstLineChars="200"/>
        <w:rPr>
          <w:rFonts w:hint="eastAsia" w:eastAsia="宋体" w:cs="宋体"/>
          <w:snapToGrid w:val="0"/>
        </w:rPr>
      </w:pPr>
      <w:r>
        <w:rPr>
          <w:rFonts w:hint="eastAsia" w:eastAsia="宋体" w:cs="宋体"/>
          <w:snapToGrid w:val="0"/>
        </w:rPr>
        <w:t>1）承包人应当根据劳动合同约定的工人工资标准等内容，按照依法签订的集体合同或劳动合同约定的日期按月支付工资，并不得低于当地最低工资标准。</w:t>
      </w:r>
    </w:p>
    <w:p w14:paraId="59F54575">
      <w:pPr>
        <w:pStyle w:val="403"/>
        <w:spacing w:line="460" w:lineRule="exact"/>
        <w:ind w:firstLine="480" w:firstLineChars="200"/>
        <w:rPr>
          <w:rFonts w:hint="eastAsia" w:eastAsia="宋体" w:cs="宋体"/>
          <w:snapToGrid w:val="0"/>
        </w:rPr>
      </w:pPr>
      <w:r>
        <w:rPr>
          <w:rFonts w:hint="eastAsia" w:eastAsia="宋体" w:cs="宋体"/>
          <w:snapToGrid w:val="0"/>
        </w:rPr>
        <w:t>2）承包人支付工人工资应编制工资支付表，如实记录支付表，支付时间、支付对象、支付数额等工资支付情况，并保存备查。</w:t>
      </w:r>
    </w:p>
    <w:p w14:paraId="0113163D">
      <w:pPr>
        <w:pStyle w:val="403"/>
        <w:spacing w:line="460" w:lineRule="exact"/>
        <w:ind w:firstLine="480" w:firstLineChars="200"/>
        <w:rPr>
          <w:rFonts w:hint="eastAsia" w:eastAsia="宋体" w:cs="宋体"/>
          <w:snapToGrid w:val="0"/>
        </w:rPr>
      </w:pPr>
      <w:r>
        <w:rPr>
          <w:rFonts w:hint="eastAsia" w:eastAsia="宋体" w:cs="宋体"/>
          <w:snapToGrid w:val="0"/>
        </w:rPr>
        <w:t>3）承包人应对其专业分包或劳务分包单位工资支付进行监督，督促其依法支付工人工资。</w:t>
      </w:r>
    </w:p>
    <w:p w14:paraId="79385416">
      <w:pPr>
        <w:pStyle w:val="403"/>
        <w:spacing w:line="460" w:lineRule="exact"/>
        <w:ind w:firstLine="480" w:firstLineChars="200"/>
        <w:rPr>
          <w:rFonts w:hint="eastAsia" w:eastAsia="宋体" w:cs="宋体"/>
          <w:snapToGrid w:val="0"/>
        </w:rPr>
      </w:pPr>
      <w:r>
        <w:rPr>
          <w:rFonts w:hint="eastAsia" w:eastAsia="宋体" w:cs="宋体"/>
          <w:snapToGrid w:val="0"/>
        </w:rPr>
        <w:t>4）承包人应按上述要求及国家、地方有关规定按时支付工人工资，否则，视为违约，并按相应条款承担违约责任。</w:t>
      </w:r>
    </w:p>
    <w:p w14:paraId="4D6B1F8A">
      <w:pPr>
        <w:pStyle w:val="403"/>
        <w:spacing w:line="460" w:lineRule="exact"/>
        <w:ind w:firstLine="480" w:firstLineChars="200"/>
        <w:rPr>
          <w:rFonts w:hint="eastAsia" w:eastAsia="宋体" w:cs="宋体"/>
          <w:snapToGrid w:val="0"/>
        </w:rPr>
      </w:pPr>
      <w:r>
        <w:rPr>
          <w:rFonts w:hint="eastAsia" w:eastAsia="宋体" w:cs="宋体"/>
          <w:snapToGrid w:val="0"/>
        </w:rPr>
        <w:t>5）承包人不按合同及有关规定按时、足额支付专业分包或劳务分包单位合同价款及民工工资而被投诉或上访属实的，发包人将严格按照合同约定追究其违约责任；如因此致使民工集体上访、集聚围阻而造成社会不良影响的，发包人将立即终止与承包人的合同，并上报省、市主管部门，建议取消其参加当地建设工程的投标资格，并由发包人予以公告。如属恶意煽动并造成社会不良影响的，发包人将提请司法部门追究其法律责任。</w:t>
      </w:r>
    </w:p>
    <w:p w14:paraId="06F16D6B">
      <w:pPr>
        <w:pStyle w:val="403"/>
        <w:spacing w:line="460" w:lineRule="exact"/>
        <w:ind w:firstLine="480" w:firstLineChars="200"/>
        <w:rPr>
          <w:rFonts w:hint="eastAsia" w:eastAsia="宋体" w:cs="宋体"/>
          <w:snapToGrid w:val="0"/>
        </w:rPr>
      </w:pPr>
      <w:r>
        <w:rPr>
          <w:rFonts w:hint="eastAsia" w:eastAsia="宋体" w:cs="宋体"/>
          <w:snapToGrid w:val="0"/>
        </w:rPr>
        <w:t>6）由于承包人或其管理的分包单位、劳务合作单位拖欠民工工资，致使发包人被投诉或起诉并被判令先行垫付民工工资的，发包人除追究承包人和其它相关责任单位的违约责任外，还将在工程结算时双倍扣回发包人先行垫付的民工工资金额作为补偿。</w:t>
      </w:r>
    </w:p>
    <w:p w14:paraId="6B01C88A">
      <w:pPr>
        <w:pStyle w:val="403"/>
        <w:spacing w:line="460" w:lineRule="exact"/>
        <w:ind w:firstLine="480" w:firstLineChars="200"/>
        <w:rPr>
          <w:rFonts w:hint="eastAsia" w:eastAsia="宋体" w:cs="宋体"/>
          <w:snapToGrid w:val="0"/>
        </w:rPr>
      </w:pPr>
      <w:r>
        <w:rPr>
          <w:rFonts w:hint="eastAsia" w:eastAsia="宋体" w:cs="宋体"/>
          <w:snapToGrid w:val="0"/>
        </w:rPr>
        <w:t>7）承包人必须以高度负责的态度，对存在的可能引发劳资纠纷的各种因素进行排查，及时化解、处理可能发生劳资纠纷的不稳定因素；尤其是对恶意煽动民工集体上访、集聚围阻的行为，要善于及时发现并敢于揭露、制止。</w:t>
      </w:r>
    </w:p>
    <w:p w14:paraId="52067575">
      <w:pPr>
        <w:pStyle w:val="403"/>
        <w:spacing w:line="460" w:lineRule="exact"/>
        <w:ind w:firstLine="480" w:firstLineChars="200"/>
        <w:rPr>
          <w:rFonts w:hint="eastAsia" w:eastAsia="宋体" w:cs="宋体"/>
          <w:snapToGrid w:val="0"/>
        </w:rPr>
      </w:pPr>
      <w:r>
        <w:rPr>
          <w:rFonts w:hint="eastAsia" w:eastAsia="宋体" w:cs="宋体"/>
          <w:snapToGrid w:val="0"/>
        </w:rPr>
        <w:t>（19）成立处理劳资纠纷的协调机构：承包人必须成立处理劳资纠纷的协调机构，承包人主管领导和项目经理要亲自负责，配备专职人员，及时化解劳资矛盾及纠纷，并及时揭露、制止恶意煽动民工集体上访、集聚围阻的行为，保证在整个工程进行期间不发生民工集体上访、集聚围阻等事件。</w:t>
      </w:r>
    </w:p>
    <w:p w14:paraId="53BC2D38">
      <w:pPr>
        <w:pStyle w:val="403"/>
        <w:spacing w:line="460" w:lineRule="exact"/>
        <w:ind w:firstLine="480" w:firstLineChars="200"/>
        <w:rPr>
          <w:rFonts w:hint="eastAsia" w:eastAsia="宋体" w:cs="宋体"/>
          <w:snapToGrid w:val="0"/>
        </w:rPr>
      </w:pPr>
      <w:r>
        <w:rPr>
          <w:rFonts w:hint="eastAsia" w:eastAsia="宋体" w:cs="宋体"/>
          <w:snapToGrid w:val="0"/>
        </w:rPr>
        <w:t>（20）设计承包人负责本合同工程中所有需要深化设计的工作，相关费用已包含在合同价格中，发包人不再另行计费。</w:t>
      </w:r>
    </w:p>
    <w:p w14:paraId="427222C7">
      <w:pPr>
        <w:pStyle w:val="403"/>
        <w:spacing w:line="460" w:lineRule="exact"/>
        <w:ind w:firstLine="480" w:firstLineChars="200"/>
        <w:rPr>
          <w:rFonts w:hint="eastAsia" w:eastAsia="宋体" w:cs="宋体"/>
          <w:snapToGrid w:val="0"/>
        </w:rPr>
      </w:pPr>
      <w:r>
        <w:rPr>
          <w:rFonts w:hint="eastAsia" w:eastAsia="宋体" w:cs="宋体"/>
          <w:snapToGrid w:val="0"/>
        </w:rPr>
        <w:t>（2</w:t>
      </w:r>
      <w:r>
        <w:rPr>
          <w:rFonts w:eastAsia="宋体" w:cs="宋体"/>
          <w:snapToGrid w:val="0"/>
        </w:rPr>
        <w:t>1</w:t>
      </w:r>
      <w:r>
        <w:rPr>
          <w:rFonts w:hint="eastAsia" w:eastAsia="宋体" w:cs="宋体"/>
          <w:snapToGrid w:val="0"/>
        </w:rPr>
        <w:t>）工程完工后，由承包人编制竣工图。</w:t>
      </w:r>
    </w:p>
    <w:p w14:paraId="5732CC98">
      <w:pPr>
        <w:pStyle w:val="403"/>
        <w:spacing w:line="460" w:lineRule="exact"/>
        <w:ind w:firstLine="480" w:firstLineChars="200"/>
        <w:rPr>
          <w:rFonts w:hint="eastAsia" w:eastAsia="宋体" w:cs="宋体"/>
          <w:snapToGrid w:val="0"/>
        </w:rPr>
      </w:pPr>
      <w:r>
        <w:rPr>
          <w:rFonts w:hint="eastAsia" w:eastAsia="宋体" w:cs="宋体"/>
          <w:snapToGrid w:val="0"/>
        </w:rPr>
        <w:t>（2</w:t>
      </w:r>
      <w:r>
        <w:rPr>
          <w:rFonts w:eastAsia="宋体" w:cs="宋体"/>
          <w:snapToGrid w:val="0"/>
        </w:rPr>
        <w:t>2</w:t>
      </w:r>
      <w:r>
        <w:rPr>
          <w:rFonts w:hint="eastAsia" w:eastAsia="宋体" w:cs="宋体"/>
          <w:snapToGrid w:val="0"/>
        </w:rPr>
        <w:t>）在施工场地发掘的所有文物、古迹以及具有地质研究或考古价值的其他遗迹、化石、钱币或物品应按文物行政部门要求采取妥善保护措施，由此导致的方案优化、调整由承包人承担，相关费用已在本合同设计费中考虑，项目业主与发包人不另行支付。</w:t>
      </w:r>
    </w:p>
    <w:p w14:paraId="17C1ED8C">
      <w:pPr>
        <w:pStyle w:val="403"/>
        <w:spacing w:line="460" w:lineRule="exact"/>
        <w:ind w:firstLine="480" w:firstLineChars="200"/>
        <w:rPr>
          <w:rFonts w:hint="eastAsia" w:eastAsia="宋体" w:cs="宋体"/>
          <w:snapToGrid w:val="0"/>
        </w:rPr>
      </w:pPr>
      <w:r>
        <w:rPr>
          <w:rFonts w:hint="eastAsia" w:eastAsia="宋体" w:cs="宋体"/>
          <w:snapToGrid w:val="0"/>
        </w:rPr>
        <w:t>（23）承包人如为联合体，联合体中的设计牵头方应统筹各成员方设计成果文件（包括不限于图纸、概算、施工图预算）、汇报材料的汇总及协调工作。</w:t>
      </w:r>
    </w:p>
    <w:p w14:paraId="59055146">
      <w:pPr>
        <w:pStyle w:val="403"/>
        <w:spacing w:line="460" w:lineRule="exact"/>
        <w:ind w:firstLine="480" w:firstLineChars="200"/>
        <w:rPr>
          <w:rFonts w:hint="eastAsia" w:eastAsia="宋体" w:cs="宋体"/>
          <w:snapToGrid w:val="0"/>
        </w:rPr>
      </w:pPr>
      <w:r>
        <w:rPr>
          <w:rFonts w:hint="eastAsia" w:eastAsia="宋体" w:cs="宋体"/>
          <w:snapToGrid w:val="0"/>
        </w:rPr>
        <w:t>（2</w:t>
      </w:r>
      <w:r>
        <w:rPr>
          <w:rFonts w:eastAsia="宋体" w:cs="宋体"/>
          <w:snapToGrid w:val="0"/>
        </w:rPr>
        <w:t>4</w:t>
      </w:r>
      <w:r>
        <w:rPr>
          <w:rFonts w:hint="eastAsia" w:eastAsia="宋体" w:cs="宋体"/>
          <w:snapToGrid w:val="0"/>
        </w:rPr>
        <w:t>）承包人应积极配合发包人完成各阶段的报建报批工作，承包人在设计过程中须主动与本工程各政府部门（规划、建设、国土等）沟通、协调，协助发包人办理各项报批手续。如因承包人原因，导致设计资料及文件不能获得建设行政主管部门的审批，承包人应当无条件对设计文件进行修改，直至发包人满意并通过政府建设主管部门的审批为止。</w:t>
      </w:r>
    </w:p>
    <w:p w14:paraId="3465A777">
      <w:pPr>
        <w:pStyle w:val="403"/>
        <w:spacing w:line="460" w:lineRule="exact"/>
        <w:ind w:firstLine="480" w:firstLineChars="200"/>
        <w:rPr>
          <w:rFonts w:hint="eastAsia" w:eastAsia="宋体" w:cs="宋体"/>
          <w:snapToGrid w:val="0"/>
        </w:rPr>
      </w:pPr>
      <w:r>
        <w:rPr>
          <w:rFonts w:hint="eastAsia" w:eastAsia="宋体" w:cs="宋体"/>
          <w:snapToGrid w:val="0"/>
        </w:rPr>
        <w:t>（2</w:t>
      </w:r>
      <w:r>
        <w:rPr>
          <w:rFonts w:eastAsia="宋体" w:cs="宋体"/>
          <w:snapToGrid w:val="0"/>
        </w:rPr>
        <w:t>5</w:t>
      </w:r>
      <w:r>
        <w:rPr>
          <w:rFonts w:hint="eastAsia" w:eastAsia="宋体" w:cs="宋体"/>
          <w:snapToGrid w:val="0"/>
        </w:rPr>
        <w:t>）承包人应积极配合发包人各项管理工作，执行发包人发布的工程管理、设计管理相关办法、制度。</w:t>
      </w:r>
    </w:p>
    <w:p w14:paraId="44598CD0">
      <w:pPr>
        <w:pStyle w:val="403"/>
        <w:spacing w:line="460" w:lineRule="exact"/>
        <w:ind w:firstLine="480" w:firstLineChars="200"/>
        <w:rPr>
          <w:rFonts w:hint="eastAsia" w:eastAsia="宋体" w:cs="宋体"/>
          <w:snapToGrid w:val="0"/>
        </w:rPr>
      </w:pPr>
      <w:r>
        <w:rPr>
          <w:rFonts w:hint="eastAsia" w:eastAsia="宋体" w:cs="宋体"/>
          <w:snapToGrid w:val="0"/>
        </w:rPr>
        <w:t>（2</w:t>
      </w:r>
      <w:r>
        <w:rPr>
          <w:rFonts w:eastAsia="宋体" w:cs="宋体"/>
          <w:snapToGrid w:val="0"/>
        </w:rPr>
        <w:t>6</w:t>
      </w:r>
      <w:r>
        <w:rPr>
          <w:rFonts w:hint="eastAsia" w:eastAsia="宋体" w:cs="宋体"/>
          <w:snapToGrid w:val="0"/>
        </w:rPr>
        <w:t>）实行实名制管理制度</w:t>
      </w:r>
    </w:p>
    <w:p w14:paraId="29EA4B13">
      <w:pPr>
        <w:pStyle w:val="403"/>
        <w:spacing w:line="460" w:lineRule="exact"/>
        <w:ind w:firstLine="480" w:firstLineChars="200"/>
        <w:rPr>
          <w:rFonts w:hint="eastAsia" w:eastAsia="宋体" w:cs="宋体"/>
          <w:snapToGrid w:val="0"/>
        </w:rPr>
      </w:pPr>
      <w:r>
        <w:rPr>
          <w:rFonts w:hint="eastAsia" w:eastAsia="宋体" w:cs="宋体"/>
          <w:snapToGrid w:val="0"/>
        </w:rPr>
        <w:t>1）承包人应按广州市的有关规定，对其参与本工程建设的从业人员基本信息、作业工人考勤与工资支付信息和施工进度情况等信息登记建档,建立动态管理台账，并将以上信息报送行政监管部门接受监督管理。</w:t>
      </w:r>
    </w:p>
    <w:p w14:paraId="45A16677">
      <w:pPr>
        <w:pStyle w:val="403"/>
        <w:spacing w:line="460" w:lineRule="exact"/>
        <w:ind w:firstLine="480" w:firstLineChars="200"/>
        <w:rPr>
          <w:rFonts w:hint="eastAsia" w:eastAsia="宋体" w:cs="宋体"/>
          <w:snapToGrid w:val="0"/>
        </w:rPr>
      </w:pPr>
      <w:r>
        <w:rPr>
          <w:rFonts w:hint="eastAsia" w:eastAsia="宋体" w:cs="宋体"/>
          <w:snapToGrid w:val="0"/>
        </w:rPr>
        <w:t>2）承包人应当建立实名制管理机构，建立健全实名制信息采集、登记、报送、审核和档案管理的有关制度。并对其承包管理范围内依法分包的专业承包企业和劳务分包企业实施统一管理，督促落实实名制管理。</w:t>
      </w:r>
    </w:p>
    <w:p w14:paraId="431AF433">
      <w:pPr>
        <w:pStyle w:val="403"/>
        <w:spacing w:line="460" w:lineRule="exact"/>
        <w:ind w:firstLine="480" w:firstLineChars="200"/>
        <w:rPr>
          <w:rFonts w:hint="eastAsia" w:eastAsia="宋体" w:cs="宋体"/>
          <w:snapToGrid w:val="0"/>
        </w:rPr>
      </w:pPr>
      <w:r>
        <w:rPr>
          <w:rFonts w:hint="eastAsia" w:eastAsia="宋体" w:cs="宋体"/>
          <w:snapToGrid w:val="0"/>
        </w:rPr>
        <w:t>3）承包人应按月向负责该工程监管工作的建设行政主管部门或其委托的管理机构报送实名制信息，并对信息的真实性、时效性和完整性负责。</w:t>
      </w:r>
    </w:p>
    <w:p w14:paraId="419C2B5A">
      <w:pPr>
        <w:pStyle w:val="403"/>
        <w:spacing w:line="460" w:lineRule="exact"/>
        <w:ind w:firstLine="480" w:firstLineChars="200"/>
        <w:rPr>
          <w:rFonts w:hint="eastAsia" w:eastAsia="宋体" w:cs="宋体"/>
          <w:snapToGrid w:val="0"/>
        </w:rPr>
      </w:pPr>
      <w:r>
        <w:rPr>
          <w:rFonts w:hint="eastAsia" w:eastAsia="宋体" w:cs="宋体"/>
          <w:snapToGrid w:val="0"/>
        </w:rPr>
        <w:t>4）发包人及监理单位将不定期抽查承包人及其所管辖的专业承包单位和分包单位实行实名制管理制度的情况，如发现违反本合同有关约定或因未按要求落实实名制的行为受到国家、省、市、区等建设行政主管部门通报批评的，由承包人承担违约责任。如发现有冒名顶替或人不到场而代为刷卡等弄虚作假现象的，由承包人承担违约责任。</w:t>
      </w:r>
    </w:p>
    <w:p w14:paraId="25BD39A1">
      <w:pPr>
        <w:pStyle w:val="403"/>
        <w:spacing w:line="460" w:lineRule="exact"/>
        <w:ind w:firstLine="480" w:firstLineChars="200"/>
        <w:rPr>
          <w:rFonts w:hint="eastAsia" w:eastAsia="宋体" w:cs="宋体"/>
          <w:snapToGrid w:val="0"/>
        </w:rPr>
      </w:pPr>
      <w:r>
        <w:rPr>
          <w:rFonts w:hint="eastAsia" w:eastAsia="宋体" w:cs="宋体"/>
          <w:snapToGrid w:val="0"/>
        </w:rPr>
        <w:t>4.2 履约担保</w:t>
      </w:r>
    </w:p>
    <w:p w14:paraId="46552504">
      <w:pPr>
        <w:pStyle w:val="403"/>
        <w:spacing w:line="460" w:lineRule="exact"/>
        <w:ind w:firstLine="480" w:firstLineChars="200"/>
        <w:jc w:val="left"/>
        <w:rPr>
          <w:rFonts w:hint="eastAsia" w:eastAsia="宋体" w:cs="宋体"/>
          <w:snapToGrid w:val="0"/>
        </w:rPr>
      </w:pPr>
      <w:r>
        <w:rPr>
          <w:rFonts w:hint="eastAsia" w:eastAsia="宋体" w:cs="宋体"/>
          <w:snapToGrid w:val="0"/>
        </w:rPr>
        <w:t>履约担保金额：按合同协议书约定。</w:t>
      </w:r>
    </w:p>
    <w:p w14:paraId="1B93D622">
      <w:pPr>
        <w:pStyle w:val="403"/>
        <w:spacing w:line="460" w:lineRule="exact"/>
        <w:ind w:firstLine="480" w:firstLineChars="200"/>
        <w:rPr>
          <w:rFonts w:hint="eastAsia" w:eastAsia="宋体" w:cs="宋体"/>
          <w:snapToGrid w:val="0"/>
        </w:rPr>
      </w:pPr>
      <w:r>
        <w:rPr>
          <w:rFonts w:hint="eastAsia" w:eastAsia="宋体" w:cs="宋体"/>
          <w:snapToGrid w:val="0"/>
        </w:rPr>
        <w:t>履约担保要求：在本合同签订后15天内，承包人向发包人提交由在中华人民共和国注册的银行开出的履约银行保函原件，或提交由在中华人民共和国注册的担保公司开出的履约担保原件，或提交由在中华人民共和国注册的保险公司开出的履约保证保险原件。承包人如未能在上述约定的时间内提交履约担保的，视为自动放弃中标资格，其所提交的投标保证金不予退还。</w:t>
      </w:r>
    </w:p>
    <w:p w14:paraId="3EF6FEFB">
      <w:pPr>
        <w:pStyle w:val="403"/>
        <w:spacing w:line="460" w:lineRule="exact"/>
        <w:ind w:firstLine="480" w:firstLineChars="200"/>
        <w:rPr>
          <w:rFonts w:hint="eastAsia" w:eastAsia="宋体" w:cs="宋体"/>
          <w:snapToGrid w:val="0"/>
        </w:rPr>
      </w:pPr>
      <w:r>
        <w:rPr>
          <w:rFonts w:hint="eastAsia" w:eastAsia="宋体" w:cs="宋体"/>
          <w:snapToGrid w:val="0"/>
          <w:kern w:val="0"/>
        </w:rPr>
        <w:t>履约担保的有效期，是从提供履约担保之日起至合同工程竣工验收合格</w:t>
      </w:r>
      <w:r>
        <w:rPr>
          <w:rFonts w:hint="eastAsia" w:eastAsia="宋体"/>
        </w:rPr>
        <w:t>且承包人按发包人、项目业主及运营管理单位开列的质量整改清单完成质量整改工作（以项目业主或运营管理单位接收单为准）</w:t>
      </w:r>
      <w:r>
        <w:rPr>
          <w:rFonts w:hint="eastAsia" w:eastAsia="宋体" w:cs="宋体"/>
          <w:snapToGrid w:val="0"/>
          <w:kern w:val="0"/>
        </w:rPr>
        <w:t>之日止；工程竣工验收备案完成</w:t>
      </w:r>
      <w:r>
        <w:rPr>
          <w:rFonts w:hint="eastAsia" w:eastAsia="宋体"/>
        </w:rPr>
        <w:t>且承包人按发包人、项目业主及运营管理单位开列的质量整改清单完成质量整改工作（以项目业主或运营管理单位接收单为准）</w:t>
      </w:r>
      <w:r>
        <w:rPr>
          <w:rFonts w:hint="eastAsia" w:eastAsia="宋体" w:cs="宋体"/>
          <w:snapToGrid w:val="0"/>
          <w:kern w:val="0"/>
        </w:rPr>
        <w:t>后，承包人可以向发包人申请退还履约担保。</w:t>
      </w:r>
    </w:p>
    <w:p w14:paraId="715579BC">
      <w:pPr>
        <w:pStyle w:val="403"/>
        <w:spacing w:line="460" w:lineRule="exact"/>
        <w:ind w:firstLine="480" w:firstLineChars="200"/>
        <w:rPr>
          <w:rFonts w:hint="eastAsia" w:eastAsia="宋体" w:cs="宋体"/>
          <w:snapToGrid w:val="0"/>
        </w:rPr>
      </w:pPr>
      <w:r>
        <w:rPr>
          <w:rFonts w:hint="eastAsia" w:eastAsia="宋体" w:cs="宋体"/>
          <w:snapToGrid w:val="0"/>
        </w:rPr>
        <w:t>在本工程实施过程中，如果承包人未能按合同条款规定履约或违背了合同规定的承包人应负的责任和义务，发包人有权从履约担保中索赔相应的违约金。</w:t>
      </w:r>
    </w:p>
    <w:p w14:paraId="1BF60F61">
      <w:pPr>
        <w:pStyle w:val="403"/>
        <w:spacing w:line="460" w:lineRule="exact"/>
        <w:ind w:firstLine="480" w:firstLineChars="200"/>
        <w:rPr>
          <w:rFonts w:hint="eastAsia" w:eastAsia="宋体" w:cs="宋体"/>
          <w:snapToGrid w:val="0"/>
        </w:rPr>
      </w:pPr>
      <w:r>
        <w:rPr>
          <w:rFonts w:hint="eastAsia" w:eastAsia="宋体" w:cs="宋体"/>
          <w:snapToGrid w:val="0"/>
        </w:rPr>
        <w:t>履约担保应由承包人提交，如履约担保未能按时提交的，视为承包人弃标，发包人有权没收承包人的投标保证金。</w:t>
      </w:r>
    </w:p>
    <w:p w14:paraId="35710AD2">
      <w:pPr>
        <w:pStyle w:val="403"/>
        <w:spacing w:line="460" w:lineRule="exact"/>
        <w:ind w:firstLine="480" w:firstLineChars="200"/>
        <w:rPr>
          <w:rFonts w:hint="eastAsia" w:eastAsia="宋体" w:cs="宋体"/>
          <w:snapToGrid w:val="0"/>
        </w:rPr>
      </w:pPr>
      <w:r>
        <w:rPr>
          <w:rFonts w:hint="eastAsia" w:eastAsia="宋体" w:cs="宋体"/>
          <w:snapToGrid w:val="0"/>
        </w:rPr>
        <w:t>4.5 承包人项目经理（即施工负责人，下同）</w:t>
      </w:r>
    </w:p>
    <w:p w14:paraId="74F4BC98">
      <w:pPr>
        <w:pStyle w:val="403"/>
        <w:spacing w:line="460" w:lineRule="exact"/>
        <w:ind w:firstLine="480" w:firstLineChars="200"/>
        <w:rPr>
          <w:rFonts w:hint="eastAsia" w:eastAsia="宋体" w:cs="宋体"/>
          <w:snapToGrid w:val="0"/>
        </w:rPr>
      </w:pPr>
      <w:r>
        <w:rPr>
          <w:rFonts w:hint="eastAsia" w:eastAsia="宋体" w:cs="宋体"/>
          <w:snapToGrid w:val="0"/>
        </w:rPr>
        <w:t>4.5.1 项中“并委派代表代行其职责”删除，本工程竣工验收前施工负责人不能参与其他工程项目招投标。</w:t>
      </w:r>
    </w:p>
    <w:p w14:paraId="15058565">
      <w:pPr>
        <w:pStyle w:val="403"/>
        <w:spacing w:line="460" w:lineRule="exact"/>
        <w:ind w:firstLine="480" w:firstLineChars="200"/>
        <w:rPr>
          <w:rFonts w:hint="eastAsia" w:eastAsia="宋体" w:cs="宋体"/>
          <w:snapToGrid w:val="0"/>
        </w:rPr>
      </w:pPr>
      <w:r>
        <w:rPr>
          <w:rFonts w:hint="eastAsia" w:eastAsia="宋体" w:cs="宋体"/>
          <w:snapToGrid w:val="0"/>
        </w:rPr>
        <w:t>4.5.2 补充以下内容：</w:t>
      </w:r>
    </w:p>
    <w:p w14:paraId="521E7F07">
      <w:pPr>
        <w:pStyle w:val="403"/>
        <w:spacing w:line="460" w:lineRule="exact"/>
        <w:ind w:firstLine="480" w:firstLineChars="200"/>
        <w:rPr>
          <w:rFonts w:hint="eastAsia" w:eastAsia="宋体" w:cs="宋体"/>
          <w:snapToGrid w:val="0"/>
        </w:rPr>
      </w:pPr>
      <w:r>
        <w:rPr>
          <w:rFonts w:hint="eastAsia" w:eastAsia="宋体" w:cs="宋体"/>
          <w:snapToGrid w:val="0"/>
        </w:rPr>
        <w:t>项目经理应履行下列职责：</w:t>
      </w:r>
    </w:p>
    <w:p w14:paraId="7AA69795">
      <w:pPr>
        <w:pStyle w:val="403"/>
        <w:spacing w:line="460" w:lineRule="exact"/>
        <w:ind w:firstLine="480" w:firstLineChars="200"/>
        <w:rPr>
          <w:rFonts w:hint="eastAsia" w:eastAsia="宋体" w:cs="宋体"/>
          <w:snapToGrid w:val="0"/>
        </w:rPr>
      </w:pPr>
      <w:r>
        <w:rPr>
          <w:rFonts w:hint="eastAsia" w:eastAsia="宋体" w:cs="宋体"/>
          <w:snapToGrid w:val="0"/>
        </w:rPr>
        <w:t>（1）贯彻执行国家有关法律、法规、方针、政策和强制性标准，执行工程总承包企业的管理制度，严格履行工程总承包合同。</w:t>
      </w:r>
    </w:p>
    <w:p w14:paraId="05D5881A">
      <w:pPr>
        <w:pStyle w:val="403"/>
        <w:spacing w:line="460" w:lineRule="exact"/>
        <w:ind w:firstLine="480" w:firstLineChars="200"/>
        <w:rPr>
          <w:rFonts w:hint="eastAsia" w:eastAsia="宋体" w:cs="宋体"/>
          <w:snapToGrid w:val="0"/>
        </w:rPr>
      </w:pPr>
      <w:r>
        <w:rPr>
          <w:rFonts w:hint="eastAsia" w:eastAsia="宋体" w:cs="宋体"/>
          <w:snapToGrid w:val="0"/>
        </w:rPr>
        <w:t>（2）代表承包人组织实施工程项目管理，对实现合同规定的项目目标负责。</w:t>
      </w:r>
    </w:p>
    <w:p w14:paraId="3AAF30DA">
      <w:pPr>
        <w:pStyle w:val="403"/>
        <w:spacing w:line="460" w:lineRule="exact"/>
        <w:ind w:firstLine="480" w:firstLineChars="200"/>
        <w:rPr>
          <w:rFonts w:hint="eastAsia" w:eastAsia="宋体" w:cs="宋体"/>
          <w:snapToGrid w:val="0"/>
        </w:rPr>
      </w:pPr>
      <w:r>
        <w:rPr>
          <w:rFonts w:hint="eastAsia" w:eastAsia="宋体" w:cs="宋体"/>
          <w:snapToGrid w:val="0"/>
        </w:rPr>
        <w:t>（3）组织编制项目管理实施规划。对项目实施全过程进行策划、组织、协调和控制。</w:t>
      </w:r>
    </w:p>
    <w:p w14:paraId="387EB328">
      <w:pPr>
        <w:pStyle w:val="403"/>
        <w:spacing w:line="460" w:lineRule="exact"/>
        <w:ind w:firstLine="480" w:firstLineChars="200"/>
        <w:rPr>
          <w:rFonts w:hint="eastAsia" w:eastAsia="宋体" w:cs="宋体"/>
          <w:snapToGrid w:val="0"/>
        </w:rPr>
      </w:pPr>
      <w:r>
        <w:rPr>
          <w:rFonts w:hint="eastAsia" w:eastAsia="宋体" w:cs="宋体"/>
          <w:snapToGrid w:val="0"/>
        </w:rPr>
        <w:t>（4）对进入现场的生产要素进行优化配置和动态管理。</w:t>
      </w:r>
    </w:p>
    <w:p w14:paraId="53EC3DBC">
      <w:pPr>
        <w:pStyle w:val="403"/>
        <w:spacing w:line="460" w:lineRule="exact"/>
        <w:ind w:firstLine="480" w:firstLineChars="200"/>
        <w:rPr>
          <w:rFonts w:hint="eastAsia" w:eastAsia="宋体" w:cs="宋体"/>
          <w:snapToGrid w:val="0"/>
        </w:rPr>
      </w:pPr>
      <w:r>
        <w:rPr>
          <w:rFonts w:hint="eastAsia" w:eastAsia="宋体" w:cs="宋体"/>
          <w:snapToGrid w:val="0"/>
        </w:rPr>
        <w:t>（5）建立质量管理体系和安全管理体系并组织实施。</w:t>
      </w:r>
    </w:p>
    <w:p w14:paraId="56C2A362">
      <w:pPr>
        <w:pStyle w:val="403"/>
        <w:spacing w:line="460" w:lineRule="exact"/>
        <w:ind w:firstLine="480" w:firstLineChars="200"/>
        <w:rPr>
          <w:rFonts w:hint="eastAsia" w:eastAsia="宋体" w:cs="宋体"/>
          <w:snapToGrid w:val="0"/>
        </w:rPr>
      </w:pPr>
      <w:r>
        <w:rPr>
          <w:rFonts w:hint="eastAsia" w:eastAsia="宋体" w:cs="宋体"/>
          <w:snapToGrid w:val="0"/>
        </w:rPr>
        <w:t>（6）完成合同规定应达到的项目安全目标、质量目标、进度目标等任务。</w:t>
      </w:r>
    </w:p>
    <w:p w14:paraId="6C35C9C0">
      <w:pPr>
        <w:pStyle w:val="403"/>
        <w:spacing w:line="460" w:lineRule="exact"/>
        <w:ind w:firstLine="480" w:firstLineChars="200"/>
        <w:rPr>
          <w:rFonts w:hint="eastAsia" w:eastAsia="宋体" w:cs="宋体"/>
          <w:snapToGrid w:val="0"/>
        </w:rPr>
      </w:pPr>
      <w:r>
        <w:rPr>
          <w:rFonts w:hint="eastAsia" w:eastAsia="宋体" w:cs="宋体"/>
          <w:snapToGrid w:val="0"/>
        </w:rPr>
        <w:t>（7）在授权范围内负责与发包人、监理人、分包人及其他各协作单位的协调，解决项目中出现的问题。</w:t>
      </w:r>
    </w:p>
    <w:p w14:paraId="21BA12E3">
      <w:pPr>
        <w:pStyle w:val="403"/>
        <w:spacing w:line="460" w:lineRule="exact"/>
        <w:ind w:firstLine="480" w:firstLineChars="200"/>
        <w:rPr>
          <w:rFonts w:hint="eastAsia" w:eastAsia="宋体" w:cs="宋体"/>
          <w:snapToGrid w:val="0"/>
        </w:rPr>
      </w:pPr>
      <w:r>
        <w:rPr>
          <w:rFonts w:hint="eastAsia" w:eastAsia="宋体" w:cs="宋体"/>
          <w:snapToGrid w:val="0"/>
        </w:rPr>
        <w:t>（8）进行现场文明施工管理，发现和处理突发事件。</w:t>
      </w:r>
    </w:p>
    <w:p w14:paraId="0CC60586">
      <w:pPr>
        <w:pStyle w:val="403"/>
        <w:spacing w:line="460" w:lineRule="exact"/>
        <w:ind w:firstLine="480" w:firstLineChars="200"/>
        <w:rPr>
          <w:rFonts w:hint="eastAsia" w:eastAsia="宋体" w:cs="宋体"/>
          <w:snapToGrid w:val="0"/>
        </w:rPr>
      </w:pPr>
      <w:r>
        <w:rPr>
          <w:rFonts w:hint="eastAsia" w:eastAsia="宋体" w:cs="宋体"/>
          <w:snapToGrid w:val="0"/>
        </w:rPr>
        <w:t>（9）参与工程完工验收，准备结算资料和分析总结。</w:t>
      </w:r>
    </w:p>
    <w:p w14:paraId="4B8B5056">
      <w:pPr>
        <w:pStyle w:val="403"/>
        <w:spacing w:line="460" w:lineRule="exact"/>
        <w:ind w:firstLine="480" w:firstLineChars="200"/>
        <w:rPr>
          <w:rFonts w:hint="eastAsia" w:eastAsia="宋体" w:cs="宋体"/>
          <w:snapToGrid w:val="0"/>
        </w:rPr>
      </w:pPr>
      <w:r>
        <w:rPr>
          <w:rFonts w:hint="eastAsia" w:eastAsia="宋体" w:cs="宋体"/>
          <w:snapToGrid w:val="0"/>
        </w:rPr>
        <w:t>（10）负责组织处理项目的管理收尾和合同收尾工作。</w:t>
      </w:r>
    </w:p>
    <w:p w14:paraId="2A6C30EA">
      <w:pPr>
        <w:pStyle w:val="403"/>
        <w:spacing w:line="460" w:lineRule="exact"/>
        <w:ind w:firstLine="480" w:firstLineChars="200"/>
        <w:rPr>
          <w:rFonts w:hint="eastAsia" w:eastAsia="宋体" w:cs="宋体"/>
          <w:snapToGrid w:val="0"/>
        </w:rPr>
      </w:pPr>
      <w:r>
        <w:rPr>
          <w:rFonts w:hint="eastAsia" w:eastAsia="宋体" w:cs="宋体"/>
          <w:snapToGrid w:val="0"/>
        </w:rPr>
        <w:t>（11）协助企业进行项目的检查，鉴定和评奖申报。</w:t>
      </w:r>
    </w:p>
    <w:p w14:paraId="1BB8F26A">
      <w:pPr>
        <w:pStyle w:val="403"/>
        <w:spacing w:line="460" w:lineRule="exact"/>
        <w:ind w:firstLine="480" w:firstLineChars="200"/>
        <w:rPr>
          <w:rFonts w:hint="eastAsia" w:eastAsia="宋体" w:cs="宋体"/>
          <w:snapToGrid w:val="0"/>
        </w:rPr>
      </w:pPr>
      <w:r>
        <w:rPr>
          <w:rFonts w:hint="eastAsia" w:eastAsia="宋体" w:cs="宋体"/>
          <w:snapToGrid w:val="0"/>
        </w:rPr>
        <w:t>（12）按发包人认可的施工组织设计（施工方案）和工程师依据合同发出的指令组织施工。在情况紧急且无法与工程师联系时，应当采取保证人员生命和工程、财产安全的紧急措施，并在采取措施后48小时内向工程师送交报告。责任在发包人或第三人，由发包人承担由此发生的追加合同价款，相应顺延工期；责任在承包人，由承包人承担费用，不顺延工期。</w:t>
      </w:r>
    </w:p>
    <w:p w14:paraId="1B968B81">
      <w:pPr>
        <w:pStyle w:val="403"/>
        <w:spacing w:line="460" w:lineRule="exact"/>
        <w:ind w:firstLine="480" w:firstLineChars="200"/>
        <w:rPr>
          <w:rFonts w:hint="eastAsia" w:eastAsia="宋体" w:cs="宋体"/>
          <w:snapToGrid w:val="0"/>
        </w:rPr>
      </w:pPr>
      <w:r>
        <w:rPr>
          <w:rFonts w:hint="eastAsia" w:eastAsia="宋体" w:cs="宋体"/>
          <w:snapToGrid w:val="0"/>
        </w:rPr>
        <w:t>4.6 承包人人员的管理</w:t>
      </w:r>
    </w:p>
    <w:p w14:paraId="52C404EE">
      <w:pPr>
        <w:pStyle w:val="403"/>
        <w:spacing w:line="460" w:lineRule="exact"/>
        <w:ind w:firstLine="480" w:firstLineChars="200"/>
        <w:rPr>
          <w:rFonts w:hint="eastAsia" w:eastAsia="宋体" w:cs="宋体"/>
          <w:snapToGrid w:val="0"/>
        </w:rPr>
      </w:pPr>
      <w:r>
        <w:rPr>
          <w:rFonts w:hint="eastAsia" w:eastAsia="宋体" w:cs="宋体"/>
          <w:snapToGrid w:val="0"/>
        </w:rPr>
        <w:t>4.6.1 补充以下内容：</w:t>
      </w:r>
    </w:p>
    <w:p w14:paraId="33638A23">
      <w:pPr>
        <w:pStyle w:val="403"/>
        <w:spacing w:line="460" w:lineRule="exact"/>
        <w:ind w:firstLine="480" w:firstLineChars="200"/>
        <w:rPr>
          <w:rFonts w:hint="eastAsia" w:eastAsia="宋体" w:cs="宋体"/>
          <w:snapToGrid w:val="0"/>
        </w:rPr>
      </w:pPr>
      <w:r>
        <w:rPr>
          <w:rFonts w:hint="eastAsia" w:eastAsia="宋体" w:cs="宋体"/>
          <w:snapToGrid w:val="0"/>
        </w:rPr>
        <w:t>4.6.1</w:t>
      </w:r>
      <w:r>
        <w:rPr>
          <w:rFonts w:eastAsia="宋体" w:cs="宋体"/>
          <w:snapToGrid w:val="0"/>
        </w:rPr>
        <w:t xml:space="preserve">.1 </w:t>
      </w:r>
      <w:r>
        <w:rPr>
          <w:rFonts w:hint="eastAsia" w:eastAsia="宋体" w:cs="宋体"/>
          <w:snapToGrid w:val="0"/>
        </w:rPr>
        <w:t>承包人管理人员不得存在“挂证”投标行为，如存在上述行为，承包人需无条件地按照招标文件约定的人员资格要求进行更换，并按合同条款22条的约定承担违约金，发包人将保留向行业主管部门通报相关情况的权利。承包人人员在项目实施前必须全部到位，并接受总监理工程师和发包人代表的查验。承包人人员确须变更的，应符合《广东省住房和城乡建设厅关于建设工程项目招标中标后监督检查的办法》第九条规定，且须经发包人同意后方可变更。</w:t>
      </w:r>
    </w:p>
    <w:p w14:paraId="146631AD">
      <w:pPr>
        <w:pStyle w:val="403"/>
        <w:spacing w:line="460" w:lineRule="exact"/>
        <w:ind w:firstLine="480" w:firstLineChars="200"/>
        <w:rPr>
          <w:rFonts w:hint="eastAsia" w:eastAsia="宋体" w:cs="宋体"/>
          <w:snapToGrid w:val="0"/>
        </w:rPr>
      </w:pPr>
      <w:r>
        <w:rPr>
          <w:rFonts w:hint="eastAsia" w:eastAsia="宋体" w:cs="宋体"/>
          <w:snapToGrid w:val="0"/>
        </w:rPr>
        <w:t>4.6.5 “3天”改为“2天”，并补充以下内容：</w:t>
      </w:r>
    </w:p>
    <w:p w14:paraId="2F679137">
      <w:pPr>
        <w:pStyle w:val="403"/>
        <w:spacing w:line="460" w:lineRule="exact"/>
        <w:ind w:firstLine="480" w:firstLineChars="200"/>
        <w:rPr>
          <w:rFonts w:hint="eastAsia" w:eastAsia="宋体" w:cs="宋体"/>
          <w:snapToGrid w:val="0"/>
        </w:rPr>
      </w:pPr>
      <w:r>
        <w:rPr>
          <w:rFonts w:hint="eastAsia" w:eastAsia="宋体" w:cs="宋体"/>
          <w:snapToGrid w:val="0"/>
        </w:rPr>
        <w:t>（1）施工负责人及其他关键人员应长驻工地，并配胸卡、戴安全帽上岗。本工程不允许更换施工负责人，未经发包人批准同意擅自更换施工负责人的，相关违约处理详见专用条款第22.1.2.4款。</w:t>
      </w:r>
    </w:p>
    <w:p w14:paraId="2CA6AF18">
      <w:pPr>
        <w:pStyle w:val="403"/>
        <w:spacing w:line="460" w:lineRule="exact"/>
        <w:ind w:firstLine="480" w:firstLineChars="200"/>
        <w:rPr>
          <w:rFonts w:hint="eastAsia" w:eastAsia="宋体" w:cs="宋体"/>
          <w:snapToGrid w:val="0"/>
        </w:rPr>
      </w:pPr>
      <w:r>
        <w:rPr>
          <w:rFonts w:hint="eastAsia" w:eastAsia="宋体" w:cs="宋体"/>
          <w:snapToGrid w:val="0"/>
        </w:rPr>
        <w:t>（2）技术负责人应有类似于本工程的施工经历，未经发包人批准同意擅自更换技术负责人和其他施工管理人员的，相关违约处理详见专用条款第22.1.2.4款。</w:t>
      </w:r>
    </w:p>
    <w:p w14:paraId="1D6BA801">
      <w:pPr>
        <w:pStyle w:val="403"/>
        <w:spacing w:line="460" w:lineRule="exact"/>
        <w:ind w:firstLine="480" w:firstLineChars="200"/>
        <w:rPr>
          <w:rFonts w:hint="eastAsia" w:eastAsia="宋体" w:cs="宋体"/>
          <w:snapToGrid w:val="0"/>
        </w:rPr>
      </w:pPr>
      <w:r>
        <w:rPr>
          <w:rFonts w:hint="eastAsia" w:eastAsia="宋体" w:cs="宋体"/>
          <w:snapToGrid w:val="0"/>
        </w:rPr>
        <w:t>（3）设计负责人应有类似于本工程的设计经历，同时必须是投标时承诺的人员。未经发包人批准同意擅自更换设计负责人，相关违约处理详见专用条款第22.1.2.4款。</w:t>
      </w:r>
    </w:p>
    <w:p w14:paraId="50CDF380">
      <w:pPr>
        <w:pStyle w:val="403"/>
        <w:spacing w:line="460" w:lineRule="exact"/>
        <w:ind w:firstLine="480" w:firstLineChars="200"/>
        <w:rPr>
          <w:rFonts w:hint="eastAsia" w:eastAsia="宋体" w:cs="宋体"/>
          <w:snapToGrid w:val="0"/>
        </w:rPr>
      </w:pPr>
      <w:r>
        <w:rPr>
          <w:rFonts w:hint="eastAsia" w:eastAsia="宋体" w:cs="宋体"/>
          <w:snapToGrid w:val="0"/>
        </w:rPr>
        <w:t>（4）施工负责人等投标承诺关键人员必须长驻工地现场。关键人员短期离开工地时应委托其他有资质的人员代行其职，离岗两天以内的，需书面向现场监理请假；离岗两天及以上的，需书面向总监请假，并经发包人书面批准。相关违约处理详见专用条款第22.1.2.4款。未经批准离岗的情况以监理人和发包人共同出具的书面确认为准。</w:t>
      </w:r>
    </w:p>
    <w:p w14:paraId="0424129E">
      <w:pPr>
        <w:pStyle w:val="403"/>
        <w:spacing w:line="460" w:lineRule="exact"/>
        <w:ind w:firstLine="480" w:firstLineChars="200"/>
        <w:rPr>
          <w:rFonts w:hint="eastAsia" w:eastAsia="宋体" w:cs="宋体"/>
          <w:snapToGrid w:val="0"/>
        </w:rPr>
      </w:pPr>
      <w:r>
        <w:rPr>
          <w:rFonts w:hint="eastAsia" w:eastAsia="宋体" w:cs="宋体"/>
          <w:snapToGrid w:val="0"/>
        </w:rPr>
        <w:t>（5）按照承包人投标书或月（半月）进度计划承诺用于本工程的施工人员，以不影响施工进度及质量为原则按承诺的人员及时进场，若未经监理人同意而擅自减少、调离施工人员并经监理人书面通知后1天内仍未到位的，相关违约处理详见专用条款第22.1.2.4款，同时承担因此对发包人造成的工期延误和经济损失。</w:t>
      </w:r>
    </w:p>
    <w:p w14:paraId="683D28B3">
      <w:pPr>
        <w:pStyle w:val="403"/>
        <w:spacing w:line="460" w:lineRule="exact"/>
        <w:ind w:firstLine="480" w:firstLineChars="200"/>
        <w:rPr>
          <w:rFonts w:hint="eastAsia" w:eastAsia="宋体" w:cs="宋体"/>
          <w:snapToGrid w:val="0"/>
        </w:rPr>
      </w:pPr>
      <w:r>
        <w:rPr>
          <w:rFonts w:hint="eastAsia" w:eastAsia="宋体" w:cs="宋体"/>
          <w:snapToGrid w:val="0"/>
        </w:rPr>
        <w:t>（6）上述违约金由发包人在承包人当期的工程进度款中扣除。</w:t>
      </w:r>
    </w:p>
    <w:p w14:paraId="755289BF">
      <w:pPr>
        <w:pStyle w:val="403"/>
        <w:spacing w:line="460" w:lineRule="exact"/>
        <w:ind w:firstLine="480" w:firstLineChars="200"/>
        <w:rPr>
          <w:rFonts w:hint="eastAsia" w:eastAsia="宋体" w:cs="宋体"/>
          <w:snapToGrid w:val="0"/>
        </w:rPr>
      </w:pPr>
      <w:r>
        <w:rPr>
          <w:rFonts w:hint="eastAsia" w:eastAsia="宋体" w:cs="宋体"/>
          <w:snapToGrid w:val="0"/>
        </w:rPr>
        <w:t>4.7 撤换承包人项目经理（施工负责人）和其他人员</w:t>
      </w:r>
    </w:p>
    <w:p w14:paraId="51F0710C">
      <w:pPr>
        <w:pStyle w:val="403"/>
        <w:spacing w:line="460" w:lineRule="exact"/>
        <w:ind w:firstLine="480" w:firstLineChars="200"/>
        <w:rPr>
          <w:rFonts w:hint="eastAsia" w:eastAsia="宋体" w:cs="宋体"/>
          <w:snapToGrid w:val="0"/>
        </w:rPr>
      </w:pPr>
      <w:r>
        <w:rPr>
          <w:rFonts w:hint="eastAsia" w:eastAsia="宋体" w:cs="宋体"/>
          <w:snapToGrid w:val="0"/>
        </w:rPr>
        <w:t>补充以下内容：发包人要求承包人撤换不合格人员，承包人必须立即执行。如果发包人的撤换通知下达5天后，承包人仍拒不执行，则视为该部门负责人空缺，承包人需按本合同的约定承担违约责任。</w:t>
      </w:r>
    </w:p>
    <w:p w14:paraId="7F10715F">
      <w:pPr>
        <w:pStyle w:val="403"/>
        <w:spacing w:line="460" w:lineRule="exact"/>
        <w:ind w:firstLine="480" w:firstLineChars="200"/>
        <w:rPr>
          <w:rFonts w:hint="eastAsia" w:eastAsia="宋体" w:cs="宋体"/>
          <w:snapToGrid w:val="0"/>
        </w:rPr>
      </w:pPr>
      <w:r>
        <w:rPr>
          <w:rFonts w:hint="eastAsia" w:eastAsia="宋体" w:cs="宋体"/>
          <w:snapToGrid w:val="0"/>
        </w:rPr>
        <w:t>4.8 保障承包人人员的合法权益</w:t>
      </w:r>
    </w:p>
    <w:p w14:paraId="788919B0">
      <w:pPr>
        <w:pStyle w:val="403"/>
        <w:spacing w:line="460" w:lineRule="exact"/>
        <w:ind w:firstLine="480" w:firstLineChars="200"/>
        <w:rPr>
          <w:rFonts w:hint="eastAsia" w:eastAsia="宋体" w:cs="宋体"/>
          <w:snapToGrid w:val="0"/>
        </w:rPr>
      </w:pPr>
      <w:r>
        <w:rPr>
          <w:rFonts w:hint="eastAsia" w:eastAsia="宋体" w:cs="宋体"/>
          <w:snapToGrid w:val="0"/>
        </w:rPr>
        <w:t>4.8.1 补充以下内容：</w:t>
      </w:r>
    </w:p>
    <w:p w14:paraId="1C857B95">
      <w:pPr>
        <w:pStyle w:val="403"/>
        <w:spacing w:line="460" w:lineRule="exact"/>
        <w:ind w:firstLine="480" w:firstLineChars="200"/>
        <w:rPr>
          <w:rFonts w:hint="eastAsia" w:eastAsia="宋体" w:cs="宋体"/>
          <w:snapToGrid w:val="0"/>
        </w:rPr>
      </w:pPr>
      <w:r>
        <w:rPr>
          <w:rFonts w:hint="eastAsia" w:eastAsia="宋体" w:cs="宋体"/>
          <w:snapToGrid w:val="0"/>
        </w:rPr>
        <w:t>（1）承包人应当根据劳动合同约定的工人工资标准等内容，按照依法签订的集体合同或劳动合同约定的日期按月支付工资，并不得低于当地最低工资标准。</w:t>
      </w:r>
    </w:p>
    <w:p w14:paraId="0D9FBF36">
      <w:pPr>
        <w:pStyle w:val="403"/>
        <w:spacing w:line="460" w:lineRule="exact"/>
        <w:ind w:firstLine="480" w:firstLineChars="200"/>
        <w:rPr>
          <w:rFonts w:hint="eastAsia" w:eastAsia="宋体" w:cs="宋体"/>
          <w:snapToGrid w:val="0"/>
        </w:rPr>
      </w:pPr>
      <w:r>
        <w:rPr>
          <w:rFonts w:hint="eastAsia" w:eastAsia="宋体" w:cs="宋体"/>
          <w:snapToGrid w:val="0"/>
        </w:rPr>
        <w:t>（2）承包人支付工人工资应编制工资支付表，如实记录支付表，支付时间、支付对象、支付数额等工资支付情况，并保存备查。</w:t>
      </w:r>
    </w:p>
    <w:p w14:paraId="5F1D4DDF">
      <w:pPr>
        <w:pStyle w:val="403"/>
        <w:spacing w:line="460" w:lineRule="exact"/>
        <w:ind w:firstLine="480" w:firstLineChars="200"/>
        <w:rPr>
          <w:rFonts w:hint="eastAsia" w:eastAsia="宋体" w:cs="宋体"/>
          <w:snapToGrid w:val="0"/>
        </w:rPr>
      </w:pPr>
      <w:r>
        <w:rPr>
          <w:rFonts w:hint="eastAsia" w:eastAsia="宋体" w:cs="宋体"/>
          <w:snapToGrid w:val="0"/>
        </w:rPr>
        <w:t>（3）承包人应对其专业分包或劳务分包单位工资支付进行监督，督促其依法支付工人工资。</w:t>
      </w:r>
    </w:p>
    <w:p w14:paraId="7382648C">
      <w:pPr>
        <w:pStyle w:val="403"/>
        <w:spacing w:line="460" w:lineRule="exact"/>
        <w:ind w:firstLine="480" w:firstLineChars="200"/>
        <w:rPr>
          <w:rFonts w:hint="eastAsia" w:eastAsia="宋体" w:cs="宋体"/>
          <w:snapToGrid w:val="0"/>
        </w:rPr>
      </w:pPr>
      <w:r>
        <w:rPr>
          <w:rFonts w:hint="eastAsia" w:eastAsia="宋体" w:cs="宋体"/>
          <w:snapToGrid w:val="0"/>
        </w:rPr>
        <w:t>（4）承包人应按上述要求及国家、地方有关规定按时支付工人工资，否则，视为违约，承担相应违约责任。</w:t>
      </w:r>
    </w:p>
    <w:p w14:paraId="3A5A26EF">
      <w:pPr>
        <w:pStyle w:val="403"/>
        <w:spacing w:line="460" w:lineRule="exact"/>
        <w:ind w:firstLine="480" w:firstLineChars="200"/>
        <w:rPr>
          <w:rFonts w:hint="eastAsia" w:eastAsia="宋体" w:cs="宋体"/>
          <w:snapToGrid w:val="0"/>
        </w:rPr>
      </w:pPr>
      <w:r>
        <w:rPr>
          <w:rFonts w:hint="eastAsia" w:eastAsia="宋体" w:cs="宋体"/>
          <w:snapToGrid w:val="0"/>
        </w:rPr>
        <w:t>4.12进度计划</w:t>
      </w:r>
    </w:p>
    <w:p w14:paraId="18C05DE4">
      <w:pPr>
        <w:pStyle w:val="403"/>
        <w:spacing w:line="460" w:lineRule="exact"/>
        <w:ind w:firstLine="480" w:firstLineChars="200"/>
        <w:rPr>
          <w:rFonts w:hint="eastAsia" w:eastAsia="宋体" w:cs="宋体"/>
          <w:snapToGrid w:val="0"/>
        </w:rPr>
      </w:pPr>
      <w:r>
        <w:rPr>
          <w:rFonts w:hint="eastAsia" w:eastAsia="宋体" w:cs="宋体"/>
          <w:snapToGrid w:val="0"/>
        </w:rPr>
        <w:t>4.12.1 合同进度计划</w:t>
      </w:r>
    </w:p>
    <w:p w14:paraId="650757A7">
      <w:pPr>
        <w:pStyle w:val="403"/>
        <w:spacing w:line="460" w:lineRule="exact"/>
        <w:ind w:firstLine="480" w:firstLineChars="200"/>
        <w:rPr>
          <w:rFonts w:hint="eastAsia" w:eastAsia="宋体" w:cs="宋体"/>
          <w:snapToGrid w:val="0"/>
        </w:rPr>
      </w:pPr>
      <w:r>
        <w:rPr>
          <w:rFonts w:hint="eastAsia" w:eastAsia="宋体" w:cs="宋体"/>
          <w:snapToGrid w:val="0"/>
        </w:rPr>
        <w:t>（1）进度计划的提交时间约定：接到开始工作通知后7天内；</w:t>
      </w:r>
    </w:p>
    <w:p w14:paraId="65B9B3AC">
      <w:pPr>
        <w:pStyle w:val="403"/>
        <w:spacing w:line="460" w:lineRule="exact"/>
        <w:ind w:firstLine="480" w:firstLineChars="200"/>
        <w:rPr>
          <w:rFonts w:hint="eastAsia" w:eastAsia="宋体" w:cs="宋体"/>
          <w:snapToGrid w:val="0"/>
        </w:rPr>
      </w:pPr>
      <w:r>
        <w:rPr>
          <w:rFonts w:hint="eastAsia" w:eastAsia="宋体" w:cs="宋体"/>
          <w:snapToGrid w:val="0"/>
        </w:rPr>
        <w:t>（2）监理人批复合同进度计划时间的约定：监理人应在收到承包人提交的完整合同计划后10日内批复或提出修改意见。</w:t>
      </w:r>
    </w:p>
    <w:p w14:paraId="7EBACDC5">
      <w:pPr>
        <w:pStyle w:val="403"/>
        <w:spacing w:line="460" w:lineRule="exact"/>
        <w:ind w:firstLine="480" w:firstLineChars="200"/>
        <w:rPr>
          <w:rFonts w:hint="eastAsia" w:eastAsia="宋体" w:cs="宋体"/>
          <w:snapToGrid w:val="0"/>
        </w:rPr>
      </w:pPr>
      <w:r>
        <w:rPr>
          <w:rFonts w:hint="eastAsia" w:eastAsia="宋体" w:cs="宋体"/>
          <w:snapToGrid w:val="0"/>
        </w:rPr>
        <w:t>（3）承包人在监理人发出进场通知后3天内将施工组织设计报送监理人审批。承包人提交的施工组织设计应当载明如下内容（包括但不限于）：</w:t>
      </w:r>
    </w:p>
    <w:p w14:paraId="3946C360">
      <w:pPr>
        <w:pStyle w:val="403"/>
        <w:spacing w:line="460" w:lineRule="exact"/>
        <w:ind w:firstLine="480" w:firstLineChars="200"/>
        <w:rPr>
          <w:rFonts w:hint="eastAsia" w:eastAsia="宋体" w:cs="宋体"/>
          <w:snapToGrid w:val="0"/>
        </w:rPr>
      </w:pPr>
      <w:r>
        <w:rPr>
          <w:rFonts w:hint="eastAsia" w:eastAsia="宋体" w:cs="宋体"/>
          <w:snapToGrid w:val="0"/>
        </w:rPr>
        <w:t>1）各分部分项工程的完整的施工方案；</w:t>
      </w:r>
    </w:p>
    <w:p w14:paraId="6B5EBE82">
      <w:pPr>
        <w:pStyle w:val="403"/>
        <w:spacing w:line="460" w:lineRule="exact"/>
        <w:ind w:firstLine="480" w:firstLineChars="200"/>
        <w:rPr>
          <w:rFonts w:hint="eastAsia" w:eastAsia="宋体" w:cs="宋体"/>
          <w:snapToGrid w:val="0"/>
        </w:rPr>
      </w:pPr>
      <w:r>
        <w:rPr>
          <w:rFonts w:hint="eastAsia" w:eastAsia="宋体" w:cs="宋体"/>
          <w:snapToGrid w:val="0"/>
        </w:rPr>
        <w:t>2）施工资源投入计划，包括：机械设备进场计划、工程材料和物料进场计划、施工人员进场计划等；</w:t>
      </w:r>
    </w:p>
    <w:p w14:paraId="6B1E465C">
      <w:pPr>
        <w:pStyle w:val="403"/>
        <w:spacing w:line="460" w:lineRule="exact"/>
        <w:ind w:firstLine="480" w:firstLineChars="200"/>
        <w:rPr>
          <w:rFonts w:hint="eastAsia" w:eastAsia="宋体" w:cs="宋体"/>
          <w:snapToGrid w:val="0"/>
        </w:rPr>
      </w:pPr>
      <w:r>
        <w:rPr>
          <w:rFonts w:hint="eastAsia" w:eastAsia="宋体" w:cs="宋体"/>
          <w:snapToGrid w:val="0"/>
        </w:rPr>
        <w:t>3）季节性施工措施；</w:t>
      </w:r>
    </w:p>
    <w:p w14:paraId="3DCBF34C">
      <w:pPr>
        <w:pStyle w:val="403"/>
        <w:spacing w:line="460" w:lineRule="exact"/>
        <w:ind w:firstLine="480" w:firstLineChars="200"/>
        <w:rPr>
          <w:rFonts w:hint="eastAsia" w:eastAsia="宋体" w:cs="宋体"/>
          <w:snapToGrid w:val="0"/>
        </w:rPr>
      </w:pPr>
      <w:r>
        <w:rPr>
          <w:rFonts w:hint="eastAsia" w:eastAsia="宋体" w:cs="宋体"/>
          <w:snapToGrid w:val="0"/>
        </w:rPr>
        <w:t>4）保证工期、质量的措施；</w:t>
      </w:r>
    </w:p>
    <w:p w14:paraId="4B981766">
      <w:pPr>
        <w:pStyle w:val="403"/>
        <w:spacing w:line="460" w:lineRule="exact"/>
        <w:ind w:firstLine="480" w:firstLineChars="200"/>
        <w:rPr>
          <w:rFonts w:hint="eastAsia" w:eastAsia="宋体" w:cs="宋体"/>
          <w:snapToGrid w:val="0"/>
        </w:rPr>
      </w:pPr>
      <w:r>
        <w:rPr>
          <w:rFonts w:hint="eastAsia" w:eastAsia="宋体" w:cs="宋体"/>
          <w:snapToGrid w:val="0"/>
        </w:rPr>
        <w:t>5）保证安全生产，文明施工，减少扰民降低环境污染和噪音的措施；</w:t>
      </w:r>
    </w:p>
    <w:p w14:paraId="76A45C0D">
      <w:pPr>
        <w:pStyle w:val="403"/>
        <w:spacing w:line="460" w:lineRule="exact"/>
        <w:ind w:firstLine="480" w:firstLineChars="200"/>
        <w:rPr>
          <w:rFonts w:hint="eastAsia" w:eastAsia="宋体" w:cs="宋体"/>
          <w:snapToGrid w:val="0"/>
        </w:rPr>
      </w:pPr>
      <w:r>
        <w:rPr>
          <w:rFonts w:hint="eastAsia" w:eastAsia="宋体" w:cs="宋体"/>
          <w:snapToGrid w:val="0"/>
        </w:rPr>
        <w:t>6）妥善处理与相邻施工地作业现场关系的措施；</w:t>
      </w:r>
    </w:p>
    <w:p w14:paraId="1B769173">
      <w:pPr>
        <w:pStyle w:val="403"/>
        <w:spacing w:line="460" w:lineRule="exact"/>
        <w:ind w:firstLine="480" w:firstLineChars="200"/>
        <w:rPr>
          <w:rFonts w:hint="eastAsia" w:eastAsia="宋体" w:cs="宋体"/>
          <w:snapToGrid w:val="0"/>
        </w:rPr>
      </w:pPr>
      <w:r>
        <w:rPr>
          <w:rFonts w:hint="eastAsia" w:eastAsia="宋体" w:cs="宋体"/>
          <w:snapToGrid w:val="0"/>
        </w:rPr>
        <w:t>7）其他与工程施工有关的管理方案、措施。</w:t>
      </w:r>
    </w:p>
    <w:p w14:paraId="489CAC30">
      <w:pPr>
        <w:pStyle w:val="403"/>
        <w:spacing w:line="460" w:lineRule="exact"/>
        <w:ind w:firstLine="480" w:firstLineChars="200"/>
        <w:rPr>
          <w:rFonts w:hint="eastAsia" w:eastAsia="宋体" w:cs="宋体"/>
          <w:snapToGrid w:val="0"/>
        </w:rPr>
      </w:pPr>
      <w:r>
        <w:rPr>
          <w:rFonts w:hint="eastAsia" w:eastAsia="宋体" w:cs="宋体"/>
          <w:snapToGrid w:val="0"/>
        </w:rPr>
        <w:t>8）承包人编制的工程进度计划内容应全面详实，且应针对全部或分项施工作业和特点提出施工方法、施工穿插顺序及时间安排，并在各节点位置标注相应的工程量、资金使用计划、人机组织及材料消耗量。</w:t>
      </w:r>
    </w:p>
    <w:p w14:paraId="085114E8">
      <w:pPr>
        <w:pStyle w:val="403"/>
        <w:spacing w:line="460" w:lineRule="exact"/>
        <w:ind w:firstLine="480" w:firstLineChars="200"/>
        <w:rPr>
          <w:rFonts w:hint="eastAsia" w:eastAsia="宋体" w:cs="宋体"/>
          <w:snapToGrid w:val="0"/>
        </w:rPr>
      </w:pPr>
      <w:r>
        <w:rPr>
          <w:rFonts w:hint="eastAsia" w:eastAsia="宋体" w:cs="宋体"/>
          <w:snapToGrid w:val="0"/>
        </w:rPr>
        <w:t>9）保证执行施工组织设计中所承诺的资源投入计划，将工程施工所需的机械设备、人员、材料等资源，根据工程进度计划按时、按标准、足额投入。</w:t>
      </w:r>
    </w:p>
    <w:p w14:paraId="13309A5C">
      <w:pPr>
        <w:pStyle w:val="403"/>
        <w:spacing w:line="460" w:lineRule="exact"/>
        <w:ind w:firstLine="480" w:firstLineChars="200"/>
        <w:rPr>
          <w:rFonts w:hint="eastAsia" w:eastAsia="宋体" w:cs="宋体"/>
          <w:snapToGrid w:val="0"/>
        </w:rPr>
      </w:pPr>
      <w:r>
        <w:rPr>
          <w:rFonts w:hint="eastAsia" w:eastAsia="宋体" w:cs="宋体"/>
          <w:snapToGrid w:val="0"/>
        </w:rPr>
        <w:t>（4）各分项工程开工前，承包人必须在施工组织设计中编制资源投入计划，报总监理工程师和发包人批准后实施。特别是施工所需的机械设备（包括自有和租赁），应与投标文件填报的品牌、数量、质量、规格、性能相符且具备正常施工功能，并配有明显的承包人单位标志，且为合法使用设备（如年检证、使用证等），便于发包人检查承包人施工设备投入情况。</w:t>
      </w:r>
    </w:p>
    <w:p w14:paraId="5E96D3F7">
      <w:pPr>
        <w:pStyle w:val="403"/>
        <w:spacing w:line="460" w:lineRule="exact"/>
        <w:ind w:firstLine="480" w:firstLineChars="200"/>
        <w:rPr>
          <w:rFonts w:hint="eastAsia" w:eastAsia="宋体" w:cs="宋体"/>
          <w:snapToGrid w:val="0"/>
        </w:rPr>
      </w:pPr>
      <w:r>
        <w:rPr>
          <w:rFonts w:hint="eastAsia" w:eastAsia="宋体" w:cs="宋体"/>
          <w:snapToGrid w:val="0"/>
        </w:rPr>
        <w:t>4.12.2 合同进度计划的修订</w:t>
      </w:r>
    </w:p>
    <w:p w14:paraId="2C892A42">
      <w:pPr>
        <w:pStyle w:val="403"/>
        <w:spacing w:line="460" w:lineRule="exact"/>
        <w:ind w:firstLine="480" w:firstLineChars="200"/>
        <w:rPr>
          <w:rFonts w:hint="eastAsia" w:eastAsia="宋体" w:cs="宋体"/>
          <w:snapToGrid w:val="0"/>
        </w:rPr>
      </w:pPr>
      <w:r>
        <w:rPr>
          <w:rFonts w:hint="eastAsia" w:eastAsia="宋体" w:cs="宋体"/>
          <w:snapToGrid w:val="0"/>
        </w:rPr>
        <w:t>（1）承包人提交合同进度计划的修订报告的时间约定：在承包人能够预计可能会实际进度计划不符后的7日内或实际已经不符的3日内提出。</w:t>
      </w:r>
    </w:p>
    <w:p w14:paraId="6F48700B">
      <w:pPr>
        <w:pStyle w:val="403"/>
        <w:spacing w:line="460" w:lineRule="exact"/>
        <w:ind w:firstLine="480" w:firstLineChars="200"/>
        <w:rPr>
          <w:rFonts w:hint="eastAsia" w:eastAsia="宋体" w:cs="宋体"/>
          <w:snapToGrid w:val="0"/>
        </w:rPr>
      </w:pPr>
      <w:r>
        <w:rPr>
          <w:rFonts w:hint="eastAsia" w:eastAsia="宋体" w:cs="宋体"/>
          <w:snapToGrid w:val="0"/>
        </w:rPr>
        <w:t>（2）监理人批复合同进度计划修订报告时间的约定：监理人应在收到承包人提交的完整合同计划修订报告后5日内批复或提出修改意见。</w:t>
      </w:r>
    </w:p>
    <w:p w14:paraId="1F1CF1E6">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w:t>
      </w:r>
      <w:r>
        <w:rPr>
          <w:rFonts w:hint="eastAsia" w:eastAsia="宋体" w:cs="宋体"/>
          <w:snapToGrid w:val="0"/>
        </w:rPr>
        <w:t>工程总承包管理</w:t>
      </w:r>
    </w:p>
    <w:p w14:paraId="65BFD65F">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.14.1</w:t>
      </w:r>
      <w:r>
        <w:rPr>
          <w:rFonts w:hint="eastAsia" w:eastAsia="宋体" w:cs="宋体"/>
          <w:snapToGrid w:val="0"/>
        </w:rPr>
        <w:t>总承包管理内容</w:t>
      </w:r>
    </w:p>
    <w:p w14:paraId="480B30F9">
      <w:pPr>
        <w:pStyle w:val="403"/>
        <w:spacing w:line="460" w:lineRule="exact"/>
        <w:ind w:firstLine="480" w:firstLineChars="200"/>
        <w:rPr>
          <w:rFonts w:hint="eastAsia" w:eastAsia="宋体" w:cs="宋体"/>
          <w:snapToGrid w:val="0"/>
        </w:rPr>
      </w:pPr>
      <w:r>
        <w:rPr>
          <w:rFonts w:hint="eastAsia" w:eastAsia="宋体" w:cs="宋体"/>
          <w:snapToGrid w:val="0"/>
        </w:rPr>
        <w:t>总承包管理是指承包人按照与发包人签订的合同，对合同工程范围的工程设计、采购、施工阶段实行总承包，并对工程的质量、安全、工期和造价等全面负责的工程建设组织实施方式。</w:t>
      </w:r>
    </w:p>
    <w:p w14:paraId="04C73237">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承包人主要职责</w:t>
      </w:r>
    </w:p>
    <w:p w14:paraId="08A7A436">
      <w:pPr>
        <w:pStyle w:val="403"/>
        <w:spacing w:line="460" w:lineRule="exact"/>
        <w:ind w:firstLine="480" w:firstLineChars="200"/>
        <w:rPr>
          <w:rFonts w:hint="eastAsia" w:eastAsia="宋体" w:cs="宋体"/>
          <w:snapToGrid w:val="0"/>
        </w:rPr>
      </w:pPr>
      <w:r>
        <w:rPr>
          <w:rFonts w:hint="eastAsia" w:eastAsia="宋体" w:cs="宋体"/>
          <w:snapToGrid w:val="0"/>
        </w:rPr>
        <w:t>承包人全面负责组织实施总承包管理，对专业工程提供管理、协调、配合服务，对工程的总工期、总体质量、总造价和交付使用后的保修负责。其主要职责有：</w:t>
      </w:r>
    </w:p>
    <w:p w14:paraId="2F63B334">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1统一对外、统一指挥、统一部署、统一计划、统一管理，负责专业分包工程进度、质量、安全等工作的总协调、指导、监督、管理，对发包人负责，按合同工期、质量标准交付整个工程；</w:t>
      </w:r>
    </w:p>
    <w:p w14:paraId="10DEAB12">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2负责施工现场的安全文明施工管理、治安、保卫、保洁、消防，包括洞口的安全防护工作等；施工现场总平由承包人统一规划、分区管理、各负其责、专业分包单位不得随意变动；</w:t>
      </w:r>
    </w:p>
    <w:p w14:paraId="018146A7">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3妥善安排专业分包单位合理的运输线路及工作面，处理好因交叉作业可能引起的成品保护问题，确保工程总工期目标的实现；</w:t>
      </w:r>
    </w:p>
    <w:p w14:paraId="5E8EA7F8">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4负责协助专业分包与设计、监理、发包人之间的协调；</w:t>
      </w:r>
    </w:p>
    <w:p w14:paraId="7086D78C">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5负责专业分包工程验收的组织、协调工作；</w:t>
      </w:r>
    </w:p>
    <w:p w14:paraId="23B0BF6F">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6承包人经理应根据项目需要，组织召开各种形式的专题会和协调会；</w:t>
      </w:r>
    </w:p>
    <w:p w14:paraId="4F9E1E2B">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.14.2.</w:t>
      </w:r>
      <w:r>
        <w:rPr>
          <w:rFonts w:hint="eastAsia" w:eastAsia="宋体" w:cs="宋体"/>
          <w:snapToGrid w:val="0"/>
        </w:rPr>
        <w:t>7工程技术资料的整理工作按照相关规范和标准，由承包人负责组织专业分包单位进行技术资料的收集、整理、装订、归档，最后报送有关单位和部门。</w:t>
      </w:r>
    </w:p>
    <w:p w14:paraId="7F4D7964">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承包人为专业分包工程提供配合服务内容</w:t>
      </w:r>
    </w:p>
    <w:p w14:paraId="4C12DDEC">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1承包人在专业承包单位进场时及时清除影响专业分包单位施工的障碍物，由此造成的承包人工作计划变更或二次工作不作为索赔的理由；</w:t>
      </w:r>
    </w:p>
    <w:p w14:paraId="5CA564B8">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2负责对其现场安全和文明施工进行管理；</w:t>
      </w:r>
    </w:p>
    <w:p w14:paraId="77BACDDF">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3督促专业分包商将易破坏部分进行包裹保护；</w:t>
      </w:r>
    </w:p>
    <w:p w14:paraId="434D7E68">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4其他方便专业分包工程施工的工作（如为分包单位提供临水临电接驳点）；</w:t>
      </w:r>
    </w:p>
    <w:p w14:paraId="1DAAF5A5">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5承包人要指派一名人员（专、兼职均可）负责与专业承包单位的协调工作；</w:t>
      </w:r>
    </w:p>
    <w:p w14:paraId="7620B6C9">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6专业承包单位产生建筑垃圾由专业分包单位负责运至施工场地内指定地点，并由承包人统一清运出场地；</w:t>
      </w:r>
    </w:p>
    <w:p w14:paraId="25F248F8">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7承包人在安排进度计划和施工顺序时应充分考虑与专业分包单位的配合协调工作及专业分包单位施工周期，专业分包单位施工周期考虑总进度计划。承包人不得以受任何专业分包单位的影响为由拖延工期；</w:t>
      </w:r>
    </w:p>
    <w:p w14:paraId="46FD2B5F">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8在各专业分包工程实施前或实施过程中，承包人必须组织各专业分包单位对经发包人确认后提供给各施工单位的图纸、设计变更、签发的技术核定单等任何设计文件进行认真的核对及审查，并就设计文件中存在的任何差错、遗漏及缺陷以及对其它专业的设计文件和施工时潜在的影响，及时向发包人提出书面意见和建议。若未组织核定和审查，并就问题提出书面异议即安排并组织各专业分包单位进行施工，由此而造成的工期延误、费用增加由承包人自行承担；</w:t>
      </w:r>
    </w:p>
    <w:p w14:paraId="2D2265C3">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9承包人应负责现场施工道路铺设、维修、管理及日常清洁工作；任何进出场车辆的清洗工作；整个场地有组织的临时排水系统；以上发生的一切费用由承包人综合考虑后包含在投标报价中，发包人为此不承担任何责任和费用支出；</w:t>
      </w:r>
    </w:p>
    <w:p w14:paraId="6410ACEC">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10安全生产及文明施工管理，承包人现场安全文明施工应符合建设行政主管部门发布的相关法规及标准；</w:t>
      </w:r>
    </w:p>
    <w:p w14:paraId="1534C978">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11在施工过程中，承包人应随时保持施工场地的整洁有序。竣工验收移交前，清运所有建筑垃圾，承包人必须保证室内、室外的清洁卫生达到验收标准。承包人应严格按广州市有关规定执行；</w:t>
      </w:r>
    </w:p>
    <w:p w14:paraId="12D6C44F">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12承包人应做的其他工作：</w:t>
      </w:r>
    </w:p>
    <w:p w14:paraId="72487917">
      <w:pPr>
        <w:pStyle w:val="403"/>
        <w:spacing w:line="460" w:lineRule="exact"/>
        <w:ind w:firstLine="480" w:firstLineChars="200"/>
        <w:rPr>
          <w:rFonts w:hint="eastAsia" w:eastAsia="宋体" w:cs="宋体"/>
          <w:snapToGrid w:val="0"/>
        </w:rPr>
      </w:pPr>
      <w:r>
        <w:rPr>
          <w:rFonts w:hint="eastAsia" w:eastAsia="宋体" w:cs="宋体"/>
          <w:snapToGrid w:val="0"/>
        </w:rPr>
        <w:t>（1）由于施工不当造成的施工质量问题引起的一切后果、责任均由承包人承担；</w:t>
      </w:r>
    </w:p>
    <w:p w14:paraId="5A2C05F8">
      <w:pPr>
        <w:pStyle w:val="403"/>
        <w:spacing w:line="460" w:lineRule="exact"/>
        <w:ind w:firstLine="480" w:firstLineChars="200"/>
        <w:rPr>
          <w:rFonts w:hint="eastAsia" w:eastAsia="宋体" w:cs="宋体"/>
          <w:snapToGrid w:val="0"/>
        </w:rPr>
      </w:pPr>
      <w:r>
        <w:rPr>
          <w:rFonts w:hint="eastAsia" w:eastAsia="宋体" w:cs="宋体"/>
          <w:snapToGrid w:val="0"/>
        </w:rPr>
        <w:t>（2）施工过程中所遇的施工障碍承包人应积极予以协调处理；</w:t>
      </w:r>
    </w:p>
    <w:p w14:paraId="50FBDD5F">
      <w:pPr>
        <w:pStyle w:val="403"/>
        <w:spacing w:line="460" w:lineRule="exact"/>
        <w:ind w:firstLine="480" w:firstLineChars="200"/>
        <w:rPr>
          <w:rFonts w:hint="eastAsia" w:eastAsia="宋体" w:cs="宋体"/>
          <w:snapToGrid w:val="0"/>
        </w:rPr>
      </w:pPr>
      <w:r>
        <w:rPr>
          <w:rFonts w:hint="eastAsia" w:eastAsia="宋体" w:cs="宋体"/>
          <w:snapToGrid w:val="0"/>
        </w:rPr>
        <w:t>4</w:t>
      </w:r>
      <w:r>
        <w:rPr>
          <w:rFonts w:eastAsia="宋体" w:cs="宋体"/>
          <w:snapToGrid w:val="0"/>
        </w:rPr>
        <w:t>.14.3.</w:t>
      </w:r>
      <w:r>
        <w:rPr>
          <w:rFonts w:hint="eastAsia" w:eastAsia="宋体" w:cs="宋体"/>
          <w:snapToGrid w:val="0"/>
        </w:rPr>
        <w:t>13工期的保证：</w:t>
      </w:r>
    </w:p>
    <w:p w14:paraId="5D326252">
      <w:pPr>
        <w:pStyle w:val="403"/>
        <w:spacing w:line="460" w:lineRule="exact"/>
        <w:ind w:firstLine="480" w:firstLineChars="200"/>
        <w:rPr>
          <w:rFonts w:hint="eastAsia" w:eastAsia="宋体" w:cs="宋体"/>
          <w:snapToGrid w:val="0"/>
        </w:rPr>
      </w:pPr>
      <w:r>
        <w:rPr>
          <w:rFonts w:hint="eastAsia" w:eastAsia="宋体" w:cs="宋体"/>
          <w:snapToGrid w:val="0"/>
        </w:rPr>
        <w:t>若某专业工程施工的节点工期延误的，承包人应当充分调动工序在后的专业工程的施工进度，以确保总工期不延误，各专业（分包）工程的报价需包含各专业工程赶工的费用，承包人不得因为赶工而另行向发包人要求支付赶工费或提出索赔（经发包人确认的发包人及不可抗力引起的原因除外）。</w:t>
      </w:r>
    </w:p>
    <w:p w14:paraId="392A7DED">
      <w:pPr>
        <w:pStyle w:val="5"/>
        <w:spacing w:before="360" w:after="120" w:afterLines="50" w:line="480" w:lineRule="exact"/>
        <w:rPr>
          <w:rFonts w:hint="eastAsia" w:ascii="宋体" w:hAnsi="宋体" w:eastAsia="宋体" w:cs="宋体"/>
          <w:bCs/>
          <w:sz w:val="28"/>
          <w:szCs w:val="28"/>
        </w:rPr>
      </w:pPr>
      <w:bookmarkStart w:id="1504" w:name="_Toc176268749"/>
      <w:bookmarkStart w:id="1505" w:name="_Toc83220620"/>
      <w:bookmarkStart w:id="1506" w:name="_Toc19614"/>
      <w:bookmarkStart w:id="1507" w:name="_Toc198803816"/>
      <w:r>
        <w:rPr>
          <w:rFonts w:hint="eastAsia" w:ascii="宋体" w:hAnsi="宋体" w:eastAsia="宋体" w:cs="宋体"/>
          <w:bCs/>
          <w:sz w:val="28"/>
          <w:szCs w:val="28"/>
        </w:rPr>
        <w:t>5. 设计</w:t>
      </w:r>
      <w:bookmarkEnd w:id="1504"/>
      <w:bookmarkEnd w:id="1505"/>
      <w:bookmarkEnd w:id="1506"/>
      <w:r>
        <w:rPr>
          <w:rFonts w:hint="eastAsia" w:ascii="宋体" w:hAnsi="宋体" w:eastAsia="宋体" w:cs="宋体"/>
          <w:bCs/>
          <w:sz w:val="28"/>
          <w:szCs w:val="28"/>
        </w:rPr>
        <w:t>、勘察</w:t>
      </w:r>
      <w:bookmarkEnd w:id="1507"/>
    </w:p>
    <w:p w14:paraId="6F8B4A4A">
      <w:pPr>
        <w:pStyle w:val="403"/>
        <w:spacing w:line="460" w:lineRule="exact"/>
        <w:ind w:firstLine="480" w:firstLineChars="200"/>
        <w:rPr>
          <w:rFonts w:hint="eastAsia" w:eastAsia="宋体" w:cs="宋体"/>
          <w:snapToGrid w:val="0"/>
        </w:rPr>
      </w:pPr>
      <w:r>
        <w:rPr>
          <w:rFonts w:hint="eastAsia" w:eastAsia="宋体" w:cs="宋体"/>
          <w:snapToGrid w:val="0"/>
        </w:rPr>
        <w:t>5.1 设计承包人的设计义务</w:t>
      </w:r>
    </w:p>
    <w:p w14:paraId="492C30FD">
      <w:pPr>
        <w:pStyle w:val="403"/>
        <w:spacing w:line="460" w:lineRule="exact"/>
        <w:ind w:firstLine="480" w:firstLineChars="200"/>
        <w:rPr>
          <w:rFonts w:hint="eastAsia" w:eastAsia="宋体" w:cs="宋体"/>
          <w:snapToGrid w:val="0"/>
        </w:rPr>
      </w:pPr>
      <w:r>
        <w:rPr>
          <w:rFonts w:hint="eastAsia" w:eastAsia="宋体" w:cs="宋体"/>
          <w:snapToGrid w:val="0"/>
        </w:rPr>
        <w:t>5.1.1 设计义务的一般要求</w:t>
      </w:r>
    </w:p>
    <w:p w14:paraId="3A41E821">
      <w:pPr>
        <w:pStyle w:val="403"/>
        <w:spacing w:line="460" w:lineRule="exact"/>
        <w:ind w:firstLine="480" w:firstLineChars="200"/>
        <w:rPr>
          <w:rFonts w:hint="eastAsia" w:eastAsia="宋体" w:cs="宋体"/>
          <w:snapToGrid w:val="0"/>
        </w:rPr>
      </w:pPr>
      <w:r>
        <w:rPr>
          <w:rFonts w:hint="eastAsia" w:eastAsia="宋体" w:cs="宋体"/>
          <w:snapToGrid w:val="0"/>
        </w:rPr>
        <w:t>5.1.1.1根据发包人基础资料、任务书及建设标准、品质管理要求等，完成本工程范围内所有建设内容的设计工作。</w:t>
      </w:r>
    </w:p>
    <w:p w14:paraId="2B37A180">
      <w:pPr>
        <w:pStyle w:val="403"/>
        <w:spacing w:line="460" w:lineRule="exact"/>
        <w:ind w:firstLine="480" w:firstLineChars="200"/>
        <w:rPr>
          <w:rFonts w:hint="eastAsia" w:eastAsia="宋体" w:cs="宋体"/>
          <w:snapToGrid w:val="0"/>
        </w:rPr>
      </w:pPr>
      <w:r>
        <w:rPr>
          <w:rFonts w:hint="eastAsia" w:eastAsia="宋体" w:cs="宋体"/>
          <w:snapToGrid w:val="0"/>
        </w:rPr>
        <w:t>设计承包人承诺在不降低投标文件中的主要设计技术指标及满足发包人设计要求的前提下进行设计。设计承包人设计成果文件交付下一阶段设计工作或交付施工前应经发包人审核。未经发包人审核，设计承包人擅自将设计成果文件交付下一阶段设计工作或交付施工，设计承包人应承担违约责任。</w:t>
      </w:r>
    </w:p>
    <w:p w14:paraId="13C77BB7">
      <w:pPr>
        <w:pStyle w:val="403"/>
        <w:spacing w:line="460" w:lineRule="exact"/>
        <w:ind w:firstLine="480" w:firstLineChars="200"/>
        <w:rPr>
          <w:rFonts w:hint="eastAsia" w:eastAsia="宋体" w:cs="宋体"/>
          <w:snapToGrid w:val="0"/>
        </w:rPr>
      </w:pPr>
      <w:r>
        <w:rPr>
          <w:rFonts w:hint="eastAsia" w:eastAsia="宋体" w:cs="宋体"/>
          <w:snapToGrid w:val="0"/>
        </w:rPr>
        <w:t>在项目实施过程中，如果发包人或政府主管部门提出修改设计的要求，设计承包人应无条件进行优化设计、变更设计等，直至满足要求。</w:t>
      </w:r>
    </w:p>
    <w:p w14:paraId="468BF2E1">
      <w:pPr>
        <w:pStyle w:val="403"/>
        <w:spacing w:line="460" w:lineRule="exact"/>
        <w:ind w:firstLine="480" w:firstLineChars="200"/>
        <w:rPr>
          <w:rFonts w:hint="eastAsia" w:eastAsia="宋体" w:cs="宋体"/>
          <w:snapToGrid w:val="0"/>
        </w:rPr>
      </w:pPr>
      <w:r>
        <w:rPr>
          <w:rFonts w:hint="eastAsia" w:eastAsia="宋体" w:cs="宋体"/>
          <w:snapToGrid w:val="0"/>
        </w:rPr>
        <w:t>5.1.1.2设计义务</w:t>
      </w:r>
    </w:p>
    <w:p w14:paraId="14C66AE3">
      <w:pPr>
        <w:pStyle w:val="403"/>
        <w:spacing w:line="460" w:lineRule="exact"/>
        <w:ind w:firstLine="480" w:firstLineChars="200"/>
        <w:rPr>
          <w:rFonts w:hint="eastAsia" w:eastAsia="宋体" w:cs="宋体"/>
          <w:snapToGrid w:val="0"/>
        </w:rPr>
      </w:pPr>
      <w:r>
        <w:rPr>
          <w:rFonts w:hint="eastAsia" w:eastAsia="宋体" w:cs="宋体"/>
          <w:snapToGrid w:val="0"/>
        </w:rPr>
        <w:t>（1）设计承包人应遵循功能适用、标准合理、经济合理的原则开展设计。设计承包人应做到所交付的设计方案经济合理，如发包人认为设计承包人在设计过程中存在经济上不合理现象，有权向设计人提出质疑，必要时可要求设计人提供诸如计算书等设计资料，设计人应予合理解释并积极配合，不得以专利和知识产权为借口拒绝配合。</w:t>
      </w:r>
    </w:p>
    <w:p w14:paraId="5DA19B14">
      <w:pPr>
        <w:pStyle w:val="403"/>
        <w:spacing w:line="460" w:lineRule="exact"/>
        <w:ind w:firstLine="480" w:firstLineChars="200"/>
        <w:rPr>
          <w:rFonts w:hint="eastAsia" w:eastAsia="宋体" w:cs="宋体"/>
          <w:snapToGrid w:val="0"/>
        </w:rPr>
      </w:pPr>
      <w:r>
        <w:rPr>
          <w:rFonts w:hint="eastAsia" w:eastAsia="宋体" w:cs="宋体"/>
          <w:snapToGrid w:val="0"/>
        </w:rPr>
        <w:t>（2）设计承包人应按中华人民共和国住房和城乡建设部颁布的《建筑工程设计文件编制深度规定》（2016年版）（如有更新按最新的执行）的要求编制设计文件及其他国家技术规范、标准、规程及发包人提出的设计要求，进行工程设计，按合同规定的进度要求提交质量合格的设计资料，并对其完整性、正确性、适用性、经济合理性负责。设计除满足规划局下达的用地规划条件所列的设计条件外，还应满足国家、广东省和广州市制定的相关技术规范、规定，及满足环保、消防、卫生、防疫、人防、交通、园林、市政等各项相关法规、规章、规范、规定的要求。</w:t>
      </w:r>
    </w:p>
    <w:p w14:paraId="4CC524A8">
      <w:pPr>
        <w:pStyle w:val="403"/>
        <w:spacing w:line="460" w:lineRule="exact"/>
        <w:ind w:firstLine="480" w:firstLineChars="200"/>
        <w:rPr>
          <w:rFonts w:hint="eastAsia" w:eastAsia="宋体" w:cs="宋体"/>
          <w:snapToGrid w:val="0"/>
        </w:rPr>
      </w:pPr>
      <w:r>
        <w:rPr>
          <w:rFonts w:hint="eastAsia" w:eastAsia="宋体" w:cs="宋体"/>
          <w:snapToGrid w:val="0"/>
        </w:rPr>
        <w:t>（3）设计承包人采用的主要技术标准是：与本工程有关的现行国家设计规范通则、标准及省、市级地方标准和本工程任务书及建设标准。未经发包人同意，设计承包人不得在设计中采用尚未成熟的新技术、新产品、新工艺。设计承包人各阶段的设计文件，对新工艺、新技术、新材料、新设备的运用，应提供国内有关部门的试验报告报发包人确认，必要时组织有关专家论证，专家论证过程中所需论证材料的所有费用由设计承包人承担，发包人不再另行支付。</w:t>
      </w:r>
    </w:p>
    <w:p w14:paraId="1A2463E4">
      <w:pPr>
        <w:pStyle w:val="403"/>
        <w:spacing w:line="460" w:lineRule="exact"/>
        <w:ind w:firstLine="480" w:firstLineChars="200"/>
        <w:rPr>
          <w:rFonts w:hint="eastAsia" w:eastAsia="宋体" w:cs="宋体"/>
          <w:snapToGrid w:val="0"/>
        </w:rPr>
      </w:pPr>
      <w:r>
        <w:rPr>
          <w:rFonts w:hint="eastAsia" w:eastAsia="宋体" w:cs="宋体"/>
          <w:snapToGrid w:val="0"/>
        </w:rPr>
        <w:t>（4）设计承包人应按照本合同规定的要求，根据项目需要组织开展必要的现场考察、调研等工作，并承担所有费用，所有费用均包含在合同价内，发包人不另行支付。依据国家有关规范和标准，设计出符合本合同所规定的合理使用年限的建筑物及其相应设施，对其设计的建筑使用功能，安全使用寿命、环境保护、绿色建筑设计标识的标准、职业健康的标准，设备材料的质量、工程质量负责，并应在设计文件中注明其合理使用年限。</w:t>
      </w:r>
    </w:p>
    <w:p w14:paraId="340AF420">
      <w:pPr>
        <w:pStyle w:val="403"/>
        <w:spacing w:line="460" w:lineRule="exact"/>
        <w:ind w:firstLine="480" w:firstLineChars="200"/>
        <w:rPr>
          <w:rFonts w:hint="eastAsia" w:eastAsia="宋体" w:cs="宋体"/>
          <w:snapToGrid w:val="0"/>
        </w:rPr>
      </w:pPr>
      <w:r>
        <w:rPr>
          <w:rFonts w:hint="eastAsia" w:eastAsia="宋体" w:cs="宋体"/>
          <w:snapToGrid w:val="0"/>
        </w:rPr>
        <w:t>（5）发包人可委托有关设计咨询机构或组织由有关专家和技术人员组成的审图小组，对设计承包人完成的各阶段设计文件进行审查，设计承包人应积极配合。</w:t>
      </w:r>
    </w:p>
    <w:p w14:paraId="1E4ABAC1">
      <w:pPr>
        <w:pStyle w:val="403"/>
        <w:spacing w:line="460" w:lineRule="exact"/>
        <w:ind w:firstLine="480" w:firstLineChars="200"/>
        <w:rPr>
          <w:rFonts w:hint="eastAsia" w:eastAsia="宋体" w:cs="宋体"/>
          <w:snapToGrid w:val="0"/>
        </w:rPr>
      </w:pPr>
      <w:r>
        <w:rPr>
          <w:rFonts w:hint="eastAsia" w:eastAsia="宋体" w:cs="宋体"/>
          <w:snapToGrid w:val="0"/>
        </w:rPr>
        <w:t>（6）接受发包人的检查，如发包人认为可能超出限额或设计/施工不能满足要求或工期的，可要求设计承包人予以解释或要求设计承包人增加或替换相应的技术人员，设计承包人不得拒绝。</w:t>
      </w:r>
    </w:p>
    <w:p w14:paraId="2D2BE229">
      <w:pPr>
        <w:pStyle w:val="403"/>
        <w:spacing w:line="460" w:lineRule="exact"/>
        <w:ind w:firstLine="480" w:firstLineChars="200"/>
        <w:rPr>
          <w:rFonts w:hint="eastAsia" w:eastAsia="宋体" w:cs="宋体"/>
          <w:snapToGrid w:val="0"/>
        </w:rPr>
      </w:pPr>
      <w:r>
        <w:rPr>
          <w:rFonts w:hint="eastAsia" w:eastAsia="宋体" w:cs="宋体"/>
          <w:snapToGrid w:val="0"/>
        </w:rPr>
        <w:t>（7）发包人有权指导和审查由设计承包人根据发包人要求完成的</w:t>
      </w:r>
      <w:r>
        <w:rPr>
          <w:rFonts w:hint="eastAsia" w:eastAsia="宋体" w:cs="宋体"/>
          <w:snapToGrid w:val="0"/>
          <w:lang w:val="en-US" w:eastAsia="zh-CN"/>
        </w:rPr>
        <w:t>方案设计（估算）、</w:t>
      </w:r>
      <w:r>
        <w:rPr>
          <w:rFonts w:hint="eastAsia" w:eastAsia="宋体" w:cs="宋体"/>
          <w:snapToGrid w:val="0"/>
        </w:rPr>
        <w:t>初步设计</w:t>
      </w:r>
      <w:r>
        <w:rPr>
          <w:rFonts w:hint="eastAsia" w:eastAsia="宋体" w:cs="宋体"/>
          <w:snapToGrid w:val="0"/>
          <w:lang w:eastAsia="zh-CN"/>
        </w:rPr>
        <w:t>（</w:t>
      </w:r>
      <w:r>
        <w:rPr>
          <w:rFonts w:hint="eastAsia" w:eastAsia="宋体" w:cs="宋体"/>
          <w:snapToGrid w:val="0"/>
          <w:lang w:val="en-US" w:eastAsia="zh-CN"/>
        </w:rPr>
        <w:t>概算</w:t>
      </w:r>
      <w:r>
        <w:rPr>
          <w:rFonts w:hint="eastAsia" w:eastAsia="宋体" w:cs="宋体"/>
          <w:snapToGrid w:val="0"/>
          <w:lang w:eastAsia="zh-CN"/>
        </w:rPr>
        <w:t>）</w:t>
      </w:r>
      <w:r>
        <w:rPr>
          <w:rFonts w:hint="eastAsia" w:eastAsia="宋体" w:cs="宋体"/>
          <w:snapToGrid w:val="0"/>
        </w:rPr>
        <w:t>和施工图设计，并给出审核意见，设计承包人需及时进行修改和优化，但发包人的审查并不免除设计承包人所应承担的任何责任。</w:t>
      </w:r>
    </w:p>
    <w:p w14:paraId="28D8A497">
      <w:pPr>
        <w:pStyle w:val="403"/>
        <w:spacing w:line="460" w:lineRule="exact"/>
        <w:ind w:firstLine="480" w:firstLineChars="200"/>
        <w:rPr>
          <w:rFonts w:hint="eastAsia" w:eastAsia="宋体" w:cs="宋体"/>
          <w:snapToGrid w:val="0"/>
        </w:rPr>
      </w:pPr>
      <w:r>
        <w:rPr>
          <w:rFonts w:hint="eastAsia" w:eastAsia="宋体" w:cs="宋体"/>
          <w:snapToGrid w:val="0"/>
        </w:rPr>
        <w:t>（8）负责及时向发包人提供各阶段的设计图纸并对图纸进行交底及会审，对设计图纸上任何不符施工常规、惯例或规范之处，以及设计图纸中错、漏、碰、缺问题，及时做好变更，并做好各系统管线的综合平衡工作。</w:t>
      </w:r>
    </w:p>
    <w:p w14:paraId="5D624A20">
      <w:pPr>
        <w:pStyle w:val="403"/>
        <w:spacing w:line="460" w:lineRule="exact"/>
        <w:ind w:firstLine="480" w:firstLineChars="200"/>
        <w:rPr>
          <w:rFonts w:hint="eastAsia" w:eastAsia="宋体" w:cs="宋体"/>
          <w:snapToGrid w:val="0"/>
        </w:rPr>
      </w:pPr>
      <w:r>
        <w:rPr>
          <w:rFonts w:hint="eastAsia" w:eastAsia="宋体" w:cs="宋体"/>
          <w:snapToGrid w:val="0"/>
        </w:rPr>
        <w:t>（9）设计承包人交付设计文件后，参加有关管理部门的设计审查及解释沟通工作并承担相关评审费用，设计承包人应积极主动进行与项目有关的内、外协调工作，积极配合与规划、市政、交通等部门和单位的协调，及时根据审查结论进行不超过本合同范围内的必要调整、补充、完善，负责完成由于设计失误未获政府主管部门批准而出现的反复修改的工作，配合发包人向有关部门办理设计文件报建和审批工作，确保设计文件获得政府主管部门及相关审查部门的批准。</w:t>
      </w:r>
    </w:p>
    <w:p w14:paraId="1A7D67FF">
      <w:pPr>
        <w:pStyle w:val="403"/>
        <w:spacing w:line="460" w:lineRule="exact"/>
        <w:ind w:firstLine="480" w:firstLineChars="200"/>
        <w:rPr>
          <w:rFonts w:hint="eastAsia" w:eastAsia="宋体" w:cs="宋体"/>
          <w:snapToGrid w:val="0"/>
        </w:rPr>
      </w:pPr>
      <w:r>
        <w:rPr>
          <w:rFonts w:hint="eastAsia" w:eastAsia="宋体" w:cs="宋体"/>
          <w:snapToGrid w:val="0"/>
        </w:rPr>
        <w:t>（10）设计承包人应按批准的初步设计完成施工图设计工作，并进行交叉作业，接受发包人及发包人上级主管部门对施工图设计文件的审查，当上级管理部门对前一段设计进行批复，其结果影响后一阶段工作内容时，设计承包人必须无条件执行批复内容然后按审查意见修改施工图设计文件。所有修改、赶工的费用，均含在合同总价中，发包人不另行支付。</w:t>
      </w:r>
    </w:p>
    <w:p w14:paraId="190CB5FE">
      <w:pPr>
        <w:pStyle w:val="403"/>
        <w:spacing w:line="460" w:lineRule="exact"/>
        <w:ind w:firstLine="480" w:firstLineChars="200"/>
        <w:rPr>
          <w:rFonts w:hint="eastAsia" w:eastAsia="宋体" w:cs="宋体"/>
          <w:snapToGrid w:val="0"/>
        </w:rPr>
      </w:pPr>
      <w:r>
        <w:rPr>
          <w:rFonts w:hint="eastAsia" w:eastAsia="宋体" w:cs="宋体"/>
          <w:snapToGrid w:val="0"/>
        </w:rPr>
        <w:t>（12）设计承包人应在收到发包人或发包人委托的咨询审查单位或上级主管单位提出的审查意见后</w:t>
      </w:r>
      <w:r>
        <w:rPr>
          <w:rFonts w:eastAsia="宋体" w:cs="宋体"/>
          <w:snapToGrid w:val="0"/>
        </w:rPr>
        <w:t>3</w:t>
      </w:r>
      <w:r>
        <w:rPr>
          <w:rFonts w:hint="eastAsia" w:eastAsia="宋体" w:cs="宋体"/>
          <w:snapToGrid w:val="0"/>
        </w:rPr>
        <w:t>日历天内，完成对设计文件的修改；若超过本款规定的期限，将视为设计承包人违约，由设计承包人向发包人按专用合同条款第22条支付违约金。</w:t>
      </w:r>
    </w:p>
    <w:p w14:paraId="5A1FB55E">
      <w:pPr>
        <w:pStyle w:val="403"/>
        <w:spacing w:line="460" w:lineRule="exact"/>
        <w:ind w:firstLine="480" w:firstLineChars="200"/>
        <w:rPr>
          <w:rFonts w:hint="eastAsia" w:eastAsia="宋体" w:cs="宋体"/>
          <w:snapToGrid w:val="0"/>
        </w:rPr>
      </w:pPr>
      <w:r>
        <w:rPr>
          <w:rFonts w:hint="eastAsia" w:eastAsia="宋体" w:cs="宋体"/>
          <w:snapToGrid w:val="0"/>
        </w:rPr>
        <w:t>（13）发包人或发包人委托的咨询审查单位及发包人的上级主管部门的审查或确认，不能免除或减轻设计承包人在本合同应尽的义务。</w:t>
      </w:r>
    </w:p>
    <w:p w14:paraId="7F43F684">
      <w:pPr>
        <w:pStyle w:val="403"/>
        <w:spacing w:line="460" w:lineRule="exact"/>
        <w:ind w:firstLine="480" w:firstLineChars="200"/>
        <w:rPr>
          <w:rFonts w:hint="eastAsia" w:eastAsia="宋体" w:cs="宋体"/>
          <w:snapToGrid w:val="0"/>
        </w:rPr>
      </w:pPr>
      <w:r>
        <w:rPr>
          <w:rFonts w:hint="eastAsia" w:eastAsia="宋体" w:cs="宋体"/>
          <w:snapToGrid w:val="0"/>
        </w:rPr>
        <w:t>（14）</w:t>
      </w:r>
      <w:r>
        <w:rPr>
          <w:rFonts w:hint="eastAsia" w:eastAsia="宋体"/>
          <w:bCs/>
        </w:rPr>
        <w:t>设计承包人应在施工各阶段提供设计驻场服务，委派驻场人员须为本工程相应施工阶段主要设计人员，驻场代表应代表承包人履行各项设计义务。</w:t>
      </w:r>
      <w:r>
        <w:rPr>
          <w:rFonts w:hint="eastAsia" w:eastAsia="宋体" w:cs="宋体"/>
          <w:snapToGrid w:val="0"/>
        </w:rPr>
        <w:t>若设计承包人未能于合同期内，或根据发包人同意延长的时间内，提供合同所载的全部设计服务或其中的任何部分服务，发包人有绝对酌情权，以书面通知设计承包人，终止整份或部分合同。</w:t>
      </w:r>
    </w:p>
    <w:p w14:paraId="2DC06D6D">
      <w:pPr>
        <w:pStyle w:val="403"/>
        <w:spacing w:line="460" w:lineRule="exact"/>
        <w:ind w:firstLine="480" w:firstLineChars="200"/>
        <w:rPr>
          <w:rFonts w:hint="eastAsia" w:eastAsia="宋体" w:cs="宋体"/>
          <w:snapToGrid w:val="0"/>
        </w:rPr>
      </w:pPr>
      <w:r>
        <w:rPr>
          <w:rFonts w:hint="eastAsia" w:eastAsia="宋体" w:cs="宋体"/>
          <w:snapToGrid w:val="0"/>
        </w:rPr>
        <w:t>（15）设计承包人在设计过程中须主动与本工程各政府部门（包括但不限于规划、建设、国土、水利等）沟通、协调，协助发包人办理各项报批手续。如因设计人原因，导致设计资料及文件不能获得建设行政主管部门的审批，设计人应当无条件对设计文件进行修改，直至发包人满意并通过政府建设主管部门的审批为止。</w:t>
      </w:r>
    </w:p>
    <w:p w14:paraId="53956F6F">
      <w:pPr>
        <w:pStyle w:val="403"/>
        <w:spacing w:line="460" w:lineRule="exact"/>
        <w:ind w:firstLine="480" w:firstLineChars="200"/>
        <w:rPr>
          <w:rFonts w:hint="eastAsia" w:eastAsia="宋体" w:cs="宋体"/>
          <w:snapToGrid w:val="0"/>
        </w:rPr>
      </w:pPr>
      <w:r>
        <w:rPr>
          <w:rFonts w:hint="eastAsia" w:eastAsia="宋体" w:cs="宋体"/>
          <w:snapToGrid w:val="0"/>
        </w:rPr>
        <w:t>（16）因设计承包人原因，造成设计文件存在遗漏、错误、缺陷和不足的，设计承包人应自费修复、弥补、纠正和完善。设计承包人设计缺陷造成工程质量事故损失、工程返工或设计进度延误时，除应自费采取措施补救外，工期不予顺延，由设计承包人向发包人按专用合同条款第22条支付违约金，并赔偿给发包人造成的损失。严重者，发包人可单方面解除合同，并追索设计承包人的违约责任及经济损失。</w:t>
      </w:r>
    </w:p>
    <w:p w14:paraId="4E7ACB45">
      <w:pPr>
        <w:pStyle w:val="403"/>
        <w:spacing w:line="460" w:lineRule="exact"/>
        <w:ind w:firstLine="480" w:firstLineChars="200"/>
        <w:rPr>
          <w:rFonts w:hint="eastAsia" w:eastAsia="宋体" w:cs="宋体"/>
          <w:snapToGrid w:val="0"/>
        </w:rPr>
      </w:pPr>
      <w:r>
        <w:rPr>
          <w:rFonts w:hint="eastAsia" w:eastAsia="宋体" w:cs="宋体"/>
          <w:snapToGrid w:val="0"/>
        </w:rPr>
        <w:t>（17）对工程设计、施工、验收过程中发现的由于设计原因造成的问题，设计承包人应及时处理，属于一般设计问题，若无特殊情况，应在1天内解决；属于重大设计问题，最长处理时间不应超过5个工作日。否则，由设计承包人向发包人按专用合同条款第22条支付违约金。</w:t>
      </w:r>
    </w:p>
    <w:p w14:paraId="48912DB2">
      <w:pPr>
        <w:pStyle w:val="403"/>
        <w:spacing w:line="460" w:lineRule="exact"/>
        <w:ind w:firstLine="480" w:firstLineChars="200"/>
        <w:rPr>
          <w:rFonts w:hint="eastAsia" w:eastAsia="宋体" w:cs="宋体"/>
          <w:snapToGrid w:val="0"/>
        </w:rPr>
      </w:pPr>
      <w:r>
        <w:rPr>
          <w:rFonts w:hint="eastAsia" w:eastAsia="宋体" w:cs="宋体"/>
          <w:snapToGrid w:val="0"/>
        </w:rPr>
        <w:t>（18）本合同生效之日起至工程缺陷责任期满之日止为设计服务期限。工程投入使用后，若发现工程因设计承包人原因未能满足本合同的要求，设计承包人必须继续提供服务，直至满足要求为止，对此发包人不额外支付费用。</w:t>
      </w:r>
    </w:p>
    <w:p w14:paraId="6E58B9D0">
      <w:pPr>
        <w:pStyle w:val="403"/>
        <w:spacing w:line="460" w:lineRule="exact"/>
        <w:ind w:firstLine="480" w:firstLineChars="200"/>
        <w:rPr>
          <w:rFonts w:hint="eastAsia" w:eastAsia="宋体" w:cs="宋体"/>
          <w:snapToGrid w:val="0"/>
        </w:rPr>
      </w:pPr>
      <w:r>
        <w:rPr>
          <w:rFonts w:hint="eastAsia" w:eastAsia="宋体" w:cs="宋体"/>
          <w:snapToGrid w:val="0"/>
        </w:rPr>
        <w:t>（19）设计承包人不得擅自转让或以其他方式出让合同或合同的任何权益，设计承包人须视履行合同为本身的责任，如设计承包人要分包非主体、非关键部分工作内容，需征得发包人同意后，另行与分包单位签订分包合同，否则视为设计承包人违约。</w:t>
      </w:r>
    </w:p>
    <w:p w14:paraId="777043BE">
      <w:pPr>
        <w:pStyle w:val="403"/>
        <w:spacing w:line="460" w:lineRule="exact"/>
        <w:ind w:firstLine="480" w:firstLineChars="200"/>
        <w:rPr>
          <w:rFonts w:hint="eastAsia" w:eastAsia="宋体" w:cs="宋体"/>
          <w:snapToGrid w:val="0"/>
        </w:rPr>
      </w:pPr>
      <w:r>
        <w:rPr>
          <w:rFonts w:hint="eastAsia" w:eastAsia="宋体" w:cs="宋体"/>
          <w:snapToGrid w:val="0"/>
        </w:rPr>
        <w:t>（20）设计承包人承担各阶段深化优化设计及政府相关主管部门和审查部门审查批准而出现的反复调整和修改的工作。</w:t>
      </w:r>
    </w:p>
    <w:p w14:paraId="75CDFE91">
      <w:pPr>
        <w:pStyle w:val="403"/>
        <w:spacing w:line="460" w:lineRule="exact"/>
        <w:ind w:firstLine="480" w:firstLineChars="200"/>
        <w:rPr>
          <w:rFonts w:hint="eastAsia" w:eastAsia="宋体" w:cs="宋体"/>
          <w:snapToGrid w:val="0"/>
        </w:rPr>
      </w:pPr>
      <w:r>
        <w:rPr>
          <w:rFonts w:hint="eastAsia" w:eastAsia="宋体" w:cs="宋体"/>
          <w:snapToGrid w:val="0"/>
        </w:rPr>
        <w:t>（21）如果设计人未能在发包人批准的时间内交付设计成果，设计人应向发包人支付误期损害赔偿费，这些误期损害赔偿费不应解除设计人完成合同规定的其他责任、义务和职责。</w:t>
      </w:r>
    </w:p>
    <w:p w14:paraId="6E3EAA62">
      <w:pPr>
        <w:pStyle w:val="403"/>
        <w:spacing w:line="460" w:lineRule="exact"/>
        <w:ind w:firstLine="480" w:firstLineChars="200"/>
        <w:rPr>
          <w:rFonts w:hint="eastAsia" w:eastAsia="宋体" w:cs="宋体"/>
          <w:snapToGrid w:val="0"/>
        </w:rPr>
      </w:pPr>
      <w:r>
        <w:rPr>
          <w:rFonts w:hint="eastAsia" w:eastAsia="宋体" w:cs="宋体"/>
          <w:snapToGrid w:val="0"/>
        </w:rPr>
        <w:t>5.1</w:t>
      </w:r>
      <w:r>
        <w:rPr>
          <w:rFonts w:eastAsia="宋体" w:cs="宋体"/>
          <w:snapToGrid w:val="0"/>
        </w:rPr>
        <w:t>.3</w:t>
      </w:r>
      <w:r>
        <w:rPr>
          <w:rFonts w:hint="eastAsia" w:eastAsia="宋体" w:cs="宋体"/>
          <w:snapToGrid w:val="0"/>
        </w:rPr>
        <w:t xml:space="preserve"> 设计成果提交要求</w:t>
      </w:r>
    </w:p>
    <w:p w14:paraId="0C32252D">
      <w:pPr>
        <w:pStyle w:val="403"/>
        <w:spacing w:line="460" w:lineRule="exact"/>
        <w:ind w:firstLine="480" w:firstLineChars="200"/>
        <w:rPr>
          <w:rFonts w:hint="eastAsia" w:eastAsia="宋体" w:cs="宋体"/>
          <w:snapToGrid w:val="0"/>
        </w:rPr>
      </w:pPr>
      <w:r>
        <w:rPr>
          <w:rFonts w:hint="eastAsia" w:eastAsia="宋体" w:cs="宋体"/>
          <w:snapToGrid w:val="0"/>
        </w:rPr>
        <w:t>5.1</w:t>
      </w:r>
      <w:r>
        <w:rPr>
          <w:rFonts w:eastAsia="宋体" w:cs="宋体"/>
          <w:snapToGrid w:val="0"/>
        </w:rPr>
        <w:t>.3.</w:t>
      </w:r>
      <w:r>
        <w:rPr>
          <w:rFonts w:hint="eastAsia" w:eastAsia="宋体" w:cs="宋体"/>
          <w:snapToGrid w:val="0"/>
        </w:rPr>
        <w:t>1施工图送审文件成果要求按有关要求执行。施工图及文本文件20份，电子文档光盘4份（无加密，cad版本）。文件加盖设计单位出图章，各专业负责人、设计人签署。</w:t>
      </w:r>
    </w:p>
    <w:p w14:paraId="394A498B">
      <w:pPr>
        <w:pStyle w:val="403"/>
        <w:spacing w:line="460" w:lineRule="exact"/>
        <w:ind w:firstLine="480" w:firstLineChars="200"/>
        <w:rPr>
          <w:rFonts w:hint="eastAsia" w:eastAsia="宋体" w:cs="宋体"/>
          <w:snapToGrid w:val="0"/>
        </w:rPr>
      </w:pPr>
      <w:bookmarkStart w:id="1508" w:name="_Toc14602"/>
      <w:r>
        <w:rPr>
          <w:rFonts w:hint="eastAsia" w:eastAsia="宋体" w:cs="宋体"/>
          <w:snapToGrid w:val="0"/>
        </w:rPr>
        <w:t>5.3设计审查</w:t>
      </w:r>
      <w:bookmarkEnd w:id="1508"/>
    </w:p>
    <w:p w14:paraId="76BD234F">
      <w:pPr>
        <w:pStyle w:val="403"/>
        <w:spacing w:line="460" w:lineRule="exact"/>
        <w:ind w:firstLine="480" w:firstLineChars="200"/>
        <w:rPr>
          <w:rFonts w:hint="eastAsia" w:eastAsia="宋体" w:cs="宋体"/>
          <w:snapToGrid w:val="0"/>
        </w:rPr>
      </w:pPr>
      <w:r>
        <w:rPr>
          <w:rFonts w:hint="eastAsia" w:eastAsia="宋体" w:cs="宋体"/>
          <w:snapToGrid w:val="0"/>
        </w:rPr>
        <w:t>设计承包人的设计文件应报发包人审查同意。设计审查包括发包人审查和政府/行业主管部门审查，其中政府/行业主管部门审查前应先经发包人或发包人委托的专业咨询机构审查，政府/行业主管部门审查按其安排，以下针对发包人的审查约定如下：</w:t>
      </w:r>
    </w:p>
    <w:p w14:paraId="413FC0FC">
      <w:pPr>
        <w:pStyle w:val="403"/>
        <w:spacing w:line="460" w:lineRule="exact"/>
        <w:ind w:firstLine="480" w:firstLineChars="200"/>
        <w:rPr>
          <w:rFonts w:hint="eastAsia" w:eastAsia="宋体" w:cs="宋体"/>
          <w:snapToGrid w:val="0"/>
        </w:rPr>
      </w:pPr>
      <w:r>
        <w:rPr>
          <w:rFonts w:hint="eastAsia" w:eastAsia="宋体" w:cs="宋体"/>
          <w:snapToGrid w:val="0"/>
        </w:rPr>
        <w:t>5.3.1设计审查可通过审查会议或发包人自行审查的形式进行。</w:t>
      </w:r>
    </w:p>
    <w:p w14:paraId="388987E5">
      <w:pPr>
        <w:pStyle w:val="403"/>
        <w:spacing w:line="460" w:lineRule="exact"/>
        <w:ind w:firstLine="480" w:firstLineChars="200"/>
        <w:rPr>
          <w:rFonts w:hint="eastAsia" w:eastAsia="宋体" w:cs="宋体"/>
          <w:snapToGrid w:val="0"/>
        </w:rPr>
      </w:pPr>
      <w:r>
        <w:rPr>
          <w:rFonts w:hint="eastAsia" w:eastAsia="宋体" w:cs="宋体"/>
          <w:snapToGrid w:val="0"/>
        </w:rPr>
        <w:t>审查会议的时间安排：本工程设计阶段审查的组织和会议安排由设计承包人负责，并承担会议的费用及发包人上级单位、政府有关部门、有关专家参加审查会议的费用，包括但不限于会议费、场地费、交通费、住宿费等所有的费用。设计承包人须在审查会召开3日前将审查会议的内容及时间安排、会议日程书面通知发包人，以便发包人及时派员出席会议。</w:t>
      </w:r>
    </w:p>
    <w:p w14:paraId="584B87D8">
      <w:pPr>
        <w:pStyle w:val="403"/>
        <w:spacing w:line="460" w:lineRule="exact"/>
        <w:ind w:firstLine="480" w:firstLineChars="200"/>
        <w:rPr>
          <w:rFonts w:hint="eastAsia" w:eastAsia="宋体" w:cs="宋体"/>
          <w:snapToGrid w:val="0"/>
        </w:rPr>
      </w:pPr>
      <w:r>
        <w:rPr>
          <w:rFonts w:hint="eastAsia" w:eastAsia="宋体" w:cs="宋体"/>
          <w:snapToGrid w:val="0"/>
        </w:rPr>
        <w:t>设计承包人的设计文件对于合同约定有偏离的，应在通知中说明。设计承包人需要修改已提交的设计承包人文件的，应立即通知监理人，并向监理人提交修改后的设计承包人的设计文件。</w:t>
      </w:r>
    </w:p>
    <w:p w14:paraId="7541328E">
      <w:pPr>
        <w:pStyle w:val="403"/>
        <w:spacing w:line="460" w:lineRule="exact"/>
        <w:ind w:firstLine="480" w:firstLineChars="200"/>
        <w:rPr>
          <w:rFonts w:hint="eastAsia" w:eastAsia="宋体" w:cs="宋体"/>
          <w:snapToGrid w:val="0"/>
        </w:rPr>
      </w:pPr>
      <w:r>
        <w:rPr>
          <w:rFonts w:hint="eastAsia" w:eastAsia="宋体" w:cs="宋体"/>
          <w:snapToGrid w:val="0"/>
        </w:rPr>
        <w:t>发包人不同意设计文件的，应以书面形式通知设计承包人，并说明不符合合同要求的具体内容。设计承包人应根据书面说明，对设计承包人文件进行修改后重新报送发包人审查。</w:t>
      </w:r>
    </w:p>
    <w:p w14:paraId="58884DA6">
      <w:pPr>
        <w:pStyle w:val="403"/>
        <w:spacing w:line="460" w:lineRule="exact"/>
        <w:ind w:firstLine="480" w:firstLineChars="200"/>
        <w:rPr>
          <w:rFonts w:hint="eastAsia" w:eastAsia="宋体" w:cs="宋体"/>
          <w:snapToGrid w:val="0"/>
        </w:rPr>
      </w:pPr>
      <w:r>
        <w:rPr>
          <w:rFonts w:hint="eastAsia" w:eastAsia="宋体" w:cs="宋体"/>
          <w:snapToGrid w:val="0"/>
        </w:rPr>
        <w:t>5.3.4 发包人或发包人委托的咨询审查单位及发包人的上级主管部门的审查或确认，不能免除或减轻设计承包人在本合同应尽的义务。</w:t>
      </w:r>
    </w:p>
    <w:p w14:paraId="7FE2182C">
      <w:pPr>
        <w:pStyle w:val="403"/>
        <w:spacing w:line="460" w:lineRule="exact"/>
        <w:ind w:firstLine="480" w:firstLineChars="200"/>
        <w:rPr>
          <w:rFonts w:hint="eastAsia" w:eastAsia="宋体" w:cs="宋体"/>
          <w:snapToGrid w:val="0"/>
        </w:rPr>
      </w:pPr>
      <w:r>
        <w:rPr>
          <w:rFonts w:hint="eastAsia" w:eastAsia="宋体" w:cs="宋体"/>
          <w:snapToGrid w:val="0"/>
        </w:rPr>
        <w:t>5.3.5 设计概算和施工图预算提交要求：</w:t>
      </w:r>
    </w:p>
    <w:p w14:paraId="5F4CDA32">
      <w:pPr>
        <w:pStyle w:val="403"/>
        <w:spacing w:line="460" w:lineRule="exact"/>
        <w:ind w:firstLine="480" w:firstLineChars="200"/>
        <w:rPr>
          <w:rFonts w:hint="eastAsia" w:eastAsia="宋体" w:cs="宋体"/>
          <w:snapToGrid w:val="0"/>
        </w:rPr>
      </w:pPr>
      <w:r>
        <w:rPr>
          <w:rFonts w:hint="eastAsia" w:eastAsia="宋体" w:cs="宋体"/>
          <w:snapToGrid w:val="0"/>
        </w:rPr>
        <w:t>（1）承包人应于初步设计评审通过后2日历日内编制并提交满足要求的概算文件，概算文件可根据初步设计该部分评审情况分批次提交。</w:t>
      </w:r>
    </w:p>
    <w:p w14:paraId="67CDEA17">
      <w:pPr>
        <w:pStyle w:val="403"/>
        <w:spacing w:line="460" w:lineRule="exact"/>
        <w:ind w:firstLine="480" w:firstLineChars="200"/>
        <w:rPr>
          <w:rFonts w:hint="eastAsia" w:eastAsia="宋体" w:cs="宋体"/>
          <w:snapToGrid w:val="0"/>
        </w:rPr>
      </w:pPr>
      <w:r>
        <w:rPr>
          <w:rFonts w:hint="eastAsia" w:eastAsia="宋体" w:cs="宋体"/>
          <w:snapToGrid w:val="0"/>
        </w:rPr>
        <w:t>（2）承包人应于施工图审查通过后5日历日内完成并提交施工图预算文件；施工图预算文件可根据施工图设计该部分确认情况分批次提交送审；承包人分批提交施工图预算及相关文件经发包人、项目业主单位完成审核后，承包人应在5日历日内与发包人、项目业主单位完成核对工作，审定后的施工图预算作为进度款支付、设计变更及结算依据。</w:t>
      </w:r>
    </w:p>
    <w:p w14:paraId="7248832D">
      <w:pPr>
        <w:pStyle w:val="403"/>
        <w:spacing w:line="460" w:lineRule="exact"/>
        <w:ind w:firstLine="480" w:firstLineChars="200"/>
        <w:rPr>
          <w:rFonts w:hint="eastAsia" w:eastAsia="宋体" w:cs="宋体"/>
          <w:snapToGrid w:val="0"/>
        </w:rPr>
      </w:pPr>
      <w:r>
        <w:rPr>
          <w:rFonts w:hint="eastAsia" w:eastAsia="宋体" w:cs="宋体"/>
          <w:snapToGrid w:val="0"/>
        </w:rPr>
        <w:t>（3）若因承包人不能按时提交施工图预算，或因承包人原因导致施工图预算核对工作延迟完成的，进度款支付相应顺延，一切责任由承包人承担。</w:t>
      </w:r>
    </w:p>
    <w:p w14:paraId="3C441AF0">
      <w:pPr>
        <w:pStyle w:val="403"/>
        <w:spacing w:line="460" w:lineRule="exact"/>
        <w:ind w:firstLine="480" w:firstLineChars="200"/>
        <w:rPr>
          <w:rFonts w:hint="eastAsia" w:eastAsia="宋体" w:cs="宋体"/>
          <w:snapToGrid w:val="0"/>
        </w:rPr>
      </w:pPr>
      <w:bookmarkStart w:id="1509" w:name="_Toc68594910"/>
      <w:bookmarkStart w:id="1510" w:name="_Toc528255609"/>
      <w:r>
        <w:rPr>
          <w:rFonts w:hint="eastAsia" w:eastAsia="宋体" w:cs="宋体"/>
          <w:snapToGrid w:val="0"/>
        </w:rPr>
        <w:t>5.3.6设计阶段审查日期的延误</w:t>
      </w:r>
    </w:p>
    <w:p w14:paraId="3B87FFD9">
      <w:pPr>
        <w:pStyle w:val="403"/>
        <w:spacing w:line="460" w:lineRule="exact"/>
        <w:ind w:firstLine="480" w:firstLineChars="200"/>
        <w:rPr>
          <w:rFonts w:hint="eastAsia" w:eastAsia="宋体" w:cs="宋体"/>
          <w:snapToGrid w:val="0"/>
        </w:rPr>
      </w:pPr>
      <w:r>
        <w:rPr>
          <w:rFonts w:hint="eastAsia" w:eastAsia="宋体" w:cs="宋体"/>
          <w:snapToGrid w:val="0"/>
        </w:rPr>
        <w:t>（1）因设计承包人原因，未能按照约定的设计审查阶段及其审查会议的时间安排提交相关阶段的设计文件、或提交的相关设计文件不符合相关审核阶段的设计深度时，造成设计审查会议延误的，由设计承包人自费采取措施并赶上。造成竣工日期延误，并给发包人造成审核会议准备的经济损失，由设计承包人承担。</w:t>
      </w:r>
    </w:p>
    <w:p w14:paraId="25F27D42">
      <w:pPr>
        <w:pStyle w:val="403"/>
        <w:spacing w:line="460" w:lineRule="exact"/>
        <w:ind w:firstLine="480" w:firstLineChars="200"/>
        <w:rPr>
          <w:rFonts w:hint="eastAsia" w:eastAsia="宋体" w:cs="宋体"/>
          <w:snapToGrid w:val="0"/>
        </w:rPr>
      </w:pPr>
      <w:r>
        <w:rPr>
          <w:rFonts w:hint="eastAsia" w:eastAsia="宋体" w:cs="宋体"/>
          <w:snapToGrid w:val="0"/>
        </w:rPr>
        <w:t>（2）政府相关设计审查部门批准时间较合同约定时间延长的，设计承包人应自费赶上，相关的费用已包含在合同价格之中。</w:t>
      </w:r>
    </w:p>
    <w:p w14:paraId="35A5E334">
      <w:pPr>
        <w:pStyle w:val="403"/>
        <w:spacing w:line="460" w:lineRule="exact"/>
        <w:ind w:firstLine="480" w:firstLineChars="200"/>
        <w:rPr>
          <w:rFonts w:hint="eastAsia" w:eastAsia="宋体" w:cs="宋体"/>
          <w:snapToGrid w:val="0"/>
        </w:rPr>
      </w:pPr>
      <w:r>
        <w:rPr>
          <w:rFonts w:hint="eastAsia" w:eastAsia="宋体" w:cs="宋体"/>
          <w:snapToGrid w:val="0"/>
        </w:rPr>
        <w:t>5.8 设计后续服务</w:t>
      </w:r>
      <w:bookmarkEnd w:id="1509"/>
      <w:bookmarkEnd w:id="1510"/>
    </w:p>
    <w:p w14:paraId="3BCE8FDD">
      <w:pPr>
        <w:pStyle w:val="403"/>
        <w:spacing w:line="460" w:lineRule="exact"/>
        <w:ind w:firstLine="480" w:firstLineChars="200"/>
        <w:rPr>
          <w:rFonts w:hint="eastAsia" w:eastAsia="宋体" w:cs="宋体"/>
          <w:snapToGrid w:val="0"/>
        </w:rPr>
      </w:pPr>
      <w:r>
        <w:rPr>
          <w:rFonts w:hint="eastAsia" w:eastAsia="宋体"/>
          <w:bCs/>
        </w:rPr>
        <w:t>设计承包人应在施工各阶段提供设计驻场服务，委派驻场人员须为本工程相应施工阶段主要设计人员，驻场代表应代表承包人履行各项设计义务</w:t>
      </w:r>
      <w:r>
        <w:rPr>
          <w:rFonts w:hint="eastAsia" w:eastAsia="宋体" w:cs="宋体"/>
          <w:snapToGrid w:val="0"/>
        </w:rPr>
        <w:t>，做好施工现场服务，包括但不限于：</w:t>
      </w:r>
    </w:p>
    <w:p w14:paraId="6A543DC1">
      <w:pPr>
        <w:pStyle w:val="403"/>
        <w:spacing w:line="460" w:lineRule="exact"/>
        <w:ind w:firstLine="480" w:firstLineChars="200"/>
        <w:rPr>
          <w:rFonts w:hint="eastAsia" w:eastAsia="宋体" w:cs="宋体"/>
          <w:snapToGrid w:val="0"/>
        </w:rPr>
      </w:pPr>
      <w:r>
        <w:rPr>
          <w:rFonts w:hint="eastAsia" w:eastAsia="宋体" w:cs="宋体"/>
          <w:snapToGrid w:val="0"/>
        </w:rPr>
        <w:t>（1）开工前在发包人指定的时间内，做好设计文件的技术交底工作和现场控制点的交接工作；</w:t>
      </w:r>
    </w:p>
    <w:p w14:paraId="6289EF40">
      <w:pPr>
        <w:pStyle w:val="403"/>
        <w:spacing w:line="460" w:lineRule="exact"/>
        <w:ind w:firstLine="480" w:firstLineChars="200"/>
        <w:rPr>
          <w:rFonts w:hint="eastAsia" w:eastAsia="宋体" w:cs="宋体"/>
          <w:snapToGrid w:val="0"/>
        </w:rPr>
      </w:pPr>
      <w:r>
        <w:rPr>
          <w:rFonts w:hint="eastAsia" w:eastAsia="宋体" w:cs="宋体"/>
          <w:snapToGrid w:val="0"/>
        </w:rPr>
        <w:t>（2）在发包人规定的时间内积极配合发包人对施工及设计方案进行优化设计；</w:t>
      </w:r>
    </w:p>
    <w:p w14:paraId="16B85251">
      <w:pPr>
        <w:pStyle w:val="403"/>
        <w:spacing w:line="460" w:lineRule="exact"/>
        <w:ind w:firstLine="480" w:firstLineChars="200"/>
        <w:rPr>
          <w:rFonts w:hint="eastAsia" w:eastAsia="宋体" w:cs="宋体"/>
          <w:snapToGrid w:val="0"/>
        </w:rPr>
      </w:pPr>
      <w:r>
        <w:rPr>
          <w:rFonts w:hint="eastAsia" w:eastAsia="宋体" w:cs="宋体"/>
          <w:snapToGrid w:val="0"/>
        </w:rPr>
        <w:t>（3）其他设计问题。</w:t>
      </w:r>
    </w:p>
    <w:p w14:paraId="0ED85884">
      <w:pPr>
        <w:pStyle w:val="403"/>
        <w:spacing w:line="460" w:lineRule="exact"/>
        <w:ind w:firstLine="480" w:firstLineChars="200"/>
        <w:rPr>
          <w:rFonts w:hint="eastAsia" w:eastAsia="宋体" w:cs="宋体"/>
          <w:snapToGrid w:val="0"/>
        </w:rPr>
      </w:pPr>
      <w:r>
        <w:rPr>
          <w:rFonts w:hint="eastAsia" w:eastAsia="宋体" w:cs="宋体"/>
          <w:snapToGrid w:val="0"/>
        </w:rPr>
        <w:t>（4）未经发包人批准，设计承包人在投标文件中承诺的常驻施工现场的设计代表不得更换，否则由设计承包人向发包人按专用合同条款第22条支付违约金。</w:t>
      </w:r>
    </w:p>
    <w:p w14:paraId="37DDC541">
      <w:pPr>
        <w:pStyle w:val="403"/>
        <w:spacing w:line="460" w:lineRule="exact"/>
        <w:ind w:firstLine="480" w:firstLineChars="200"/>
        <w:rPr>
          <w:rFonts w:hint="eastAsia" w:eastAsia="宋体" w:cs="宋体"/>
          <w:snapToGrid w:val="0"/>
        </w:rPr>
      </w:pPr>
      <w:r>
        <w:rPr>
          <w:rFonts w:hint="eastAsia" w:eastAsia="宋体" w:cs="宋体"/>
          <w:snapToGrid w:val="0"/>
        </w:rPr>
        <w:t>5.9勘察</w:t>
      </w:r>
    </w:p>
    <w:p w14:paraId="1C81CCC2">
      <w:pPr>
        <w:pStyle w:val="403"/>
        <w:spacing w:line="460" w:lineRule="exact"/>
        <w:ind w:firstLine="480" w:firstLineChars="200"/>
        <w:rPr>
          <w:rFonts w:hint="eastAsia" w:eastAsia="宋体" w:cs="宋体"/>
          <w:snapToGrid w:val="0"/>
        </w:rPr>
      </w:pPr>
      <w:r>
        <w:rPr>
          <w:rFonts w:hint="eastAsia" w:eastAsia="宋体" w:cs="宋体"/>
          <w:snapToGrid w:val="0"/>
        </w:rPr>
        <w:t>5.9.1勘察内容</w:t>
      </w:r>
    </w:p>
    <w:p w14:paraId="60B4D833">
      <w:pPr>
        <w:pStyle w:val="403"/>
        <w:spacing w:line="460" w:lineRule="exact"/>
        <w:ind w:firstLine="480" w:firstLineChars="200"/>
        <w:rPr>
          <w:rFonts w:hint="eastAsia" w:eastAsia="宋体" w:cs="宋体"/>
          <w:snapToGrid w:val="0"/>
        </w:rPr>
      </w:pPr>
      <w:r>
        <w:rPr>
          <w:rFonts w:hint="eastAsia" w:eastAsia="宋体" w:cs="宋体"/>
          <w:snapToGrid w:val="0"/>
        </w:rPr>
        <w:t>5.9.1.1勘察任务和内容：详见合同协议书约定。</w:t>
      </w:r>
    </w:p>
    <w:p w14:paraId="581EB500">
      <w:pPr>
        <w:pStyle w:val="403"/>
        <w:spacing w:line="460" w:lineRule="exact"/>
        <w:ind w:firstLine="480" w:firstLineChars="200"/>
        <w:rPr>
          <w:rFonts w:hint="eastAsia" w:eastAsia="宋体" w:cs="宋体"/>
          <w:snapToGrid w:val="0"/>
        </w:rPr>
      </w:pPr>
      <w:r>
        <w:rPr>
          <w:rFonts w:hint="eastAsia" w:eastAsia="宋体" w:cs="宋体"/>
          <w:snapToGrid w:val="0"/>
        </w:rPr>
        <w:t>5.9.1.2承接方式：按实际工作量进行计价结算。</w:t>
      </w:r>
    </w:p>
    <w:p w14:paraId="6DBA5DD7">
      <w:pPr>
        <w:pStyle w:val="403"/>
        <w:spacing w:line="460" w:lineRule="exact"/>
        <w:ind w:firstLine="480" w:firstLineChars="200"/>
        <w:rPr>
          <w:rFonts w:hint="eastAsia" w:eastAsia="宋体" w:cs="宋体"/>
          <w:snapToGrid w:val="0"/>
        </w:rPr>
      </w:pPr>
      <w:r>
        <w:rPr>
          <w:rFonts w:hint="eastAsia" w:eastAsia="宋体" w:cs="宋体"/>
          <w:snapToGrid w:val="0"/>
        </w:rPr>
        <w:t>5.9.1.3勘察工作量：勘察工作量以发包人审定后勘察方案为依据，按实际工作量进行计算。</w:t>
      </w:r>
    </w:p>
    <w:p w14:paraId="6AEBBE7B">
      <w:pPr>
        <w:pStyle w:val="403"/>
        <w:spacing w:line="460" w:lineRule="exact"/>
        <w:ind w:firstLine="480" w:firstLineChars="200"/>
        <w:rPr>
          <w:rFonts w:hint="eastAsia" w:eastAsia="宋体" w:cs="宋体"/>
          <w:snapToGrid w:val="0"/>
        </w:rPr>
      </w:pPr>
      <w:r>
        <w:rPr>
          <w:rFonts w:hint="eastAsia" w:eastAsia="宋体" w:cs="宋体"/>
          <w:snapToGrid w:val="0"/>
        </w:rPr>
        <w:t>5.9.2发包人提供资料</w:t>
      </w:r>
    </w:p>
    <w:p w14:paraId="4976B5AA">
      <w:pPr>
        <w:pStyle w:val="403"/>
        <w:spacing w:line="460" w:lineRule="exact"/>
        <w:ind w:firstLine="480" w:firstLineChars="200"/>
        <w:rPr>
          <w:rFonts w:hint="eastAsia" w:eastAsia="宋体" w:cs="宋体"/>
          <w:snapToGrid w:val="0"/>
        </w:rPr>
      </w:pPr>
      <w:r>
        <w:rPr>
          <w:rFonts w:hint="eastAsia" w:eastAsia="宋体" w:cs="宋体"/>
          <w:snapToGrid w:val="0"/>
        </w:rPr>
        <w:t>发包人应及时向勘察承包人提供下列文件资料，并对其准确性、可靠性负责。</w:t>
      </w:r>
    </w:p>
    <w:p w14:paraId="45D9CF4B">
      <w:pPr>
        <w:pStyle w:val="403"/>
        <w:spacing w:line="460" w:lineRule="exact"/>
        <w:ind w:firstLine="480" w:firstLineChars="200"/>
        <w:rPr>
          <w:rFonts w:hint="eastAsia" w:eastAsia="宋体" w:cs="宋体"/>
          <w:snapToGrid w:val="0"/>
        </w:rPr>
      </w:pPr>
      <w:r>
        <w:rPr>
          <w:rFonts w:hint="eastAsia" w:eastAsia="宋体" w:cs="宋体"/>
          <w:snapToGrid w:val="0"/>
        </w:rPr>
        <w:t>（1）提供本工程批准文件（复印件），以及用地（附用地范围）、施工、勘察许可等文件（复印件）。</w:t>
      </w:r>
    </w:p>
    <w:p w14:paraId="08F800C5">
      <w:pPr>
        <w:pStyle w:val="403"/>
        <w:spacing w:line="460" w:lineRule="exact"/>
        <w:ind w:firstLine="480" w:firstLineChars="200"/>
        <w:rPr>
          <w:rFonts w:hint="eastAsia" w:eastAsia="宋体" w:cs="宋体"/>
          <w:snapToGrid w:val="0"/>
        </w:rPr>
      </w:pPr>
      <w:r>
        <w:rPr>
          <w:rFonts w:hint="eastAsia" w:eastAsia="宋体" w:cs="宋体"/>
          <w:snapToGrid w:val="0"/>
        </w:rPr>
        <w:t>（2）提供勘察工作范围已有的技术资料及工程所需的坐标与标高资料</w:t>
      </w:r>
    </w:p>
    <w:p w14:paraId="02CD08D8">
      <w:pPr>
        <w:pStyle w:val="403"/>
        <w:spacing w:line="460" w:lineRule="exact"/>
        <w:ind w:firstLine="480" w:firstLineChars="200"/>
        <w:rPr>
          <w:rFonts w:hint="eastAsia" w:eastAsia="宋体" w:cs="宋体"/>
          <w:snapToGrid w:val="0"/>
        </w:rPr>
      </w:pPr>
      <w:r>
        <w:rPr>
          <w:rFonts w:hint="eastAsia" w:eastAsia="宋体" w:cs="宋体"/>
          <w:snapToGrid w:val="0"/>
        </w:rPr>
        <w:t>5.9.3 勘察承包人勘察工作及成果</w:t>
      </w:r>
    </w:p>
    <w:p w14:paraId="11DB5002">
      <w:pPr>
        <w:pStyle w:val="403"/>
        <w:spacing w:line="460" w:lineRule="exact"/>
        <w:ind w:firstLine="480" w:firstLineChars="200"/>
        <w:rPr>
          <w:rFonts w:hint="eastAsia" w:eastAsia="宋体" w:cs="宋体"/>
          <w:snapToGrid w:val="0"/>
        </w:rPr>
      </w:pPr>
      <w:r>
        <w:rPr>
          <w:rFonts w:hint="eastAsia" w:eastAsia="宋体" w:cs="宋体"/>
          <w:snapToGrid w:val="0"/>
        </w:rPr>
        <w:t>（1）本工程勘察承包人提交的勘察成果相关要求详见下表。</w:t>
      </w:r>
    </w:p>
    <w:tbl>
      <w:tblPr>
        <w:tblStyle w:val="62"/>
        <w:tblW w:w="0" w:type="auto"/>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1001"/>
        <w:gridCol w:w="2644"/>
        <w:gridCol w:w="909"/>
        <w:gridCol w:w="4546"/>
      </w:tblGrid>
      <w:tr w14:paraId="0886D2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502" w:hRule="atLeast"/>
          <w:jc w:val="center"/>
        </w:trPr>
        <w:tc>
          <w:tcPr>
            <w:tcW w:w="1001" w:type="dxa"/>
            <w:vAlign w:val="center"/>
          </w:tcPr>
          <w:p w14:paraId="6C3E93DE">
            <w:pPr>
              <w:spacing w:line="520" w:lineRule="exact"/>
              <w:jc w:val="center"/>
              <w:rPr>
                <w:rFonts w:hint="eastAsia" w:ascii="宋体" w:hAnsi="宋体" w:eastAsia="宋体"/>
              </w:rPr>
            </w:pPr>
            <w:r>
              <w:rPr>
                <w:rFonts w:hint="eastAsia" w:ascii="宋体" w:hAnsi="宋体" w:eastAsia="宋体"/>
              </w:rPr>
              <w:t>序号</w:t>
            </w:r>
          </w:p>
        </w:tc>
        <w:tc>
          <w:tcPr>
            <w:tcW w:w="2644" w:type="dxa"/>
            <w:vAlign w:val="center"/>
          </w:tcPr>
          <w:p w14:paraId="14FF1E8D">
            <w:pPr>
              <w:spacing w:line="520" w:lineRule="exact"/>
              <w:jc w:val="center"/>
              <w:rPr>
                <w:rFonts w:hint="eastAsia" w:ascii="宋体" w:hAnsi="宋体" w:eastAsia="宋体"/>
              </w:rPr>
            </w:pPr>
            <w:r>
              <w:rPr>
                <w:rFonts w:hint="eastAsia" w:ascii="宋体" w:hAnsi="宋体" w:eastAsia="宋体"/>
              </w:rPr>
              <w:t>资料及文件名称</w:t>
            </w:r>
          </w:p>
        </w:tc>
        <w:tc>
          <w:tcPr>
            <w:tcW w:w="909" w:type="dxa"/>
            <w:vAlign w:val="center"/>
          </w:tcPr>
          <w:p w14:paraId="55524269">
            <w:pPr>
              <w:spacing w:line="520" w:lineRule="exact"/>
              <w:jc w:val="center"/>
              <w:rPr>
                <w:rFonts w:hint="eastAsia" w:ascii="宋体" w:hAnsi="宋体" w:eastAsia="宋体"/>
              </w:rPr>
            </w:pPr>
            <w:r>
              <w:rPr>
                <w:rFonts w:hint="eastAsia" w:ascii="宋体" w:hAnsi="宋体" w:eastAsia="宋体"/>
              </w:rPr>
              <w:t>份数</w:t>
            </w:r>
          </w:p>
        </w:tc>
        <w:tc>
          <w:tcPr>
            <w:tcW w:w="4546" w:type="dxa"/>
            <w:vAlign w:val="center"/>
          </w:tcPr>
          <w:p w14:paraId="7256974C">
            <w:pPr>
              <w:spacing w:line="520" w:lineRule="exact"/>
              <w:jc w:val="center"/>
              <w:rPr>
                <w:rFonts w:hint="eastAsia" w:ascii="宋体" w:hAnsi="宋体" w:eastAsia="宋体"/>
              </w:rPr>
            </w:pPr>
            <w:r>
              <w:rPr>
                <w:rFonts w:hint="eastAsia" w:ascii="宋体" w:hAnsi="宋体" w:eastAsia="宋体"/>
              </w:rPr>
              <w:t>有关事宜</w:t>
            </w:r>
          </w:p>
        </w:tc>
      </w:tr>
      <w:tr w14:paraId="35067B8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559" w:hRule="atLeast"/>
          <w:jc w:val="center"/>
        </w:trPr>
        <w:tc>
          <w:tcPr>
            <w:tcW w:w="1001" w:type="dxa"/>
            <w:vAlign w:val="center"/>
          </w:tcPr>
          <w:p w14:paraId="4C0A90DF">
            <w:pPr>
              <w:spacing w:line="520" w:lineRule="exact"/>
              <w:jc w:val="center"/>
              <w:rPr>
                <w:rFonts w:hint="eastAsia" w:ascii="宋体" w:hAnsi="宋体" w:eastAsia="宋体"/>
              </w:rPr>
            </w:pPr>
            <w:r>
              <w:rPr>
                <w:rFonts w:ascii="宋体" w:hAnsi="宋体" w:eastAsia="宋体"/>
              </w:rPr>
              <w:t>1</w:t>
            </w:r>
          </w:p>
        </w:tc>
        <w:tc>
          <w:tcPr>
            <w:tcW w:w="2644" w:type="dxa"/>
            <w:vAlign w:val="center"/>
          </w:tcPr>
          <w:p w14:paraId="646C9DCD">
            <w:pPr>
              <w:spacing w:line="520" w:lineRule="exact"/>
              <w:jc w:val="center"/>
              <w:rPr>
                <w:rFonts w:hint="eastAsia" w:ascii="宋体" w:hAnsi="宋体" w:eastAsia="宋体"/>
              </w:rPr>
            </w:pPr>
            <w:r>
              <w:rPr>
                <w:rFonts w:hint="eastAsia" w:ascii="宋体" w:hAnsi="宋体" w:eastAsia="宋体"/>
              </w:rPr>
              <w:t>工程测量</w:t>
            </w:r>
          </w:p>
        </w:tc>
        <w:tc>
          <w:tcPr>
            <w:tcW w:w="909" w:type="dxa"/>
            <w:vAlign w:val="center"/>
          </w:tcPr>
          <w:p w14:paraId="299AEE89">
            <w:pPr>
              <w:spacing w:line="520" w:lineRule="exact"/>
              <w:jc w:val="center"/>
              <w:rPr>
                <w:rFonts w:hint="eastAsia" w:ascii="宋体" w:hAnsi="宋体" w:eastAsia="宋体"/>
              </w:rPr>
            </w:pPr>
            <w:r>
              <w:rPr>
                <w:rFonts w:ascii="宋体" w:hAnsi="宋体" w:eastAsia="宋体"/>
              </w:rPr>
              <w:t>20</w:t>
            </w:r>
          </w:p>
        </w:tc>
        <w:tc>
          <w:tcPr>
            <w:tcW w:w="4546" w:type="dxa"/>
            <w:vMerge w:val="restart"/>
            <w:vAlign w:val="center"/>
          </w:tcPr>
          <w:p w14:paraId="585748FF">
            <w:pPr>
              <w:spacing w:line="520" w:lineRule="exact"/>
              <w:rPr>
                <w:rFonts w:hint="eastAsia" w:ascii="宋体" w:hAnsi="宋体" w:eastAsia="宋体"/>
              </w:rPr>
            </w:pPr>
            <w:r>
              <w:rPr>
                <w:rFonts w:hint="eastAsia" w:ascii="宋体" w:hAnsi="宋体" w:eastAsia="宋体"/>
              </w:rPr>
              <w:t>归档资料按照发包人档案室要求提供。</w:t>
            </w:r>
          </w:p>
        </w:tc>
      </w:tr>
      <w:tr w14:paraId="0D02762E">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jc w:val="center"/>
        </w:trPr>
        <w:tc>
          <w:tcPr>
            <w:tcW w:w="1001" w:type="dxa"/>
            <w:vAlign w:val="center"/>
          </w:tcPr>
          <w:p w14:paraId="55ECCBB5">
            <w:pPr>
              <w:spacing w:line="520" w:lineRule="exact"/>
              <w:jc w:val="center"/>
              <w:rPr>
                <w:rFonts w:hint="eastAsia" w:ascii="宋体" w:hAnsi="宋体" w:eastAsia="宋体"/>
              </w:rPr>
            </w:pPr>
            <w:r>
              <w:rPr>
                <w:rFonts w:ascii="宋体" w:hAnsi="宋体" w:eastAsia="宋体"/>
              </w:rPr>
              <w:t>2</w:t>
            </w:r>
          </w:p>
        </w:tc>
        <w:tc>
          <w:tcPr>
            <w:tcW w:w="2644" w:type="dxa"/>
            <w:vAlign w:val="center"/>
          </w:tcPr>
          <w:p w14:paraId="004EFF5F">
            <w:pPr>
              <w:spacing w:line="520" w:lineRule="exact"/>
              <w:jc w:val="center"/>
              <w:rPr>
                <w:rFonts w:hint="eastAsia" w:ascii="宋体" w:hAnsi="宋体" w:eastAsia="宋体"/>
              </w:rPr>
            </w:pPr>
            <w:r>
              <w:rPr>
                <w:rFonts w:hint="eastAsia" w:ascii="宋体" w:hAnsi="宋体" w:eastAsia="宋体"/>
              </w:rPr>
              <w:t>工程物探</w:t>
            </w:r>
          </w:p>
        </w:tc>
        <w:tc>
          <w:tcPr>
            <w:tcW w:w="909" w:type="dxa"/>
            <w:vAlign w:val="center"/>
          </w:tcPr>
          <w:p w14:paraId="216E491A">
            <w:pPr>
              <w:spacing w:line="520" w:lineRule="exact"/>
              <w:jc w:val="center"/>
              <w:rPr>
                <w:rFonts w:hint="eastAsia" w:ascii="宋体" w:hAnsi="宋体" w:eastAsia="宋体"/>
              </w:rPr>
            </w:pPr>
            <w:r>
              <w:rPr>
                <w:rFonts w:ascii="宋体" w:hAnsi="宋体" w:eastAsia="宋体"/>
              </w:rPr>
              <w:t>20</w:t>
            </w:r>
          </w:p>
        </w:tc>
        <w:tc>
          <w:tcPr>
            <w:tcW w:w="4546" w:type="dxa"/>
            <w:vMerge w:val="continue"/>
            <w:vAlign w:val="center"/>
          </w:tcPr>
          <w:p w14:paraId="5AE9442A">
            <w:pPr>
              <w:spacing w:line="520" w:lineRule="exact"/>
              <w:rPr>
                <w:rFonts w:hint="eastAsia" w:ascii="宋体" w:hAnsi="宋体" w:eastAsia="宋体"/>
              </w:rPr>
            </w:pPr>
          </w:p>
        </w:tc>
      </w:tr>
      <w:tr w14:paraId="1D3E666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cantSplit/>
          <w:trHeight w:val="639" w:hRule="atLeast"/>
          <w:jc w:val="center"/>
        </w:trPr>
        <w:tc>
          <w:tcPr>
            <w:tcW w:w="1001" w:type="dxa"/>
            <w:vAlign w:val="center"/>
          </w:tcPr>
          <w:p w14:paraId="1721C338">
            <w:pPr>
              <w:spacing w:line="520" w:lineRule="exact"/>
              <w:jc w:val="center"/>
              <w:rPr>
                <w:rFonts w:hint="eastAsia" w:ascii="宋体" w:hAnsi="宋体" w:eastAsia="宋体"/>
              </w:rPr>
            </w:pPr>
            <w:r>
              <w:rPr>
                <w:rFonts w:ascii="宋体" w:hAnsi="宋体" w:eastAsia="宋体"/>
              </w:rPr>
              <w:t>3</w:t>
            </w:r>
          </w:p>
        </w:tc>
        <w:tc>
          <w:tcPr>
            <w:tcW w:w="2644" w:type="dxa"/>
            <w:vAlign w:val="center"/>
          </w:tcPr>
          <w:p w14:paraId="4E9F0540">
            <w:pPr>
              <w:spacing w:line="520" w:lineRule="exact"/>
              <w:jc w:val="center"/>
              <w:rPr>
                <w:rFonts w:hint="eastAsia" w:ascii="宋体" w:hAnsi="宋体" w:eastAsia="宋体"/>
              </w:rPr>
            </w:pPr>
            <w:r>
              <w:rPr>
                <w:rFonts w:hint="eastAsia" w:ascii="宋体" w:hAnsi="宋体" w:eastAsia="宋体"/>
              </w:rPr>
              <w:t>国土规划测绘</w:t>
            </w:r>
          </w:p>
        </w:tc>
        <w:tc>
          <w:tcPr>
            <w:tcW w:w="5455" w:type="dxa"/>
            <w:gridSpan w:val="2"/>
            <w:vAlign w:val="center"/>
          </w:tcPr>
          <w:p w14:paraId="3167B85F">
            <w:pPr>
              <w:spacing w:line="520" w:lineRule="exact"/>
              <w:rPr>
                <w:rFonts w:hint="eastAsia" w:ascii="宋体" w:hAnsi="宋体" w:eastAsia="宋体"/>
              </w:rPr>
            </w:pPr>
            <w:r>
              <w:rPr>
                <w:rFonts w:hint="eastAsia" w:ascii="宋体" w:hAnsi="宋体" w:eastAsia="宋体"/>
              </w:rPr>
              <w:t>报建报验成果资料份数满足审批部门要求</w:t>
            </w:r>
          </w:p>
        </w:tc>
      </w:tr>
      <w:tr w14:paraId="02E250B6">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1688" w:hRule="atLeast"/>
          <w:jc w:val="center"/>
        </w:trPr>
        <w:tc>
          <w:tcPr>
            <w:tcW w:w="9100" w:type="dxa"/>
            <w:gridSpan w:val="4"/>
            <w:tcBorders>
              <w:bottom w:val="single" w:color="auto" w:sz="6" w:space="0"/>
            </w:tcBorders>
            <w:vAlign w:val="center"/>
          </w:tcPr>
          <w:p w14:paraId="3ECBCC1A">
            <w:pPr>
              <w:spacing w:line="520" w:lineRule="exact"/>
              <w:rPr>
                <w:rFonts w:hint="eastAsia" w:ascii="宋体" w:hAnsi="宋体" w:eastAsia="宋体"/>
              </w:rPr>
            </w:pPr>
            <w:r>
              <w:rPr>
                <w:rFonts w:ascii="宋体" w:hAnsi="宋体" w:eastAsia="宋体"/>
              </w:rPr>
              <w:t xml:space="preserve"> </w:t>
            </w:r>
            <w:r>
              <w:rPr>
                <w:rFonts w:hint="eastAsia" w:ascii="宋体" w:hAnsi="宋体" w:eastAsia="宋体"/>
              </w:rPr>
              <w:t>注：</w:t>
            </w:r>
            <w:r>
              <w:rPr>
                <w:rFonts w:ascii="宋体" w:hAnsi="宋体" w:eastAsia="宋体"/>
              </w:rPr>
              <w:t>1.</w:t>
            </w:r>
            <w:r>
              <w:rPr>
                <w:rFonts w:hint="eastAsia" w:ascii="宋体" w:hAnsi="宋体" w:eastAsia="宋体"/>
              </w:rPr>
              <w:t>所有成果均需提供电子文件，刻录光盘一张。</w:t>
            </w:r>
          </w:p>
          <w:p w14:paraId="02B8B20C">
            <w:pPr>
              <w:spacing w:line="520" w:lineRule="exact"/>
              <w:rPr>
                <w:rFonts w:hint="eastAsia" w:ascii="宋体" w:hAnsi="宋体" w:eastAsia="宋体"/>
              </w:rPr>
            </w:pPr>
            <w:r>
              <w:rPr>
                <w:rFonts w:ascii="宋体" w:hAnsi="宋体" w:eastAsia="宋体"/>
              </w:rPr>
              <w:t xml:space="preserve">     2.</w:t>
            </w:r>
            <w:r>
              <w:rPr>
                <w:rFonts w:hint="eastAsia" w:ascii="宋体" w:hAnsi="宋体" w:eastAsia="宋体"/>
              </w:rPr>
              <w:t>若发包人因工作需要，要求承包人提交中间成果的承包人应无条件提供。</w:t>
            </w:r>
          </w:p>
          <w:p w14:paraId="070BCA72">
            <w:pPr>
              <w:spacing w:line="520" w:lineRule="exact"/>
              <w:rPr>
                <w:rFonts w:hint="eastAsia" w:ascii="宋体" w:hAnsi="宋体" w:eastAsia="宋体"/>
              </w:rPr>
            </w:pPr>
            <w:r>
              <w:rPr>
                <w:rFonts w:ascii="宋体" w:hAnsi="宋体" w:eastAsia="宋体"/>
              </w:rPr>
              <w:t xml:space="preserve">     3.</w:t>
            </w:r>
            <w:r>
              <w:rPr>
                <w:rFonts w:hint="eastAsia" w:ascii="宋体" w:hAnsi="宋体" w:eastAsia="宋体"/>
              </w:rPr>
              <w:t>勘察工作如遇特殊情况（不可抗力影响及发包人原因造成停、窝工等）时，工期顺延。</w:t>
            </w:r>
          </w:p>
          <w:p w14:paraId="6A123DCB">
            <w:pPr>
              <w:spacing w:line="520" w:lineRule="exact"/>
              <w:rPr>
                <w:rFonts w:hint="eastAsia" w:ascii="宋体" w:hAnsi="宋体" w:eastAsia="宋体"/>
              </w:rPr>
            </w:pPr>
            <w:r>
              <w:rPr>
                <w:rFonts w:ascii="宋体" w:hAnsi="宋体" w:eastAsia="宋体"/>
              </w:rPr>
              <w:t xml:space="preserve">     4.</w:t>
            </w:r>
            <w:r>
              <w:rPr>
                <w:rFonts w:hint="eastAsia" w:ascii="宋体" w:hAnsi="宋体" w:eastAsia="宋体"/>
              </w:rPr>
              <w:t>为配合审查工作，承包单位须按审查要求提供相关资料。</w:t>
            </w:r>
          </w:p>
          <w:p w14:paraId="345C7EF0">
            <w:pPr>
              <w:spacing w:line="520" w:lineRule="exact"/>
              <w:rPr>
                <w:rFonts w:hint="eastAsia" w:ascii="宋体" w:hAnsi="宋体" w:eastAsia="宋体"/>
              </w:rPr>
            </w:pPr>
            <w:r>
              <w:rPr>
                <w:rFonts w:ascii="宋体" w:hAnsi="宋体" w:eastAsia="宋体"/>
              </w:rPr>
              <w:t xml:space="preserve">     5.</w:t>
            </w:r>
            <w:r>
              <w:rPr>
                <w:rFonts w:hint="eastAsia" w:ascii="宋体" w:hAnsi="宋体" w:eastAsia="宋体"/>
              </w:rPr>
              <w:t>版权属发包人。</w:t>
            </w:r>
          </w:p>
        </w:tc>
      </w:tr>
    </w:tbl>
    <w:p w14:paraId="34D48A53">
      <w:pPr>
        <w:pStyle w:val="403"/>
        <w:spacing w:line="460" w:lineRule="exact"/>
        <w:ind w:firstLine="480" w:firstLineChars="200"/>
        <w:rPr>
          <w:rFonts w:hint="eastAsia" w:eastAsia="宋体" w:cs="宋体"/>
          <w:snapToGrid w:val="0"/>
        </w:rPr>
      </w:pPr>
      <w:r>
        <w:rPr>
          <w:rFonts w:hint="eastAsia" w:eastAsia="宋体" w:cs="宋体"/>
          <w:snapToGrid w:val="0"/>
        </w:rPr>
        <w:t>（2）勘察承包人根据设计的需要开展现场勘察工作，在开工前勘察承包人送勘察工作方案给监理人及发包人审核，审核通过后方可开工。</w:t>
      </w:r>
    </w:p>
    <w:p w14:paraId="62BBC844">
      <w:pPr>
        <w:pStyle w:val="403"/>
        <w:spacing w:line="460" w:lineRule="exact"/>
        <w:ind w:firstLine="480" w:firstLineChars="200"/>
        <w:rPr>
          <w:rFonts w:hint="eastAsia" w:eastAsia="宋体" w:cs="宋体"/>
          <w:snapToGrid w:val="0"/>
        </w:rPr>
      </w:pPr>
      <w:r>
        <w:rPr>
          <w:rFonts w:hint="eastAsia" w:eastAsia="宋体" w:cs="宋体"/>
          <w:snapToGrid w:val="0"/>
        </w:rPr>
        <w:t>5.9.4勘察发包人、承包人责任</w:t>
      </w:r>
    </w:p>
    <w:p w14:paraId="6A19F75B">
      <w:pPr>
        <w:pStyle w:val="403"/>
        <w:spacing w:line="460" w:lineRule="exact"/>
        <w:ind w:firstLine="480" w:firstLineChars="200"/>
        <w:rPr>
          <w:rFonts w:hint="eastAsia" w:eastAsia="宋体" w:cs="宋体"/>
          <w:snapToGrid w:val="0"/>
        </w:rPr>
      </w:pPr>
      <w:r>
        <w:rPr>
          <w:rFonts w:hint="eastAsia" w:eastAsia="宋体" w:cs="宋体"/>
          <w:snapToGrid w:val="0"/>
        </w:rPr>
        <w:t>5.9.4.1 发包人责任</w:t>
      </w:r>
    </w:p>
    <w:p w14:paraId="01AA5503">
      <w:pPr>
        <w:pStyle w:val="403"/>
        <w:spacing w:line="460" w:lineRule="exact"/>
        <w:ind w:firstLine="480" w:firstLineChars="200"/>
        <w:rPr>
          <w:rFonts w:hint="eastAsia" w:eastAsia="宋体" w:cs="宋体"/>
          <w:snapToGrid w:val="0"/>
        </w:rPr>
      </w:pPr>
      <w:r>
        <w:rPr>
          <w:rFonts w:hint="eastAsia" w:eastAsia="宋体" w:cs="宋体"/>
          <w:snapToGrid w:val="0"/>
        </w:rPr>
        <w:t>（1）发包人委托时，必须以书面形式向勘察承包人明确勘察任务及技术要求，并按规定提供文件资料。</w:t>
      </w:r>
    </w:p>
    <w:p w14:paraId="2F751CBC">
      <w:pPr>
        <w:pStyle w:val="403"/>
        <w:spacing w:line="460" w:lineRule="exact"/>
        <w:ind w:firstLine="480" w:firstLineChars="200"/>
        <w:rPr>
          <w:rFonts w:hint="eastAsia" w:eastAsia="宋体" w:cs="宋体"/>
          <w:snapToGrid w:val="0"/>
        </w:rPr>
      </w:pPr>
      <w:r>
        <w:rPr>
          <w:rFonts w:hint="eastAsia" w:eastAsia="宋体" w:cs="宋体"/>
          <w:snapToGrid w:val="0"/>
        </w:rPr>
        <w:t>（2）勘察过程中由发包人提出的变更，经办理正式变更手续后，发包人应按商定的金额支付增加的工作量的勘察费。</w:t>
      </w:r>
    </w:p>
    <w:p w14:paraId="0219199A">
      <w:pPr>
        <w:pStyle w:val="403"/>
        <w:spacing w:line="460" w:lineRule="exact"/>
        <w:ind w:firstLine="480" w:firstLineChars="200"/>
        <w:rPr>
          <w:rFonts w:hint="eastAsia" w:eastAsia="宋体" w:cs="宋体"/>
          <w:snapToGrid w:val="0"/>
        </w:rPr>
      </w:pPr>
      <w:r>
        <w:rPr>
          <w:rFonts w:hint="eastAsia" w:eastAsia="宋体" w:cs="宋体"/>
          <w:snapToGrid w:val="0"/>
        </w:rPr>
        <w:t>（3）由于发包人原因造成勘察承包人停、窝工，工期顺延。</w:t>
      </w:r>
    </w:p>
    <w:p w14:paraId="6678DB59">
      <w:pPr>
        <w:pStyle w:val="403"/>
        <w:spacing w:line="460" w:lineRule="exact"/>
        <w:ind w:firstLine="480" w:firstLineChars="200"/>
        <w:rPr>
          <w:rFonts w:hint="eastAsia" w:eastAsia="宋体" w:cs="宋体"/>
          <w:snapToGrid w:val="0"/>
        </w:rPr>
      </w:pPr>
      <w:r>
        <w:rPr>
          <w:rFonts w:hint="eastAsia" w:eastAsia="宋体" w:cs="宋体"/>
          <w:snapToGrid w:val="0"/>
        </w:rPr>
        <w:t>（4）本合同有关条款规定发包人应负的其它责任。</w:t>
      </w:r>
    </w:p>
    <w:p w14:paraId="75D79D86">
      <w:pPr>
        <w:pStyle w:val="403"/>
        <w:spacing w:line="460" w:lineRule="exact"/>
        <w:ind w:firstLine="480" w:firstLineChars="200"/>
        <w:rPr>
          <w:rFonts w:hint="eastAsia" w:eastAsia="宋体" w:cs="宋体"/>
          <w:snapToGrid w:val="0"/>
        </w:rPr>
      </w:pPr>
      <w:r>
        <w:rPr>
          <w:rFonts w:hint="eastAsia" w:eastAsia="宋体" w:cs="宋体"/>
          <w:snapToGrid w:val="0"/>
        </w:rPr>
        <w:t>5.9.4.2勘察承包人责任</w:t>
      </w:r>
    </w:p>
    <w:p w14:paraId="53AB100A">
      <w:pPr>
        <w:pStyle w:val="403"/>
        <w:spacing w:line="460" w:lineRule="exact"/>
        <w:ind w:firstLine="480" w:firstLineChars="200"/>
        <w:rPr>
          <w:rFonts w:hint="eastAsia" w:eastAsia="宋体" w:cs="宋体"/>
          <w:snapToGrid w:val="0"/>
        </w:rPr>
      </w:pPr>
      <w:r>
        <w:rPr>
          <w:rFonts w:hint="eastAsia" w:eastAsia="宋体" w:cs="宋体"/>
          <w:snapToGrid w:val="0"/>
        </w:rPr>
        <w:t>（1）承包人应按国家技术规范、标准、规程、本合同的约定和发包人的任务委托书、设计单位技术要求编制测量方案，经设计单位、发包人审定后的测量方案进行勘察工作。测量控制点埋设应按《城市测量规范》要求埋设，测量方案须经发包人确认方可实施。按本合同规定的时间提交质量合格的测量成果资料，并对其负责。</w:t>
      </w:r>
    </w:p>
    <w:p w14:paraId="0DFBD4F0">
      <w:pPr>
        <w:pStyle w:val="403"/>
        <w:spacing w:line="460" w:lineRule="exact"/>
        <w:ind w:firstLine="480" w:firstLineChars="200"/>
        <w:rPr>
          <w:rFonts w:hint="eastAsia" w:eastAsia="宋体" w:cs="宋体"/>
          <w:snapToGrid w:val="0"/>
        </w:rPr>
      </w:pPr>
      <w:r>
        <w:rPr>
          <w:rFonts w:hint="eastAsia" w:eastAsia="宋体" w:cs="宋体"/>
          <w:snapToGrid w:val="0"/>
        </w:rPr>
        <w:t>（2）承包人须保证项目经理和各专业负责人自始至终亲自审核和签署本工程的测量文件，对测量质量负责，如不能履行，则发包人可取消合同，承包人须赔偿发包人的损失。</w:t>
      </w:r>
    </w:p>
    <w:p w14:paraId="605ADDB2">
      <w:pPr>
        <w:pStyle w:val="403"/>
        <w:spacing w:line="460" w:lineRule="exact"/>
        <w:ind w:firstLine="480" w:firstLineChars="200"/>
        <w:rPr>
          <w:rFonts w:hint="eastAsia" w:eastAsia="宋体" w:cs="宋体"/>
          <w:snapToGrid w:val="0"/>
        </w:rPr>
      </w:pPr>
      <w:r>
        <w:rPr>
          <w:rFonts w:hint="eastAsia" w:eastAsia="宋体" w:cs="宋体"/>
          <w:snapToGrid w:val="0"/>
        </w:rPr>
        <w:t>（3）承包人自行解决勘察现场的工作条件和出现的问题。</w:t>
      </w:r>
    </w:p>
    <w:p w14:paraId="6930F31D">
      <w:pPr>
        <w:pStyle w:val="403"/>
        <w:spacing w:line="460" w:lineRule="exact"/>
        <w:ind w:firstLine="480" w:firstLineChars="200"/>
        <w:rPr>
          <w:rFonts w:hint="eastAsia" w:eastAsia="宋体" w:cs="宋体"/>
          <w:snapToGrid w:val="0"/>
        </w:rPr>
      </w:pPr>
      <w:r>
        <w:rPr>
          <w:rFonts w:hint="eastAsia" w:eastAsia="宋体" w:cs="宋体"/>
          <w:snapToGrid w:val="0"/>
        </w:rPr>
        <w:t>（4）由于承包人提供的测量成果资料质量不合格，承包人应负责无偿给予补充完善使其达到质量合格；若承包人无力补充完善，需另委托其他单位时，承包人应承担全部测量费用；或因测量成果与实际不符而造成重大经济损失或工程事故时，承包人除应负法律责任和免收直接受损失部分的勘察工程测量费外，并向发包人赔偿直接经济损失的50%，赔偿限额为已支付给承包人勘察工程测量费的100%；若造成第三方损失，应依法向人民法院起诉，并根据判决结果承担责任。</w:t>
      </w:r>
    </w:p>
    <w:p w14:paraId="1D8D9DB8">
      <w:pPr>
        <w:pStyle w:val="403"/>
        <w:spacing w:line="460" w:lineRule="exact"/>
        <w:ind w:firstLine="480" w:firstLineChars="200"/>
        <w:rPr>
          <w:rFonts w:hint="eastAsia" w:eastAsia="宋体" w:cs="宋体"/>
          <w:snapToGrid w:val="0"/>
        </w:rPr>
      </w:pPr>
      <w:r>
        <w:rPr>
          <w:rFonts w:hint="eastAsia" w:eastAsia="宋体" w:cs="宋体"/>
          <w:snapToGrid w:val="0"/>
        </w:rPr>
        <w:t>（7）在工程勘察前，派人与发包人的人员一起验收发包人提供的材料。</w:t>
      </w:r>
    </w:p>
    <w:p w14:paraId="4C46800B">
      <w:pPr>
        <w:pStyle w:val="403"/>
        <w:spacing w:line="460" w:lineRule="exact"/>
        <w:ind w:firstLine="480" w:firstLineChars="200"/>
        <w:rPr>
          <w:rFonts w:hint="eastAsia" w:eastAsia="宋体" w:cs="宋体"/>
          <w:snapToGrid w:val="0"/>
        </w:rPr>
      </w:pPr>
      <w:r>
        <w:rPr>
          <w:rFonts w:hint="eastAsia" w:eastAsia="宋体" w:cs="宋体"/>
          <w:snapToGrid w:val="0"/>
        </w:rPr>
        <w:t>（8）勘察过程中，根据工程的岩土工程条件（或工作现场地形地貌、地岳和水文地质条件）及技术规范要求，向发包人提出增减工作量或修改勘察工作的意见，并在发包人同意的前提下办理正式变更手续。</w:t>
      </w:r>
    </w:p>
    <w:p w14:paraId="74CC16F0">
      <w:pPr>
        <w:pStyle w:val="403"/>
        <w:spacing w:line="460" w:lineRule="exact"/>
        <w:ind w:firstLine="480" w:firstLineChars="200"/>
        <w:rPr>
          <w:rFonts w:hint="eastAsia" w:eastAsia="宋体" w:cs="宋体"/>
          <w:snapToGrid w:val="0"/>
        </w:rPr>
      </w:pPr>
      <w:r>
        <w:rPr>
          <w:rFonts w:hint="eastAsia" w:eastAsia="宋体" w:cs="宋体"/>
          <w:snapToGrid w:val="0"/>
        </w:rPr>
        <w:t>（9）在现场工作的承包人的人员，应遵守发包人的安全保卫及其有关的规章制度，承担其有关资料保密义务。</w:t>
      </w:r>
    </w:p>
    <w:p w14:paraId="4A768D74">
      <w:pPr>
        <w:pStyle w:val="403"/>
        <w:spacing w:line="460" w:lineRule="exact"/>
        <w:ind w:firstLine="480" w:firstLineChars="200"/>
        <w:rPr>
          <w:rFonts w:hint="eastAsia" w:eastAsia="宋体" w:cs="宋体"/>
          <w:snapToGrid w:val="0"/>
        </w:rPr>
      </w:pPr>
      <w:r>
        <w:rPr>
          <w:rFonts w:hint="eastAsia" w:eastAsia="宋体" w:cs="宋体"/>
          <w:snapToGrid w:val="0"/>
        </w:rPr>
        <w:t>（10）本合同有关条款规定承包人应负的其它责任。</w:t>
      </w:r>
    </w:p>
    <w:p w14:paraId="7BB2C97A">
      <w:pPr>
        <w:pStyle w:val="403"/>
        <w:spacing w:line="460" w:lineRule="exact"/>
        <w:ind w:firstLine="480" w:firstLineChars="200"/>
        <w:rPr>
          <w:rFonts w:hint="eastAsia" w:eastAsia="宋体" w:cs="宋体"/>
          <w:snapToGrid w:val="0"/>
        </w:rPr>
      </w:pPr>
      <w:r>
        <w:rPr>
          <w:rFonts w:hint="eastAsia" w:eastAsia="宋体" w:cs="宋体"/>
          <w:snapToGrid w:val="0"/>
        </w:rPr>
        <w:t>（11）负责占道、破路等报批工作，发包人积极协助。</w:t>
      </w:r>
    </w:p>
    <w:p w14:paraId="0FD3FE4A">
      <w:pPr>
        <w:pStyle w:val="403"/>
        <w:spacing w:line="460" w:lineRule="exact"/>
        <w:ind w:firstLine="480" w:firstLineChars="200"/>
        <w:rPr>
          <w:rFonts w:hint="eastAsia" w:eastAsia="宋体" w:cs="宋体"/>
          <w:snapToGrid w:val="0"/>
        </w:rPr>
      </w:pPr>
      <w:r>
        <w:rPr>
          <w:rFonts w:hint="eastAsia" w:eastAsia="宋体" w:cs="宋体"/>
          <w:snapToGrid w:val="0"/>
        </w:rPr>
        <w:t>（12）承包人除按合同要求向发包人移交测量成果资料外，还需提供测量原始记录手薄、电子文件，如：水准测量上交手薄，全站仪测图提供dat文件，GPS测量提供GPS测量仪的电子文件，并附解算软件。</w:t>
      </w:r>
    </w:p>
    <w:p w14:paraId="5F130DA4">
      <w:pPr>
        <w:pStyle w:val="403"/>
        <w:spacing w:line="460" w:lineRule="exact"/>
        <w:ind w:firstLine="480" w:firstLineChars="200"/>
        <w:rPr>
          <w:rFonts w:hint="eastAsia" w:eastAsia="宋体" w:cs="宋体"/>
          <w:snapToGrid w:val="0"/>
        </w:rPr>
      </w:pPr>
      <w:r>
        <w:rPr>
          <w:rFonts w:hint="eastAsia" w:eastAsia="宋体" w:cs="宋体"/>
          <w:snapToGrid w:val="0"/>
        </w:rPr>
        <w:t>（13）承包人需对测量成果进行校对工作，且需配合审图单位对测量成果的审查工作。</w:t>
      </w:r>
    </w:p>
    <w:p w14:paraId="56EE6791">
      <w:pPr>
        <w:pStyle w:val="403"/>
        <w:spacing w:line="460" w:lineRule="exact"/>
        <w:ind w:firstLine="480" w:firstLineChars="200"/>
        <w:rPr>
          <w:rFonts w:hint="eastAsia" w:eastAsia="宋体" w:cs="宋体"/>
          <w:snapToGrid w:val="0"/>
        </w:rPr>
      </w:pPr>
      <w:r>
        <w:rPr>
          <w:rFonts w:hint="eastAsia" w:eastAsia="宋体" w:cs="宋体"/>
          <w:snapToGrid w:val="0"/>
        </w:rPr>
        <w:t>（14）承包人应负责恢复勘察现场原状、恢复原使用功能或因此发生的补偿赔偿，相关费用已包含在勘察费合同价中，发包人不再另行计费。</w:t>
      </w:r>
    </w:p>
    <w:p w14:paraId="21A97972">
      <w:pPr>
        <w:pStyle w:val="403"/>
        <w:spacing w:line="460" w:lineRule="exact"/>
        <w:ind w:firstLine="480" w:firstLineChars="200"/>
        <w:rPr>
          <w:rFonts w:hint="eastAsia" w:eastAsia="宋体" w:cs="宋体"/>
          <w:snapToGrid w:val="0"/>
        </w:rPr>
      </w:pPr>
      <w:r>
        <w:rPr>
          <w:rFonts w:hint="eastAsia" w:eastAsia="宋体" w:cs="宋体"/>
          <w:snapToGrid w:val="0"/>
        </w:rPr>
        <w:t>（15）国土规划测绘工作如应规划报建、报验要求须委托相关职能部门或有相关资质的单位，承包人委托前应就委托测量费用书面报发包人审核确认。</w:t>
      </w:r>
    </w:p>
    <w:p w14:paraId="2C89A6A1">
      <w:pPr>
        <w:pStyle w:val="5"/>
        <w:spacing w:before="360" w:after="120" w:afterLines="50" w:line="480" w:lineRule="exact"/>
        <w:rPr>
          <w:rFonts w:hint="eastAsia" w:ascii="宋体" w:hAnsi="宋体" w:eastAsia="宋体" w:cs="宋体"/>
          <w:bCs/>
          <w:sz w:val="28"/>
          <w:szCs w:val="28"/>
        </w:rPr>
      </w:pPr>
      <w:bookmarkStart w:id="1511" w:name="_Toc83220621"/>
      <w:bookmarkStart w:id="1512" w:name="_Toc1837"/>
      <w:bookmarkStart w:id="1513" w:name="_Toc176268750"/>
      <w:bookmarkStart w:id="1514" w:name="_Toc198803817"/>
      <w:r>
        <w:rPr>
          <w:rFonts w:hint="eastAsia" w:ascii="宋体" w:hAnsi="宋体" w:eastAsia="宋体" w:cs="宋体"/>
          <w:bCs/>
          <w:sz w:val="28"/>
          <w:szCs w:val="28"/>
        </w:rPr>
        <w:t>6. 材料和工程设备</w:t>
      </w:r>
      <w:bookmarkEnd w:id="1511"/>
      <w:bookmarkEnd w:id="1512"/>
      <w:bookmarkEnd w:id="1513"/>
      <w:bookmarkEnd w:id="1514"/>
    </w:p>
    <w:p w14:paraId="7B233311">
      <w:pPr>
        <w:pStyle w:val="403"/>
        <w:spacing w:line="460" w:lineRule="exact"/>
        <w:ind w:firstLine="480" w:firstLineChars="200"/>
        <w:rPr>
          <w:rFonts w:hint="eastAsia" w:eastAsia="宋体" w:cs="宋体"/>
          <w:snapToGrid w:val="0"/>
        </w:rPr>
      </w:pPr>
      <w:r>
        <w:rPr>
          <w:rFonts w:hint="eastAsia" w:eastAsia="宋体" w:cs="宋体"/>
          <w:snapToGrid w:val="0"/>
        </w:rPr>
        <w:t>6.1.4补充条款</w:t>
      </w:r>
    </w:p>
    <w:p w14:paraId="42CD1050">
      <w:pPr>
        <w:pStyle w:val="403"/>
        <w:spacing w:line="460" w:lineRule="exact"/>
        <w:ind w:firstLine="480" w:firstLineChars="200"/>
        <w:rPr>
          <w:rFonts w:hint="eastAsia" w:eastAsia="宋体" w:cs="宋体"/>
          <w:snapToGrid w:val="0"/>
        </w:rPr>
      </w:pPr>
      <w:r>
        <w:rPr>
          <w:rFonts w:hint="eastAsia" w:eastAsia="宋体" w:cs="宋体"/>
          <w:snapToGrid w:val="0"/>
        </w:rPr>
        <w:t>（1）承包人采购材料设备的约定：本工程主要材料设备发包人不指定品牌。承包人在设备实际采购前需报发包人同意后方可实施。主要材料设备的报审资料需包含厂家对本工程开具的供货授权函，以便于维保工作。</w:t>
      </w:r>
    </w:p>
    <w:p w14:paraId="420D8FF9">
      <w:pPr>
        <w:pStyle w:val="403"/>
        <w:spacing w:line="460" w:lineRule="exact"/>
        <w:ind w:firstLine="480" w:firstLineChars="200"/>
        <w:rPr>
          <w:rFonts w:hint="eastAsia" w:eastAsia="宋体" w:cs="宋体"/>
          <w:snapToGrid w:val="0"/>
        </w:rPr>
      </w:pPr>
      <w:r>
        <w:rPr>
          <w:rFonts w:hint="eastAsia" w:eastAsia="宋体" w:cs="宋体"/>
          <w:snapToGrid w:val="0"/>
        </w:rPr>
        <w:t>（2）为加强本工程所使用的乙供材料设备的质量管理，确保承包人所选购的材料设备的质量、技术性能、款式、效果等方面满足设计和使用需求，所有主要材料设备在看样定板之前，发包人、监理单位、设计单位有权对乙供材料设备厂家的生产能力、制造水平、生产工艺等方面进行综合考察评估，考核评估合格的方能采购。</w:t>
      </w:r>
    </w:p>
    <w:p w14:paraId="05118113">
      <w:pPr>
        <w:pStyle w:val="403"/>
        <w:spacing w:line="460" w:lineRule="exact"/>
        <w:ind w:firstLine="480" w:firstLineChars="200"/>
        <w:rPr>
          <w:rFonts w:hint="eastAsia" w:eastAsia="宋体" w:cs="宋体"/>
          <w:snapToGrid w:val="0"/>
        </w:rPr>
      </w:pPr>
      <w:r>
        <w:rPr>
          <w:rFonts w:hint="eastAsia" w:eastAsia="宋体" w:cs="宋体"/>
          <w:snapToGrid w:val="0"/>
        </w:rPr>
        <w:t>（3）如发包人对本工程中的任何材料或设备有特殊要求，则应于施工前5个日历天或材料采购前5个日历天书面通知承包人。</w:t>
      </w:r>
    </w:p>
    <w:p w14:paraId="740D2A27">
      <w:pPr>
        <w:pStyle w:val="403"/>
        <w:spacing w:line="460" w:lineRule="exact"/>
        <w:ind w:firstLine="480" w:firstLineChars="200"/>
        <w:rPr>
          <w:rFonts w:hint="eastAsia" w:eastAsia="宋体" w:cs="宋体"/>
          <w:snapToGrid w:val="0"/>
        </w:rPr>
      </w:pPr>
      <w:r>
        <w:rPr>
          <w:rFonts w:hint="eastAsia" w:eastAsia="宋体" w:cs="宋体"/>
          <w:snapToGrid w:val="0"/>
        </w:rPr>
        <w:t>（4）本工程所用的一切材料、设备和技术必须符合合同文件所规定的种类及标准，承包人应对材料、设备和技术的质量负责，承包人应清楚了解其所用材料、设备及其供货单位的有关资料，并将相关要求在其提供给发包人的质量保证体系中列明。前述相关要求包括但不限于：供货单位的法人营业执照、经营范围、任何关于项目授权、专营权和特许权的批准、经济实力、履约信用及信誉、履约能力；对物料的品质保证应有专门的条款规定，进口材料、设备必须提供原场地证明、报关单、商检证明等资料，承包人要对如下例如出厂、原产地证明、环保监测、各种合格证、许可证、图纸、检验、试验、检测报告、维修责任和保修责任的承诺、保修期等各种方面的情况有清晰的了解，且应确保文档齐备，以证明承包人对其进行了了解和检查并便于发包人或监理工程师进行审查。供货单位须服从监理单位和发包人的管理，并按要求参加相关工作例会。</w:t>
      </w:r>
    </w:p>
    <w:p w14:paraId="5E94CE33">
      <w:pPr>
        <w:pStyle w:val="403"/>
        <w:spacing w:line="460" w:lineRule="exact"/>
        <w:ind w:firstLine="480" w:firstLineChars="200"/>
        <w:rPr>
          <w:rFonts w:hint="eastAsia" w:eastAsia="宋体" w:cs="宋体"/>
          <w:snapToGrid w:val="0"/>
        </w:rPr>
      </w:pPr>
      <w:r>
        <w:rPr>
          <w:rFonts w:hint="eastAsia" w:eastAsia="宋体" w:cs="宋体"/>
          <w:snapToGrid w:val="0"/>
        </w:rPr>
        <w:t>（5）承包人在选择材料设备时，如选择的材料设备涉及专利使用的费用，所产生的费用由承包人承担，且包含在合同价款内，发包人将不另行支付。</w:t>
      </w:r>
    </w:p>
    <w:p w14:paraId="441075DC">
      <w:pPr>
        <w:pStyle w:val="403"/>
        <w:spacing w:line="460" w:lineRule="exact"/>
        <w:ind w:firstLine="480" w:firstLineChars="200"/>
        <w:rPr>
          <w:rFonts w:hint="eastAsia" w:eastAsia="宋体" w:cs="宋体"/>
          <w:snapToGrid w:val="0"/>
        </w:rPr>
      </w:pPr>
      <w:r>
        <w:rPr>
          <w:rFonts w:hint="eastAsia" w:eastAsia="宋体" w:cs="宋体"/>
          <w:snapToGrid w:val="0"/>
        </w:rPr>
        <w:t>（6）承包人应赔偿因其未清楚了解其所用材料、设备及其供货单位的有关资料而给发包人造成的损失。</w:t>
      </w:r>
    </w:p>
    <w:p w14:paraId="6B6BC8F1">
      <w:pPr>
        <w:pStyle w:val="403"/>
        <w:spacing w:line="460" w:lineRule="exact"/>
        <w:ind w:firstLine="480" w:firstLineChars="200"/>
        <w:rPr>
          <w:rFonts w:hint="eastAsia" w:eastAsia="宋体" w:cs="宋体"/>
          <w:snapToGrid w:val="0"/>
        </w:rPr>
      </w:pPr>
      <w:r>
        <w:rPr>
          <w:rFonts w:hint="eastAsia" w:eastAsia="宋体" w:cs="宋体"/>
          <w:snapToGrid w:val="0"/>
        </w:rPr>
        <w:t>（7）承包人在任何材料或工程设备到货时，应至少提前24小时通知发包人及监理工程师清点。</w:t>
      </w:r>
    </w:p>
    <w:p w14:paraId="3ED5503A">
      <w:pPr>
        <w:pStyle w:val="403"/>
        <w:spacing w:line="460" w:lineRule="exact"/>
        <w:ind w:firstLine="480" w:firstLineChars="200"/>
        <w:rPr>
          <w:rFonts w:hint="eastAsia" w:eastAsia="宋体" w:cs="宋体"/>
          <w:snapToGrid w:val="0"/>
        </w:rPr>
      </w:pPr>
      <w:r>
        <w:rPr>
          <w:rFonts w:hint="eastAsia" w:eastAsia="宋体" w:cs="宋体"/>
          <w:snapToGrid w:val="0"/>
        </w:rPr>
        <w:t>（8）承包人采购的材料设备与设计或国家标准要求不符时，承包人应按发包人及监理工程师要求的时间运出施工场地，重新采购符合要求的产品，承担由此发生的费用，由此延误的工期不予顺延，并赔偿因此而给发包人造成的损失。</w:t>
      </w:r>
    </w:p>
    <w:p w14:paraId="0C5F28F7">
      <w:pPr>
        <w:pStyle w:val="403"/>
        <w:spacing w:line="460" w:lineRule="exact"/>
        <w:ind w:firstLine="480" w:firstLineChars="200"/>
        <w:rPr>
          <w:rFonts w:hint="eastAsia" w:eastAsia="宋体" w:cs="宋体"/>
          <w:snapToGrid w:val="0"/>
        </w:rPr>
      </w:pPr>
      <w:r>
        <w:rPr>
          <w:rFonts w:hint="eastAsia" w:eastAsia="宋体" w:cs="宋体"/>
          <w:snapToGrid w:val="0"/>
        </w:rPr>
        <w:t>（9）本工程材料设备严格执行国家及广东省、广州市关于材料设备见证抽检的各项规定。由承包人负责采购的所有型号规格产品，必须提供国家产品质量监督检验中心的型式检验报告。原则上同规格型号材料、设备统一批次进场，并按广州市质量监督管理部门要求现场随机抽样送发包人指定的检测机构检测，如出现某批次材料设备见证抽检不合格，承包人应将该批次材料设备全部清理出现场，已安装部分也须全部拆除、清理；每发生一次前述情形，承包人须按合同规定承担一次严重违约责任，并支付相关的违约金；对该类型材料设备在后续见证抽样检测时，将在规定的见证抽样数量、频率的基础上加倍，所需增加的检测费用由承包人自行承担。</w:t>
      </w:r>
    </w:p>
    <w:p w14:paraId="3D046EEE">
      <w:pPr>
        <w:pStyle w:val="403"/>
        <w:spacing w:line="460" w:lineRule="exact"/>
        <w:ind w:firstLine="480" w:firstLineChars="200"/>
        <w:rPr>
          <w:rFonts w:hint="eastAsia" w:eastAsia="宋体" w:cs="宋体"/>
          <w:snapToGrid w:val="0"/>
        </w:rPr>
      </w:pPr>
      <w:r>
        <w:rPr>
          <w:rFonts w:hint="eastAsia" w:eastAsia="宋体" w:cs="宋体"/>
          <w:snapToGrid w:val="0"/>
        </w:rPr>
        <w:t>（10）对于承包人采购的材料设备，无论工程师或发包人有无条件到生产、制造现场监造或验收，该等材料设备到达施工场地后经验收发现质量问题的，均应由承包人承担责任。承包人应负责修复或拆除或重新采购，并承担由此发生的费用，赔偿发包人的损失，由此延误的工期不予顺延。</w:t>
      </w:r>
    </w:p>
    <w:p w14:paraId="3689E0BB">
      <w:pPr>
        <w:pStyle w:val="403"/>
        <w:spacing w:line="460" w:lineRule="exact"/>
        <w:ind w:firstLine="480" w:firstLineChars="200"/>
        <w:rPr>
          <w:rFonts w:hint="eastAsia" w:eastAsia="宋体" w:cs="宋体"/>
          <w:snapToGrid w:val="0"/>
        </w:rPr>
      </w:pPr>
      <w:r>
        <w:rPr>
          <w:rFonts w:hint="eastAsia" w:eastAsia="宋体" w:cs="宋体"/>
          <w:snapToGrid w:val="0"/>
        </w:rPr>
        <w:t>（11）承包人在提议使用某一类型的材料、设备时，不论该类型是在合同文件中规定的或是发包人提议使用的，都被视为承包人保证该材料、设备在所有正常使用环境下都符合发包人的工艺和技术规范。</w:t>
      </w:r>
    </w:p>
    <w:p w14:paraId="02AD39CB">
      <w:pPr>
        <w:pStyle w:val="403"/>
        <w:spacing w:line="460" w:lineRule="exact"/>
        <w:ind w:firstLine="480" w:firstLineChars="200"/>
        <w:rPr>
          <w:rFonts w:hint="eastAsia" w:eastAsia="宋体" w:cs="宋体"/>
          <w:snapToGrid w:val="0"/>
        </w:rPr>
      </w:pPr>
      <w:r>
        <w:rPr>
          <w:rFonts w:hint="eastAsia" w:eastAsia="宋体" w:cs="宋体"/>
          <w:snapToGrid w:val="0"/>
        </w:rPr>
        <w:t>（12）承包人保证其所供应的材料和设备均是使用优质材料和先进工艺制成的、全新的且未曾用过的，并完全符合设计文件和合同文件规定的对质量、规格和性能的要求。</w:t>
      </w:r>
    </w:p>
    <w:p w14:paraId="7FA1679B">
      <w:pPr>
        <w:pStyle w:val="403"/>
        <w:spacing w:line="460" w:lineRule="exact"/>
        <w:ind w:firstLine="480" w:firstLineChars="200"/>
        <w:rPr>
          <w:rFonts w:hint="eastAsia" w:eastAsia="宋体" w:cs="宋体"/>
          <w:snapToGrid w:val="0"/>
        </w:rPr>
      </w:pPr>
      <w:r>
        <w:rPr>
          <w:rFonts w:hint="eastAsia" w:eastAsia="宋体" w:cs="宋体"/>
          <w:snapToGrid w:val="0"/>
        </w:rPr>
        <w:t>（13）任何材料、设备及其样本或样品（提供样品的范围由监理工程师指定）应事先得到发包人的审批认可后才可用于本工程内。申报审批手续应按发包人有关申报程序的说明办理，并应填写及呈交有关的材料、样品申请表格。</w:t>
      </w:r>
    </w:p>
    <w:p w14:paraId="2BA9240D">
      <w:pPr>
        <w:pStyle w:val="403"/>
        <w:spacing w:line="460" w:lineRule="exact"/>
        <w:ind w:firstLine="480" w:firstLineChars="200"/>
        <w:rPr>
          <w:rFonts w:hint="eastAsia" w:eastAsia="宋体" w:cs="宋体"/>
          <w:snapToGrid w:val="0"/>
        </w:rPr>
      </w:pPr>
      <w:r>
        <w:rPr>
          <w:rFonts w:hint="eastAsia" w:eastAsia="宋体" w:cs="宋体"/>
          <w:snapToGrid w:val="0"/>
        </w:rPr>
        <w:t>（14）承包人应将经发包人或监理工程师认可的样本或样品保存在工地或发包人指定的地点，作为以后验收工程的标准。</w:t>
      </w:r>
    </w:p>
    <w:p w14:paraId="63E92A1A">
      <w:pPr>
        <w:pStyle w:val="403"/>
        <w:spacing w:line="460" w:lineRule="exact"/>
        <w:ind w:firstLine="480" w:firstLineChars="200"/>
        <w:rPr>
          <w:rFonts w:hint="eastAsia" w:eastAsia="宋体" w:cs="宋体"/>
          <w:snapToGrid w:val="0"/>
        </w:rPr>
      </w:pPr>
      <w:r>
        <w:rPr>
          <w:rFonts w:hint="eastAsia" w:eastAsia="宋体" w:cs="宋体"/>
          <w:snapToGrid w:val="0"/>
        </w:rPr>
        <w:t>（15）发包人对任何样品或样本的认可都不会导致减轻或免除合同文件规定的承包人的任何义务和责任。</w:t>
      </w:r>
    </w:p>
    <w:p w14:paraId="6BB4BDD1">
      <w:pPr>
        <w:pStyle w:val="403"/>
        <w:spacing w:line="460" w:lineRule="exact"/>
        <w:ind w:firstLine="480" w:firstLineChars="200"/>
        <w:rPr>
          <w:rFonts w:hint="eastAsia" w:eastAsia="宋体" w:cs="宋体"/>
          <w:snapToGrid w:val="0"/>
        </w:rPr>
      </w:pPr>
      <w:r>
        <w:rPr>
          <w:rFonts w:hint="eastAsia" w:eastAsia="宋体" w:cs="宋体"/>
          <w:snapToGrid w:val="0"/>
        </w:rPr>
        <w:t>（16）本工程所需的全部施工设备（包括安全设备等），均由承包人自行解决；承包人无论任何原因，均不能要求结算机械台班差价。承包人投入的主要施工机械设备应满足施工现场的要求，如因设备陈旧、故障、性能等原因不能正常运作或效率低下需进行更换和调整，以致延误工期的，一律按合同约定的工期延误规定进行处理。</w:t>
      </w:r>
    </w:p>
    <w:p w14:paraId="62666593">
      <w:pPr>
        <w:pStyle w:val="403"/>
        <w:spacing w:line="460" w:lineRule="exact"/>
        <w:ind w:firstLine="480" w:firstLineChars="200"/>
        <w:rPr>
          <w:rFonts w:hint="eastAsia" w:eastAsia="宋体" w:cs="宋体"/>
          <w:snapToGrid w:val="0"/>
        </w:rPr>
      </w:pPr>
      <w:r>
        <w:rPr>
          <w:rFonts w:hint="eastAsia" w:eastAsia="宋体" w:cs="宋体"/>
          <w:snapToGrid w:val="0"/>
        </w:rPr>
        <w:t>（17）承包人应为检查、测量和检验任何发包人提出的材料或工程设备提供通常需要的协助。</w:t>
      </w:r>
    </w:p>
    <w:p w14:paraId="77B14226">
      <w:pPr>
        <w:pStyle w:val="403"/>
        <w:spacing w:line="460" w:lineRule="exact"/>
        <w:ind w:firstLine="480" w:firstLineChars="200"/>
        <w:rPr>
          <w:rFonts w:hint="eastAsia" w:eastAsia="宋体" w:cs="宋体"/>
          <w:snapToGrid w:val="0"/>
        </w:rPr>
      </w:pPr>
      <w:r>
        <w:rPr>
          <w:rFonts w:hint="eastAsia" w:eastAsia="宋体" w:cs="宋体"/>
          <w:snapToGrid w:val="0"/>
        </w:rPr>
        <w:t>（18）承包人运入施工现场的材料、工程设备、施工设备以及在施工场地建设的临时设施，包括备品备件、安装工具与资料，必须专用于工程。未经发包人批准不得运出施工现场或挪作他用。发包人已经支付了款项的材料的所有权归发包人，但承包人仍需对它们的遗失或损坏负责。</w:t>
      </w:r>
    </w:p>
    <w:p w14:paraId="1FA23105">
      <w:pPr>
        <w:pStyle w:val="403"/>
        <w:spacing w:line="460" w:lineRule="exact"/>
        <w:ind w:firstLine="480" w:firstLineChars="200"/>
        <w:rPr>
          <w:rFonts w:hint="eastAsia" w:eastAsia="宋体" w:cs="宋体"/>
          <w:snapToGrid w:val="0"/>
        </w:rPr>
      </w:pPr>
      <w:r>
        <w:rPr>
          <w:rFonts w:hint="eastAsia" w:eastAsia="宋体" w:cs="宋体"/>
          <w:snapToGrid w:val="0"/>
        </w:rPr>
        <w:t>（19）承包人应存有足够供替换或紧急需要的施工现场机械设备零配件存货，相应的存放及保管费用由承包人自行承担。</w:t>
      </w:r>
    </w:p>
    <w:p w14:paraId="30849D92">
      <w:pPr>
        <w:pStyle w:val="5"/>
        <w:spacing w:before="360" w:after="120" w:afterLines="50" w:line="480" w:lineRule="exact"/>
        <w:rPr>
          <w:rFonts w:hint="eastAsia" w:ascii="宋体" w:hAnsi="宋体" w:eastAsia="宋体" w:cs="宋体"/>
          <w:bCs/>
          <w:sz w:val="28"/>
          <w:szCs w:val="28"/>
        </w:rPr>
      </w:pPr>
      <w:bookmarkStart w:id="1515" w:name="_Toc83220622"/>
      <w:bookmarkStart w:id="1516" w:name="_Toc176268751"/>
      <w:bookmarkStart w:id="1517" w:name="_Toc29754"/>
      <w:bookmarkStart w:id="1518" w:name="_Toc198803818"/>
      <w:r>
        <w:rPr>
          <w:rFonts w:ascii="宋体" w:hAnsi="宋体" w:eastAsia="宋体" w:cs="宋体"/>
          <w:bCs/>
          <w:sz w:val="28"/>
          <w:szCs w:val="28"/>
        </w:rPr>
        <w:t>7</w:t>
      </w:r>
      <w:r>
        <w:rPr>
          <w:rFonts w:hint="eastAsia" w:ascii="宋体" w:hAnsi="宋体" w:eastAsia="宋体" w:cs="宋体"/>
          <w:bCs/>
          <w:sz w:val="28"/>
          <w:szCs w:val="28"/>
        </w:rPr>
        <w:t>. 施工设备和临时设施</w:t>
      </w:r>
      <w:bookmarkEnd w:id="1515"/>
      <w:bookmarkEnd w:id="1516"/>
      <w:bookmarkEnd w:id="1517"/>
      <w:bookmarkEnd w:id="1518"/>
    </w:p>
    <w:p w14:paraId="099EAD47">
      <w:pPr>
        <w:pStyle w:val="403"/>
        <w:spacing w:line="460" w:lineRule="exact"/>
        <w:ind w:firstLine="480" w:firstLineChars="200"/>
        <w:rPr>
          <w:rFonts w:hint="eastAsia" w:eastAsia="宋体" w:cs="宋体"/>
          <w:snapToGrid w:val="0"/>
        </w:rPr>
      </w:pPr>
      <w:r>
        <w:rPr>
          <w:rFonts w:eastAsia="宋体" w:cs="宋体"/>
          <w:snapToGrid w:val="0"/>
        </w:rPr>
        <w:t>7.1.3</w:t>
      </w:r>
      <w:r>
        <w:rPr>
          <w:rFonts w:hint="eastAsia" w:eastAsia="宋体" w:cs="宋体"/>
          <w:snapToGrid w:val="0"/>
        </w:rPr>
        <w:t xml:space="preserve"> 承包人负责临时便道、临时便桥、临时电力设施、临时通讯设施等临时设施的设计、建造、运行、维护、管理、拆除并恢复原状，相关费用已计入工程量清单各有关项目单价内，发包人和项目业主不另行支付。承包人应采取有效措施保证施工范围内场外交通以及施工便道长期的硬化及畅通，并在相关参建单位需要时无偿提供其使用。</w:t>
      </w:r>
    </w:p>
    <w:p w14:paraId="0209E73A">
      <w:pPr>
        <w:pStyle w:val="403"/>
        <w:spacing w:line="460" w:lineRule="exact"/>
        <w:ind w:firstLine="480" w:firstLineChars="200"/>
        <w:rPr>
          <w:rFonts w:hint="eastAsia" w:eastAsia="宋体" w:cs="宋体"/>
          <w:snapToGrid w:val="0"/>
        </w:rPr>
      </w:pPr>
      <w:r>
        <w:rPr>
          <w:rFonts w:eastAsia="宋体" w:cs="宋体"/>
          <w:snapToGrid w:val="0"/>
        </w:rPr>
        <w:t xml:space="preserve">7.1.4 </w:t>
      </w:r>
      <w:r>
        <w:rPr>
          <w:rFonts w:hint="eastAsia" w:eastAsia="宋体" w:cs="宋体"/>
          <w:snapToGrid w:val="0"/>
        </w:rPr>
        <w:t>临时工程用地由承包人自行解决。临时工程用地范围包括承包人驻地的办公室、食堂、宿舍、道路和机械设备停放场、材料堆放场地、弃土场、预制场、拌和场、仓库、进场临时道路、临时便道、便桥、临时码头等，承包人应本着少占耕地的原则，合理考虑临时用地面积。临时用地中如有地面附着物，其拆迁补偿费用已计入工程量清单各有关项目单价内，发包人和项目业主不另行支付。若临时用地由发包人协助办理的，相关费用须由承包人承担。临时用地退还前，承包人应自费恢复到临时用地使用前或临时用地所有者接受的状况。如因承包人撤离后未按要求对临时用地进行恢复或虽进行了恢复但未达到临时用地所有者接受要求的，将由发包人委托第三方进行恢复，所发生的费用将从应付给承包人的任何款项内扣除。基本农田不得用作施工临时用地。承包人应主动办理临时用地手续，并按规定委托有相应资质的单位编制复垦方案，相关费用须由承包人承担。承包人应及时缴交土地复垦保证金、林木植被恢复费等费用，同时，承包人还应承担办理临时用地相关手续需向当地国土、规划、林业等行政主管部门要求缴纳的其他相关费用。</w:t>
      </w:r>
    </w:p>
    <w:p w14:paraId="77DE95B8">
      <w:pPr>
        <w:pStyle w:val="5"/>
        <w:spacing w:before="360" w:after="120" w:afterLines="50" w:line="480" w:lineRule="exact"/>
        <w:rPr>
          <w:rFonts w:hint="eastAsia" w:ascii="宋体" w:hAnsi="宋体" w:eastAsia="宋体" w:cs="宋体"/>
          <w:bCs/>
          <w:sz w:val="28"/>
          <w:szCs w:val="28"/>
        </w:rPr>
      </w:pPr>
      <w:bookmarkStart w:id="1519" w:name="_Toc14799"/>
      <w:bookmarkStart w:id="1520" w:name="_Toc198803819"/>
      <w:bookmarkStart w:id="1521" w:name="_Toc176268752"/>
      <w:bookmarkStart w:id="1522" w:name="_Toc83220623"/>
      <w:r>
        <w:rPr>
          <w:rFonts w:hint="eastAsia" w:ascii="宋体" w:hAnsi="宋体" w:eastAsia="宋体" w:cs="宋体"/>
          <w:bCs/>
          <w:sz w:val="28"/>
          <w:szCs w:val="28"/>
        </w:rPr>
        <w:t>9. 测量放线</w:t>
      </w:r>
      <w:bookmarkEnd w:id="1519"/>
      <w:bookmarkEnd w:id="1520"/>
      <w:bookmarkEnd w:id="1521"/>
      <w:bookmarkEnd w:id="1522"/>
    </w:p>
    <w:p w14:paraId="00941F42">
      <w:pPr>
        <w:pStyle w:val="403"/>
        <w:spacing w:line="460" w:lineRule="exact"/>
        <w:ind w:firstLine="480" w:firstLineChars="200"/>
        <w:rPr>
          <w:rFonts w:hint="eastAsia" w:eastAsia="宋体" w:cs="宋体"/>
          <w:snapToGrid w:val="0"/>
        </w:rPr>
      </w:pPr>
      <w:r>
        <w:rPr>
          <w:rFonts w:hint="eastAsia" w:eastAsia="宋体" w:cs="宋体"/>
          <w:snapToGrid w:val="0"/>
        </w:rPr>
        <w:t>9.3 基准资料错误的责任</w:t>
      </w:r>
    </w:p>
    <w:p w14:paraId="02F35FC8">
      <w:pPr>
        <w:pStyle w:val="403"/>
        <w:spacing w:line="460" w:lineRule="exact"/>
        <w:ind w:firstLine="480" w:firstLineChars="200"/>
        <w:rPr>
          <w:rFonts w:hint="eastAsia" w:eastAsia="宋体" w:cs="宋体"/>
          <w:snapToGrid w:val="0"/>
        </w:rPr>
      </w:pPr>
      <w:r>
        <w:rPr>
          <w:rFonts w:hint="eastAsia" w:eastAsia="宋体" w:cs="宋体"/>
          <w:snapToGrid w:val="0"/>
        </w:rPr>
        <w:t>本款修改为：发包人提供测量基准点、基准线和水准点的，承包人应进行复核并对其真实性、准确性负责；发包人不提供的，承包人应自行收集。</w:t>
      </w:r>
    </w:p>
    <w:p w14:paraId="72A5CD07">
      <w:pPr>
        <w:pStyle w:val="5"/>
        <w:spacing w:before="360" w:after="120" w:afterLines="50" w:line="480" w:lineRule="exact"/>
        <w:rPr>
          <w:rFonts w:hint="eastAsia" w:ascii="宋体" w:hAnsi="宋体" w:eastAsia="宋体" w:cs="宋体"/>
          <w:bCs/>
          <w:sz w:val="28"/>
          <w:szCs w:val="28"/>
        </w:rPr>
      </w:pPr>
      <w:bookmarkStart w:id="1523" w:name="_Toc176268753"/>
      <w:bookmarkStart w:id="1524" w:name="_Toc198803820"/>
      <w:bookmarkStart w:id="1525" w:name="_Toc23052"/>
      <w:bookmarkStart w:id="1526" w:name="_Toc83220624"/>
      <w:r>
        <w:rPr>
          <w:rFonts w:hint="eastAsia" w:ascii="宋体" w:hAnsi="宋体" w:eastAsia="宋体" w:cs="宋体"/>
          <w:bCs/>
          <w:sz w:val="28"/>
          <w:szCs w:val="28"/>
        </w:rPr>
        <w:t>10. 安全、治安保卫和环境保护</w:t>
      </w:r>
      <w:bookmarkEnd w:id="1523"/>
      <w:bookmarkEnd w:id="1524"/>
      <w:bookmarkEnd w:id="1525"/>
      <w:bookmarkEnd w:id="1526"/>
    </w:p>
    <w:p w14:paraId="019A56CD">
      <w:pPr>
        <w:pStyle w:val="403"/>
        <w:spacing w:line="460" w:lineRule="exact"/>
        <w:ind w:firstLine="480" w:firstLineChars="200"/>
        <w:rPr>
          <w:rFonts w:hint="eastAsia" w:eastAsia="宋体" w:cs="宋体"/>
          <w:snapToGrid w:val="0"/>
        </w:rPr>
      </w:pPr>
      <w:r>
        <w:rPr>
          <w:rFonts w:hint="eastAsia" w:eastAsia="宋体" w:cs="宋体"/>
          <w:snapToGrid w:val="0"/>
        </w:rPr>
        <w:t>10.1发包人的安全责任</w:t>
      </w:r>
    </w:p>
    <w:p w14:paraId="2BECDED7">
      <w:pPr>
        <w:pStyle w:val="403"/>
        <w:spacing w:line="460" w:lineRule="exact"/>
        <w:ind w:firstLine="480" w:firstLineChars="200"/>
        <w:rPr>
          <w:rFonts w:hint="eastAsia" w:eastAsia="宋体" w:cs="宋体"/>
          <w:snapToGrid w:val="0"/>
        </w:rPr>
      </w:pPr>
      <w:r>
        <w:rPr>
          <w:rFonts w:hint="eastAsia" w:eastAsia="宋体" w:cs="宋体"/>
          <w:snapToGrid w:val="0"/>
        </w:rPr>
        <w:t>发包人不得要求承包人违反安全管理的规定进行施工。因发包人原因导致的安全事故，由发包人承担相应责任及发生的费用。</w:t>
      </w:r>
    </w:p>
    <w:p w14:paraId="6E259642">
      <w:pPr>
        <w:pStyle w:val="403"/>
        <w:spacing w:line="460" w:lineRule="exact"/>
        <w:ind w:firstLine="480" w:firstLineChars="200"/>
        <w:rPr>
          <w:rFonts w:hint="eastAsia" w:eastAsia="宋体" w:cs="宋体"/>
          <w:snapToGrid w:val="0"/>
        </w:rPr>
      </w:pPr>
      <w:r>
        <w:rPr>
          <w:rFonts w:hint="eastAsia" w:eastAsia="宋体" w:cs="宋体"/>
          <w:snapToGrid w:val="0"/>
        </w:rPr>
        <w:t>10.2承包人的安全责任</w:t>
      </w:r>
    </w:p>
    <w:p w14:paraId="521438E9">
      <w:pPr>
        <w:pStyle w:val="403"/>
        <w:spacing w:line="460" w:lineRule="exact"/>
        <w:ind w:firstLine="480" w:firstLineChars="200"/>
        <w:rPr>
          <w:rFonts w:hint="eastAsia" w:eastAsia="宋体" w:cs="宋体"/>
          <w:snapToGrid w:val="0"/>
        </w:rPr>
      </w:pPr>
      <w:r>
        <w:rPr>
          <w:rFonts w:hint="eastAsia" w:eastAsia="宋体" w:cs="宋体"/>
          <w:snapToGrid w:val="0"/>
        </w:rPr>
        <w:t>（1）执行《建筑施工安全检查标准》（JGJ59-2011）。</w:t>
      </w:r>
    </w:p>
    <w:p w14:paraId="6108B7E9">
      <w:pPr>
        <w:pStyle w:val="403"/>
        <w:spacing w:line="460" w:lineRule="exact"/>
        <w:ind w:firstLine="480" w:firstLineChars="200"/>
        <w:rPr>
          <w:rFonts w:hint="eastAsia" w:eastAsia="宋体" w:cs="宋体"/>
          <w:snapToGrid w:val="0"/>
        </w:rPr>
      </w:pPr>
      <w:r>
        <w:rPr>
          <w:rFonts w:hint="eastAsia" w:eastAsia="宋体" w:cs="宋体"/>
          <w:snapToGrid w:val="0"/>
        </w:rPr>
        <w:t>（2）承包人应按合同约定履行安全职责，执行监理工程师有关安全工作的指示，并在专用合同条款约定的期限内，按合同约定的安全工作内容，编制施工安全措施计划报送监理工程师审批。</w:t>
      </w:r>
    </w:p>
    <w:p w14:paraId="5400F901">
      <w:pPr>
        <w:pStyle w:val="403"/>
        <w:spacing w:line="460" w:lineRule="exact"/>
        <w:ind w:firstLine="480" w:firstLineChars="200"/>
        <w:rPr>
          <w:rFonts w:hint="eastAsia" w:eastAsia="宋体" w:cs="宋体"/>
          <w:snapToGrid w:val="0"/>
        </w:rPr>
      </w:pPr>
      <w:r>
        <w:rPr>
          <w:rFonts w:hint="eastAsia" w:eastAsia="宋体" w:cs="宋体"/>
          <w:snapToGrid w:val="0"/>
        </w:rPr>
        <w:t>（3）工程实施期间，承包人应编制相应的专项施工技术方案，报监理工程师审批后方可实施。同时做好施工范围内的高、低压电线、电塔、民房等保护工作，相关费用含在工程报价中。</w:t>
      </w:r>
    </w:p>
    <w:p w14:paraId="19A800D6">
      <w:pPr>
        <w:pStyle w:val="403"/>
        <w:spacing w:line="460" w:lineRule="exact"/>
        <w:ind w:firstLine="480" w:firstLineChars="200"/>
        <w:rPr>
          <w:rFonts w:hint="eastAsia" w:eastAsia="宋体" w:cs="宋体"/>
          <w:snapToGrid w:val="0"/>
        </w:rPr>
      </w:pPr>
      <w:r>
        <w:rPr>
          <w:rFonts w:hint="eastAsia" w:eastAsia="宋体" w:cs="宋体"/>
          <w:snapToGrid w:val="0"/>
        </w:rPr>
        <w:t>（4）承包人应加强施工作业安全管理，特别应加强易燃、易爆材料、火工器材、有毒与腐蚀性材料和其他危险品的管理。</w:t>
      </w:r>
    </w:p>
    <w:p w14:paraId="13AB624B">
      <w:pPr>
        <w:pStyle w:val="403"/>
        <w:spacing w:line="460" w:lineRule="exact"/>
        <w:ind w:firstLine="480" w:firstLineChars="200"/>
        <w:rPr>
          <w:rFonts w:hint="eastAsia" w:eastAsia="宋体" w:cs="宋体"/>
          <w:snapToGrid w:val="0"/>
        </w:rPr>
      </w:pPr>
      <w:r>
        <w:rPr>
          <w:rFonts w:hint="eastAsia" w:eastAsia="宋体" w:cs="宋体"/>
          <w:snapToGrid w:val="0"/>
        </w:rPr>
        <w:t>（5）承包人应严格按照国家安全标准制定施工安全操作规程，配备必要的安全生产和劳动保护设施，加强对承包人人员的安全教育，并发放安全工作手册和劳动保护用具。</w:t>
      </w:r>
    </w:p>
    <w:p w14:paraId="7411246D">
      <w:pPr>
        <w:pStyle w:val="403"/>
        <w:spacing w:line="460" w:lineRule="exact"/>
        <w:ind w:firstLine="480" w:firstLineChars="200"/>
        <w:rPr>
          <w:rFonts w:hint="eastAsia" w:eastAsia="宋体" w:cs="宋体"/>
          <w:snapToGrid w:val="0"/>
        </w:rPr>
      </w:pPr>
      <w:r>
        <w:rPr>
          <w:rFonts w:hint="eastAsia" w:eastAsia="宋体" w:cs="宋体"/>
          <w:snapToGrid w:val="0"/>
        </w:rPr>
        <w:t>（6）承包人应按监理工程师的指示制定应对灾害的紧急预案，报送监理工程师审批。承包人还应按预案做好安全检查，配置必要的救助物资和器材，切实保护好有关人员的人身和财产安全。</w:t>
      </w:r>
    </w:p>
    <w:p w14:paraId="5EF1B01A">
      <w:pPr>
        <w:pStyle w:val="403"/>
        <w:spacing w:line="460" w:lineRule="exact"/>
        <w:ind w:firstLine="480" w:firstLineChars="200"/>
        <w:rPr>
          <w:rFonts w:hint="eastAsia" w:eastAsia="宋体" w:cs="宋体"/>
          <w:snapToGrid w:val="0"/>
        </w:rPr>
      </w:pPr>
      <w:r>
        <w:rPr>
          <w:rFonts w:hint="eastAsia" w:eastAsia="宋体" w:cs="宋体"/>
          <w:snapToGrid w:val="0"/>
        </w:rPr>
        <w:t>（7）承包人应当严格遵守《广州市建设工程现场文明施工管理办法》及有关建设项目施工现场管理的最新规定，做好安全文明施工管理工作，并应对管理不善引发的纠纷和损失承担全部责任。</w:t>
      </w:r>
    </w:p>
    <w:p w14:paraId="0B087428">
      <w:pPr>
        <w:pStyle w:val="403"/>
        <w:spacing w:line="460" w:lineRule="exact"/>
        <w:ind w:firstLine="480" w:firstLineChars="200"/>
        <w:rPr>
          <w:rFonts w:hint="eastAsia" w:eastAsia="宋体" w:cs="宋体"/>
          <w:snapToGrid w:val="0"/>
        </w:rPr>
      </w:pPr>
      <w:r>
        <w:rPr>
          <w:rFonts w:hint="eastAsia" w:eastAsia="宋体" w:cs="宋体"/>
          <w:snapToGrid w:val="0"/>
        </w:rPr>
        <w:t>（8）承包人应对施工现场的设备、材料堆放、场地道路、临时生产和生活设施进行统一合理布局，并纳入施工组织设计，经建设单位和监理单位审核同意后执行。</w:t>
      </w:r>
    </w:p>
    <w:p w14:paraId="7DF01990">
      <w:pPr>
        <w:pStyle w:val="403"/>
        <w:spacing w:line="460" w:lineRule="exact"/>
        <w:ind w:firstLine="480" w:firstLineChars="200"/>
        <w:rPr>
          <w:rFonts w:hint="eastAsia" w:eastAsia="宋体" w:cs="宋体"/>
          <w:snapToGrid w:val="0"/>
        </w:rPr>
      </w:pPr>
      <w:r>
        <w:rPr>
          <w:rFonts w:hint="eastAsia" w:eastAsia="宋体" w:cs="宋体"/>
          <w:snapToGrid w:val="0"/>
        </w:rPr>
        <w:t>（9）承包人应当随时接受政府主管部门的监督和执法检查，并对管理不善之处及时予以全面整改。</w:t>
      </w:r>
    </w:p>
    <w:p w14:paraId="591038A2">
      <w:pPr>
        <w:pStyle w:val="403"/>
        <w:spacing w:line="460" w:lineRule="exact"/>
        <w:ind w:firstLine="480" w:firstLineChars="200"/>
        <w:rPr>
          <w:rFonts w:hint="eastAsia" w:eastAsia="宋体" w:cs="宋体"/>
          <w:snapToGrid w:val="0"/>
        </w:rPr>
      </w:pPr>
      <w:r>
        <w:rPr>
          <w:rFonts w:hint="eastAsia" w:eastAsia="宋体" w:cs="宋体"/>
          <w:snapToGrid w:val="0"/>
        </w:rPr>
        <w:t>（10）工程竣工验收且办理了移交与接收手续后，承包人应当按照专用合同条款约定的时间，从施工场地搬走或清除其设备、临时设施以及多余的材料、余泥、垃圾，并保持现场和工程清洁整齐，达到发包人和总监理工程师满意的程度。</w:t>
      </w:r>
    </w:p>
    <w:p w14:paraId="2A43D227">
      <w:pPr>
        <w:pStyle w:val="403"/>
        <w:spacing w:line="460" w:lineRule="exact"/>
        <w:ind w:firstLine="480" w:firstLineChars="200"/>
        <w:rPr>
          <w:rFonts w:hint="eastAsia" w:eastAsia="宋体" w:cs="宋体"/>
          <w:snapToGrid w:val="0"/>
        </w:rPr>
      </w:pPr>
      <w:r>
        <w:rPr>
          <w:rFonts w:hint="eastAsia" w:eastAsia="宋体" w:cs="宋体"/>
          <w:snapToGrid w:val="0"/>
        </w:rPr>
        <w:t>（11）承包人应遵守《安全生产法》、《建设工程安全管理条例》及建设行政主管部门颁发的有关管理规定，严格按《建筑施工安全检查标准》组织施工，并随时接受行业安全检查人员依法实施的监督检查，采取必要的安全防护措施，消除事故隐患。由于承包人安全措施不力造成事故的责任和因此发生的费用，由承包人承担。</w:t>
      </w:r>
    </w:p>
    <w:p w14:paraId="6B8ADA7B">
      <w:pPr>
        <w:pStyle w:val="403"/>
        <w:spacing w:line="460" w:lineRule="exact"/>
        <w:ind w:firstLine="480" w:firstLineChars="200"/>
        <w:rPr>
          <w:rFonts w:hint="eastAsia" w:eastAsia="宋体" w:cs="宋体"/>
          <w:snapToGrid w:val="0"/>
        </w:rPr>
      </w:pPr>
      <w:r>
        <w:rPr>
          <w:rFonts w:hint="eastAsia" w:eastAsia="宋体" w:cs="宋体"/>
          <w:snapToGrid w:val="0"/>
        </w:rPr>
        <w:t>（12）承包人应当按照法律、法规和工程建设强制性标准进行设计，防止因设计不合理导致生产安全事故的发生。设计单位应当考虑施工安全操作和防护的需要，对涉及施工安全的重点部位和环节在设计文件中注明，并对防范生产安全事故提出指导意见。采用新结构、新材料、新工艺的建设工程和特殊结构的建设工程，设计单位应当在设计中提出保障施工作业人员安全和预防生产安全事故的措施建议。</w:t>
      </w:r>
    </w:p>
    <w:p w14:paraId="3136B98C">
      <w:pPr>
        <w:pStyle w:val="403"/>
        <w:spacing w:line="460" w:lineRule="exact"/>
        <w:ind w:firstLine="480" w:firstLineChars="200"/>
        <w:rPr>
          <w:rFonts w:hint="eastAsia" w:eastAsia="宋体" w:cs="宋体"/>
          <w:snapToGrid w:val="0"/>
        </w:rPr>
      </w:pPr>
      <w:r>
        <w:rPr>
          <w:rFonts w:hint="eastAsia" w:eastAsia="宋体" w:cs="宋体"/>
          <w:snapToGrid w:val="0"/>
        </w:rPr>
        <w:t>（13）承包人在动力设备、输电线路、地下管道、密封防震车间、易燃易爆地段以及临街交通要道附近施工时，施工开始前应向工程师提出安全防护措施，经工程师认可后实施，防护措施费用由发包人承担。</w:t>
      </w:r>
    </w:p>
    <w:p w14:paraId="5B87C38C">
      <w:pPr>
        <w:pStyle w:val="403"/>
        <w:spacing w:line="460" w:lineRule="exact"/>
        <w:ind w:firstLine="480" w:firstLineChars="200"/>
        <w:rPr>
          <w:rFonts w:hint="eastAsia" w:eastAsia="宋体" w:cs="宋体"/>
          <w:snapToGrid w:val="0"/>
        </w:rPr>
      </w:pPr>
      <w:r>
        <w:rPr>
          <w:rFonts w:hint="eastAsia" w:eastAsia="宋体" w:cs="宋体"/>
          <w:snapToGrid w:val="0"/>
        </w:rPr>
        <w:t>（14）实施爆破作业、在放射、毒害性环境中施工（含储存、运输、使用）及使用毒害性、腐蚀性物品施工时，承包人应在施工前14天以书面形式通知工程师，并提出相应的安全防护措施，经工程师认可后实施，由发包人承担安全防护措施费用。</w:t>
      </w:r>
    </w:p>
    <w:p w14:paraId="20555D05">
      <w:pPr>
        <w:pStyle w:val="403"/>
        <w:spacing w:line="460" w:lineRule="exact"/>
        <w:ind w:firstLine="480" w:firstLineChars="200"/>
        <w:rPr>
          <w:rFonts w:hint="eastAsia" w:eastAsia="宋体" w:cs="宋体"/>
          <w:snapToGrid w:val="0"/>
        </w:rPr>
      </w:pPr>
      <w:r>
        <w:rPr>
          <w:rFonts w:hint="eastAsia" w:eastAsia="宋体" w:cs="宋体"/>
          <w:snapToGrid w:val="0"/>
        </w:rPr>
        <w:t>（15）承包人应参照《建筑施工安全检查标准》（JGJ59）、《广州市房屋建筑工程安全防护指导图集》等要求，实施施工过程中所需的安全防护。</w:t>
      </w:r>
    </w:p>
    <w:p w14:paraId="1CD0B4F1">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16</w:t>
      </w:r>
      <w:r>
        <w:rPr>
          <w:rFonts w:hint="eastAsia" w:eastAsia="宋体" w:cs="宋体"/>
          <w:snapToGrid w:val="0"/>
        </w:rPr>
        <w:t>）承包人必须按照《危险性较大的分部分项工程安全管理规定》（住房城乡建设部令第37号）、《广东省住房和城乡建设厅关于房屋市政工程危险性较大的分部分项工程安全管理的实施细则》等最新法律法规要求做好相关工作，提供相应的安全管理措施，在施工组织中编制专项施工方案，组织召开专家论证会对专项施工方案进行论证；由承包人组织召开专家论证会，专家论证前专项施工方案应当通过承包人审核和总监理工程师审查。</w:t>
      </w:r>
    </w:p>
    <w:p w14:paraId="5FCD991A">
      <w:pPr>
        <w:pStyle w:val="403"/>
        <w:spacing w:line="460" w:lineRule="exact"/>
        <w:ind w:firstLine="480" w:firstLineChars="200"/>
        <w:rPr>
          <w:rFonts w:hint="eastAsia" w:eastAsia="宋体" w:cs="宋体"/>
          <w:snapToGrid w:val="0"/>
        </w:rPr>
      </w:pPr>
      <w:r>
        <w:rPr>
          <w:rFonts w:hint="eastAsia" w:eastAsia="宋体" w:cs="宋体"/>
          <w:snapToGrid w:val="0"/>
        </w:rPr>
        <w:t>（17）承包人应当按照法律、法规和工程建设强制性标准进行勘察，提供的勘察文件应当真实、准确，满足建设工程安全生产的需要。勘察单位在勘察作业时，应当严格执行操作规程，采取措施保证各类管线、设施和周边建筑物、构筑物的安全。</w:t>
      </w:r>
    </w:p>
    <w:p w14:paraId="502506AB">
      <w:pPr>
        <w:pStyle w:val="403"/>
        <w:spacing w:line="460" w:lineRule="exact"/>
        <w:ind w:firstLine="480" w:firstLineChars="200"/>
        <w:rPr>
          <w:rFonts w:hint="eastAsia" w:eastAsia="宋体" w:cs="宋体"/>
          <w:snapToGrid w:val="0"/>
        </w:rPr>
      </w:pPr>
      <w:r>
        <w:rPr>
          <w:rFonts w:hint="eastAsia" w:eastAsia="宋体" w:cs="宋体"/>
          <w:snapToGrid w:val="0"/>
        </w:rPr>
        <w:t>10.4 绿色施工与环境保护</w:t>
      </w:r>
    </w:p>
    <w:p w14:paraId="57AFA727">
      <w:pPr>
        <w:pStyle w:val="403"/>
        <w:spacing w:line="460" w:lineRule="exact"/>
        <w:ind w:firstLine="480" w:firstLineChars="200"/>
        <w:rPr>
          <w:rFonts w:hint="eastAsia" w:eastAsia="宋体" w:cs="宋体"/>
          <w:snapToGrid w:val="0"/>
        </w:rPr>
      </w:pPr>
      <w:r>
        <w:rPr>
          <w:rFonts w:hint="eastAsia" w:eastAsia="宋体" w:cs="宋体"/>
          <w:snapToGrid w:val="0"/>
        </w:rPr>
        <w:t>10.4.1由于本工程地理位置的特殊性，对文明施工要求较高，承包人需采取适当的管理措施，严格执行《广州市建设工程现场文明施工管理办法》（穗建质〔2008〕937号）、《广州市建设工程文明施工管理规定》（广州市人民政府令第62号）、《广州市城乡建设委员会关于印发广州市加强建筑工地环保管理工作方案的通知》（穗建质〔2014〕754号）、《广州市住房和城乡建设委员会关于进一步完善广州市建设工程施工围蔽管理要求的通知》（穗建质〔2015〕1347号）、《广州市委宣传部 广州市住房和城乡建设委员会 广州市城市管理委员会关于完善广州市建设工程施工围蔽管理提升实施技术要求和标准图集的通知》（穗建质〔2016〕1085号）、《广州市提升建设工程安全文明施工管理水平的工作指引》（穗建质〔2017〕815号）、《广州市住房和城乡建设委员会关于印发建设工程扬尘防治“6个100%”管理标准细化措施的通知》（穗建质〔2018〕1394号）、《广州市建设工程绿色施工围蔽指导图集（V2.0）》等相关现行文件要求，落实工程项目的各项安全文明及绿色施工工作，满足国家、省、市等上级领导部门、行业主管部门的要求。相关费用已包含在合同总价内。</w:t>
      </w:r>
    </w:p>
    <w:p w14:paraId="6ACBD6AD">
      <w:pPr>
        <w:pStyle w:val="403"/>
        <w:spacing w:line="460" w:lineRule="exact"/>
        <w:ind w:firstLine="480" w:firstLineChars="200"/>
        <w:rPr>
          <w:rFonts w:hint="eastAsia" w:eastAsia="宋体" w:cs="宋体"/>
          <w:snapToGrid w:val="0"/>
        </w:rPr>
      </w:pPr>
      <w:r>
        <w:rPr>
          <w:rFonts w:hint="eastAsia" w:eastAsia="宋体" w:cs="宋体"/>
          <w:snapToGrid w:val="0"/>
        </w:rPr>
        <w:t>承包人应在进入现场前提交一式四份施工期间的环境保护方案，经监理工程师批准后实施。环境保护方案必须包括：施工现场所必须的照明灯光、护板、围护、栅栏、警告标志和值班人员名单，以及建筑垃圾、施工和生活污水、噪音、粉尘的处理排放。方案在实施过程中所采用的材料、设备等应使监理工程师和发包人满意。</w:t>
      </w:r>
    </w:p>
    <w:p w14:paraId="5FB9E260">
      <w:pPr>
        <w:pStyle w:val="403"/>
        <w:spacing w:line="460" w:lineRule="exact"/>
        <w:ind w:firstLine="480" w:firstLineChars="200"/>
        <w:rPr>
          <w:rFonts w:hint="eastAsia" w:eastAsia="宋体" w:cs="宋体"/>
          <w:snapToGrid w:val="0"/>
        </w:rPr>
      </w:pPr>
      <w:r>
        <w:rPr>
          <w:rFonts w:hint="eastAsia" w:eastAsia="宋体" w:cs="宋体"/>
          <w:snapToGrid w:val="0"/>
        </w:rPr>
        <w:t>对于承包人施工过程中造成的环境污染问题，经发包人或者监理工程师指出后，承包人未能在24小时之内采取整治措施，或者所采取的整治措施未有效消除污染的，发包人可以自行或者委托他人代为整治，由此所产生的一切损失、费用均由承包人承担。</w:t>
      </w:r>
    </w:p>
    <w:p w14:paraId="048D27AB">
      <w:pPr>
        <w:pStyle w:val="403"/>
        <w:spacing w:line="460" w:lineRule="exact"/>
        <w:ind w:firstLine="480" w:firstLineChars="200"/>
        <w:rPr>
          <w:rFonts w:hint="eastAsia" w:eastAsia="宋体" w:cs="宋体"/>
          <w:snapToGrid w:val="0"/>
        </w:rPr>
      </w:pPr>
      <w:r>
        <w:rPr>
          <w:rFonts w:hint="eastAsia" w:eastAsia="宋体" w:cs="宋体"/>
          <w:snapToGrid w:val="0"/>
        </w:rPr>
        <w:t>承包人在施工期间涉及电力设施的，须接受当地供电管理部门的管理和监督。</w:t>
      </w:r>
    </w:p>
    <w:p w14:paraId="01E85704">
      <w:pPr>
        <w:pStyle w:val="403"/>
        <w:spacing w:line="460" w:lineRule="exact"/>
        <w:ind w:firstLine="480" w:firstLineChars="200"/>
        <w:rPr>
          <w:rFonts w:hint="eastAsia" w:eastAsia="宋体" w:cs="宋体"/>
          <w:snapToGrid w:val="0"/>
        </w:rPr>
      </w:pPr>
      <w:bookmarkStart w:id="1527" w:name="_Toc10626"/>
      <w:bookmarkStart w:id="1528" w:name="_Toc397364857"/>
      <w:bookmarkStart w:id="1529" w:name="_Toc68594911"/>
      <w:r>
        <w:rPr>
          <w:rFonts w:hint="eastAsia" w:eastAsia="宋体" w:cs="宋体"/>
          <w:snapToGrid w:val="0"/>
        </w:rPr>
        <w:t>10.5事故处理</w:t>
      </w:r>
      <w:bookmarkEnd w:id="1527"/>
      <w:bookmarkEnd w:id="1528"/>
      <w:bookmarkEnd w:id="1529"/>
    </w:p>
    <w:p w14:paraId="6A0DD843">
      <w:pPr>
        <w:pStyle w:val="403"/>
        <w:spacing w:line="460" w:lineRule="exact"/>
        <w:ind w:firstLine="480" w:firstLineChars="200"/>
        <w:rPr>
          <w:rFonts w:hint="eastAsia" w:eastAsia="宋体" w:cs="宋体"/>
          <w:snapToGrid w:val="0"/>
        </w:rPr>
      </w:pPr>
      <w:r>
        <w:rPr>
          <w:rFonts w:hint="eastAsia" w:eastAsia="宋体" w:cs="宋体"/>
          <w:snapToGrid w:val="0"/>
        </w:rPr>
        <w:t>10.5.1发生伤亡及其他安全事故，承包人应按《广州市生产安全事故报告和调查处理暂行规定》的规定立即上报有关部门并通知工程师，同时按政府有关部门要求处理，由事故责任方承担发生的费用。</w:t>
      </w:r>
    </w:p>
    <w:p w14:paraId="48C426E4">
      <w:pPr>
        <w:pStyle w:val="403"/>
        <w:spacing w:line="460" w:lineRule="exact"/>
        <w:ind w:firstLine="480" w:firstLineChars="200"/>
        <w:rPr>
          <w:rFonts w:hint="eastAsia" w:eastAsia="宋体" w:cs="宋体"/>
          <w:snapToGrid w:val="0"/>
        </w:rPr>
      </w:pPr>
      <w:r>
        <w:rPr>
          <w:rFonts w:hint="eastAsia" w:eastAsia="宋体" w:cs="宋体"/>
          <w:snapToGrid w:val="0"/>
        </w:rPr>
        <w:t>10.5.2发包人、承包人对事故责任有争议时，应按政府有关部门的认定处理。</w:t>
      </w:r>
    </w:p>
    <w:p w14:paraId="0C42FFA9">
      <w:pPr>
        <w:pStyle w:val="403"/>
        <w:spacing w:line="460" w:lineRule="exact"/>
        <w:ind w:firstLine="480" w:firstLineChars="200"/>
        <w:rPr>
          <w:rFonts w:hint="eastAsia" w:eastAsia="宋体" w:cs="宋体"/>
          <w:snapToGrid w:val="0"/>
        </w:rPr>
      </w:pPr>
      <w:r>
        <w:rPr>
          <w:rFonts w:hint="eastAsia" w:eastAsia="宋体" w:cs="宋体"/>
          <w:snapToGrid w:val="0"/>
        </w:rPr>
        <w:t>10.6补充条款</w:t>
      </w:r>
    </w:p>
    <w:p w14:paraId="00E24011">
      <w:pPr>
        <w:pStyle w:val="403"/>
        <w:spacing w:line="460" w:lineRule="exact"/>
        <w:ind w:firstLine="480" w:firstLineChars="200"/>
        <w:rPr>
          <w:rFonts w:hint="eastAsia" w:eastAsia="宋体" w:cs="宋体"/>
          <w:snapToGrid w:val="0"/>
        </w:rPr>
      </w:pPr>
      <w:r>
        <w:rPr>
          <w:rFonts w:hint="eastAsia" w:eastAsia="宋体" w:cs="宋体"/>
          <w:snapToGrid w:val="0"/>
        </w:rPr>
        <w:t>承包人应按合同约定的安全工作内容在开工前编制安全文明施工费资金使用计划，报监理工程师、发包人审批。</w:t>
      </w:r>
    </w:p>
    <w:p w14:paraId="4E1D7E2C">
      <w:pPr>
        <w:pStyle w:val="5"/>
        <w:spacing w:before="360" w:after="120" w:afterLines="50" w:line="480" w:lineRule="exact"/>
        <w:rPr>
          <w:rFonts w:hint="eastAsia" w:ascii="宋体" w:hAnsi="宋体" w:eastAsia="宋体" w:cs="宋体"/>
          <w:bCs/>
          <w:sz w:val="28"/>
          <w:szCs w:val="28"/>
        </w:rPr>
      </w:pPr>
      <w:bookmarkStart w:id="1530" w:name="_Toc176268754"/>
      <w:bookmarkStart w:id="1531" w:name="_Toc528255610"/>
      <w:bookmarkStart w:id="1532" w:name="_Toc83220625"/>
      <w:bookmarkStart w:id="1533" w:name="_Toc198803821"/>
      <w:bookmarkStart w:id="1534" w:name="_Toc8402"/>
      <w:bookmarkStart w:id="1535" w:name="_Toc68594912"/>
      <w:r>
        <w:rPr>
          <w:rFonts w:hint="eastAsia" w:ascii="宋体" w:hAnsi="宋体" w:eastAsia="宋体" w:cs="宋体"/>
          <w:bCs/>
          <w:sz w:val="28"/>
          <w:szCs w:val="28"/>
        </w:rPr>
        <w:t>11. 开始工作和竣工</w:t>
      </w:r>
      <w:bookmarkEnd w:id="1530"/>
      <w:bookmarkEnd w:id="1531"/>
      <w:bookmarkEnd w:id="1532"/>
      <w:bookmarkEnd w:id="1533"/>
      <w:bookmarkEnd w:id="1534"/>
      <w:bookmarkEnd w:id="1535"/>
    </w:p>
    <w:p w14:paraId="32C11C31">
      <w:pPr>
        <w:pStyle w:val="403"/>
        <w:spacing w:line="460" w:lineRule="exact"/>
        <w:ind w:firstLine="480" w:firstLineChars="200"/>
        <w:rPr>
          <w:rFonts w:hint="eastAsia" w:eastAsia="宋体" w:cs="宋体"/>
          <w:snapToGrid w:val="0"/>
        </w:rPr>
      </w:pPr>
      <w:r>
        <w:rPr>
          <w:rFonts w:hint="eastAsia" w:eastAsia="宋体" w:cs="宋体"/>
          <w:snapToGrid w:val="0"/>
        </w:rPr>
        <w:t>11.1 开始工作</w:t>
      </w:r>
    </w:p>
    <w:p w14:paraId="240318BB">
      <w:pPr>
        <w:pStyle w:val="403"/>
        <w:spacing w:line="460" w:lineRule="exact"/>
        <w:ind w:firstLine="480" w:firstLineChars="200"/>
        <w:rPr>
          <w:rFonts w:hint="eastAsia" w:eastAsia="宋体" w:cs="宋体"/>
          <w:snapToGrid w:val="0"/>
        </w:rPr>
      </w:pPr>
      <w:r>
        <w:rPr>
          <w:rFonts w:hint="eastAsia" w:eastAsia="宋体" w:cs="宋体"/>
          <w:snapToGrid w:val="0"/>
        </w:rPr>
        <w:t>开始工作的条件：本合同为勘察设计采购施工总承包（EPC）合同，承包人应按合同协议书约定进场开展勘察设计工作，并按经发包人批准的进度计划，按期开工施工。</w:t>
      </w:r>
    </w:p>
    <w:p w14:paraId="6C8BFC09">
      <w:pPr>
        <w:pStyle w:val="403"/>
        <w:spacing w:line="460" w:lineRule="exact"/>
        <w:ind w:firstLine="480" w:firstLineChars="200"/>
        <w:rPr>
          <w:rFonts w:hint="eastAsia" w:eastAsia="宋体" w:cs="宋体"/>
          <w:snapToGrid w:val="0"/>
        </w:rPr>
      </w:pPr>
      <w:r>
        <w:rPr>
          <w:rFonts w:hint="eastAsia" w:eastAsia="宋体" w:cs="宋体"/>
          <w:snapToGrid w:val="0"/>
        </w:rPr>
        <w:t>11.2 竣工</w:t>
      </w:r>
    </w:p>
    <w:p w14:paraId="4D940F97">
      <w:pPr>
        <w:pStyle w:val="403"/>
        <w:spacing w:line="460" w:lineRule="exact"/>
        <w:ind w:firstLine="480" w:firstLineChars="200"/>
        <w:rPr>
          <w:rFonts w:hint="eastAsia" w:eastAsia="宋体" w:cs="宋体"/>
          <w:snapToGrid w:val="0"/>
        </w:rPr>
      </w:pPr>
      <w:r>
        <w:rPr>
          <w:rFonts w:hint="eastAsia" w:eastAsia="宋体" w:cs="宋体"/>
          <w:snapToGrid w:val="0"/>
        </w:rPr>
        <w:t>计划竣工时间：见合同协议书。</w:t>
      </w:r>
    </w:p>
    <w:p w14:paraId="4120071D">
      <w:pPr>
        <w:pStyle w:val="403"/>
        <w:spacing w:line="460" w:lineRule="exact"/>
        <w:ind w:firstLine="480" w:firstLineChars="200"/>
        <w:rPr>
          <w:rFonts w:hint="eastAsia" w:eastAsia="宋体" w:cs="宋体"/>
          <w:snapToGrid w:val="0"/>
        </w:rPr>
      </w:pPr>
      <w:r>
        <w:rPr>
          <w:rFonts w:hint="eastAsia" w:eastAsia="宋体" w:cs="宋体"/>
          <w:snapToGrid w:val="0"/>
        </w:rPr>
        <w:t>11.3 发包人的工期延误</w:t>
      </w:r>
    </w:p>
    <w:p w14:paraId="19AC4CFD">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14:paraId="70C6DDCB">
      <w:pPr>
        <w:pStyle w:val="403"/>
        <w:spacing w:line="460" w:lineRule="exact"/>
        <w:ind w:firstLine="480" w:firstLineChars="200"/>
        <w:rPr>
          <w:rFonts w:hint="eastAsia" w:eastAsia="宋体" w:cs="宋体"/>
          <w:snapToGrid w:val="0"/>
        </w:rPr>
      </w:pPr>
      <w:r>
        <w:rPr>
          <w:rFonts w:hint="eastAsia" w:eastAsia="宋体" w:cs="宋体"/>
          <w:snapToGrid w:val="0"/>
        </w:rPr>
        <w:t>本合同为勘察设计采购施工总承包（EPC）合同，承包人是工期控制的主体，除因政府相关部门规划调整原因造成工期延误的，承包人有权要求发包人延长工期外，承包人无权要求其他的延长工期和增加费用要求。</w:t>
      </w:r>
    </w:p>
    <w:p w14:paraId="54AC3E1D">
      <w:pPr>
        <w:pStyle w:val="403"/>
        <w:spacing w:line="460" w:lineRule="exact"/>
        <w:ind w:firstLine="480" w:firstLineChars="200"/>
        <w:rPr>
          <w:rFonts w:hint="eastAsia" w:eastAsia="宋体" w:cs="宋体"/>
          <w:snapToGrid w:val="0"/>
        </w:rPr>
      </w:pPr>
      <w:r>
        <w:rPr>
          <w:rFonts w:hint="eastAsia" w:eastAsia="宋体" w:cs="宋体"/>
          <w:snapToGrid w:val="0"/>
        </w:rPr>
        <w:t>11.4 异常恶劣的气候条件</w:t>
      </w:r>
    </w:p>
    <w:p w14:paraId="1BDD5F5F">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14:paraId="54CCC9B5">
      <w:pPr>
        <w:pStyle w:val="403"/>
        <w:spacing w:line="460" w:lineRule="exact"/>
        <w:ind w:firstLine="480" w:firstLineChars="200"/>
        <w:rPr>
          <w:rFonts w:hint="eastAsia" w:eastAsia="宋体" w:cs="宋体"/>
          <w:snapToGrid w:val="0"/>
        </w:rPr>
      </w:pPr>
      <w:r>
        <w:rPr>
          <w:rFonts w:hint="eastAsia" w:eastAsia="宋体" w:cs="宋体"/>
          <w:snapToGrid w:val="0"/>
        </w:rPr>
        <w:t>由于出现专用合同条款规定的异常恶劣气候的条件导致工期延误的，承包人有权要求发包人延长工期。由于下雨、洪水等原因造成工程、施工现场的材料和工程设备等承包人财产损失或人员伤亡的，费用全部由承包人承担，发包人一概不负责。</w:t>
      </w:r>
    </w:p>
    <w:p w14:paraId="3E81775B">
      <w:pPr>
        <w:pStyle w:val="403"/>
        <w:spacing w:line="460" w:lineRule="exact"/>
        <w:ind w:firstLine="480" w:firstLineChars="200"/>
        <w:rPr>
          <w:rFonts w:hint="eastAsia" w:eastAsia="宋体" w:cs="宋体"/>
          <w:snapToGrid w:val="0"/>
        </w:rPr>
      </w:pPr>
      <w:r>
        <w:rPr>
          <w:rFonts w:hint="eastAsia" w:eastAsia="宋体" w:cs="宋体"/>
          <w:snapToGrid w:val="0"/>
        </w:rPr>
        <w:t>11.5 承包人的工期延误</w:t>
      </w:r>
    </w:p>
    <w:p w14:paraId="0183419C">
      <w:pPr>
        <w:pStyle w:val="403"/>
        <w:spacing w:line="460" w:lineRule="exact"/>
        <w:ind w:firstLine="480" w:firstLineChars="200"/>
        <w:rPr>
          <w:rFonts w:hint="eastAsia" w:eastAsia="宋体" w:cs="宋体"/>
          <w:snapToGrid w:val="0"/>
        </w:rPr>
      </w:pPr>
      <w:r>
        <w:rPr>
          <w:rFonts w:hint="eastAsia" w:eastAsia="宋体" w:cs="宋体"/>
          <w:snapToGrid w:val="0"/>
        </w:rPr>
        <w:t>11.5.1工期控制与调整</w:t>
      </w:r>
    </w:p>
    <w:p w14:paraId="6BA7CD83">
      <w:pPr>
        <w:pStyle w:val="403"/>
        <w:spacing w:line="460" w:lineRule="exact"/>
        <w:ind w:firstLine="480" w:firstLineChars="200"/>
        <w:rPr>
          <w:rFonts w:hint="eastAsia" w:eastAsia="宋体" w:cs="宋体"/>
          <w:snapToGrid w:val="0"/>
        </w:rPr>
      </w:pPr>
      <w:r>
        <w:rPr>
          <w:rFonts w:hint="eastAsia" w:eastAsia="宋体" w:cs="宋体"/>
          <w:snapToGrid w:val="0"/>
        </w:rPr>
        <w:t>（1）本工程工期分为关键节点工期和一般节点工期两类，乙方必须在施工组织设计文件中分专业详细区分和列明本工程的关键节点工期和一般节点工期，并报总监理工程师和甲方批准后实施。</w:t>
      </w:r>
    </w:p>
    <w:p w14:paraId="564244BF">
      <w:pPr>
        <w:pStyle w:val="403"/>
        <w:spacing w:line="460" w:lineRule="exact"/>
        <w:ind w:firstLine="480" w:firstLineChars="200"/>
        <w:rPr>
          <w:rFonts w:hint="eastAsia" w:eastAsia="宋体" w:cs="宋体"/>
          <w:snapToGrid w:val="0"/>
        </w:rPr>
      </w:pPr>
      <w:r>
        <w:rPr>
          <w:rFonts w:hint="eastAsia" w:eastAsia="宋体" w:cs="宋体"/>
          <w:snapToGrid w:val="0"/>
        </w:rPr>
        <w:t>（2）由于项目地理位置的特殊性，节假日期间政府可能在施工区域及附近组织各类活动，承包人应积极予以配合，并充分考虑由此引起的对施工的影响、产生的工期延误和额外支出，发包人不因此对工期作任何调整，也不另行支付相关费用。</w:t>
      </w:r>
    </w:p>
    <w:p w14:paraId="7935FB79">
      <w:pPr>
        <w:pStyle w:val="403"/>
        <w:spacing w:line="460" w:lineRule="exact"/>
        <w:ind w:firstLine="480" w:firstLineChars="200"/>
        <w:rPr>
          <w:rFonts w:hint="eastAsia" w:eastAsia="宋体" w:cs="宋体"/>
          <w:snapToGrid w:val="0"/>
        </w:rPr>
      </w:pPr>
      <w:r>
        <w:rPr>
          <w:rFonts w:hint="eastAsia" w:eastAsia="宋体" w:cs="宋体"/>
          <w:snapToGrid w:val="0"/>
        </w:rPr>
        <w:t>（3）工期调整的原则：对于乙方原因造成的工期延误，工期一概不得顺延；对于非乙方原因造成的工期延误，一般节点工期可以相应顺延，但该项顺延以不对关键节点工期和总工期构成不利影响为限；</w:t>
      </w:r>
    </w:p>
    <w:p w14:paraId="6660CBF7">
      <w:pPr>
        <w:pStyle w:val="403"/>
        <w:spacing w:line="460" w:lineRule="exact"/>
        <w:ind w:firstLine="480" w:firstLineChars="200"/>
        <w:rPr>
          <w:rFonts w:hint="eastAsia" w:eastAsia="宋体" w:cs="宋体"/>
          <w:snapToGrid w:val="0"/>
        </w:rPr>
      </w:pPr>
      <w:r>
        <w:rPr>
          <w:rFonts w:hint="eastAsia" w:eastAsia="宋体" w:cs="宋体"/>
          <w:snapToGrid w:val="0"/>
        </w:rPr>
        <w:t>本工程关键工期节点原则上不予调整，乙方应妥善安排施工组织计划，采取合理有效的施工保障措施，确保上述关键节点如期完成。如有延误，乙方应当采取必须的赶工措施予以消化，而且这些赶工措施费已包括在合同价款中，甲方不予补偿。</w:t>
      </w:r>
    </w:p>
    <w:p w14:paraId="30EA4A66">
      <w:pPr>
        <w:pStyle w:val="403"/>
        <w:spacing w:line="460" w:lineRule="exact"/>
        <w:ind w:firstLine="480" w:firstLineChars="200"/>
        <w:rPr>
          <w:rFonts w:hint="eastAsia" w:eastAsia="宋体" w:cs="宋体"/>
          <w:snapToGrid w:val="0"/>
        </w:rPr>
      </w:pPr>
      <w:r>
        <w:rPr>
          <w:rFonts w:hint="eastAsia" w:eastAsia="宋体" w:cs="宋体"/>
          <w:snapToGrid w:val="0"/>
        </w:rPr>
        <w:t>对于非乙方原因造成的关键节点工期延误，乙方须详细说明延误原因及影响，并重新编制总工期控制计划和关键节点工期调整计划，报请总监理工程师和甲方审核。经总监理工程师、甲方审核同意，并确认乙方编制的关键节点工期调整计划已符合要求，且已采取了合理的赶工措施的，甲方同意工期调整。乙方必须按照调整后的总工期控制计划和关键节点工期计划执行。</w:t>
      </w:r>
    </w:p>
    <w:p w14:paraId="5F5E8084">
      <w:pPr>
        <w:pStyle w:val="403"/>
        <w:spacing w:line="460" w:lineRule="exact"/>
        <w:ind w:firstLine="480" w:firstLineChars="200"/>
        <w:rPr>
          <w:rFonts w:hint="eastAsia" w:eastAsia="宋体" w:cs="宋体"/>
          <w:snapToGrid w:val="0"/>
        </w:rPr>
      </w:pPr>
      <w:r>
        <w:rPr>
          <w:rFonts w:hint="eastAsia" w:eastAsia="宋体" w:cs="宋体"/>
          <w:snapToGrid w:val="0"/>
        </w:rPr>
        <w:t>11.5.2工期延误的原因及其处理</w:t>
      </w:r>
    </w:p>
    <w:p w14:paraId="16C415FB">
      <w:pPr>
        <w:pStyle w:val="403"/>
        <w:spacing w:line="460" w:lineRule="exact"/>
        <w:ind w:firstLine="480" w:firstLineChars="200"/>
        <w:rPr>
          <w:rFonts w:hint="eastAsia" w:eastAsia="宋体" w:cs="宋体"/>
          <w:snapToGrid w:val="0"/>
        </w:rPr>
      </w:pPr>
      <w:r>
        <w:rPr>
          <w:rFonts w:hint="eastAsia" w:eastAsia="宋体" w:cs="宋体"/>
          <w:snapToGrid w:val="0"/>
        </w:rPr>
        <w:t>（1）非乙方原因造成的工期延误，是指有确凿证据证实因下列原因而直接造成乙方的原定工期计划延误：</w:t>
      </w:r>
    </w:p>
    <w:p w14:paraId="044BAC27">
      <w:pPr>
        <w:pStyle w:val="403"/>
        <w:spacing w:line="460" w:lineRule="exact"/>
        <w:ind w:firstLine="480" w:firstLineChars="200"/>
        <w:rPr>
          <w:rFonts w:hint="eastAsia" w:eastAsia="宋体" w:cs="宋体"/>
          <w:snapToGrid w:val="0"/>
        </w:rPr>
      </w:pPr>
      <w:r>
        <w:rPr>
          <w:rFonts w:hint="eastAsia" w:eastAsia="宋体" w:cs="宋体"/>
          <w:snapToGrid w:val="0"/>
        </w:rPr>
        <w:t>1）不可抗力（含政府对本工程建设项目作出停建、缓建的决定）；</w:t>
      </w:r>
    </w:p>
    <w:p w14:paraId="46246F84">
      <w:pPr>
        <w:pStyle w:val="403"/>
        <w:spacing w:line="460" w:lineRule="exact"/>
        <w:ind w:firstLine="480" w:firstLineChars="200"/>
        <w:rPr>
          <w:rFonts w:hint="eastAsia" w:eastAsia="宋体" w:cs="宋体"/>
          <w:snapToGrid w:val="0"/>
        </w:rPr>
      </w:pPr>
      <w:r>
        <w:rPr>
          <w:rFonts w:hint="eastAsia" w:eastAsia="宋体" w:cs="宋体"/>
          <w:snapToGrid w:val="0"/>
        </w:rPr>
        <w:t>2）甲方指令（非乙方原因）引起的停工；</w:t>
      </w:r>
    </w:p>
    <w:p w14:paraId="4805F8B8">
      <w:pPr>
        <w:pStyle w:val="403"/>
        <w:spacing w:line="460" w:lineRule="exact"/>
        <w:ind w:firstLine="480" w:firstLineChars="200"/>
        <w:rPr>
          <w:rFonts w:hint="eastAsia" w:eastAsia="宋体" w:cs="宋体"/>
          <w:snapToGrid w:val="0"/>
        </w:rPr>
      </w:pPr>
      <w:r>
        <w:rPr>
          <w:rFonts w:hint="eastAsia" w:eastAsia="宋体" w:cs="宋体"/>
          <w:snapToGrid w:val="0"/>
        </w:rPr>
        <w:t>除上述原因之外，其它所有工期延误均为乙方原因造成的延误。</w:t>
      </w:r>
    </w:p>
    <w:p w14:paraId="322C5B07">
      <w:pPr>
        <w:pStyle w:val="403"/>
        <w:spacing w:line="460" w:lineRule="exact"/>
        <w:ind w:firstLine="480" w:firstLineChars="200"/>
        <w:rPr>
          <w:rFonts w:hint="eastAsia" w:eastAsia="宋体" w:cs="宋体"/>
          <w:snapToGrid w:val="0"/>
        </w:rPr>
      </w:pPr>
      <w:r>
        <w:rPr>
          <w:rFonts w:hint="eastAsia" w:eastAsia="宋体" w:cs="宋体"/>
          <w:snapToGrid w:val="0"/>
        </w:rPr>
        <w:t>（2）因乙方原因造成的工期延误，工期一概不得顺延。乙方还应当按照合同条款第22款的有关约定承担违约责任。</w:t>
      </w:r>
    </w:p>
    <w:p w14:paraId="24DE6932">
      <w:pPr>
        <w:pStyle w:val="403"/>
        <w:spacing w:line="460" w:lineRule="exact"/>
        <w:ind w:firstLine="480" w:firstLineChars="200"/>
        <w:rPr>
          <w:rFonts w:hint="eastAsia" w:eastAsia="宋体" w:cs="宋体"/>
          <w:snapToGrid w:val="0"/>
        </w:rPr>
      </w:pPr>
      <w:r>
        <w:rPr>
          <w:rFonts w:hint="eastAsia" w:eastAsia="宋体" w:cs="宋体"/>
          <w:snapToGrid w:val="0"/>
        </w:rPr>
        <w:t>（3）因乙方对现场组织管理不力或未能提供协调、配合服务，以致专业工程的进度影响工期，乙方不得以此为由提出延长工期的要求。</w:t>
      </w:r>
    </w:p>
    <w:p w14:paraId="76B47745">
      <w:pPr>
        <w:pStyle w:val="403"/>
        <w:spacing w:line="460" w:lineRule="exact"/>
        <w:ind w:firstLine="480" w:firstLineChars="200"/>
        <w:rPr>
          <w:rFonts w:hint="eastAsia" w:eastAsia="宋体" w:cs="宋体"/>
          <w:snapToGrid w:val="0"/>
        </w:rPr>
      </w:pPr>
      <w:r>
        <w:rPr>
          <w:rFonts w:hint="eastAsia" w:eastAsia="宋体" w:cs="宋体"/>
          <w:snapToGrid w:val="0"/>
        </w:rPr>
        <w:t>（4）非乙方原因造成的关键节点工期延误，经甲方审核同意后工期后延，但甲方不补偿由此引发的窝工及停工补偿。</w:t>
      </w:r>
    </w:p>
    <w:p w14:paraId="5F1AD472">
      <w:pPr>
        <w:pStyle w:val="403"/>
        <w:spacing w:line="460" w:lineRule="exact"/>
        <w:ind w:firstLine="480" w:firstLineChars="200"/>
        <w:rPr>
          <w:rFonts w:hint="eastAsia" w:eastAsia="宋体" w:cs="宋体"/>
          <w:snapToGrid w:val="0"/>
        </w:rPr>
      </w:pPr>
      <w:r>
        <w:rPr>
          <w:rFonts w:hint="eastAsia" w:eastAsia="宋体" w:cs="宋体"/>
          <w:snapToGrid w:val="0"/>
        </w:rPr>
        <w:t>11.5.3乙方应当对工期全面负责，对项目进度计划和各阶段的进度进行管理，通过设计、采购、施工、试运行各阶段的协调、配合与合理交叉，科学制定、实施、控制进度计划，确保工程按期竣工。</w:t>
      </w:r>
    </w:p>
    <w:p w14:paraId="692D3BE5">
      <w:pPr>
        <w:pStyle w:val="403"/>
        <w:spacing w:line="460" w:lineRule="exact"/>
        <w:ind w:firstLine="480" w:firstLineChars="200"/>
        <w:rPr>
          <w:rFonts w:hint="eastAsia" w:eastAsia="宋体" w:cs="宋体"/>
          <w:snapToGrid w:val="0"/>
        </w:rPr>
      </w:pPr>
      <w:r>
        <w:rPr>
          <w:rFonts w:hint="eastAsia" w:eastAsia="宋体" w:cs="宋体"/>
          <w:snapToGrid w:val="0"/>
        </w:rPr>
        <w:t>11.6 工期提前</w:t>
      </w:r>
    </w:p>
    <w:p w14:paraId="3F61A49F">
      <w:pPr>
        <w:pStyle w:val="403"/>
        <w:spacing w:line="460" w:lineRule="exact"/>
        <w:ind w:firstLine="480" w:firstLineChars="200"/>
        <w:rPr>
          <w:rFonts w:hint="eastAsia" w:eastAsia="宋体" w:cs="宋体"/>
          <w:snapToGrid w:val="0"/>
        </w:rPr>
      </w:pPr>
      <w:r>
        <w:rPr>
          <w:rFonts w:hint="eastAsia" w:eastAsia="宋体" w:cs="宋体"/>
          <w:snapToGrid w:val="0"/>
        </w:rPr>
        <w:t>发包人要求承包人提前竣工的，赶工费用协商解决；承包人工期提前的，不支付奖金。</w:t>
      </w:r>
    </w:p>
    <w:p w14:paraId="26FAB5D6">
      <w:pPr>
        <w:pStyle w:val="403"/>
        <w:spacing w:line="460" w:lineRule="exact"/>
        <w:ind w:firstLine="480" w:firstLineChars="200"/>
        <w:rPr>
          <w:rFonts w:hint="eastAsia" w:eastAsia="宋体" w:cs="宋体"/>
          <w:snapToGrid w:val="0"/>
        </w:rPr>
      </w:pPr>
      <w:r>
        <w:rPr>
          <w:rFonts w:hint="eastAsia" w:eastAsia="宋体" w:cs="宋体"/>
          <w:snapToGrid w:val="0"/>
        </w:rPr>
        <w:t>11.7 行政审批迟延</w:t>
      </w:r>
    </w:p>
    <w:p w14:paraId="77A37F5D">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14:paraId="52FE8F0B">
      <w:pPr>
        <w:pStyle w:val="403"/>
        <w:spacing w:line="460" w:lineRule="exact"/>
        <w:ind w:firstLine="480" w:firstLineChars="200"/>
        <w:rPr>
          <w:rFonts w:hint="eastAsia" w:eastAsia="宋体" w:cs="宋体"/>
          <w:snapToGrid w:val="0"/>
        </w:rPr>
      </w:pPr>
      <w:r>
        <w:rPr>
          <w:rFonts w:hint="eastAsia" w:eastAsia="宋体" w:cs="宋体"/>
          <w:snapToGrid w:val="0"/>
        </w:rPr>
        <w:t>合同约定范围内的工作需国家有关部门审批的，发包人和（或）承包人应按照合同约定的职责分工完成行政审批报送。</w:t>
      </w:r>
    </w:p>
    <w:p w14:paraId="0B4F5A23">
      <w:pPr>
        <w:pStyle w:val="5"/>
        <w:spacing w:before="360" w:after="120" w:afterLines="50" w:line="480" w:lineRule="exact"/>
        <w:rPr>
          <w:rFonts w:hint="eastAsia" w:ascii="宋体" w:hAnsi="宋体" w:eastAsia="宋体" w:cs="宋体"/>
          <w:bCs/>
          <w:sz w:val="28"/>
          <w:szCs w:val="28"/>
        </w:rPr>
      </w:pPr>
      <w:bookmarkStart w:id="1536" w:name="_Toc68594913"/>
      <w:bookmarkStart w:id="1537" w:name="_Toc176268755"/>
      <w:bookmarkStart w:id="1538" w:name="_Toc83220626"/>
      <w:bookmarkStart w:id="1539" w:name="_Toc528255611"/>
      <w:bookmarkStart w:id="1540" w:name="_Toc9916"/>
      <w:bookmarkStart w:id="1541" w:name="_Toc198803822"/>
      <w:r>
        <w:rPr>
          <w:rFonts w:hint="eastAsia" w:ascii="宋体" w:hAnsi="宋体" w:eastAsia="宋体" w:cs="宋体"/>
          <w:bCs/>
          <w:sz w:val="28"/>
          <w:szCs w:val="28"/>
        </w:rPr>
        <w:t>12. 暂停工作</w:t>
      </w:r>
      <w:bookmarkEnd w:id="1536"/>
      <w:bookmarkEnd w:id="1537"/>
      <w:bookmarkEnd w:id="1538"/>
      <w:bookmarkEnd w:id="1539"/>
      <w:bookmarkEnd w:id="1540"/>
      <w:bookmarkEnd w:id="1541"/>
    </w:p>
    <w:p w14:paraId="10602CA1">
      <w:pPr>
        <w:pStyle w:val="403"/>
        <w:spacing w:line="460" w:lineRule="exact"/>
        <w:ind w:firstLine="480" w:firstLineChars="200"/>
        <w:rPr>
          <w:rFonts w:hint="eastAsia" w:eastAsia="宋体" w:cs="宋体"/>
          <w:snapToGrid w:val="0"/>
        </w:rPr>
      </w:pPr>
      <w:r>
        <w:rPr>
          <w:rFonts w:hint="eastAsia" w:eastAsia="宋体" w:cs="宋体"/>
          <w:snapToGrid w:val="0"/>
        </w:rPr>
        <w:t>12.1 由发包人暂停工作</w:t>
      </w:r>
    </w:p>
    <w:p w14:paraId="4067C5A2">
      <w:pPr>
        <w:pStyle w:val="403"/>
        <w:spacing w:line="460" w:lineRule="exact"/>
        <w:ind w:firstLine="480" w:firstLineChars="200"/>
        <w:rPr>
          <w:rFonts w:hint="eastAsia" w:eastAsia="宋体" w:cs="宋体"/>
          <w:snapToGrid w:val="0"/>
        </w:rPr>
      </w:pPr>
      <w:r>
        <w:rPr>
          <w:rFonts w:hint="eastAsia" w:eastAsia="宋体" w:cs="宋体"/>
          <w:snapToGrid w:val="0"/>
        </w:rPr>
        <w:t>12.1.1 本款修改为：</w:t>
      </w:r>
    </w:p>
    <w:p w14:paraId="0CCBF299">
      <w:pPr>
        <w:pStyle w:val="403"/>
        <w:spacing w:line="460" w:lineRule="exact"/>
        <w:ind w:firstLine="480" w:firstLineChars="200"/>
        <w:rPr>
          <w:rFonts w:hint="eastAsia" w:eastAsia="宋体" w:cs="宋体"/>
          <w:snapToGrid w:val="0"/>
        </w:rPr>
      </w:pPr>
      <w:r>
        <w:rPr>
          <w:rFonts w:hint="eastAsia" w:eastAsia="宋体" w:cs="宋体"/>
          <w:snapToGrid w:val="0"/>
        </w:rPr>
        <w:t>发包人认为必要时，可通过监理人向承包人发出暂停工作的指示，承包人应按监理人指示暂停工作。由于发包人原因引起的暂停工作造成工期延误的，承包人有权要求发包人延长工期。</w:t>
      </w:r>
    </w:p>
    <w:p w14:paraId="1EC7B6DB">
      <w:pPr>
        <w:pStyle w:val="403"/>
        <w:spacing w:line="460" w:lineRule="exact"/>
        <w:ind w:firstLine="480" w:firstLineChars="200"/>
        <w:rPr>
          <w:rFonts w:hint="eastAsia" w:eastAsia="宋体" w:cs="宋体"/>
          <w:snapToGrid w:val="0"/>
        </w:rPr>
      </w:pPr>
      <w:r>
        <w:rPr>
          <w:rFonts w:hint="eastAsia" w:eastAsia="宋体" w:cs="宋体"/>
          <w:snapToGrid w:val="0"/>
        </w:rPr>
        <w:t>12.2 由承包人暂停工作</w:t>
      </w:r>
    </w:p>
    <w:p w14:paraId="6A4AA490">
      <w:pPr>
        <w:pStyle w:val="403"/>
        <w:spacing w:line="460" w:lineRule="exact"/>
        <w:ind w:firstLine="480" w:firstLineChars="200"/>
        <w:rPr>
          <w:rFonts w:hint="eastAsia" w:eastAsia="宋体" w:cs="宋体"/>
          <w:snapToGrid w:val="0"/>
        </w:rPr>
      </w:pPr>
      <w:r>
        <w:rPr>
          <w:rFonts w:hint="eastAsia" w:eastAsia="宋体" w:cs="宋体"/>
          <w:snapToGrid w:val="0"/>
        </w:rPr>
        <w:t>12.2.1 本款修改为：</w:t>
      </w:r>
    </w:p>
    <w:p w14:paraId="718A288C">
      <w:pPr>
        <w:pStyle w:val="403"/>
        <w:spacing w:line="460" w:lineRule="exact"/>
        <w:ind w:firstLine="480" w:firstLineChars="200"/>
        <w:rPr>
          <w:rFonts w:hint="eastAsia" w:eastAsia="宋体" w:cs="宋体"/>
          <w:snapToGrid w:val="0"/>
        </w:rPr>
      </w:pPr>
      <w:r>
        <w:rPr>
          <w:rFonts w:hint="eastAsia" w:eastAsia="宋体" w:cs="宋体"/>
          <w:snapToGrid w:val="0"/>
        </w:rPr>
        <w:t>合同履行过程中发生下列情形之一的，承包人可向发包人发出通知，要求发包人采取有效措施予以纠正。发包人收到承包人通知后的28天内仍不履行合同义务，承包人有权暂停施工，并通知监理人，发包人应承担由此工期延误责任。</w:t>
      </w:r>
    </w:p>
    <w:p w14:paraId="37A19757">
      <w:pPr>
        <w:pStyle w:val="403"/>
        <w:spacing w:line="460" w:lineRule="exact"/>
        <w:ind w:firstLine="480" w:firstLineChars="200"/>
        <w:rPr>
          <w:rFonts w:hint="eastAsia" w:eastAsia="宋体" w:cs="宋体"/>
          <w:snapToGrid w:val="0"/>
        </w:rPr>
      </w:pPr>
      <w:r>
        <w:rPr>
          <w:rFonts w:hint="eastAsia" w:eastAsia="宋体" w:cs="宋体"/>
          <w:snapToGrid w:val="0"/>
        </w:rPr>
        <w:t>（1）发包人未能按合同约定支付价款，或拖延、拒绝批准付款申请和支付证书，导致付款延误的；</w:t>
      </w:r>
    </w:p>
    <w:p w14:paraId="33231198">
      <w:pPr>
        <w:pStyle w:val="403"/>
        <w:spacing w:line="460" w:lineRule="exact"/>
        <w:ind w:firstLine="480" w:firstLineChars="200"/>
        <w:rPr>
          <w:rFonts w:hint="eastAsia" w:eastAsia="宋体" w:cs="宋体"/>
          <w:snapToGrid w:val="0"/>
        </w:rPr>
      </w:pPr>
      <w:r>
        <w:rPr>
          <w:rFonts w:hint="eastAsia" w:eastAsia="宋体" w:cs="宋体"/>
          <w:snapToGrid w:val="0"/>
        </w:rPr>
        <w:t>（2）监理人无正当理由没有在约定期限内发出复工指示，导致承包人无法复工的；</w:t>
      </w:r>
    </w:p>
    <w:p w14:paraId="40A27C8F">
      <w:pPr>
        <w:pStyle w:val="403"/>
        <w:spacing w:line="460" w:lineRule="exact"/>
        <w:ind w:firstLine="480" w:firstLineChars="200"/>
        <w:rPr>
          <w:rFonts w:hint="eastAsia" w:eastAsia="宋体" w:cs="宋体"/>
          <w:snapToGrid w:val="0"/>
        </w:rPr>
      </w:pPr>
      <w:r>
        <w:rPr>
          <w:rFonts w:hint="eastAsia" w:eastAsia="宋体" w:cs="宋体"/>
          <w:snapToGrid w:val="0"/>
        </w:rPr>
        <w:t>（3）发包人无法继续履行或明确表示不履行或实质上已停止履行合同的；</w:t>
      </w:r>
    </w:p>
    <w:p w14:paraId="2744194E">
      <w:pPr>
        <w:pStyle w:val="403"/>
        <w:spacing w:line="460" w:lineRule="exact"/>
        <w:ind w:firstLine="480" w:firstLineChars="200"/>
        <w:rPr>
          <w:rFonts w:hint="eastAsia" w:eastAsia="宋体" w:cs="宋体"/>
          <w:snapToGrid w:val="0"/>
        </w:rPr>
      </w:pPr>
      <w:r>
        <w:rPr>
          <w:rFonts w:hint="eastAsia" w:eastAsia="宋体" w:cs="宋体"/>
          <w:snapToGrid w:val="0"/>
        </w:rPr>
        <w:t>（4）发包人不履行合同约定其他义务的。</w:t>
      </w:r>
    </w:p>
    <w:p w14:paraId="688889DD">
      <w:pPr>
        <w:pStyle w:val="403"/>
        <w:spacing w:line="460" w:lineRule="exact"/>
        <w:ind w:firstLine="480" w:firstLineChars="200"/>
        <w:rPr>
          <w:rFonts w:hint="eastAsia" w:eastAsia="宋体" w:cs="宋体"/>
          <w:snapToGrid w:val="0"/>
        </w:rPr>
      </w:pPr>
      <w:r>
        <w:rPr>
          <w:rFonts w:hint="eastAsia" w:eastAsia="宋体" w:cs="宋体"/>
          <w:snapToGrid w:val="0"/>
        </w:rPr>
        <w:t>12.3 暂停工作后的照管</w:t>
      </w:r>
    </w:p>
    <w:p w14:paraId="1F2B3739">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14:paraId="06431926">
      <w:pPr>
        <w:pStyle w:val="403"/>
        <w:spacing w:line="460" w:lineRule="exact"/>
        <w:ind w:firstLine="480" w:firstLineChars="200"/>
        <w:rPr>
          <w:rFonts w:hint="eastAsia" w:eastAsia="宋体" w:cs="宋体"/>
          <w:snapToGrid w:val="0"/>
        </w:rPr>
      </w:pPr>
      <w:r>
        <w:rPr>
          <w:rFonts w:hint="eastAsia" w:eastAsia="宋体" w:cs="宋体"/>
          <w:snapToGrid w:val="0"/>
        </w:rPr>
        <w:t>不论由于何种原因引起暂停工作的，暂停工作期间，承包人应负责妥善保护工程并提供安全保障。</w:t>
      </w:r>
    </w:p>
    <w:p w14:paraId="302B6A20">
      <w:pPr>
        <w:pStyle w:val="403"/>
        <w:spacing w:line="460" w:lineRule="exact"/>
        <w:ind w:firstLine="480" w:firstLineChars="200"/>
        <w:rPr>
          <w:rFonts w:hint="eastAsia" w:eastAsia="宋体" w:cs="宋体"/>
          <w:snapToGrid w:val="0"/>
        </w:rPr>
      </w:pPr>
      <w:r>
        <w:rPr>
          <w:rFonts w:hint="eastAsia" w:eastAsia="宋体" w:cs="宋体"/>
          <w:snapToGrid w:val="0"/>
        </w:rPr>
        <w:t>12.4 暂停工作后的复工</w:t>
      </w:r>
    </w:p>
    <w:p w14:paraId="06A8D7A2">
      <w:pPr>
        <w:pStyle w:val="403"/>
        <w:spacing w:line="460" w:lineRule="exact"/>
        <w:ind w:firstLine="480" w:firstLineChars="200"/>
        <w:rPr>
          <w:rFonts w:hint="eastAsia" w:eastAsia="宋体" w:cs="宋体"/>
          <w:snapToGrid w:val="0"/>
        </w:rPr>
      </w:pPr>
      <w:r>
        <w:rPr>
          <w:rFonts w:hint="eastAsia" w:eastAsia="宋体" w:cs="宋体"/>
          <w:snapToGrid w:val="0"/>
        </w:rPr>
        <w:t>12.4.2本款修改为：</w:t>
      </w:r>
    </w:p>
    <w:p w14:paraId="32D80148">
      <w:pPr>
        <w:pStyle w:val="403"/>
        <w:spacing w:line="460" w:lineRule="exact"/>
        <w:ind w:firstLine="480" w:firstLineChars="200"/>
        <w:rPr>
          <w:rFonts w:hint="eastAsia" w:eastAsia="宋体" w:cs="宋体"/>
          <w:snapToGrid w:val="0"/>
        </w:rPr>
      </w:pPr>
      <w:r>
        <w:rPr>
          <w:rFonts w:hint="eastAsia" w:eastAsia="宋体" w:cs="宋体"/>
          <w:snapToGrid w:val="0"/>
        </w:rPr>
        <w:t>承包人无故拖延和拒绝复工的，由此增加的费用和工期延误由承包人承担。</w:t>
      </w:r>
    </w:p>
    <w:p w14:paraId="5545A554">
      <w:pPr>
        <w:pStyle w:val="5"/>
        <w:spacing w:before="360" w:after="120" w:afterLines="50" w:line="480" w:lineRule="exact"/>
        <w:rPr>
          <w:rFonts w:hint="eastAsia" w:ascii="宋体" w:hAnsi="宋体" w:eastAsia="宋体" w:cs="宋体"/>
          <w:bCs/>
          <w:sz w:val="28"/>
          <w:szCs w:val="28"/>
        </w:rPr>
      </w:pPr>
      <w:bookmarkStart w:id="1542" w:name="_Toc83220627"/>
      <w:bookmarkStart w:id="1543" w:name="_Toc176268756"/>
      <w:bookmarkStart w:id="1544" w:name="_Toc198803823"/>
      <w:bookmarkStart w:id="1545" w:name="_Toc21565"/>
      <w:r>
        <w:rPr>
          <w:rFonts w:hint="eastAsia" w:ascii="宋体" w:hAnsi="宋体" w:eastAsia="宋体" w:cs="宋体"/>
          <w:bCs/>
          <w:sz w:val="28"/>
          <w:szCs w:val="28"/>
        </w:rPr>
        <w:t>13. 工程质量</w:t>
      </w:r>
      <w:bookmarkEnd w:id="1542"/>
      <w:bookmarkEnd w:id="1543"/>
      <w:bookmarkEnd w:id="1544"/>
      <w:bookmarkEnd w:id="1545"/>
    </w:p>
    <w:p w14:paraId="1FA862B9">
      <w:pPr>
        <w:pStyle w:val="403"/>
        <w:spacing w:line="460" w:lineRule="exact"/>
        <w:ind w:firstLine="480" w:firstLineChars="200"/>
        <w:rPr>
          <w:rFonts w:hint="eastAsia" w:eastAsia="宋体" w:cs="宋体"/>
          <w:snapToGrid w:val="0"/>
        </w:rPr>
      </w:pPr>
      <w:bookmarkStart w:id="1546" w:name="_Toc528255612"/>
      <w:bookmarkStart w:id="1547" w:name="_Toc28358578"/>
      <w:bookmarkStart w:id="1548" w:name="_Toc68594914"/>
      <w:r>
        <w:rPr>
          <w:rFonts w:hint="eastAsia" w:eastAsia="宋体" w:cs="宋体"/>
          <w:snapToGrid w:val="0"/>
        </w:rPr>
        <w:t>13.1 工程质量要求</w:t>
      </w:r>
      <w:bookmarkEnd w:id="1546"/>
      <w:bookmarkEnd w:id="1547"/>
      <w:bookmarkEnd w:id="1548"/>
    </w:p>
    <w:p w14:paraId="7E49D7D9">
      <w:pPr>
        <w:pStyle w:val="403"/>
        <w:spacing w:line="460" w:lineRule="exact"/>
        <w:ind w:firstLine="480" w:firstLineChars="200"/>
        <w:rPr>
          <w:rFonts w:hint="eastAsia" w:eastAsia="宋体" w:cs="宋体"/>
          <w:snapToGrid w:val="0"/>
        </w:rPr>
      </w:pPr>
      <w:r>
        <w:rPr>
          <w:rFonts w:hint="eastAsia" w:eastAsia="宋体" w:cs="宋体"/>
          <w:snapToGrid w:val="0"/>
        </w:rPr>
        <w:t>符合设计图纸要求和国家、省、市相关法律法规规定要求及行业颁发的工程质量合格或以上标准，一次验收合格。</w:t>
      </w:r>
    </w:p>
    <w:p w14:paraId="501B0EC1">
      <w:pPr>
        <w:pStyle w:val="5"/>
        <w:spacing w:before="360" w:after="120" w:afterLines="50" w:line="480" w:lineRule="exact"/>
        <w:rPr>
          <w:rFonts w:hint="eastAsia" w:ascii="宋体" w:hAnsi="宋体" w:eastAsia="宋体" w:cs="宋体"/>
          <w:bCs/>
          <w:sz w:val="28"/>
          <w:szCs w:val="28"/>
        </w:rPr>
      </w:pPr>
      <w:bookmarkStart w:id="1549" w:name="_Toc176268757"/>
      <w:bookmarkStart w:id="1550" w:name="_Toc198803824"/>
      <w:bookmarkStart w:id="1551" w:name="_Toc83220628"/>
      <w:bookmarkStart w:id="1552" w:name="_Toc25643"/>
      <w:r>
        <w:rPr>
          <w:rFonts w:hint="eastAsia" w:ascii="宋体" w:hAnsi="宋体" w:eastAsia="宋体" w:cs="宋体"/>
          <w:bCs/>
          <w:sz w:val="28"/>
          <w:szCs w:val="28"/>
        </w:rPr>
        <w:t>14. 试验和检验</w:t>
      </w:r>
      <w:bookmarkEnd w:id="1549"/>
      <w:bookmarkEnd w:id="1550"/>
      <w:bookmarkEnd w:id="1551"/>
      <w:bookmarkEnd w:id="1552"/>
    </w:p>
    <w:p w14:paraId="5EB6366E">
      <w:pPr>
        <w:pStyle w:val="403"/>
        <w:spacing w:line="460" w:lineRule="exact"/>
        <w:ind w:firstLine="480" w:firstLineChars="200"/>
        <w:rPr>
          <w:rFonts w:hint="eastAsia" w:eastAsia="宋体" w:cs="宋体"/>
          <w:snapToGrid w:val="0"/>
        </w:rPr>
      </w:pPr>
      <w:r>
        <w:rPr>
          <w:rFonts w:hint="eastAsia" w:eastAsia="宋体" w:cs="宋体"/>
          <w:snapToGrid w:val="0"/>
        </w:rPr>
        <w:t>14.1材料、工程设备和工程的试验和检验</w:t>
      </w:r>
    </w:p>
    <w:p w14:paraId="4047C0A9">
      <w:pPr>
        <w:pStyle w:val="403"/>
        <w:spacing w:line="460" w:lineRule="exact"/>
        <w:ind w:firstLine="480" w:firstLineChars="200"/>
        <w:rPr>
          <w:rFonts w:hint="eastAsia" w:eastAsia="宋体" w:cs="宋体"/>
          <w:snapToGrid w:val="0"/>
        </w:rPr>
      </w:pPr>
      <w:r>
        <w:rPr>
          <w:rFonts w:hint="eastAsia" w:eastAsia="宋体" w:cs="宋体"/>
          <w:snapToGrid w:val="0"/>
        </w:rPr>
        <w:t>14.1.5发包人按照《建设工程质量检测管理办法》（建设部令第141号）及穗建质[2012]1767号文委托第三方对施工质量进行检查、检验、检测和试验。其中第三方的验收结果视为发包人的验收结果。承包人应按要求提供相关的试件或材料。</w:t>
      </w:r>
    </w:p>
    <w:p w14:paraId="0DCB7CAB">
      <w:pPr>
        <w:pStyle w:val="403"/>
        <w:spacing w:line="460" w:lineRule="exact"/>
        <w:ind w:firstLine="480" w:firstLineChars="200"/>
        <w:rPr>
          <w:rFonts w:hint="eastAsia" w:eastAsia="宋体" w:cs="宋体"/>
          <w:snapToGrid w:val="0"/>
        </w:rPr>
      </w:pPr>
      <w:r>
        <w:rPr>
          <w:rFonts w:hint="eastAsia" w:eastAsia="宋体" w:cs="宋体"/>
          <w:snapToGrid w:val="0"/>
        </w:rPr>
        <w:t>14.1.6 承包人应按照设计文件、施工标准和合同约定，负责编写施工试验和检测计划，在实施检测前20天提交监理和发包人审核。如因承包人原因导致实际检测项目和数量超出按规范要求的检测项目和数量，从而引起增加的检测和试验费用由承包人支付，相关费用由发包人直接从工程款中抵扣支付给第三方检测单位。发包人根据检测方案提出的检测项目和检测时间委托有资质的单位进行检测。承包人提交的检测方案应满足工程验收需要，由于承包人提出的检测项目遗漏或没有及时提交检测方案造成发包人损失或竣工日期延误的，由承包人负责。第三方和承包人对工程物资（包括建筑构配件）进行检查、检验、检测和试验，不合格的不得使用。承包人有义务自费修复和（或）更换不合格的工程物资、因此造成竣工日期延误的，由承包人负责；发包人提供的工程物资经承包人检查、检验、检测和试验不合格的，发包人应自费修复和（或）更换，因此造成关键路径延误的，竣工日期相应顺延。承包人因此增加的费用，由发包人承担。</w:t>
      </w:r>
    </w:p>
    <w:p w14:paraId="498C5B32">
      <w:pPr>
        <w:pStyle w:val="403"/>
        <w:spacing w:line="460" w:lineRule="exact"/>
        <w:ind w:firstLine="480" w:firstLineChars="200"/>
        <w:rPr>
          <w:rFonts w:hint="eastAsia" w:eastAsia="宋体" w:cs="宋体"/>
          <w:snapToGrid w:val="0"/>
        </w:rPr>
      </w:pPr>
      <w:r>
        <w:rPr>
          <w:rFonts w:hint="eastAsia" w:eastAsia="宋体" w:cs="宋体"/>
          <w:snapToGrid w:val="0"/>
        </w:rPr>
        <w:t>14.2 现场材料试验</w:t>
      </w:r>
    </w:p>
    <w:p w14:paraId="1B9ED532">
      <w:pPr>
        <w:pStyle w:val="403"/>
        <w:spacing w:line="460" w:lineRule="exact"/>
        <w:ind w:firstLine="480" w:firstLineChars="200"/>
        <w:rPr>
          <w:rFonts w:hint="eastAsia" w:eastAsia="宋体" w:cs="宋体"/>
          <w:snapToGrid w:val="0"/>
        </w:rPr>
      </w:pPr>
      <w:r>
        <w:rPr>
          <w:rFonts w:hint="eastAsia" w:eastAsia="宋体" w:cs="宋体"/>
          <w:snapToGrid w:val="0"/>
        </w:rPr>
        <w:t>14.2.3 承包人应按有关规定和监理人的指示进行各项材料、中间产品、金属结构、工程实体质量的自检，并承担所需费用。第三方检测由发包人委托，第三方检测的费用由发包人支付。承包人、监理人应派员进行旁站见证并签名确认。承包人应为监理人进行质量检查和检验提供必要的试验资料和原始记录。监理人在质量检查和检验过程中，对原材料、中间产品、金属结构、工程实体质量进行抽样检测的比例应满足相关规定，检测结果作为承包人的对比检测对承包人的检验结果进行复核。</w:t>
      </w:r>
    </w:p>
    <w:p w14:paraId="758564D2">
      <w:pPr>
        <w:pStyle w:val="5"/>
        <w:spacing w:before="360" w:after="120" w:afterLines="50" w:line="480" w:lineRule="exact"/>
        <w:rPr>
          <w:rFonts w:hint="eastAsia" w:ascii="宋体" w:hAnsi="宋体" w:eastAsia="宋体" w:cs="宋体"/>
          <w:bCs/>
          <w:sz w:val="28"/>
          <w:szCs w:val="28"/>
        </w:rPr>
      </w:pPr>
      <w:bookmarkStart w:id="1553" w:name="_Toc176268758"/>
      <w:bookmarkStart w:id="1554" w:name="_Toc83220629"/>
      <w:bookmarkStart w:id="1555" w:name="_Toc198803825"/>
      <w:bookmarkStart w:id="1556" w:name="_Toc10367"/>
      <w:r>
        <w:rPr>
          <w:rFonts w:hint="eastAsia" w:ascii="宋体" w:hAnsi="宋体" w:eastAsia="宋体" w:cs="宋体"/>
          <w:bCs/>
          <w:sz w:val="28"/>
          <w:szCs w:val="28"/>
        </w:rPr>
        <w:t>15. 变更</w:t>
      </w:r>
      <w:bookmarkEnd w:id="1553"/>
      <w:bookmarkEnd w:id="1554"/>
      <w:bookmarkEnd w:id="1555"/>
      <w:bookmarkEnd w:id="1556"/>
    </w:p>
    <w:p w14:paraId="06916184">
      <w:pPr>
        <w:pStyle w:val="403"/>
        <w:spacing w:line="460" w:lineRule="exact"/>
        <w:ind w:firstLine="480" w:firstLineChars="200"/>
        <w:rPr>
          <w:rFonts w:hint="eastAsia" w:eastAsia="宋体" w:cs="宋体"/>
          <w:snapToGrid w:val="0"/>
        </w:rPr>
      </w:pPr>
      <w:r>
        <w:rPr>
          <w:rFonts w:hint="eastAsia" w:eastAsia="宋体" w:cs="宋体"/>
          <w:snapToGrid w:val="0"/>
        </w:rPr>
        <w:t>本合同工程设计变更指相对于经甲方批准的施工图发生的设计变更（包括工程的性质、质量、种类、数量发生的改变）。乙方应本着对工程质量、工期、投资等三大控制相结合的原则对设计变更进行管理。</w:t>
      </w:r>
    </w:p>
    <w:p w14:paraId="342D4C45">
      <w:pPr>
        <w:pStyle w:val="403"/>
        <w:spacing w:line="460" w:lineRule="exact"/>
        <w:ind w:firstLine="480" w:firstLineChars="200"/>
        <w:rPr>
          <w:rFonts w:hint="eastAsia" w:eastAsia="宋体" w:cs="宋体"/>
          <w:snapToGrid w:val="0"/>
        </w:rPr>
      </w:pPr>
      <w:r>
        <w:rPr>
          <w:rFonts w:hint="eastAsia" w:eastAsia="宋体" w:cs="宋体"/>
          <w:snapToGrid w:val="0"/>
        </w:rPr>
        <w:t>15.3 变更程序</w:t>
      </w:r>
    </w:p>
    <w:p w14:paraId="731557DA">
      <w:pPr>
        <w:pStyle w:val="403"/>
        <w:spacing w:line="460" w:lineRule="exact"/>
        <w:ind w:firstLine="480" w:firstLineChars="200"/>
        <w:rPr>
          <w:rFonts w:hint="eastAsia" w:eastAsia="宋体" w:cs="宋体"/>
          <w:snapToGrid w:val="0"/>
        </w:rPr>
      </w:pPr>
      <w:r>
        <w:rPr>
          <w:rFonts w:hint="eastAsia" w:eastAsia="宋体" w:cs="宋体"/>
          <w:snapToGrid w:val="0"/>
        </w:rPr>
        <w:t>15.3.2 变更估价</w:t>
      </w:r>
    </w:p>
    <w:p w14:paraId="3E02AF83">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14:paraId="5E82326F">
      <w:pPr>
        <w:pStyle w:val="403"/>
        <w:spacing w:line="460" w:lineRule="exact"/>
        <w:ind w:firstLine="480" w:firstLineChars="200"/>
        <w:rPr>
          <w:rFonts w:hint="eastAsia" w:eastAsia="宋体" w:cs="宋体"/>
          <w:snapToGrid w:val="0"/>
        </w:rPr>
      </w:pPr>
      <w:r>
        <w:rPr>
          <w:rFonts w:hint="eastAsia" w:eastAsia="宋体" w:cs="宋体"/>
          <w:snapToGrid w:val="0"/>
        </w:rPr>
        <w:t>15.3.2.1工程费确定变更价款：</w:t>
      </w:r>
    </w:p>
    <w:p w14:paraId="2C3D2E5E">
      <w:pPr>
        <w:pStyle w:val="403"/>
        <w:spacing w:line="460" w:lineRule="exact"/>
        <w:ind w:firstLine="480" w:firstLineChars="200"/>
        <w:rPr>
          <w:rFonts w:hint="eastAsia" w:eastAsia="宋体" w:cs="宋体"/>
          <w:snapToGrid w:val="0"/>
        </w:rPr>
      </w:pPr>
      <w:r>
        <w:rPr>
          <w:rFonts w:hint="eastAsia" w:eastAsia="宋体" w:cs="宋体"/>
          <w:snapToGrid w:val="0"/>
        </w:rPr>
        <w:t>（1）在发生专用合同条款第15条约定的工程设计变更后，承包人在收到发包人变更通知的7天内按合同约定的计价方式和内容编制出变更工程预算送交监理单位，监理单位在7天内审核并签署意见后报发包人，发包人按程序报审。</w:t>
      </w:r>
    </w:p>
    <w:p w14:paraId="5DE4D2B4">
      <w:pPr>
        <w:pStyle w:val="403"/>
        <w:spacing w:line="460" w:lineRule="exact"/>
        <w:ind w:firstLine="480" w:firstLineChars="200"/>
        <w:rPr>
          <w:rFonts w:hint="eastAsia" w:eastAsia="宋体" w:cs="宋体"/>
          <w:snapToGrid w:val="0"/>
        </w:rPr>
      </w:pPr>
      <w:r>
        <w:rPr>
          <w:rFonts w:hint="eastAsia" w:eastAsia="宋体" w:cs="宋体"/>
          <w:snapToGrid w:val="0"/>
        </w:rPr>
        <w:t>（2）对于合同承包范围及内容发生变化的设计变更、工程签证、新增工程等，包括专用合同条款第15条所定义的工程设计变更，由于设计需要或项目建设实际需要，这些变化会导致合同承包范围内的工程量发生变化、或施工图预算工程量清单内项目的局部内容发生变化、或新增了工程量清单内没有的项目。出现上述变化需计算工程价款时，承包人按如下方法提出变更价格，报监理单位和发包人批准：</w:t>
      </w:r>
    </w:p>
    <w:p w14:paraId="126A77C8">
      <w:pPr>
        <w:pStyle w:val="403"/>
        <w:spacing w:line="460" w:lineRule="exact"/>
        <w:ind w:firstLine="480" w:firstLineChars="200"/>
        <w:rPr>
          <w:rFonts w:hint="eastAsia" w:eastAsia="宋体" w:cs="宋体"/>
          <w:snapToGrid w:val="0"/>
        </w:rPr>
      </w:pPr>
      <w:r>
        <w:rPr>
          <w:rFonts w:hint="eastAsia" w:eastAsia="宋体" w:cs="宋体"/>
          <w:snapToGrid w:val="0"/>
        </w:rPr>
        <w:t>在施工过程中由于签证项目、设计变更及非承包人原因引起的工程量增减而发生的工程价款调整的项目，必须得到发包人和现场监理工程师的书面确认和签证，有关的工程价款的调整办法为：</w:t>
      </w:r>
    </w:p>
    <w:p w14:paraId="1A43F871">
      <w:pPr>
        <w:pStyle w:val="403"/>
        <w:spacing w:line="460" w:lineRule="exact"/>
        <w:ind w:firstLine="480" w:firstLineChars="200"/>
        <w:rPr>
          <w:rFonts w:hint="eastAsia" w:eastAsia="宋体" w:cs="宋体"/>
          <w:snapToGrid w:val="0"/>
        </w:rPr>
      </w:pPr>
      <w:r>
        <w:rPr>
          <w:rFonts w:hint="eastAsia" w:eastAsia="宋体" w:cs="宋体"/>
          <w:snapToGrid w:val="0"/>
        </w:rPr>
        <w:t>按照现行有效的计价规范、计价通则及相应专业综合定额，具体为：国家标准《建设工程工程量清单计价规范》（GB50500-2013）、《广东省建设工程计价依据（2018）》及配套文件等。材料、设备价格采用基准期为施工图通过审查当期的广州市建设工程管理站发布的《广州地区建设工程常用材料税前综合价格》；《广州地区建设工程常用材料税前综合价格》无相应材料、设备价格的，通过询价的方式报发包人确定：</w:t>
      </w:r>
    </w:p>
    <w:p w14:paraId="342BDBCD">
      <w:pPr>
        <w:pStyle w:val="403"/>
        <w:spacing w:line="460" w:lineRule="exact"/>
        <w:ind w:firstLine="480" w:firstLineChars="200"/>
        <w:rPr>
          <w:rFonts w:hint="eastAsia" w:eastAsia="宋体" w:cs="宋体"/>
          <w:snapToGrid w:val="0"/>
        </w:rPr>
      </w:pPr>
      <w:r>
        <w:rPr>
          <w:rFonts w:hint="eastAsia" w:eastAsia="宋体" w:cs="宋体"/>
          <w:snapToGrid w:val="0"/>
        </w:rPr>
        <w:t>a.材料、设备图纸确定后3天内承包人将认质认价申请完整资料（内容包括材料、设备名称、规格型号、数量、质量要求、使用部位、拟用品牌及建议价格等信息）报发包人及项目业主单位，发包人及项目业主单位收到认质认价申请完整资料后7个工作日内组织完成相应认质认价工作。询价程序及询价资料等必须符合规定要求，或者经过审核询价程序及资料不符合要求的，需重新组织询价。材料、设备图纸确定后认质认价申请完整资料报送超过3天，由此延误认质认价时间而导致工期延误的责任由承包人自行承担。</w:t>
      </w:r>
    </w:p>
    <w:p w14:paraId="101215BC">
      <w:pPr>
        <w:pStyle w:val="403"/>
        <w:spacing w:line="460" w:lineRule="exact"/>
        <w:ind w:firstLine="480" w:firstLineChars="200"/>
        <w:rPr>
          <w:rFonts w:hint="eastAsia" w:eastAsia="宋体" w:cs="宋体"/>
          <w:snapToGrid w:val="0"/>
        </w:rPr>
      </w:pPr>
      <w:r>
        <w:rPr>
          <w:rFonts w:hint="eastAsia" w:eastAsia="宋体" w:cs="宋体"/>
          <w:snapToGrid w:val="0"/>
        </w:rPr>
        <w:t>b.原则上承包人应确保所询品牌的产品不少于3个生产厂家；少于3个生产厂家的特殊情况，需取得发包人及项目业主单位同意。</w:t>
      </w:r>
    </w:p>
    <w:p w14:paraId="3D1AECEE">
      <w:pPr>
        <w:pStyle w:val="403"/>
        <w:spacing w:line="460" w:lineRule="exact"/>
        <w:ind w:firstLine="480" w:firstLineChars="200"/>
        <w:rPr>
          <w:rFonts w:hint="eastAsia" w:eastAsia="宋体" w:cs="宋体"/>
          <w:snapToGrid w:val="0"/>
        </w:rPr>
      </w:pPr>
      <w:r>
        <w:rPr>
          <w:rFonts w:hint="eastAsia" w:eastAsia="宋体" w:cs="宋体"/>
          <w:snapToGrid w:val="0"/>
        </w:rPr>
        <w:t>c.对于询价结果差异较大不能达成一致意见的，则组织共同现场询价，直至达成一致认可价格为准。</w:t>
      </w:r>
    </w:p>
    <w:p w14:paraId="609F5EF7">
      <w:pPr>
        <w:pStyle w:val="403"/>
        <w:spacing w:line="460" w:lineRule="exact"/>
        <w:ind w:firstLine="480" w:firstLineChars="200"/>
        <w:rPr>
          <w:rFonts w:hint="eastAsia" w:eastAsia="宋体" w:cs="宋体"/>
          <w:snapToGrid w:val="0"/>
        </w:rPr>
      </w:pPr>
      <w:r>
        <w:rPr>
          <w:rFonts w:hint="eastAsia" w:eastAsia="宋体" w:cs="宋体"/>
          <w:snapToGrid w:val="0"/>
        </w:rPr>
        <w:t>d.套用《广东省通用安装工程综合定额（2018）》的清单单价</w:t>
      </w:r>
      <w:r>
        <w:rPr>
          <w:rFonts w:hint="eastAsia" w:eastAsia="宋体"/>
        </w:rPr>
        <w:t>下浮</w:t>
      </w:r>
      <w:r>
        <w:rPr>
          <w:rFonts w:hint="eastAsia" w:eastAsia="宋体"/>
          <w:u w:val="single"/>
        </w:rPr>
        <w:t xml:space="preserve">  </w:t>
      </w:r>
      <w:r>
        <w:rPr>
          <w:rFonts w:hint="eastAsia" w:eastAsia="宋体"/>
        </w:rPr>
        <w:t>%（建安工程费中标下浮率+约定下浮率</w:t>
      </w:r>
      <w:r>
        <w:rPr>
          <w:rFonts w:hint="eastAsia" w:eastAsia="宋体"/>
          <w:u w:val="single"/>
        </w:rPr>
        <w:t>10</w:t>
      </w:r>
      <w:r>
        <w:rPr>
          <w:rFonts w:hint="eastAsia" w:eastAsia="宋体"/>
        </w:rPr>
        <w:t>%）</w:t>
      </w:r>
      <w:r>
        <w:rPr>
          <w:rFonts w:hint="eastAsia" w:eastAsia="宋体" w:cs="宋体"/>
          <w:snapToGrid w:val="0"/>
        </w:rPr>
        <w:t>（材料、设备完成认质认价部分不下浮），套用其它定额的</w:t>
      </w:r>
      <w:r>
        <w:rPr>
          <w:rFonts w:hint="eastAsia" w:eastAsia="宋体"/>
        </w:rPr>
        <w:t>下浮</w:t>
      </w:r>
      <w:r>
        <w:rPr>
          <w:rFonts w:hint="eastAsia" w:eastAsia="宋体"/>
          <w:u w:val="single"/>
        </w:rPr>
        <w:t xml:space="preserve">  </w:t>
      </w:r>
      <w:r>
        <w:rPr>
          <w:rFonts w:hint="eastAsia" w:eastAsia="宋体"/>
        </w:rPr>
        <w:t>%（建安工程费中标下浮率）</w:t>
      </w:r>
      <w:r>
        <w:rPr>
          <w:rFonts w:hint="eastAsia" w:eastAsia="宋体" w:cs="宋体"/>
          <w:snapToGrid w:val="0"/>
        </w:rPr>
        <w:t>（材料、设备完成认质认价部分不下浮）。</w:t>
      </w:r>
    </w:p>
    <w:p w14:paraId="598BE5E0">
      <w:pPr>
        <w:pStyle w:val="403"/>
        <w:spacing w:line="460" w:lineRule="exact"/>
        <w:ind w:firstLine="480" w:firstLineChars="200"/>
        <w:rPr>
          <w:rFonts w:hint="eastAsia" w:eastAsia="宋体" w:cs="宋体"/>
          <w:snapToGrid w:val="0"/>
        </w:rPr>
      </w:pPr>
      <w:r>
        <w:rPr>
          <w:rFonts w:hint="eastAsia" w:eastAsia="宋体" w:cs="宋体"/>
          <w:snapToGrid w:val="0"/>
        </w:rPr>
        <w:t>（3）当发包人提出变更通知，承包人认为产生了增加费用，承包人应在发包人提出通知要求（发出指令）后7天内向发包人提交增加费用报告，报告内应说明变更原因、增加费用金额、增加费用计算书，若承包人不在规定的时间内提供增加费用报告，该类变更所涉及的增加费用视同已包含在合同价款中，不另行增加，10000元人民币以内的单项单笔工程签证增加的费用在风险费中考虑，不另行调整。</w:t>
      </w:r>
    </w:p>
    <w:p w14:paraId="4445A53B">
      <w:pPr>
        <w:pStyle w:val="403"/>
        <w:spacing w:line="460" w:lineRule="exact"/>
        <w:ind w:firstLine="480" w:firstLineChars="200"/>
        <w:rPr>
          <w:rFonts w:hint="eastAsia" w:eastAsia="宋体" w:cs="宋体"/>
          <w:snapToGrid w:val="0"/>
        </w:rPr>
      </w:pPr>
      <w:r>
        <w:rPr>
          <w:rFonts w:hint="eastAsia" w:eastAsia="宋体" w:cs="宋体"/>
          <w:snapToGrid w:val="0"/>
        </w:rPr>
        <w:t>（4）凡图纸会审记录涉及工程实体内容变化的，均须经发包人同意转变成设计变更后才能作为调整合同价款的依据。</w:t>
      </w:r>
    </w:p>
    <w:p w14:paraId="1E58229B">
      <w:pPr>
        <w:pStyle w:val="403"/>
        <w:spacing w:line="460" w:lineRule="exact"/>
        <w:ind w:firstLine="480" w:firstLineChars="200"/>
        <w:rPr>
          <w:rFonts w:hint="eastAsia" w:eastAsia="宋体" w:cs="宋体"/>
          <w:snapToGrid w:val="0"/>
        </w:rPr>
      </w:pPr>
      <w:r>
        <w:rPr>
          <w:rFonts w:hint="eastAsia" w:eastAsia="宋体" w:cs="宋体"/>
          <w:snapToGrid w:val="0"/>
        </w:rPr>
        <w:t>（5）在变更实施过程中，承包人应在发生变更的必要工序提请总监理工程师确认实际发生的情况，以此作为将来费用结算的依据，否则总监理工程师有权拒绝计量，发包人无须支付相关费用，费用由承包人自负。</w:t>
      </w:r>
    </w:p>
    <w:p w14:paraId="3EE21F5B">
      <w:pPr>
        <w:pStyle w:val="5"/>
        <w:spacing w:before="360" w:after="120" w:afterLines="50" w:line="480" w:lineRule="exact"/>
        <w:rPr>
          <w:rFonts w:hint="eastAsia" w:ascii="宋体" w:hAnsi="宋体" w:eastAsia="宋体" w:cs="宋体"/>
          <w:bCs/>
          <w:sz w:val="28"/>
          <w:szCs w:val="28"/>
        </w:rPr>
      </w:pPr>
      <w:bookmarkStart w:id="1557" w:name="_Toc1754"/>
      <w:bookmarkStart w:id="1558" w:name="_Toc198803826"/>
      <w:bookmarkStart w:id="1559" w:name="_Toc176268759"/>
      <w:bookmarkStart w:id="1560" w:name="_Toc83220630"/>
      <w:r>
        <w:rPr>
          <w:rFonts w:hint="eastAsia" w:ascii="宋体" w:hAnsi="宋体" w:eastAsia="宋体" w:cs="宋体"/>
          <w:bCs/>
          <w:sz w:val="28"/>
          <w:szCs w:val="28"/>
        </w:rPr>
        <w:t>16. 价格调整</w:t>
      </w:r>
      <w:bookmarkEnd w:id="1557"/>
      <w:bookmarkEnd w:id="1558"/>
      <w:bookmarkEnd w:id="1559"/>
      <w:bookmarkEnd w:id="1560"/>
    </w:p>
    <w:p w14:paraId="6C07F934">
      <w:pPr>
        <w:pStyle w:val="403"/>
        <w:spacing w:line="460" w:lineRule="exact"/>
        <w:ind w:firstLine="480" w:firstLineChars="200"/>
        <w:rPr>
          <w:rFonts w:hint="eastAsia" w:eastAsia="宋体" w:cs="宋体"/>
          <w:snapToGrid w:val="0"/>
        </w:rPr>
      </w:pPr>
      <w:r>
        <w:rPr>
          <w:rFonts w:hint="eastAsia" w:eastAsia="宋体" w:cs="宋体"/>
          <w:snapToGrid w:val="0"/>
        </w:rPr>
        <w:t>16.1 物价波动引起的调整（B）</w:t>
      </w:r>
    </w:p>
    <w:p w14:paraId="0BDFB25B">
      <w:pPr>
        <w:pStyle w:val="403"/>
        <w:spacing w:line="460" w:lineRule="exact"/>
        <w:ind w:firstLine="480" w:firstLineChars="200"/>
        <w:rPr>
          <w:rFonts w:hint="eastAsia" w:eastAsia="宋体" w:cs="宋体"/>
          <w:snapToGrid w:val="0"/>
        </w:rPr>
      </w:pPr>
      <w:r>
        <w:rPr>
          <w:rFonts w:hint="eastAsia" w:eastAsia="宋体" w:cs="宋体"/>
          <w:snapToGrid w:val="0"/>
        </w:rPr>
        <w:t>第16.1条修改为：</w:t>
      </w:r>
    </w:p>
    <w:p w14:paraId="6FBE3146">
      <w:pPr>
        <w:adjustRightInd w:val="0"/>
        <w:snapToGrid w:val="0"/>
        <w:spacing w:line="440" w:lineRule="exact"/>
        <w:ind w:right="11" w:firstLine="700" w:firstLineChars="292"/>
        <w:rPr>
          <w:rFonts w:hint="eastAsia" w:ascii="宋体" w:hAnsi="宋体" w:eastAsia="宋体" w:cs="宋体"/>
          <w:snapToGrid w:val="0"/>
          <w:kern w:val="0"/>
          <w:sz w:val="24"/>
        </w:rPr>
      </w:pPr>
      <w:r>
        <w:rPr>
          <w:rFonts w:hint="eastAsia" w:ascii="宋体" w:hAnsi="宋体" w:eastAsia="宋体" w:cs="宋体"/>
          <w:sz w:val="24"/>
        </w:rPr>
        <w:t>如物价涨落，本合同人工费、施工机具费均不调整。</w:t>
      </w:r>
      <w:r>
        <w:rPr>
          <w:rFonts w:hint="eastAsia" w:ascii="宋体" w:hAnsi="宋体" w:eastAsia="宋体" w:cs="宋体"/>
          <w:snapToGrid w:val="0"/>
          <w:kern w:val="0"/>
          <w:sz w:val="24"/>
        </w:rPr>
        <w:t>本合同不调整材料价差。</w:t>
      </w:r>
    </w:p>
    <w:p w14:paraId="738C955D">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 xml:space="preserve">6.3 </w:t>
      </w:r>
      <w:r>
        <w:rPr>
          <w:rFonts w:hint="eastAsia" w:eastAsia="宋体" w:cs="宋体"/>
          <w:snapToGrid w:val="0"/>
        </w:rPr>
        <w:t>以下情况下承包人不得要求调整合同价款</w:t>
      </w:r>
    </w:p>
    <w:p w14:paraId="695E039D">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6.3.1</w:t>
      </w:r>
      <w:r>
        <w:rPr>
          <w:rFonts w:hint="eastAsia" w:eastAsia="宋体" w:cs="宋体"/>
          <w:snapToGrid w:val="0"/>
        </w:rPr>
        <w:t>在工程实施过程中，承包人原因导致的拆除及相关工作造成的对既有建筑物修补（包括重复修补）的费用。</w:t>
      </w:r>
    </w:p>
    <w:p w14:paraId="70AFEB92">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6.3.2</w:t>
      </w:r>
      <w:r>
        <w:rPr>
          <w:rFonts w:hint="eastAsia" w:eastAsia="宋体" w:cs="宋体"/>
          <w:snapToGrid w:val="0"/>
        </w:rPr>
        <w:t>因季节性的大雨，大雾等恶劣天气引起的工期延误导致的费用增加（不可抗力除外）。</w:t>
      </w:r>
    </w:p>
    <w:p w14:paraId="35D4846D">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6.3.3</w:t>
      </w:r>
      <w:r>
        <w:rPr>
          <w:rFonts w:hint="eastAsia" w:eastAsia="宋体" w:cs="宋体"/>
          <w:snapToGrid w:val="0"/>
        </w:rPr>
        <w:t>因承包人的原因引起的停建、缓建。</w:t>
      </w:r>
    </w:p>
    <w:p w14:paraId="6D6C660B">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6.3.4</w:t>
      </w:r>
      <w:r>
        <w:rPr>
          <w:rFonts w:hint="eastAsia" w:eastAsia="宋体" w:cs="宋体"/>
          <w:snapToGrid w:val="0"/>
        </w:rPr>
        <w:t>因承包人施工措施或质量问题，经总监理工程师、发包人及独立第三方检测机构书面认定质量未达到合同要求，返工的项目。</w:t>
      </w:r>
    </w:p>
    <w:p w14:paraId="69C98FE3">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6.3.5</w:t>
      </w:r>
      <w:r>
        <w:rPr>
          <w:rFonts w:hint="eastAsia" w:eastAsia="宋体" w:cs="宋体"/>
          <w:snapToGrid w:val="0"/>
        </w:rPr>
        <w:t>承包人已认真踏勘现场，已了解工程的具体情况和任何足以影响投标报价的情况，若因承包人忽视或误解而导致的经济和工期索赔，发包人将予拒绝。</w:t>
      </w:r>
    </w:p>
    <w:p w14:paraId="66484CB0">
      <w:pPr>
        <w:pStyle w:val="403"/>
        <w:spacing w:line="460" w:lineRule="exact"/>
        <w:ind w:firstLine="480" w:firstLineChars="200"/>
        <w:rPr>
          <w:rFonts w:hint="eastAsia" w:eastAsia="宋体" w:cs="宋体"/>
          <w:snapToGrid w:val="0"/>
        </w:rPr>
      </w:pPr>
      <w:r>
        <w:rPr>
          <w:rFonts w:hint="eastAsia" w:eastAsia="宋体" w:cs="宋体"/>
          <w:snapToGrid w:val="0"/>
        </w:rPr>
        <w:t>1</w:t>
      </w:r>
      <w:r>
        <w:rPr>
          <w:rFonts w:eastAsia="宋体" w:cs="宋体"/>
          <w:snapToGrid w:val="0"/>
        </w:rPr>
        <w:t>6.3.6</w:t>
      </w:r>
      <w:r>
        <w:rPr>
          <w:rFonts w:hint="eastAsia" w:eastAsia="宋体" w:cs="宋体"/>
          <w:snapToGrid w:val="0"/>
        </w:rPr>
        <w:t>承包人不得擅自提高或降低发包人要求及其他书面要求的工程实施标准，如若承包人擅自提高标准，相关费用发包人不另行支付；如若降低实施标准，承包人须按发包人原标准实施，期间发生的相关费用由承包人承担</w:t>
      </w:r>
      <w:r>
        <w:rPr>
          <w:rFonts w:hint="eastAsia"/>
        </w:rPr>
        <w:t>。</w:t>
      </w:r>
    </w:p>
    <w:p w14:paraId="012F0E88">
      <w:pPr>
        <w:pStyle w:val="5"/>
        <w:spacing w:before="360" w:after="120" w:afterLines="50" w:line="480" w:lineRule="exact"/>
        <w:rPr>
          <w:rFonts w:hint="eastAsia" w:ascii="宋体" w:hAnsi="宋体" w:eastAsia="宋体" w:cs="宋体"/>
          <w:bCs/>
          <w:sz w:val="28"/>
          <w:szCs w:val="28"/>
        </w:rPr>
      </w:pPr>
      <w:bookmarkStart w:id="1561" w:name="_Toc198803827"/>
      <w:bookmarkStart w:id="1562" w:name="_Toc176268760"/>
      <w:bookmarkStart w:id="1563" w:name="_Toc83220631"/>
      <w:bookmarkStart w:id="1564" w:name="_Toc4792"/>
      <w:r>
        <w:rPr>
          <w:rFonts w:hint="eastAsia" w:ascii="宋体" w:hAnsi="宋体" w:eastAsia="宋体" w:cs="宋体"/>
          <w:bCs/>
          <w:sz w:val="28"/>
          <w:szCs w:val="28"/>
        </w:rPr>
        <w:t>17. 合同价格与支付</w:t>
      </w:r>
      <w:bookmarkEnd w:id="1561"/>
      <w:bookmarkEnd w:id="1562"/>
      <w:bookmarkEnd w:id="1563"/>
      <w:bookmarkEnd w:id="1564"/>
    </w:p>
    <w:p w14:paraId="5047CD8A">
      <w:pPr>
        <w:pStyle w:val="403"/>
        <w:spacing w:line="460" w:lineRule="exact"/>
        <w:ind w:firstLine="480" w:firstLineChars="200"/>
        <w:rPr>
          <w:rFonts w:hint="eastAsia" w:eastAsia="宋体" w:cs="宋体"/>
          <w:snapToGrid w:val="0"/>
        </w:rPr>
      </w:pPr>
      <w:r>
        <w:rPr>
          <w:rFonts w:hint="eastAsia" w:eastAsia="宋体" w:cs="宋体"/>
          <w:snapToGrid w:val="0"/>
        </w:rPr>
        <w:t>17.1 合同价格</w:t>
      </w:r>
    </w:p>
    <w:p w14:paraId="4EBA5DD6">
      <w:pPr>
        <w:pStyle w:val="403"/>
        <w:spacing w:line="460" w:lineRule="exact"/>
        <w:ind w:firstLine="480" w:firstLineChars="200"/>
        <w:rPr>
          <w:rFonts w:hint="eastAsia" w:eastAsia="宋体" w:cs="宋体"/>
          <w:snapToGrid w:val="0"/>
        </w:rPr>
      </w:pPr>
      <w:r>
        <w:rPr>
          <w:rFonts w:hint="eastAsia" w:eastAsia="宋体" w:cs="宋体"/>
          <w:bCs/>
          <w:snapToGrid w:val="0"/>
          <w:kern w:val="0"/>
        </w:rPr>
        <w:t>本合同含税总价暂定为</w:t>
      </w:r>
      <w:r>
        <w:rPr>
          <w:rFonts w:hint="eastAsia" w:eastAsia="宋体" w:cs="宋体"/>
        </w:rPr>
        <w:t>¥</w:t>
      </w:r>
      <w:r>
        <w:rPr>
          <w:rFonts w:hint="eastAsia" w:eastAsia="宋体" w:cs="宋体"/>
          <w:b/>
          <w:bCs/>
          <w:snapToGrid w:val="0"/>
          <w:kern w:val="0"/>
          <w:u w:val="single"/>
        </w:rPr>
        <w:t xml:space="preserve">        </w:t>
      </w:r>
      <w:r>
        <w:rPr>
          <w:rFonts w:hint="eastAsia" w:eastAsia="宋体" w:cs="宋体"/>
          <w:snapToGrid w:val="0"/>
          <w:kern w:val="0"/>
        </w:rPr>
        <w:t>（大写人民币</w:t>
      </w:r>
      <w:r>
        <w:rPr>
          <w:rFonts w:hint="eastAsia" w:eastAsia="宋体" w:cs="宋体"/>
          <w:b/>
          <w:bCs/>
          <w:snapToGrid w:val="0"/>
          <w:kern w:val="0"/>
          <w:u w:val="single"/>
        </w:rPr>
        <w:t xml:space="preserve">              </w:t>
      </w:r>
      <w:r>
        <w:rPr>
          <w:rFonts w:hint="eastAsia" w:eastAsia="宋体" w:cs="宋体"/>
          <w:snapToGrid w:val="0"/>
          <w:kern w:val="0"/>
        </w:rPr>
        <w:t>）</w:t>
      </w:r>
      <w:r>
        <w:rPr>
          <w:rFonts w:hint="eastAsia" w:eastAsia="宋体"/>
          <w:kern w:val="0"/>
        </w:rPr>
        <w:t>。</w:t>
      </w:r>
    </w:p>
    <w:p w14:paraId="45169C51">
      <w:pPr>
        <w:pStyle w:val="403"/>
        <w:spacing w:line="460" w:lineRule="exact"/>
        <w:ind w:firstLine="480" w:firstLineChars="200"/>
        <w:rPr>
          <w:rFonts w:hint="eastAsia" w:eastAsia="宋体" w:cs="宋体"/>
          <w:snapToGrid w:val="0"/>
        </w:rPr>
      </w:pPr>
      <w:r>
        <w:rPr>
          <w:rFonts w:hint="eastAsia" w:eastAsia="宋体" w:cs="宋体"/>
          <w:snapToGrid w:val="0"/>
        </w:rPr>
        <w:t>17.1.1勘察费</w:t>
      </w:r>
    </w:p>
    <w:p w14:paraId="6918D498">
      <w:pPr>
        <w:pStyle w:val="403"/>
        <w:spacing w:line="460" w:lineRule="exact"/>
        <w:ind w:firstLine="480" w:firstLineChars="200"/>
        <w:rPr>
          <w:rFonts w:hint="eastAsia" w:eastAsia="宋体" w:cs="宋体"/>
          <w:snapToGrid w:val="0"/>
        </w:rPr>
      </w:pPr>
      <w:r>
        <w:rPr>
          <w:rFonts w:hint="eastAsia" w:eastAsia="宋体" w:cs="宋体"/>
          <w:snapToGrid w:val="0"/>
        </w:rPr>
        <w:t>勘察费含税价暂定为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。其中工程测量费合同暂定总价为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，工程物探费合同暂定总价为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，国土规划测绘费合同暂定总价为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。合同暂定总价只作为合同签订后支付勘察费的依据，在合同实施期间，按照实物工作量（经承发包双方确认的工作量）计算，发包人、项目业主单位不再支付合同中指明费用类别外的任何其他费用。</w:t>
      </w:r>
    </w:p>
    <w:p w14:paraId="08435B3B">
      <w:pPr>
        <w:pStyle w:val="403"/>
        <w:spacing w:line="460" w:lineRule="exact"/>
        <w:ind w:firstLine="480" w:firstLineChars="200"/>
        <w:rPr>
          <w:rFonts w:hint="eastAsia" w:eastAsia="宋体" w:cs="宋体"/>
          <w:snapToGrid w:val="0"/>
        </w:rPr>
      </w:pPr>
      <w:r>
        <w:rPr>
          <w:rFonts w:hint="eastAsia" w:eastAsia="宋体" w:cs="宋体"/>
          <w:snapToGrid w:val="0"/>
        </w:rPr>
        <w:t>17.1.2设计费</w:t>
      </w:r>
    </w:p>
    <w:p w14:paraId="27A375DE">
      <w:pPr>
        <w:pStyle w:val="403"/>
        <w:spacing w:line="460" w:lineRule="exact"/>
        <w:ind w:firstLine="480" w:firstLineChars="200"/>
        <w:rPr>
          <w:rFonts w:hint="eastAsia" w:eastAsia="宋体" w:cs="宋体"/>
          <w:snapToGrid w:val="0"/>
          <w:kern w:val="0"/>
        </w:rPr>
      </w:pPr>
      <w:r>
        <w:rPr>
          <w:rFonts w:hint="eastAsia" w:eastAsia="宋体" w:cs="宋体"/>
          <w:snapToGrid w:val="0"/>
        </w:rPr>
        <w:t>设计费（包括设计及相关服务费）含税价暂定为</w:t>
      </w:r>
      <w:r>
        <w:rPr>
          <w:rFonts w:hint="eastAsia" w:eastAsia="宋体" w:cs="宋体"/>
        </w:rPr>
        <w:t>¥</w:t>
      </w:r>
      <w:r>
        <w:rPr>
          <w:rFonts w:hint="eastAsia" w:eastAsia="宋体" w:cs="宋体"/>
          <w:snapToGrid w:val="0"/>
          <w:kern w:val="0"/>
          <w:u w:val="single"/>
        </w:rPr>
        <w:t xml:space="preserve">              </w:t>
      </w:r>
      <w:r>
        <w:rPr>
          <w:rFonts w:hint="eastAsia" w:eastAsia="宋体" w:cs="宋体"/>
          <w:snapToGrid w:val="0"/>
          <w:kern w:val="0"/>
        </w:rPr>
        <w:t>。</w:t>
      </w:r>
    </w:p>
    <w:p w14:paraId="3BC68F4E">
      <w:pPr>
        <w:pStyle w:val="403"/>
        <w:spacing w:line="460" w:lineRule="exact"/>
        <w:ind w:firstLine="480" w:firstLineChars="200"/>
        <w:rPr>
          <w:rFonts w:hint="eastAsia" w:eastAsia="宋体" w:cs="宋体"/>
          <w:snapToGrid w:val="0"/>
          <w:kern w:val="0"/>
        </w:rPr>
      </w:pPr>
      <w:r>
        <w:rPr>
          <w:rFonts w:hint="eastAsia" w:eastAsia="宋体" w:cs="宋体"/>
          <w:snapToGrid w:val="0"/>
          <w:kern w:val="0"/>
        </w:rPr>
        <w:t>按照招标文件的</w:t>
      </w:r>
      <w:r>
        <w:rPr>
          <w:rFonts w:hint="eastAsia" w:eastAsia="宋体"/>
        </w:rPr>
        <w:t>建安工程费最高投标限价</w:t>
      </w:r>
      <w:r>
        <w:rPr>
          <w:rFonts w:hint="eastAsia" w:eastAsia="宋体" w:cs="宋体"/>
          <w:snapToGrid w:val="0"/>
          <w:kern w:val="0"/>
        </w:rPr>
        <w:t>¥</w:t>
      </w:r>
      <w:r>
        <w:rPr>
          <w:rFonts w:hint="eastAsia" w:eastAsia="宋体" w:cs="宋体"/>
          <w:snapToGrid w:val="0"/>
          <w:kern w:val="0"/>
          <w:u w:val="single"/>
        </w:rPr>
        <w:t xml:space="preserve">        </w:t>
      </w:r>
      <w:r>
        <w:rPr>
          <w:rFonts w:hint="eastAsia" w:eastAsia="宋体" w:cs="宋体"/>
          <w:snapToGrid w:val="0"/>
          <w:kern w:val="0"/>
        </w:rPr>
        <w:t>，折算设计费综合包干费率为</w:t>
      </w:r>
      <w:r>
        <w:rPr>
          <w:rFonts w:hint="eastAsia" w:eastAsia="宋体" w:cs="宋体"/>
          <w:snapToGrid w:val="0"/>
          <w:kern w:val="0"/>
          <w:u w:val="single"/>
        </w:rPr>
        <w:t xml:space="preserve">     </w:t>
      </w:r>
      <w:r>
        <w:rPr>
          <w:rFonts w:hint="eastAsia" w:eastAsia="宋体" w:cs="宋体"/>
          <w:snapToGrid w:val="0"/>
          <w:kern w:val="0"/>
        </w:rPr>
        <w:t>%（设计费综合包干费率=</w:t>
      </w:r>
      <w:r>
        <w:rPr>
          <w:rFonts w:hint="eastAsia" w:eastAsia="宋体" w:cs="宋体"/>
          <w:snapToGrid w:val="0"/>
        </w:rPr>
        <w:t>设计费中标价/</w:t>
      </w:r>
      <w:r>
        <w:rPr>
          <w:rFonts w:hint="eastAsia" w:eastAsia="宋体"/>
        </w:rPr>
        <w:t>建安工程费最高投标限价</w:t>
      </w:r>
      <w:r>
        <w:rPr>
          <w:rFonts w:hint="eastAsia" w:eastAsia="宋体" w:cs="宋体"/>
          <w:snapToGrid w:val="0"/>
          <w:kern w:val="0"/>
        </w:rPr>
        <w:t>），最终设计费基数按批复概算中的建安造价为准，即：设计费最终结算价=批复概算中的建安造价×设计费综合包干费率，且不高于概算批复中所列支的设计费金额。</w:t>
      </w:r>
    </w:p>
    <w:p w14:paraId="5C63D33C">
      <w:pPr>
        <w:pStyle w:val="403"/>
        <w:spacing w:line="460" w:lineRule="exact"/>
        <w:ind w:firstLine="480" w:firstLineChars="200"/>
        <w:rPr>
          <w:rFonts w:hint="eastAsia" w:eastAsia="宋体" w:cs="宋体"/>
          <w:snapToGrid w:val="0"/>
        </w:rPr>
      </w:pPr>
      <w:r>
        <w:rPr>
          <w:rFonts w:hint="eastAsia" w:eastAsia="宋体" w:cs="宋体"/>
          <w:snapToGrid w:val="0"/>
          <w:kern w:val="0"/>
        </w:rPr>
        <w:t>上述设计费综合包干费率为固定费率，已包括承包人履行本合同设计及相关服务所必须的所有费用，包括但不限于办公、交通、人员、差旅、文件、税费、测试测量工具费用、各类专家评审会的组织及专家费用、其他管理费用以及承包人所需的合理利润，应认为承包人已充分考虑了履行本合同设计工作的所有市场风险，包括但不限于人力成本的增加、材料设备的价格上涨、国家宏观调控、经济环境变化等因素。</w:t>
      </w:r>
    </w:p>
    <w:p w14:paraId="138557A2">
      <w:pPr>
        <w:pStyle w:val="403"/>
        <w:spacing w:line="460" w:lineRule="exact"/>
        <w:ind w:firstLine="480" w:firstLineChars="200"/>
        <w:rPr>
          <w:rFonts w:hint="eastAsia" w:eastAsia="宋体" w:cs="宋体"/>
          <w:snapToGrid w:val="0"/>
        </w:rPr>
      </w:pPr>
      <w:r>
        <w:rPr>
          <w:rFonts w:hint="eastAsia" w:eastAsia="宋体" w:cs="宋体"/>
          <w:snapToGrid w:val="0"/>
        </w:rPr>
        <w:t>17.1.3工程费</w:t>
      </w:r>
    </w:p>
    <w:p w14:paraId="6D6D0B14">
      <w:pPr>
        <w:pStyle w:val="403"/>
        <w:spacing w:line="460" w:lineRule="exact"/>
        <w:ind w:firstLine="480" w:firstLineChars="200"/>
        <w:rPr>
          <w:rFonts w:hint="eastAsia" w:eastAsia="宋体" w:cs="宋体"/>
          <w:snapToGrid w:val="0"/>
        </w:rPr>
      </w:pPr>
      <w:bookmarkStart w:id="1565" w:name="_Hlk111656342"/>
      <w:r>
        <w:rPr>
          <w:rFonts w:hint="eastAsia" w:eastAsia="宋体"/>
        </w:rPr>
        <w:t>建安工程费（以下简称“工程费”或“施工费”）</w:t>
      </w:r>
      <w:r>
        <w:rPr>
          <w:rFonts w:hint="eastAsia" w:eastAsia="宋体" w:cs="宋体"/>
          <w:snapToGrid w:val="0"/>
        </w:rPr>
        <w:t>含税价</w:t>
      </w:r>
      <w:r>
        <w:rPr>
          <w:rFonts w:hint="eastAsia" w:eastAsia="宋体"/>
        </w:rPr>
        <w:t>暂定为¥</w:t>
      </w:r>
      <w:r>
        <w:rPr>
          <w:rFonts w:hint="eastAsia" w:eastAsia="宋体" w:cs="宋体"/>
          <w:snapToGrid w:val="0"/>
          <w:kern w:val="0"/>
          <w:u w:val="single"/>
        </w:rPr>
        <w:t xml:space="preserve">          </w:t>
      </w:r>
      <w:r>
        <w:rPr>
          <w:rFonts w:hint="eastAsia" w:eastAsia="宋体" w:cs="宋体"/>
          <w:snapToGrid w:val="0"/>
          <w:kern w:val="0"/>
        </w:rPr>
        <w:t>。</w:t>
      </w:r>
      <w:r>
        <w:rPr>
          <w:rFonts w:hint="eastAsia" w:eastAsia="宋体"/>
        </w:rPr>
        <w:t>建安工程费中标下浮率为</w:t>
      </w:r>
      <w:r>
        <w:rPr>
          <w:rFonts w:hint="eastAsia" w:eastAsia="宋体" w:cs="宋体"/>
          <w:snapToGrid w:val="0"/>
          <w:kern w:val="0"/>
          <w:u w:val="single"/>
        </w:rPr>
        <w:t xml:space="preserve">  </w:t>
      </w:r>
      <w:r>
        <w:rPr>
          <w:rFonts w:hint="eastAsia" w:eastAsia="宋体" w:cs="宋体"/>
          <w:snapToGrid w:val="0"/>
          <w:kern w:val="0"/>
        </w:rPr>
        <w:t>%（即（1-</w:t>
      </w:r>
      <w:r>
        <w:rPr>
          <w:rFonts w:hint="eastAsia" w:eastAsia="宋体"/>
        </w:rPr>
        <w:t>建安工程费中标价/建安工程费最高投标限价）*100%</w:t>
      </w:r>
      <w:r>
        <w:rPr>
          <w:rFonts w:hint="eastAsia" w:eastAsia="宋体" w:cs="宋体"/>
          <w:snapToGrid w:val="0"/>
          <w:kern w:val="0"/>
        </w:rPr>
        <w:t>）</w:t>
      </w:r>
      <w:r>
        <w:rPr>
          <w:rFonts w:hint="eastAsia" w:eastAsia="宋体" w:cs="宋体"/>
          <w:snapToGrid w:val="0"/>
        </w:rPr>
        <w:t>。建安工程费合同金额为中标价格，仅作为支付预付款或进度款的依据，不作为结算的依据。</w:t>
      </w:r>
      <w:bookmarkStart w:id="1566" w:name="_Hlk111656407"/>
    </w:p>
    <w:p w14:paraId="7B02E91D">
      <w:pPr>
        <w:pStyle w:val="403"/>
        <w:spacing w:line="460" w:lineRule="exact"/>
        <w:ind w:firstLine="480" w:firstLineChars="200"/>
        <w:rPr>
          <w:rFonts w:hint="eastAsia" w:eastAsia="宋体" w:cs="宋体"/>
          <w:snapToGrid w:val="0"/>
        </w:rPr>
      </w:pPr>
      <w:r>
        <w:rPr>
          <w:rFonts w:hint="eastAsia" w:eastAsia="宋体" w:cs="宋体"/>
          <w:snapToGrid w:val="0"/>
        </w:rPr>
        <w:t>由承包人按照本合同约定范围和图纸内容进行工程施工，包括但不限于包工期、包材料、包质量、包安全生产、包文明施工、包承包范围内相关报批手续及缴费、包承包范围内工程验收通过、包移交、包结算、包施工管理和现场整体组织的实施工作、包竣工验收备案和档案移交及相关资料整理等。</w:t>
      </w:r>
    </w:p>
    <w:bookmarkEnd w:id="1565"/>
    <w:bookmarkEnd w:id="1566"/>
    <w:p w14:paraId="12BB6557">
      <w:pPr>
        <w:pStyle w:val="403"/>
        <w:spacing w:line="460" w:lineRule="exact"/>
        <w:ind w:firstLine="480" w:firstLineChars="200"/>
        <w:rPr>
          <w:rFonts w:hint="eastAsia" w:eastAsia="宋体" w:cs="宋体"/>
          <w:snapToGrid w:val="0"/>
        </w:rPr>
      </w:pPr>
      <w:r>
        <w:rPr>
          <w:rFonts w:hint="eastAsia" w:eastAsia="宋体" w:cs="宋体"/>
          <w:snapToGrid w:val="0"/>
        </w:rPr>
        <w:t>17.1.3.1施工图预算编制原则</w:t>
      </w:r>
    </w:p>
    <w:p w14:paraId="5DB4151B">
      <w:pPr>
        <w:pStyle w:val="403"/>
        <w:spacing w:line="460" w:lineRule="exact"/>
        <w:ind w:firstLine="480" w:firstLineChars="200"/>
        <w:rPr>
          <w:rFonts w:hint="eastAsia" w:eastAsia="宋体" w:cs="宋体"/>
          <w:snapToGrid w:val="0"/>
        </w:rPr>
      </w:pPr>
      <w:r>
        <w:rPr>
          <w:rFonts w:hint="eastAsia" w:eastAsia="宋体" w:cs="宋体"/>
          <w:snapToGrid w:val="0"/>
        </w:rPr>
        <w:t>17.1.3.1.1计价依据：</w:t>
      </w:r>
    </w:p>
    <w:p w14:paraId="3BA7A85B">
      <w:pPr>
        <w:pStyle w:val="403"/>
        <w:spacing w:line="460" w:lineRule="exact"/>
        <w:ind w:firstLine="480" w:firstLineChars="200"/>
        <w:rPr>
          <w:rFonts w:hint="eastAsia" w:eastAsia="宋体" w:cs="宋体"/>
          <w:snapToGrid w:val="0"/>
        </w:rPr>
      </w:pPr>
      <w:r>
        <w:rPr>
          <w:rFonts w:hint="eastAsia" w:eastAsia="宋体" w:cs="宋体"/>
          <w:snapToGrid w:val="0"/>
        </w:rPr>
        <w:t>17.1.3.1.1.1现行有效的计价规范、计价通则及相应专业综合定额，具体为：国家标准《建设工程工程量清单计价规范》（GB50500-2013）、《广东省建设工程计价依据（2018）》及配套文件等。</w:t>
      </w:r>
    </w:p>
    <w:p w14:paraId="1DD8EE6B">
      <w:pPr>
        <w:pStyle w:val="403"/>
        <w:spacing w:line="460" w:lineRule="exact"/>
        <w:ind w:firstLine="480" w:firstLineChars="200"/>
        <w:rPr>
          <w:rFonts w:hint="eastAsia" w:eastAsia="宋体" w:cs="宋体"/>
          <w:snapToGrid w:val="0"/>
        </w:rPr>
      </w:pPr>
      <w:r>
        <w:rPr>
          <w:rFonts w:hint="eastAsia" w:eastAsia="宋体" w:cs="宋体"/>
          <w:snapToGrid w:val="0"/>
        </w:rPr>
        <w:t>17.1.3.1.1.2承包人在编制施工图预算时，材料、设备价格采用基准期为施工图通过审查当期的广州市建设工程管理站发布的《广州地区建设工程常用材料税前综合价格》；《广州地区建设工程常用材料税前综合价格》无相应材料、设备价格的，通过询价的方式报发包人确定：</w:t>
      </w:r>
    </w:p>
    <w:p w14:paraId="370A12F3">
      <w:pPr>
        <w:pStyle w:val="403"/>
        <w:spacing w:line="460" w:lineRule="exact"/>
        <w:ind w:firstLine="480" w:firstLineChars="200"/>
        <w:rPr>
          <w:rFonts w:hint="eastAsia" w:eastAsia="宋体" w:cs="宋体"/>
          <w:snapToGrid w:val="0"/>
        </w:rPr>
      </w:pPr>
      <w:r>
        <w:rPr>
          <w:rFonts w:hint="eastAsia" w:eastAsia="宋体" w:cs="宋体"/>
          <w:snapToGrid w:val="0"/>
        </w:rPr>
        <w:t>17.1.3.1.1.2.1材料、设备图纸确定后3天内承包人将认质认价申请完整资料（内容包括材料、设备名称、规格型号、数量、质量要求、使用部位、拟用品牌及建议价格等信息）报发包人及项目业主单位，发包人及项目业主单位收到认质认价申请完整资料后7个工作日内组织完成相应认质认价工作。询价程序及询价资料等必须符合规定要求，或者经过审核询价程序及资料不符合要求的，需重新组织询价。材料、设备图纸确定后认质认价申请完整资料报送超过3天，由此延误认质认价时间而导致工期延误的责任由承包人自行承担。</w:t>
      </w:r>
    </w:p>
    <w:p w14:paraId="5671D125">
      <w:pPr>
        <w:pStyle w:val="403"/>
        <w:spacing w:line="460" w:lineRule="exact"/>
        <w:ind w:firstLine="480" w:firstLineChars="200"/>
        <w:rPr>
          <w:rFonts w:hint="eastAsia" w:eastAsia="宋体" w:cs="宋体"/>
          <w:snapToGrid w:val="0"/>
        </w:rPr>
      </w:pPr>
      <w:r>
        <w:rPr>
          <w:rFonts w:hint="eastAsia" w:eastAsia="宋体" w:cs="宋体"/>
          <w:snapToGrid w:val="0"/>
        </w:rPr>
        <w:t>17.1.3.1.1.2.2原则上承包人应确保所询品牌的产品不少于3个生产厂家；少于3个生产厂家的特殊情况，需取得发包人及项目业主单位同意。</w:t>
      </w:r>
    </w:p>
    <w:p w14:paraId="68684801">
      <w:pPr>
        <w:pStyle w:val="403"/>
        <w:spacing w:line="460" w:lineRule="exact"/>
        <w:ind w:firstLine="480" w:firstLineChars="200"/>
        <w:rPr>
          <w:rFonts w:hint="eastAsia" w:eastAsia="宋体" w:cs="宋体"/>
          <w:snapToGrid w:val="0"/>
        </w:rPr>
      </w:pPr>
      <w:r>
        <w:rPr>
          <w:rFonts w:hint="eastAsia" w:eastAsia="宋体" w:cs="宋体"/>
          <w:snapToGrid w:val="0"/>
        </w:rPr>
        <w:t>17.1.3.1.1.2.3对于询价结果差异较大不能达成一致意见的，则组织共同现场询价，直至达成一致认可价格为准。</w:t>
      </w:r>
    </w:p>
    <w:p w14:paraId="24340C51">
      <w:pPr>
        <w:pStyle w:val="403"/>
        <w:spacing w:line="460" w:lineRule="exact"/>
        <w:ind w:firstLine="480" w:firstLineChars="200"/>
        <w:rPr>
          <w:rFonts w:hint="eastAsia" w:eastAsia="宋体" w:cs="宋体"/>
          <w:snapToGrid w:val="0"/>
        </w:rPr>
      </w:pPr>
      <w:r>
        <w:rPr>
          <w:rFonts w:hint="eastAsia" w:eastAsia="宋体" w:cs="宋体"/>
          <w:snapToGrid w:val="0"/>
        </w:rPr>
        <w:t>17.1.3.1.1.2.4套用《广东省通用安装工程综合定额（2018）》的清单单价</w:t>
      </w:r>
      <w:r>
        <w:rPr>
          <w:rFonts w:hint="eastAsia" w:eastAsia="宋体"/>
        </w:rPr>
        <w:t>下浮</w:t>
      </w:r>
      <w:r>
        <w:rPr>
          <w:rFonts w:hint="eastAsia" w:eastAsia="宋体"/>
          <w:u w:val="single"/>
        </w:rPr>
        <w:t xml:space="preserve">  </w:t>
      </w:r>
      <w:r>
        <w:rPr>
          <w:rFonts w:hint="eastAsia" w:eastAsia="宋体"/>
        </w:rPr>
        <w:t>%（建安工程费中标下浮率+约定下浮率</w:t>
      </w:r>
      <w:r>
        <w:rPr>
          <w:rFonts w:hint="eastAsia" w:eastAsia="宋体"/>
          <w:u w:val="single"/>
        </w:rPr>
        <w:t>10</w:t>
      </w:r>
      <w:r>
        <w:rPr>
          <w:rFonts w:hint="eastAsia" w:eastAsia="宋体"/>
        </w:rPr>
        <w:t>%）</w:t>
      </w:r>
      <w:r>
        <w:rPr>
          <w:rFonts w:hint="eastAsia" w:eastAsia="宋体" w:cs="宋体"/>
          <w:snapToGrid w:val="0"/>
        </w:rPr>
        <w:t>（材料、设备完成认质认价部分不下浮），套用其它定额的</w:t>
      </w:r>
      <w:r>
        <w:rPr>
          <w:rFonts w:hint="eastAsia" w:eastAsia="宋体"/>
        </w:rPr>
        <w:t>下浮</w:t>
      </w:r>
      <w:r>
        <w:rPr>
          <w:rFonts w:hint="eastAsia" w:eastAsia="宋体"/>
          <w:u w:val="single"/>
        </w:rPr>
        <w:t xml:space="preserve">  </w:t>
      </w:r>
      <w:r>
        <w:rPr>
          <w:rFonts w:hint="eastAsia" w:eastAsia="宋体"/>
        </w:rPr>
        <w:t>%（建安工程费中标下浮率）</w:t>
      </w:r>
      <w:r>
        <w:rPr>
          <w:rFonts w:hint="eastAsia" w:eastAsia="宋体" w:cs="宋体"/>
          <w:snapToGrid w:val="0"/>
        </w:rPr>
        <w:t>（材料、设备完成认质认价部分不下浮）。</w:t>
      </w:r>
    </w:p>
    <w:p w14:paraId="61740CBF">
      <w:pPr>
        <w:pStyle w:val="403"/>
        <w:spacing w:line="460" w:lineRule="exact"/>
        <w:ind w:firstLine="480" w:firstLineChars="200"/>
        <w:rPr>
          <w:rFonts w:hint="eastAsia" w:eastAsia="宋体" w:cs="宋体"/>
          <w:snapToGrid w:val="0"/>
        </w:rPr>
      </w:pPr>
      <w:r>
        <w:rPr>
          <w:rFonts w:hint="eastAsia" w:eastAsia="宋体" w:cs="宋体"/>
          <w:snapToGrid w:val="0"/>
        </w:rPr>
        <w:t>17.1.3.1.1.3规费、税金等的计取按行政主管部门规定执行。</w:t>
      </w:r>
    </w:p>
    <w:p w14:paraId="15791E5A">
      <w:pPr>
        <w:pStyle w:val="403"/>
        <w:spacing w:line="460" w:lineRule="exact"/>
        <w:ind w:firstLine="480" w:firstLineChars="200"/>
        <w:rPr>
          <w:rFonts w:hint="eastAsia" w:eastAsia="宋体" w:cs="宋体"/>
          <w:snapToGrid w:val="0"/>
        </w:rPr>
      </w:pPr>
      <w:r>
        <w:rPr>
          <w:rFonts w:hint="eastAsia" w:eastAsia="宋体" w:cs="宋体"/>
          <w:snapToGrid w:val="0"/>
        </w:rPr>
        <w:t>17.1.3.1.1.4发包人与承包人双方认可的其他相关文件。</w:t>
      </w:r>
    </w:p>
    <w:p w14:paraId="2CC8263F">
      <w:pPr>
        <w:pStyle w:val="403"/>
        <w:spacing w:line="460" w:lineRule="exact"/>
        <w:ind w:firstLine="480" w:firstLineChars="200"/>
        <w:rPr>
          <w:rFonts w:hint="eastAsia" w:eastAsia="宋体" w:cs="宋体"/>
          <w:snapToGrid w:val="0"/>
        </w:rPr>
      </w:pPr>
      <w:r>
        <w:rPr>
          <w:rFonts w:hint="eastAsia" w:eastAsia="宋体" w:cs="宋体"/>
          <w:snapToGrid w:val="0"/>
        </w:rPr>
        <w:t>17.1.3.1.2工程量确定方式：</w:t>
      </w:r>
    </w:p>
    <w:p w14:paraId="62C3A271">
      <w:pPr>
        <w:pStyle w:val="403"/>
        <w:spacing w:line="460" w:lineRule="exact"/>
        <w:ind w:firstLine="480" w:firstLineChars="200"/>
        <w:rPr>
          <w:rFonts w:hint="eastAsia" w:eastAsia="宋体" w:cs="宋体"/>
          <w:snapToGrid w:val="0"/>
        </w:rPr>
      </w:pPr>
      <w:r>
        <w:rPr>
          <w:rFonts w:hint="eastAsia" w:eastAsia="宋体" w:cs="宋体"/>
          <w:snapToGrid w:val="0"/>
        </w:rPr>
        <w:t>以经审查的施工图为依据，按国标清单计价规范计算工程量。</w:t>
      </w:r>
    </w:p>
    <w:p w14:paraId="6032DE2C">
      <w:pPr>
        <w:pStyle w:val="403"/>
        <w:spacing w:line="460" w:lineRule="exact"/>
        <w:ind w:firstLine="480" w:firstLineChars="200"/>
        <w:rPr>
          <w:rFonts w:hint="eastAsia" w:eastAsia="宋体" w:cs="宋体"/>
          <w:snapToGrid w:val="0"/>
        </w:rPr>
      </w:pPr>
      <w:bookmarkStart w:id="1567" w:name="_Toc528255613"/>
      <w:bookmarkStart w:id="1568" w:name="_Toc68594915"/>
      <w:r>
        <w:rPr>
          <w:rFonts w:hint="eastAsia" w:eastAsia="宋体" w:cs="宋体"/>
          <w:snapToGrid w:val="0"/>
        </w:rPr>
        <w:t>17.2 预付款</w:t>
      </w:r>
      <w:bookmarkEnd w:id="1567"/>
      <w:bookmarkEnd w:id="1568"/>
    </w:p>
    <w:p w14:paraId="04C3227A">
      <w:pPr>
        <w:pStyle w:val="403"/>
        <w:spacing w:line="460" w:lineRule="exact"/>
        <w:ind w:firstLine="480" w:firstLineChars="200"/>
        <w:rPr>
          <w:rFonts w:hint="eastAsia" w:eastAsia="宋体" w:cs="宋体"/>
          <w:snapToGrid w:val="0"/>
        </w:rPr>
      </w:pPr>
      <w:r>
        <w:rPr>
          <w:rFonts w:hint="eastAsia" w:eastAsia="宋体" w:cs="宋体"/>
          <w:snapToGrid w:val="0"/>
        </w:rPr>
        <w:t>工程费（施工费）预付款为工程费含税合同暂定总价的</w:t>
      </w:r>
      <w:r>
        <w:rPr>
          <w:rFonts w:hint="eastAsia" w:eastAsia="宋体" w:cs="宋体"/>
          <w:snapToGrid w:val="0"/>
          <w:kern w:val="0"/>
        </w:rPr>
        <w:t>20%</w:t>
      </w:r>
      <w:r>
        <w:rPr>
          <w:rFonts w:hint="eastAsia" w:eastAsia="宋体" w:cs="宋体"/>
          <w:snapToGrid w:val="0"/>
        </w:rPr>
        <w:t>。其中工人工资款</w:t>
      </w:r>
      <w:r>
        <w:rPr>
          <w:rFonts w:hint="eastAsia" w:eastAsia="宋体" w:cs="宋体"/>
        </w:rPr>
        <w:t>划拨至承包人设立的工人工资款支付专用账户</w:t>
      </w:r>
      <w:r>
        <w:rPr>
          <w:rFonts w:hint="eastAsia" w:eastAsia="宋体" w:cs="宋体"/>
          <w:snapToGrid w:val="0"/>
        </w:rPr>
        <w:t>：工人工资款比例按照</w:t>
      </w:r>
      <w:r>
        <w:rPr>
          <w:rFonts w:hint="eastAsia" w:eastAsia="宋体"/>
        </w:rPr>
        <w:t>投标报价中的人工费的</w:t>
      </w:r>
      <w:r>
        <w:rPr>
          <w:rFonts w:hint="eastAsia" w:eastAsia="宋体" w:cs="宋体"/>
          <w:snapToGrid w:val="0"/>
        </w:rPr>
        <w:t>比例计算，计算出不超过工程费含税合同暂定总价1%的则按工程费含税合同暂定总价的1%计。</w:t>
      </w:r>
    </w:p>
    <w:p w14:paraId="46D7A574">
      <w:pPr>
        <w:pStyle w:val="403"/>
        <w:spacing w:line="460" w:lineRule="exact"/>
        <w:ind w:firstLine="480" w:firstLineChars="200"/>
        <w:rPr>
          <w:rFonts w:hint="eastAsia" w:eastAsia="宋体" w:cs="宋体"/>
          <w:snapToGrid w:val="0"/>
        </w:rPr>
      </w:pPr>
      <w:r>
        <w:rPr>
          <w:rFonts w:hint="eastAsia" w:eastAsia="宋体" w:cs="宋体"/>
          <w:snapToGrid w:val="0"/>
        </w:rPr>
        <w:t>合同完成签订，承包人提交了履约担保且发包人或监理人签发开工令后，承包人可申请工程费预付款的支付，发包人审批后支付。预付款从工程进度款中分期全部扣回，扣回的时间和比例为：</w:t>
      </w:r>
    </w:p>
    <w:tbl>
      <w:tblPr>
        <w:tblStyle w:val="62"/>
        <w:tblW w:w="0" w:type="auto"/>
        <w:tblInd w:w="25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0"/>
        <w:gridCol w:w="2700"/>
        <w:gridCol w:w="2604"/>
      </w:tblGrid>
      <w:tr w14:paraId="3A60B7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910" w:type="dxa"/>
            <w:vAlign w:val="center"/>
          </w:tcPr>
          <w:p w14:paraId="0B0F7B7B">
            <w:pPr>
              <w:pStyle w:val="403"/>
              <w:spacing w:line="460" w:lineRule="exact"/>
              <w:jc w:val="center"/>
              <w:rPr>
                <w:rFonts w:hint="eastAsia" w:eastAsia="宋体" w:cs="宋体"/>
              </w:rPr>
            </w:pPr>
            <w:r>
              <w:rPr>
                <w:rFonts w:hint="eastAsia" w:eastAsia="宋体" w:cs="宋体"/>
              </w:rPr>
              <w:t>已完工作量与合同承包价之比</w:t>
            </w:r>
          </w:p>
        </w:tc>
        <w:tc>
          <w:tcPr>
            <w:tcW w:w="2700" w:type="dxa"/>
            <w:vAlign w:val="center"/>
          </w:tcPr>
          <w:p w14:paraId="41EE26A9">
            <w:pPr>
              <w:pStyle w:val="403"/>
              <w:spacing w:line="460" w:lineRule="exact"/>
              <w:jc w:val="center"/>
              <w:rPr>
                <w:rFonts w:hint="eastAsia" w:eastAsia="宋体" w:cs="宋体"/>
              </w:rPr>
            </w:pPr>
            <w:r>
              <w:rPr>
                <w:rFonts w:hint="eastAsia" w:eastAsia="宋体" w:cs="宋体"/>
              </w:rPr>
              <w:t>扣回预付款的比例</w:t>
            </w:r>
          </w:p>
        </w:tc>
        <w:tc>
          <w:tcPr>
            <w:tcW w:w="2604" w:type="dxa"/>
            <w:vAlign w:val="center"/>
          </w:tcPr>
          <w:p w14:paraId="4772B2DF">
            <w:pPr>
              <w:pStyle w:val="403"/>
              <w:spacing w:line="460" w:lineRule="exact"/>
              <w:jc w:val="center"/>
              <w:rPr>
                <w:rFonts w:hint="eastAsia" w:eastAsia="宋体" w:cs="宋体"/>
              </w:rPr>
            </w:pPr>
            <w:r>
              <w:rPr>
                <w:rFonts w:hint="eastAsia" w:eastAsia="宋体" w:cs="宋体"/>
              </w:rPr>
              <w:t>累计扣回比例</w:t>
            </w:r>
          </w:p>
        </w:tc>
      </w:tr>
      <w:tr w14:paraId="3489CA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0" w:hRule="exact"/>
        </w:trPr>
        <w:tc>
          <w:tcPr>
            <w:tcW w:w="2910" w:type="dxa"/>
            <w:vAlign w:val="center"/>
          </w:tcPr>
          <w:p w14:paraId="45B2F4EA">
            <w:pPr>
              <w:pStyle w:val="403"/>
              <w:spacing w:line="460" w:lineRule="exact"/>
              <w:jc w:val="center"/>
              <w:rPr>
                <w:rFonts w:hint="eastAsia" w:eastAsia="宋体" w:cs="宋体"/>
              </w:rPr>
            </w:pPr>
            <w:r>
              <w:rPr>
                <w:rFonts w:hint="eastAsia" w:eastAsia="宋体" w:cs="宋体"/>
              </w:rPr>
              <w:t>20%≤a＜30%</w:t>
            </w:r>
          </w:p>
        </w:tc>
        <w:tc>
          <w:tcPr>
            <w:tcW w:w="2700" w:type="dxa"/>
            <w:vAlign w:val="center"/>
          </w:tcPr>
          <w:p w14:paraId="5016A5C8">
            <w:pPr>
              <w:pStyle w:val="403"/>
              <w:spacing w:line="460" w:lineRule="exact"/>
              <w:jc w:val="center"/>
              <w:rPr>
                <w:rFonts w:hint="eastAsia" w:eastAsia="宋体" w:cs="宋体"/>
              </w:rPr>
            </w:pPr>
            <w:r>
              <w:rPr>
                <w:rFonts w:hint="eastAsia" w:eastAsia="宋体" w:cs="宋体"/>
              </w:rPr>
              <w:t>25%</w:t>
            </w:r>
          </w:p>
        </w:tc>
        <w:tc>
          <w:tcPr>
            <w:tcW w:w="2604" w:type="dxa"/>
            <w:vAlign w:val="center"/>
          </w:tcPr>
          <w:p w14:paraId="0D808373">
            <w:pPr>
              <w:pStyle w:val="403"/>
              <w:spacing w:line="460" w:lineRule="exact"/>
              <w:jc w:val="center"/>
              <w:rPr>
                <w:rFonts w:hint="eastAsia" w:eastAsia="宋体" w:cs="宋体"/>
              </w:rPr>
            </w:pPr>
            <w:r>
              <w:rPr>
                <w:rFonts w:hint="eastAsia" w:eastAsia="宋体" w:cs="宋体"/>
              </w:rPr>
              <w:t>25%</w:t>
            </w:r>
          </w:p>
        </w:tc>
      </w:tr>
      <w:tr w14:paraId="118A67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exact"/>
        </w:trPr>
        <w:tc>
          <w:tcPr>
            <w:tcW w:w="2910" w:type="dxa"/>
            <w:vAlign w:val="center"/>
          </w:tcPr>
          <w:p w14:paraId="03162439">
            <w:pPr>
              <w:pStyle w:val="403"/>
              <w:spacing w:line="460" w:lineRule="exact"/>
              <w:jc w:val="center"/>
              <w:rPr>
                <w:rFonts w:hint="eastAsia" w:eastAsia="宋体" w:cs="宋体"/>
              </w:rPr>
            </w:pPr>
            <w:r>
              <w:rPr>
                <w:rFonts w:hint="eastAsia" w:eastAsia="宋体" w:cs="宋体"/>
              </w:rPr>
              <w:t>30%≤a＜40%</w:t>
            </w:r>
          </w:p>
        </w:tc>
        <w:tc>
          <w:tcPr>
            <w:tcW w:w="2700" w:type="dxa"/>
            <w:vAlign w:val="center"/>
          </w:tcPr>
          <w:p w14:paraId="6703C766">
            <w:pPr>
              <w:pStyle w:val="403"/>
              <w:spacing w:line="460" w:lineRule="exact"/>
              <w:jc w:val="center"/>
              <w:rPr>
                <w:rFonts w:hint="eastAsia" w:eastAsia="宋体" w:cs="宋体"/>
              </w:rPr>
            </w:pPr>
            <w:r>
              <w:rPr>
                <w:rFonts w:hint="eastAsia" w:eastAsia="宋体" w:cs="宋体"/>
              </w:rPr>
              <w:t>25%</w:t>
            </w:r>
          </w:p>
        </w:tc>
        <w:tc>
          <w:tcPr>
            <w:tcW w:w="2604" w:type="dxa"/>
          </w:tcPr>
          <w:p w14:paraId="60FB2BF4">
            <w:pPr>
              <w:pStyle w:val="403"/>
              <w:spacing w:line="460" w:lineRule="exact"/>
              <w:jc w:val="center"/>
              <w:rPr>
                <w:rFonts w:hint="eastAsia" w:eastAsia="宋体" w:cs="宋体"/>
              </w:rPr>
            </w:pPr>
            <w:r>
              <w:rPr>
                <w:rFonts w:hint="eastAsia" w:eastAsia="宋体" w:cs="宋体"/>
              </w:rPr>
              <w:t>50%</w:t>
            </w:r>
          </w:p>
        </w:tc>
      </w:tr>
      <w:tr w14:paraId="28005C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exact"/>
        </w:trPr>
        <w:tc>
          <w:tcPr>
            <w:tcW w:w="2910" w:type="dxa"/>
            <w:vAlign w:val="center"/>
          </w:tcPr>
          <w:p w14:paraId="08B6D6CF">
            <w:pPr>
              <w:pStyle w:val="403"/>
              <w:spacing w:line="460" w:lineRule="exact"/>
              <w:jc w:val="center"/>
              <w:rPr>
                <w:rFonts w:hint="eastAsia" w:eastAsia="宋体" w:cs="宋体"/>
              </w:rPr>
            </w:pPr>
            <w:r>
              <w:rPr>
                <w:rFonts w:hint="eastAsia" w:eastAsia="宋体" w:cs="宋体"/>
              </w:rPr>
              <w:t>40%≤a＜50%</w:t>
            </w:r>
          </w:p>
        </w:tc>
        <w:tc>
          <w:tcPr>
            <w:tcW w:w="2700" w:type="dxa"/>
          </w:tcPr>
          <w:p w14:paraId="06019825">
            <w:pPr>
              <w:pStyle w:val="403"/>
              <w:spacing w:line="460" w:lineRule="exact"/>
              <w:jc w:val="center"/>
              <w:rPr>
                <w:rFonts w:hint="eastAsia" w:eastAsia="宋体" w:cs="宋体"/>
              </w:rPr>
            </w:pPr>
            <w:r>
              <w:rPr>
                <w:rFonts w:hint="eastAsia" w:eastAsia="宋体" w:cs="宋体"/>
              </w:rPr>
              <w:t>25%</w:t>
            </w:r>
          </w:p>
        </w:tc>
        <w:tc>
          <w:tcPr>
            <w:tcW w:w="2604" w:type="dxa"/>
          </w:tcPr>
          <w:p w14:paraId="31525C88">
            <w:pPr>
              <w:pStyle w:val="403"/>
              <w:spacing w:line="460" w:lineRule="exact"/>
              <w:jc w:val="center"/>
              <w:rPr>
                <w:rFonts w:hint="eastAsia" w:eastAsia="宋体" w:cs="宋体"/>
              </w:rPr>
            </w:pPr>
            <w:r>
              <w:rPr>
                <w:rFonts w:hint="eastAsia" w:eastAsia="宋体" w:cs="宋体"/>
              </w:rPr>
              <w:t>75%</w:t>
            </w:r>
          </w:p>
        </w:tc>
      </w:tr>
      <w:tr w14:paraId="18111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8" w:hRule="exact"/>
        </w:trPr>
        <w:tc>
          <w:tcPr>
            <w:tcW w:w="2910" w:type="dxa"/>
            <w:vAlign w:val="center"/>
          </w:tcPr>
          <w:p w14:paraId="517F3E7D">
            <w:pPr>
              <w:pStyle w:val="403"/>
              <w:spacing w:line="460" w:lineRule="exact"/>
              <w:jc w:val="center"/>
              <w:rPr>
                <w:rFonts w:hint="eastAsia" w:eastAsia="宋体" w:cs="宋体"/>
              </w:rPr>
            </w:pPr>
            <w:r>
              <w:rPr>
                <w:rFonts w:hint="eastAsia" w:eastAsia="宋体" w:cs="宋体"/>
              </w:rPr>
              <w:t>50%≤a＜60%</w:t>
            </w:r>
          </w:p>
        </w:tc>
        <w:tc>
          <w:tcPr>
            <w:tcW w:w="2700" w:type="dxa"/>
          </w:tcPr>
          <w:p w14:paraId="6475B04C">
            <w:pPr>
              <w:pStyle w:val="403"/>
              <w:spacing w:line="460" w:lineRule="exact"/>
              <w:jc w:val="center"/>
              <w:rPr>
                <w:rFonts w:hint="eastAsia" w:eastAsia="宋体" w:cs="宋体"/>
              </w:rPr>
            </w:pPr>
            <w:r>
              <w:rPr>
                <w:rFonts w:hint="eastAsia" w:eastAsia="宋体" w:cs="宋体"/>
              </w:rPr>
              <w:t>25%</w:t>
            </w:r>
          </w:p>
        </w:tc>
        <w:tc>
          <w:tcPr>
            <w:tcW w:w="2604" w:type="dxa"/>
            <w:vAlign w:val="center"/>
          </w:tcPr>
          <w:p w14:paraId="14480C46">
            <w:pPr>
              <w:pStyle w:val="403"/>
              <w:spacing w:line="460" w:lineRule="exact"/>
              <w:jc w:val="center"/>
              <w:rPr>
                <w:rFonts w:hint="eastAsia" w:eastAsia="宋体" w:cs="宋体"/>
              </w:rPr>
            </w:pPr>
            <w:r>
              <w:rPr>
                <w:rFonts w:hint="eastAsia" w:eastAsia="宋体" w:cs="宋体"/>
              </w:rPr>
              <w:t>100%</w:t>
            </w:r>
          </w:p>
        </w:tc>
      </w:tr>
    </w:tbl>
    <w:p w14:paraId="5E7E026A">
      <w:pPr>
        <w:pStyle w:val="403"/>
        <w:spacing w:line="460" w:lineRule="exact"/>
        <w:ind w:firstLine="480" w:firstLineChars="200"/>
        <w:rPr>
          <w:rFonts w:hint="eastAsia" w:eastAsia="宋体" w:cs="宋体"/>
          <w:snapToGrid w:val="0"/>
        </w:rPr>
      </w:pPr>
      <w:r>
        <w:rPr>
          <w:rFonts w:hint="eastAsia" w:eastAsia="宋体" w:cs="宋体"/>
          <w:snapToGrid w:val="0"/>
        </w:rPr>
        <w:t>注：a=已完工作量/合同承包价</w:t>
      </w:r>
    </w:p>
    <w:p w14:paraId="21FCF415">
      <w:pPr>
        <w:pStyle w:val="403"/>
        <w:spacing w:line="460" w:lineRule="exact"/>
        <w:ind w:firstLine="480" w:firstLineChars="200"/>
        <w:rPr>
          <w:rFonts w:hint="eastAsia" w:eastAsia="宋体" w:cs="宋体"/>
          <w:snapToGrid w:val="0"/>
        </w:rPr>
      </w:pPr>
      <w:r>
        <w:rPr>
          <w:rFonts w:hint="eastAsia" w:eastAsia="宋体" w:cs="宋体"/>
          <w:snapToGrid w:val="0"/>
        </w:rPr>
        <w:t>17.3 勘察费支付、设计费支付、工程进度付款</w:t>
      </w:r>
    </w:p>
    <w:p w14:paraId="5E5F4A06">
      <w:pPr>
        <w:pStyle w:val="403"/>
        <w:spacing w:line="460" w:lineRule="exact"/>
        <w:ind w:firstLine="480" w:firstLineChars="200"/>
        <w:rPr>
          <w:rFonts w:hint="eastAsia" w:eastAsia="宋体" w:cs="宋体"/>
          <w:snapToGrid w:val="0"/>
        </w:rPr>
      </w:pPr>
      <w:r>
        <w:rPr>
          <w:rFonts w:hint="eastAsia" w:eastAsia="宋体" w:cs="宋体"/>
          <w:snapToGrid w:val="0"/>
        </w:rPr>
        <w:t>17.3.1 勘察费支付</w:t>
      </w:r>
    </w:p>
    <w:p w14:paraId="5B428963">
      <w:pPr>
        <w:spacing w:line="520" w:lineRule="exact"/>
        <w:ind w:firstLine="424" w:firstLineChars="202"/>
        <w:rPr>
          <w:rFonts w:hint="eastAsia" w:ascii="宋体" w:hAnsi="宋体" w:eastAsia="宋体"/>
          <w:snapToGrid w:val="0"/>
          <w:kern w:val="0"/>
        </w:rPr>
      </w:pPr>
      <w:r>
        <w:rPr>
          <w:rFonts w:ascii="宋体" w:hAnsi="宋体" w:eastAsia="宋体"/>
        </w:rPr>
        <w:t>17.3.1</w:t>
      </w:r>
      <w:r>
        <w:rPr>
          <w:rFonts w:hint="eastAsia" w:ascii="宋体" w:hAnsi="宋体" w:eastAsia="宋体"/>
          <w:snapToGrid w:val="0"/>
          <w:kern w:val="0"/>
        </w:rPr>
        <w:t>.1工程测量费支付申请进度详见下表：</w:t>
      </w:r>
    </w:p>
    <w:tbl>
      <w:tblPr>
        <w:tblStyle w:val="62"/>
        <w:tblW w:w="901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28"/>
        <w:gridCol w:w="4791"/>
      </w:tblGrid>
      <w:tr w14:paraId="2721E8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28" w:type="dxa"/>
            <w:tcBorders>
              <w:top w:val="single" w:color="auto" w:sz="4" w:space="0"/>
              <w:left w:val="single" w:color="auto" w:sz="4" w:space="0"/>
              <w:right w:val="single" w:color="auto" w:sz="4" w:space="0"/>
            </w:tcBorders>
            <w:vAlign w:val="center"/>
          </w:tcPr>
          <w:p w14:paraId="589F5C9D">
            <w:pPr>
              <w:spacing w:line="360" w:lineRule="exact"/>
              <w:jc w:val="center"/>
              <w:rPr>
                <w:rFonts w:hint="eastAsia" w:ascii="宋体" w:hAnsi="宋体" w:eastAsia="宋体"/>
              </w:rPr>
            </w:pPr>
            <w:r>
              <w:rPr>
                <w:rFonts w:hint="eastAsia" w:ascii="宋体" w:hAnsi="宋体" w:eastAsia="宋体"/>
              </w:rPr>
              <w:t>支付</w:t>
            </w:r>
            <w:r>
              <w:rPr>
                <w:rFonts w:hint="eastAsia" w:ascii="宋体" w:hAnsi="宋体" w:eastAsia="宋体"/>
                <w:snapToGrid w:val="0"/>
                <w:kern w:val="0"/>
              </w:rPr>
              <w:t>申请</w:t>
            </w:r>
            <w:r>
              <w:rPr>
                <w:rFonts w:hint="eastAsia" w:ascii="宋体" w:hAnsi="宋体" w:eastAsia="宋体"/>
              </w:rPr>
              <w:t>节点</w:t>
            </w:r>
          </w:p>
        </w:tc>
        <w:tc>
          <w:tcPr>
            <w:tcW w:w="4791" w:type="dxa"/>
            <w:tcBorders>
              <w:top w:val="single" w:color="auto" w:sz="4" w:space="0"/>
              <w:left w:val="single" w:color="auto" w:sz="4" w:space="0"/>
              <w:right w:val="single" w:color="auto" w:sz="4" w:space="0"/>
            </w:tcBorders>
            <w:vAlign w:val="center"/>
          </w:tcPr>
          <w:p w14:paraId="3E37562C">
            <w:pPr>
              <w:spacing w:line="360" w:lineRule="exact"/>
              <w:jc w:val="center"/>
              <w:rPr>
                <w:rFonts w:hint="eastAsia" w:ascii="宋体" w:hAnsi="宋体" w:eastAsia="宋体"/>
              </w:rPr>
            </w:pPr>
            <w:r>
              <w:rPr>
                <w:rFonts w:hint="eastAsia" w:ascii="宋体" w:hAnsi="宋体" w:eastAsia="宋体"/>
              </w:rPr>
              <w:t>支付比例</w:t>
            </w:r>
          </w:p>
        </w:tc>
      </w:tr>
      <w:tr w14:paraId="0D8214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8" w:type="dxa"/>
            <w:tcBorders>
              <w:top w:val="single" w:color="auto" w:sz="4" w:space="0"/>
              <w:left w:val="single" w:color="auto" w:sz="4" w:space="0"/>
              <w:bottom w:val="single" w:color="auto" w:sz="4" w:space="0"/>
              <w:right w:val="single" w:color="auto" w:sz="4" w:space="0"/>
            </w:tcBorders>
            <w:vAlign w:val="center"/>
          </w:tcPr>
          <w:p w14:paraId="435863A5">
            <w:pPr>
              <w:spacing w:line="360" w:lineRule="exact"/>
              <w:rPr>
                <w:rFonts w:hint="eastAsia" w:ascii="宋体" w:hAnsi="宋体" w:eastAsia="宋体" w:cs="宋体"/>
              </w:rPr>
            </w:pPr>
            <w:r>
              <w:rPr>
                <w:rFonts w:hint="eastAsia" w:ascii="宋体" w:hAnsi="宋体" w:eastAsia="宋体" w:cs="宋体"/>
              </w:rPr>
              <w:t>合同签订后</w:t>
            </w:r>
          </w:p>
        </w:tc>
        <w:tc>
          <w:tcPr>
            <w:tcW w:w="4791" w:type="dxa"/>
            <w:tcBorders>
              <w:top w:val="single" w:color="auto" w:sz="4" w:space="0"/>
              <w:left w:val="single" w:color="auto" w:sz="4" w:space="0"/>
              <w:bottom w:val="single" w:color="auto" w:sz="4" w:space="0"/>
              <w:right w:val="single" w:color="auto" w:sz="4" w:space="0"/>
            </w:tcBorders>
            <w:vAlign w:val="center"/>
          </w:tcPr>
          <w:p w14:paraId="1B52B62F">
            <w:pPr>
              <w:spacing w:line="360" w:lineRule="exact"/>
              <w:rPr>
                <w:rFonts w:hint="eastAsia" w:ascii="宋体" w:hAnsi="宋体" w:eastAsia="宋体" w:cs="宋体"/>
              </w:rPr>
            </w:pPr>
            <w:r>
              <w:rPr>
                <w:rFonts w:hint="eastAsia" w:ascii="宋体" w:hAnsi="宋体" w:eastAsia="宋体"/>
              </w:rPr>
              <w:t>支付</w:t>
            </w:r>
            <w:r>
              <w:rPr>
                <w:rFonts w:hint="eastAsia" w:ascii="宋体" w:hAnsi="宋体" w:eastAsia="宋体" w:cs="宋体"/>
              </w:rPr>
              <w:t>合同工程测量费</w:t>
            </w:r>
            <w:r>
              <w:rPr>
                <w:rFonts w:hint="eastAsia" w:ascii="宋体" w:hAnsi="宋体" w:eastAsia="宋体"/>
              </w:rPr>
              <w:t>合同暂定总价</w:t>
            </w:r>
            <w:r>
              <w:rPr>
                <w:rFonts w:hint="eastAsia" w:ascii="宋体" w:hAnsi="宋体" w:eastAsia="宋体" w:cs="宋体"/>
              </w:rPr>
              <w:t>的</w:t>
            </w:r>
            <w:r>
              <w:rPr>
                <w:rFonts w:ascii="宋体" w:hAnsi="宋体" w:eastAsia="宋体" w:cs="宋体"/>
              </w:rPr>
              <w:t>20%</w:t>
            </w:r>
            <w:r>
              <w:rPr>
                <w:rFonts w:hint="eastAsia" w:ascii="宋体" w:hAnsi="宋体" w:eastAsia="宋体" w:cs="宋体"/>
              </w:rPr>
              <w:t>（首付款）</w:t>
            </w:r>
          </w:p>
        </w:tc>
      </w:tr>
      <w:tr w14:paraId="6808A8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8" w:type="dxa"/>
            <w:tcBorders>
              <w:top w:val="single" w:color="auto" w:sz="4" w:space="0"/>
              <w:left w:val="single" w:color="auto" w:sz="4" w:space="0"/>
              <w:bottom w:val="single" w:color="auto" w:sz="4" w:space="0"/>
              <w:right w:val="single" w:color="auto" w:sz="4" w:space="0"/>
            </w:tcBorders>
            <w:vAlign w:val="center"/>
          </w:tcPr>
          <w:p w14:paraId="70B095F7">
            <w:pPr>
              <w:spacing w:line="360" w:lineRule="exact"/>
              <w:rPr>
                <w:rFonts w:hint="eastAsia" w:ascii="宋体" w:hAnsi="宋体" w:eastAsia="宋体" w:cs="宋体"/>
              </w:rPr>
            </w:pPr>
            <w:r>
              <w:rPr>
                <w:rFonts w:hint="eastAsia" w:ascii="宋体" w:hAnsi="宋体" w:eastAsia="宋体" w:cs="宋体"/>
              </w:rPr>
              <w:t>提交测量成果文件后</w:t>
            </w:r>
          </w:p>
        </w:tc>
        <w:tc>
          <w:tcPr>
            <w:tcW w:w="4791" w:type="dxa"/>
            <w:tcBorders>
              <w:top w:val="single" w:color="auto" w:sz="4" w:space="0"/>
              <w:left w:val="single" w:color="auto" w:sz="4" w:space="0"/>
              <w:bottom w:val="single" w:color="auto" w:sz="4" w:space="0"/>
              <w:right w:val="single" w:color="auto" w:sz="4" w:space="0"/>
            </w:tcBorders>
            <w:vAlign w:val="center"/>
          </w:tcPr>
          <w:p w14:paraId="5EBA2E98">
            <w:pPr>
              <w:spacing w:line="360" w:lineRule="exact"/>
              <w:rPr>
                <w:rFonts w:hint="eastAsia" w:ascii="宋体" w:hAnsi="宋体" w:eastAsia="宋体" w:cs="宋体"/>
              </w:rPr>
            </w:pPr>
            <w:r>
              <w:rPr>
                <w:rFonts w:hint="eastAsia" w:ascii="宋体" w:hAnsi="宋体" w:eastAsia="宋体"/>
              </w:rPr>
              <w:t>支付</w:t>
            </w:r>
            <w:r>
              <w:rPr>
                <w:rFonts w:hint="eastAsia" w:ascii="宋体" w:hAnsi="宋体" w:eastAsia="宋体" w:cs="宋体"/>
              </w:rPr>
              <w:t>合同工程测量</w:t>
            </w:r>
            <w:r>
              <w:rPr>
                <w:rFonts w:hint="eastAsia" w:ascii="宋体" w:hAnsi="宋体" w:eastAsia="宋体"/>
              </w:rPr>
              <w:t>实际完成工作量对应金额</w:t>
            </w:r>
            <w:r>
              <w:rPr>
                <w:rFonts w:hint="eastAsia" w:ascii="宋体" w:hAnsi="宋体" w:eastAsia="宋体" w:cs="宋体"/>
              </w:rPr>
              <w:t>的</w:t>
            </w:r>
            <w:r>
              <w:rPr>
                <w:rFonts w:ascii="宋体" w:hAnsi="宋体" w:eastAsia="宋体" w:cs="宋体"/>
              </w:rPr>
              <w:t>60%</w:t>
            </w:r>
            <w:r>
              <w:rPr>
                <w:rFonts w:hint="eastAsia" w:ascii="宋体" w:hAnsi="宋体" w:eastAsia="宋体" w:cs="宋体"/>
              </w:rPr>
              <w:t>，但累计支付（含首付款）不超过合同工程测量费</w:t>
            </w:r>
            <w:r>
              <w:rPr>
                <w:rFonts w:hint="eastAsia" w:ascii="宋体" w:hAnsi="宋体" w:eastAsia="宋体"/>
              </w:rPr>
              <w:t>合同暂定总价</w:t>
            </w:r>
            <w:r>
              <w:rPr>
                <w:rFonts w:hint="eastAsia" w:ascii="宋体" w:hAnsi="宋体" w:eastAsia="宋体" w:cs="宋体"/>
              </w:rPr>
              <w:t>的</w:t>
            </w:r>
            <w:r>
              <w:rPr>
                <w:rFonts w:ascii="宋体" w:hAnsi="宋体" w:eastAsia="宋体" w:cs="宋体"/>
              </w:rPr>
              <w:t>80%</w:t>
            </w:r>
          </w:p>
        </w:tc>
      </w:tr>
      <w:tr w14:paraId="2FF142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28" w:type="dxa"/>
            <w:tcBorders>
              <w:top w:val="single" w:color="auto" w:sz="4" w:space="0"/>
              <w:left w:val="single" w:color="auto" w:sz="4" w:space="0"/>
              <w:bottom w:val="single" w:color="auto" w:sz="4" w:space="0"/>
              <w:right w:val="single" w:color="auto" w:sz="4" w:space="0"/>
            </w:tcBorders>
            <w:vAlign w:val="center"/>
          </w:tcPr>
          <w:p w14:paraId="523BCE93">
            <w:pPr>
              <w:spacing w:line="360" w:lineRule="exact"/>
              <w:rPr>
                <w:rFonts w:hint="eastAsia" w:ascii="宋体" w:hAnsi="宋体" w:eastAsia="宋体" w:cs="宋体"/>
              </w:rPr>
            </w:pPr>
            <w:r>
              <w:rPr>
                <w:rFonts w:hint="eastAsia" w:ascii="宋体" w:hAnsi="宋体" w:eastAsia="宋体" w:cs="宋体"/>
              </w:rPr>
              <w:t>工程竣工验收合格，本合同结算审批完成后</w:t>
            </w:r>
          </w:p>
        </w:tc>
        <w:tc>
          <w:tcPr>
            <w:tcW w:w="4791" w:type="dxa"/>
            <w:tcBorders>
              <w:top w:val="single" w:color="auto" w:sz="4" w:space="0"/>
              <w:left w:val="single" w:color="auto" w:sz="4" w:space="0"/>
              <w:bottom w:val="single" w:color="auto" w:sz="4" w:space="0"/>
              <w:right w:val="single" w:color="auto" w:sz="4" w:space="0"/>
            </w:tcBorders>
            <w:vAlign w:val="center"/>
          </w:tcPr>
          <w:p w14:paraId="1AAB2269">
            <w:pPr>
              <w:spacing w:line="360" w:lineRule="exact"/>
              <w:rPr>
                <w:rFonts w:hint="eastAsia" w:ascii="宋体" w:hAnsi="宋体" w:eastAsia="宋体" w:cs="宋体"/>
              </w:rPr>
            </w:pPr>
            <w:r>
              <w:rPr>
                <w:rFonts w:hint="eastAsia" w:ascii="宋体" w:hAnsi="宋体" w:eastAsia="宋体"/>
              </w:rPr>
              <w:t>累计支付至</w:t>
            </w:r>
            <w:r>
              <w:rPr>
                <w:rFonts w:hint="eastAsia" w:ascii="宋体" w:hAnsi="宋体" w:eastAsia="宋体" w:cs="宋体"/>
              </w:rPr>
              <w:t>工程测量费</w:t>
            </w:r>
            <w:r>
              <w:rPr>
                <w:rFonts w:hint="eastAsia" w:ascii="宋体" w:hAnsi="宋体" w:eastAsia="宋体"/>
              </w:rPr>
              <w:t>结算金额的</w:t>
            </w:r>
            <w:r>
              <w:rPr>
                <w:rFonts w:ascii="宋体" w:hAnsi="宋体" w:eastAsia="宋体"/>
              </w:rPr>
              <w:t>100</w:t>
            </w:r>
            <w:r>
              <w:rPr>
                <w:rFonts w:ascii="宋体" w:hAnsi="宋体" w:eastAsia="宋体" w:cs="宋体"/>
              </w:rPr>
              <w:t>%</w:t>
            </w:r>
          </w:p>
        </w:tc>
      </w:tr>
    </w:tbl>
    <w:p w14:paraId="3AE5C67E">
      <w:pPr>
        <w:spacing w:before="120" w:beforeLines="50" w:line="520" w:lineRule="exact"/>
        <w:ind w:firstLine="424" w:firstLineChars="202"/>
        <w:rPr>
          <w:rFonts w:hint="eastAsia" w:ascii="宋体" w:hAnsi="宋体" w:eastAsia="宋体"/>
          <w:snapToGrid w:val="0"/>
          <w:kern w:val="0"/>
        </w:rPr>
      </w:pPr>
      <w:r>
        <w:rPr>
          <w:rFonts w:ascii="宋体" w:hAnsi="宋体" w:eastAsia="宋体"/>
        </w:rPr>
        <w:t>17.3.1</w:t>
      </w:r>
      <w:r>
        <w:rPr>
          <w:rFonts w:hint="eastAsia" w:ascii="宋体" w:hAnsi="宋体" w:eastAsia="宋体"/>
          <w:snapToGrid w:val="0"/>
          <w:kern w:val="0"/>
        </w:rPr>
        <w:t>.2工程物探费支付申请进度详见下表：</w:t>
      </w:r>
    </w:p>
    <w:tbl>
      <w:tblPr>
        <w:tblStyle w:val="62"/>
        <w:tblW w:w="89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03"/>
        <w:gridCol w:w="4767"/>
      </w:tblGrid>
      <w:tr w14:paraId="390A89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03" w:type="dxa"/>
            <w:tcBorders>
              <w:top w:val="single" w:color="auto" w:sz="4" w:space="0"/>
              <w:left w:val="single" w:color="auto" w:sz="4" w:space="0"/>
              <w:right w:val="single" w:color="auto" w:sz="4" w:space="0"/>
            </w:tcBorders>
            <w:vAlign w:val="center"/>
          </w:tcPr>
          <w:p w14:paraId="6422FBC2">
            <w:pPr>
              <w:spacing w:line="360" w:lineRule="exact"/>
              <w:jc w:val="center"/>
              <w:rPr>
                <w:rFonts w:hint="eastAsia" w:ascii="宋体" w:hAnsi="宋体" w:eastAsia="宋体"/>
              </w:rPr>
            </w:pPr>
            <w:r>
              <w:rPr>
                <w:rFonts w:hint="eastAsia" w:ascii="宋体" w:hAnsi="宋体" w:eastAsia="宋体"/>
              </w:rPr>
              <w:t>支付</w:t>
            </w:r>
            <w:r>
              <w:rPr>
                <w:rFonts w:hint="eastAsia" w:ascii="宋体" w:hAnsi="宋体" w:eastAsia="宋体"/>
                <w:snapToGrid w:val="0"/>
                <w:kern w:val="0"/>
              </w:rPr>
              <w:t>申请</w:t>
            </w:r>
            <w:r>
              <w:rPr>
                <w:rFonts w:hint="eastAsia" w:ascii="宋体" w:hAnsi="宋体" w:eastAsia="宋体"/>
              </w:rPr>
              <w:t>节点</w:t>
            </w:r>
          </w:p>
        </w:tc>
        <w:tc>
          <w:tcPr>
            <w:tcW w:w="4767" w:type="dxa"/>
            <w:tcBorders>
              <w:top w:val="single" w:color="auto" w:sz="4" w:space="0"/>
              <w:left w:val="single" w:color="auto" w:sz="4" w:space="0"/>
              <w:right w:val="single" w:color="auto" w:sz="4" w:space="0"/>
            </w:tcBorders>
            <w:vAlign w:val="center"/>
          </w:tcPr>
          <w:p w14:paraId="1E036C1D">
            <w:pPr>
              <w:spacing w:line="360" w:lineRule="exact"/>
              <w:jc w:val="center"/>
              <w:rPr>
                <w:rFonts w:hint="eastAsia" w:ascii="宋体" w:hAnsi="宋体" w:eastAsia="宋体"/>
              </w:rPr>
            </w:pPr>
            <w:r>
              <w:rPr>
                <w:rFonts w:hint="eastAsia" w:ascii="宋体" w:hAnsi="宋体" w:eastAsia="宋体"/>
              </w:rPr>
              <w:t>支付比例</w:t>
            </w:r>
          </w:p>
        </w:tc>
      </w:tr>
      <w:tr w14:paraId="4A1A8F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Borders>
              <w:top w:val="single" w:color="auto" w:sz="4" w:space="0"/>
              <w:left w:val="single" w:color="auto" w:sz="4" w:space="0"/>
              <w:bottom w:val="single" w:color="auto" w:sz="4" w:space="0"/>
              <w:right w:val="single" w:color="auto" w:sz="4" w:space="0"/>
            </w:tcBorders>
            <w:vAlign w:val="center"/>
          </w:tcPr>
          <w:p w14:paraId="3EB1BB4C">
            <w:pPr>
              <w:spacing w:line="360" w:lineRule="exact"/>
              <w:rPr>
                <w:rFonts w:hint="eastAsia" w:ascii="宋体" w:hAnsi="宋体" w:eastAsia="宋体" w:cs="宋体"/>
              </w:rPr>
            </w:pPr>
            <w:r>
              <w:rPr>
                <w:rFonts w:hint="eastAsia" w:ascii="宋体" w:hAnsi="宋体" w:eastAsia="宋体" w:cs="宋体"/>
              </w:rPr>
              <w:t>合同签订后</w:t>
            </w:r>
          </w:p>
        </w:tc>
        <w:tc>
          <w:tcPr>
            <w:tcW w:w="4767" w:type="dxa"/>
            <w:tcBorders>
              <w:top w:val="single" w:color="auto" w:sz="4" w:space="0"/>
              <w:left w:val="single" w:color="auto" w:sz="4" w:space="0"/>
              <w:bottom w:val="single" w:color="auto" w:sz="4" w:space="0"/>
              <w:right w:val="single" w:color="auto" w:sz="4" w:space="0"/>
            </w:tcBorders>
            <w:vAlign w:val="center"/>
          </w:tcPr>
          <w:p w14:paraId="2E795FB1">
            <w:pPr>
              <w:spacing w:line="360" w:lineRule="exact"/>
              <w:rPr>
                <w:rFonts w:hint="eastAsia" w:ascii="宋体" w:hAnsi="宋体" w:eastAsia="宋体" w:cs="宋体"/>
              </w:rPr>
            </w:pPr>
            <w:r>
              <w:rPr>
                <w:rFonts w:hint="eastAsia" w:ascii="宋体" w:hAnsi="宋体" w:eastAsia="宋体"/>
              </w:rPr>
              <w:t>支付</w:t>
            </w:r>
            <w:r>
              <w:rPr>
                <w:rFonts w:hint="eastAsia" w:ascii="宋体" w:hAnsi="宋体" w:eastAsia="宋体" w:cs="宋体"/>
              </w:rPr>
              <w:t>合同工程物探费</w:t>
            </w:r>
            <w:r>
              <w:rPr>
                <w:rFonts w:hint="eastAsia" w:ascii="宋体" w:hAnsi="宋体" w:eastAsia="宋体"/>
              </w:rPr>
              <w:t>合同暂定总价</w:t>
            </w:r>
            <w:r>
              <w:rPr>
                <w:rFonts w:hint="eastAsia" w:ascii="宋体" w:hAnsi="宋体" w:eastAsia="宋体" w:cs="宋体"/>
              </w:rPr>
              <w:t>的</w:t>
            </w:r>
            <w:r>
              <w:rPr>
                <w:rFonts w:ascii="宋体" w:hAnsi="宋体" w:eastAsia="宋体" w:cs="宋体"/>
              </w:rPr>
              <w:t>20%</w:t>
            </w:r>
            <w:r>
              <w:rPr>
                <w:rFonts w:hint="eastAsia" w:ascii="宋体" w:hAnsi="宋体" w:eastAsia="宋体" w:cs="宋体"/>
              </w:rPr>
              <w:t>（首付款）</w:t>
            </w:r>
          </w:p>
        </w:tc>
      </w:tr>
      <w:tr w14:paraId="58C622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03" w:type="dxa"/>
            <w:tcBorders>
              <w:top w:val="single" w:color="auto" w:sz="4" w:space="0"/>
              <w:left w:val="single" w:color="auto" w:sz="4" w:space="0"/>
              <w:bottom w:val="single" w:color="auto" w:sz="4" w:space="0"/>
              <w:right w:val="single" w:color="auto" w:sz="4" w:space="0"/>
            </w:tcBorders>
            <w:vAlign w:val="center"/>
          </w:tcPr>
          <w:p w14:paraId="741E9B46">
            <w:pPr>
              <w:spacing w:line="360" w:lineRule="exact"/>
              <w:rPr>
                <w:rFonts w:hint="eastAsia" w:ascii="宋体" w:hAnsi="宋体" w:eastAsia="宋体" w:cs="宋体"/>
              </w:rPr>
            </w:pPr>
            <w:r>
              <w:rPr>
                <w:rFonts w:hint="eastAsia" w:ascii="宋体" w:hAnsi="宋体" w:eastAsia="宋体" w:cs="宋体"/>
              </w:rPr>
              <w:t>提交物探成果文件后</w:t>
            </w:r>
          </w:p>
        </w:tc>
        <w:tc>
          <w:tcPr>
            <w:tcW w:w="4767" w:type="dxa"/>
            <w:tcBorders>
              <w:top w:val="single" w:color="auto" w:sz="4" w:space="0"/>
              <w:left w:val="single" w:color="auto" w:sz="4" w:space="0"/>
              <w:bottom w:val="single" w:color="auto" w:sz="4" w:space="0"/>
              <w:right w:val="single" w:color="auto" w:sz="4" w:space="0"/>
            </w:tcBorders>
            <w:vAlign w:val="center"/>
          </w:tcPr>
          <w:p w14:paraId="0AE82322">
            <w:pPr>
              <w:spacing w:line="360" w:lineRule="exact"/>
              <w:rPr>
                <w:rFonts w:hint="eastAsia" w:ascii="宋体" w:hAnsi="宋体" w:eastAsia="宋体" w:cs="宋体"/>
              </w:rPr>
            </w:pPr>
            <w:r>
              <w:rPr>
                <w:rFonts w:hint="eastAsia" w:ascii="宋体" w:hAnsi="宋体" w:eastAsia="宋体"/>
              </w:rPr>
              <w:t>支付</w:t>
            </w:r>
            <w:r>
              <w:rPr>
                <w:rFonts w:hint="eastAsia" w:ascii="宋体" w:hAnsi="宋体" w:eastAsia="宋体" w:cs="宋体"/>
              </w:rPr>
              <w:t>合同工程物探</w:t>
            </w:r>
            <w:r>
              <w:rPr>
                <w:rFonts w:hint="eastAsia" w:ascii="宋体" w:hAnsi="宋体" w:eastAsia="宋体"/>
              </w:rPr>
              <w:t>实际完成工作量对应金额</w:t>
            </w:r>
            <w:r>
              <w:rPr>
                <w:rFonts w:hint="eastAsia" w:ascii="宋体" w:hAnsi="宋体" w:eastAsia="宋体" w:cs="宋体"/>
              </w:rPr>
              <w:t>的</w:t>
            </w:r>
            <w:r>
              <w:rPr>
                <w:rFonts w:ascii="宋体" w:hAnsi="宋体" w:eastAsia="宋体" w:cs="宋体"/>
              </w:rPr>
              <w:t>60%</w:t>
            </w:r>
            <w:r>
              <w:rPr>
                <w:rFonts w:hint="eastAsia" w:ascii="宋体" w:hAnsi="宋体" w:eastAsia="宋体" w:cs="宋体"/>
              </w:rPr>
              <w:t>，但累计支付（含首付款）不超过合同工程物探费</w:t>
            </w:r>
            <w:r>
              <w:rPr>
                <w:rFonts w:hint="eastAsia" w:ascii="宋体" w:hAnsi="宋体" w:eastAsia="宋体"/>
              </w:rPr>
              <w:t>合同暂定总价</w:t>
            </w:r>
            <w:r>
              <w:rPr>
                <w:rFonts w:hint="eastAsia" w:ascii="宋体" w:hAnsi="宋体" w:eastAsia="宋体" w:cs="宋体"/>
              </w:rPr>
              <w:t>的</w:t>
            </w:r>
            <w:r>
              <w:rPr>
                <w:rFonts w:ascii="宋体" w:hAnsi="宋体" w:eastAsia="宋体" w:cs="宋体"/>
              </w:rPr>
              <w:t>80%</w:t>
            </w:r>
          </w:p>
        </w:tc>
      </w:tr>
      <w:tr w14:paraId="0E73C9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4203" w:type="dxa"/>
            <w:tcBorders>
              <w:top w:val="single" w:color="auto" w:sz="4" w:space="0"/>
              <w:left w:val="single" w:color="auto" w:sz="4" w:space="0"/>
              <w:bottom w:val="single" w:color="auto" w:sz="4" w:space="0"/>
              <w:right w:val="single" w:color="auto" w:sz="4" w:space="0"/>
            </w:tcBorders>
            <w:vAlign w:val="center"/>
          </w:tcPr>
          <w:p w14:paraId="1B8FFB33">
            <w:pPr>
              <w:spacing w:line="360" w:lineRule="exact"/>
              <w:rPr>
                <w:rFonts w:hint="eastAsia" w:ascii="宋体" w:hAnsi="宋体" w:eastAsia="宋体" w:cs="宋体"/>
              </w:rPr>
            </w:pPr>
            <w:r>
              <w:rPr>
                <w:rFonts w:hint="eastAsia" w:ascii="宋体" w:hAnsi="宋体" w:eastAsia="宋体" w:cs="宋体"/>
              </w:rPr>
              <w:t>工程竣工验收合格，本合同结算审批完成后</w:t>
            </w:r>
          </w:p>
        </w:tc>
        <w:tc>
          <w:tcPr>
            <w:tcW w:w="4767" w:type="dxa"/>
            <w:tcBorders>
              <w:top w:val="single" w:color="auto" w:sz="4" w:space="0"/>
              <w:left w:val="single" w:color="auto" w:sz="4" w:space="0"/>
              <w:bottom w:val="single" w:color="auto" w:sz="4" w:space="0"/>
              <w:right w:val="single" w:color="auto" w:sz="4" w:space="0"/>
            </w:tcBorders>
            <w:vAlign w:val="center"/>
          </w:tcPr>
          <w:p w14:paraId="30F677B8">
            <w:pPr>
              <w:spacing w:line="360" w:lineRule="exact"/>
              <w:rPr>
                <w:rFonts w:hint="eastAsia" w:ascii="宋体" w:hAnsi="宋体" w:eastAsia="宋体" w:cs="宋体"/>
              </w:rPr>
            </w:pPr>
            <w:r>
              <w:rPr>
                <w:rFonts w:hint="eastAsia" w:ascii="宋体" w:hAnsi="宋体" w:eastAsia="宋体"/>
              </w:rPr>
              <w:t>累计</w:t>
            </w:r>
            <w:r>
              <w:rPr>
                <w:rFonts w:hint="eastAsia" w:ascii="宋体" w:hAnsi="宋体" w:eastAsia="宋体" w:cs="宋体"/>
              </w:rPr>
              <w:t>支付至工程物探费结算金额的</w:t>
            </w:r>
            <w:r>
              <w:rPr>
                <w:rFonts w:ascii="宋体" w:hAnsi="宋体" w:eastAsia="宋体" w:cs="宋体"/>
              </w:rPr>
              <w:t>100%</w:t>
            </w:r>
          </w:p>
        </w:tc>
      </w:tr>
    </w:tbl>
    <w:p w14:paraId="77D0F5F7">
      <w:pPr>
        <w:spacing w:before="120" w:beforeLines="50" w:line="520" w:lineRule="exact"/>
        <w:ind w:firstLine="424" w:firstLineChars="202"/>
        <w:rPr>
          <w:rFonts w:hint="eastAsia" w:ascii="宋体" w:hAnsi="宋体" w:eastAsia="宋体"/>
          <w:snapToGrid w:val="0"/>
          <w:kern w:val="0"/>
        </w:rPr>
      </w:pPr>
      <w:r>
        <w:rPr>
          <w:rFonts w:ascii="宋体" w:hAnsi="宋体" w:eastAsia="宋体"/>
        </w:rPr>
        <w:t>17.3.1</w:t>
      </w:r>
      <w:r>
        <w:rPr>
          <w:rFonts w:hint="eastAsia" w:ascii="宋体" w:hAnsi="宋体" w:eastAsia="宋体"/>
          <w:snapToGrid w:val="0"/>
          <w:kern w:val="0"/>
        </w:rPr>
        <w:t>.3国土规划测绘费支付申请进度详见下表：</w:t>
      </w:r>
    </w:p>
    <w:tbl>
      <w:tblPr>
        <w:tblStyle w:val="6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254"/>
        <w:gridCol w:w="4818"/>
      </w:tblGrid>
      <w:tr w14:paraId="2E13EC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4254" w:type="dxa"/>
            <w:tcBorders>
              <w:top w:val="single" w:color="auto" w:sz="4" w:space="0"/>
              <w:left w:val="single" w:color="auto" w:sz="4" w:space="0"/>
              <w:right w:val="single" w:color="auto" w:sz="4" w:space="0"/>
            </w:tcBorders>
            <w:vAlign w:val="center"/>
          </w:tcPr>
          <w:p w14:paraId="44077B6E">
            <w:pPr>
              <w:spacing w:line="360" w:lineRule="exact"/>
              <w:jc w:val="center"/>
              <w:rPr>
                <w:rFonts w:hint="eastAsia" w:ascii="宋体" w:hAnsi="宋体" w:eastAsia="宋体"/>
              </w:rPr>
            </w:pPr>
            <w:r>
              <w:rPr>
                <w:rFonts w:hint="eastAsia" w:ascii="宋体" w:hAnsi="宋体" w:eastAsia="宋体"/>
              </w:rPr>
              <w:t>支付</w:t>
            </w:r>
            <w:r>
              <w:rPr>
                <w:rFonts w:hint="eastAsia" w:ascii="宋体" w:hAnsi="宋体" w:eastAsia="宋体"/>
                <w:snapToGrid w:val="0"/>
                <w:kern w:val="0"/>
              </w:rPr>
              <w:t>申请</w:t>
            </w:r>
            <w:r>
              <w:rPr>
                <w:rFonts w:hint="eastAsia" w:ascii="宋体" w:hAnsi="宋体" w:eastAsia="宋体"/>
              </w:rPr>
              <w:t>节点</w:t>
            </w:r>
          </w:p>
        </w:tc>
        <w:tc>
          <w:tcPr>
            <w:tcW w:w="4818" w:type="dxa"/>
            <w:tcBorders>
              <w:top w:val="single" w:color="auto" w:sz="4" w:space="0"/>
              <w:left w:val="single" w:color="auto" w:sz="4" w:space="0"/>
              <w:right w:val="single" w:color="auto" w:sz="4" w:space="0"/>
            </w:tcBorders>
            <w:vAlign w:val="center"/>
          </w:tcPr>
          <w:p w14:paraId="1A79931C">
            <w:pPr>
              <w:spacing w:line="360" w:lineRule="exact"/>
              <w:jc w:val="center"/>
              <w:rPr>
                <w:rFonts w:hint="eastAsia" w:ascii="宋体" w:hAnsi="宋体" w:eastAsia="宋体"/>
              </w:rPr>
            </w:pPr>
            <w:r>
              <w:rPr>
                <w:rFonts w:hint="eastAsia" w:ascii="宋体" w:hAnsi="宋体" w:eastAsia="宋体"/>
              </w:rPr>
              <w:t>支付比例</w:t>
            </w:r>
          </w:p>
        </w:tc>
      </w:tr>
      <w:tr w14:paraId="14632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tcBorders>
              <w:top w:val="single" w:color="auto" w:sz="4" w:space="0"/>
              <w:left w:val="single" w:color="auto" w:sz="4" w:space="0"/>
              <w:bottom w:val="single" w:color="auto" w:sz="4" w:space="0"/>
              <w:right w:val="single" w:color="auto" w:sz="4" w:space="0"/>
            </w:tcBorders>
            <w:vAlign w:val="center"/>
          </w:tcPr>
          <w:p w14:paraId="60D55EA3">
            <w:pPr>
              <w:spacing w:line="360" w:lineRule="exact"/>
              <w:rPr>
                <w:rFonts w:hint="eastAsia" w:ascii="宋体" w:hAnsi="宋体" w:eastAsia="宋体" w:cs="宋体"/>
              </w:rPr>
            </w:pPr>
            <w:r>
              <w:rPr>
                <w:rFonts w:hint="eastAsia" w:ascii="宋体" w:hAnsi="宋体" w:eastAsia="宋体" w:cs="宋体"/>
              </w:rPr>
              <w:t>合同签订后</w:t>
            </w:r>
          </w:p>
        </w:tc>
        <w:tc>
          <w:tcPr>
            <w:tcW w:w="4818" w:type="dxa"/>
            <w:tcBorders>
              <w:top w:val="single" w:color="auto" w:sz="4" w:space="0"/>
              <w:left w:val="single" w:color="auto" w:sz="4" w:space="0"/>
              <w:bottom w:val="single" w:color="auto" w:sz="4" w:space="0"/>
              <w:right w:val="single" w:color="auto" w:sz="4" w:space="0"/>
            </w:tcBorders>
            <w:vAlign w:val="center"/>
          </w:tcPr>
          <w:p w14:paraId="5DD3F019">
            <w:pPr>
              <w:spacing w:line="360" w:lineRule="exact"/>
              <w:rPr>
                <w:rFonts w:hint="eastAsia" w:ascii="宋体" w:hAnsi="宋体" w:eastAsia="宋体" w:cs="宋体"/>
              </w:rPr>
            </w:pPr>
            <w:r>
              <w:rPr>
                <w:rFonts w:hint="eastAsia" w:ascii="宋体" w:hAnsi="宋体" w:eastAsia="宋体"/>
              </w:rPr>
              <w:t>支付</w:t>
            </w:r>
            <w:r>
              <w:rPr>
                <w:rFonts w:hint="eastAsia" w:ascii="宋体" w:hAnsi="宋体" w:eastAsia="宋体" w:cs="宋体"/>
              </w:rPr>
              <w:t>合同国土规划测绘费</w:t>
            </w:r>
            <w:r>
              <w:rPr>
                <w:rFonts w:hint="eastAsia" w:ascii="宋体" w:hAnsi="宋体" w:eastAsia="宋体"/>
              </w:rPr>
              <w:t>合同暂定总价</w:t>
            </w:r>
            <w:r>
              <w:rPr>
                <w:rFonts w:hint="eastAsia" w:ascii="宋体" w:hAnsi="宋体" w:eastAsia="宋体" w:cs="宋体"/>
              </w:rPr>
              <w:t>的</w:t>
            </w:r>
            <w:r>
              <w:rPr>
                <w:rFonts w:ascii="宋体" w:hAnsi="宋体" w:eastAsia="宋体" w:cs="宋体"/>
              </w:rPr>
              <w:t>20%</w:t>
            </w:r>
            <w:r>
              <w:rPr>
                <w:rFonts w:hint="eastAsia" w:ascii="宋体" w:hAnsi="宋体" w:eastAsia="宋体" w:cs="宋体"/>
              </w:rPr>
              <w:t>（首付款）</w:t>
            </w:r>
          </w:p>
        </w:tc>
      </w:tr>
      <w:tr w14:paraId="5EBB4E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tcBorders>
              <w:top w:val="single" w:color="auto" w:sz="4" w:space="0"/>
              <w:left w:val="single" w:color="auto" w:sz="4" w:space="0"/>
              <w:bottom w:val="single" w:color="auto" w:sz="4" w:space="0"/>
              <w:right w:val="single" w:color="auto" w:sz="4" w:space="0"/>
            </w:tcBorders>
            <w:vAlign w:val="center"/>
          </w:tcPr>
          <w:p w14:paraId="041012AC">
            <w:pPr>
              <w:spacing w:line="360" w:lineRule="exact"/>
              <w:rPr>
                <w:rFonts w:hint="eastAsia" w:ascii="宋体" w:hAnsi="宋体" w:eastAsia="宋体" w:cs="宋体"/>
              </w:rPr>
            </w:pPr>
            <w:r>
              <w:rPr>
                <w:rFonts w:hint="eastAsia" w:ascii="宋体" w:hAnsi="宋体" w:eastAsia="宋体" w:cs="宋体"/>
              </w:rPr>
              <w:t>提交测绘成果文件并取得相关部门确认（如需）后</w:t>
            </w:r>
          </w:p>
        </w:tc>
        <w:tc>
          <w:tcPr>
            <w:tcW w:w="4818" w:type="dxa"/>
            <w:tcBorders>
              <w:top w:val="single" w:color="auto" w:sz="4" w:space="0"/>
              <w:left w:val="single" w:color="auto" w:sz="4" w:space="0"/>
              <w:bottom w:val="single" w:color="auto" w:sz="4" w:space="0"/>
              <w:right w:val="single" w:color="auto" w:sz="4" w:space="0"/>
            </w:tcBorders>
            <w:vAlign w:val="center"/>
          </w:tcPr>
          <w:p w14:paraId="28A1B2FC">
            <w:pPr>
              <w:spacing w:line="360" w:lineRule="exact"/>
              <w:rPr>
                <w:rFonts w:hint="eastAsia" w:ascii="宋体" w:hAnsi="宋体" w:eastAsia="宋体" w:cs="宋体"/>
              </w:rPr>
            </w:pPr>
            <w:r>
              <w:rPr>
                <w:rFonts w:hint="eastAsia" w:ascii="宋体" w:hAnsi="宋体" w:eastAsia="宋体"/>
              </w:rPr>
              <w:t>支付</w:t>
            </w:r>
            <w:r>
              <w:rPr>
                <w:rFonts w:hint="eastAsia" w:ascii="宋体" w:hAnsi="宋体" w:eastAsia="宋体" w:cs="宋体"/>
              </w:rPr>
              <w:t>合同国土规划测绘</w:t>
            </w:r>
            <w:r>
              <w:rPr>
                <w:rFonts w:hint="eastAsia" w:ascii="宋体" w:hAnsi="宋体" w:eastAsia="宋体"/>
              </w:rPr>
              <w:t>实际完成工作量对应金额</w:t>
            </w:r>
            <w:r>
              <w:rPr>
                <w:rFonts w:hint="eastAsia" w:ascii="宋体" w:hAnsi="宋体" w:eastAsia="宋体" w:cs="宋体"/>
              </w:rPr>
              <w:t>的</w:t>
            </w:r>
            <w:r>
              <w:rPr>
                <w:rFonts w:ascii="宋体" w:hAnsi="宋体" w:eastAsia="宋体" w:cs="宋体"/>
              </w:rPr>
              <w:t>60%</w:t>
            </w:r>
            <w:r>
              <w:rPr>
                <w:rFonts w:hint="eastAsia" w:ascii="宋体" w:hAnsi="宋体" w:eastAsia="宋体" w:cs="宋体"/>
              </w:rPr>
              <w:t>，但累计支付（含首付款）不超过合同国土规划测绘费</w:t>
            </w:r>
            <w:r>
              <w:rPr>
                <w:rFonts w:hint="eastAsia" w:ascii="宋体" w:hAnsi="宋体" w:eastAsia="宋体"/>
              </w:rPr>
              <w:t>合同暂定总价</w:t>
            </w:r>
            <w:r>
              <w:rPr>
                <w:rFonts w:hint="eastAsia" w:ascii="宋体" w:hAnsi="宋体" w:eastAsia="宋体" w:cs="宋体"/>
              </w:rPr>
              <w:t>的</w:t>
            </w:r>
            <w:r>
              <w:rPr>
                <w:rFonts w:ascii="宋体" w:hAnsi="宋体" w:eastAsia="宋体" w:cs="宋体"/>
              </w:rPr>
              <w:t>80%</w:t>
            </w:r>
          </w:p>
        </w:tc>
      </w:tr>
      <w:tr w14:paraId="4A051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254" w:type="dxa"/>
            <w:tcBorders>
              <w:top w:val="single" w:color="auto" w:sz="4" w:space="0"/>
              <w:left w:val="single" w:color="auto" w:sz="4" w:space="0"/>
              <w:bottom w:val="single" w:color="auto" w:sz="4" w:space="0"/>
              <w:right w:val="single" w:color="auto" w:sz="4" w:space="0"/>
            </w:tcBorders>
            <w:vAlign w:val="center"/>
          </w:tcPr>
          <w:p w14:paraId="16414B38">
            <w:pPr>
              <w:spacing w:line="360" w:lineRule="exact"/>
              <w:rPr>
                <w:rFonts w:hint="eastAsia" w:ascii="宋体" w:hAnsi="宋体" w:eastAsia="宋体" w:cs="宋体"/>
              </w:rPr>
            </w:pPr>
            <w:r>
              <w:rPr>
                <w:rFonts w:hint="eastAsia" w:ascii="宋体" w:hAnsi="宋体" w:eastAsia="宋体" w:cs="宋体"/>
              </w:rPr>
              <w:t>完成专项结算审核后</w:t>
            </w:r>
          </w:p>
        </w:tc>
        <w:tc>
          <w:tcPr>
            <w:tcW w:w="4818" w:type="dxa"/>
            <w:tcBorders>
              <w:top w:val="single" w:color="auto" w:sz="4" w:space="0"/>
              <w:left w:val="single" w:color="auto" w:sz="4" w:space="0"/>
              <w:bottom w:val="single" w:color="auto" w:sz="4" w:space="0"/>
              <w:right w:val="single" w:color="auto" w:sz="4" w:space="0"/>
            </w:tcBorders>
            <w:vAlign w:val="center"/>
          </w:tcPr>
          <w:p w14:paraId="4269FD6F">
            <w:pPr>
              <w:spacing w:line="360" w:lineRule="exact"/>
              <w:rPr>
                <w:rFonts w:hint="eastAsia" w:ascii="宋体" w:hAnsi="宋体" w:eastAsia="宋体" w:cs="宋体"/>
              </w:rPr>
            </w:pPr>
            <w:r>
              <w:rPr>
                <w:rFonts w:hint="eastAsia" w:ascii="宋体" w:hAnsi="宋体" w:eastAsia="宋体"/>
              </w:rPr>
              <w:t>累计</w:t>
            </w:r>
            <w:r>
              <w:rPr>
                <w:rFonts w:hint="eastAsia" w:ascii="宋体" w:hAnsi="宋体" w:eastAsia="宋体" w:cs="宋体"/>
              </w:rPr>
              <w:t>支付至国土规划测绘费结算金额的</w:t>
            </w:r>
            <w:r>
              <w:rPr>
                <w:rFonts w:ascii="宋体" w:hAnsi="宋体" w:eastAsia="宋体" w:cs="宋体"/>
              </w:rPr>
              <w:t>100%</w:t>
            </w:r>
          </w:p>
        </w:tc>
      </w:tr>
    </w:tbl>
    <w:p w14:paraId="75764AA5">
      <w:pPr>
        <w:pStyle w:val="403"/>
        <w:spacing w:line="460" w:lineRule="exact"/>
        <w:ind w:firstLine="480" w:firstLineChars="200"/>
        <w:rPr>
          <w:rFonts w:hint="eastAsia" w:eastAsia="宋体" w:cs="宋体"/>
          <w:snapToGrid w:val="0"/>
        </w:rPr>
      </w:pPr>
      <w:r>
        <w:rPr>
          <w:rFonts w:hint="eastAsia" w:eastAsia="宋体" w:cs="宋体"/>
          <w:snapToGrid w:val="0"/>
        </w:rPr>
        <w:t>17.3.2 设计费支付</w:t>
      </w:r>
    </w:p>
    <w:p w14:paraId="6D04D6AC">
      <w:pPr>
        <w:pStyle w:val="403"/>
        <w:spacing w:after="120" w:afterLines="50" w:line="460" w:lineRule="exact"/>
        <w:ind w:firstLine="480" w:firstLineChars="200"/>
        <w:rPr>
          <w:rFonts w:hint="eastAsia" w:eastAsia="宋体" w:cs="宋体"/>
          <w:snapToGrid w:val="0"/>
        </w:rPr>
      </w:pPr>
      <w:r>
        <w:rPr>
          <w:rFonts w:hint="eastAsia" w:eastAsia="宋体" w:cs="宋体"/>
          <w:snapToGrid w:val="0"/>
        </w:rPr>
        <w:t>17.3.2.1 合同设计费（包括设计及相关服务费）分期支付，支付分解表如下：</w:t>
      </w:r>
    </w:p>
    <w:tbl>
      <w:tblPr>
        <w:tblStyle w:val="62"/>
        <w:tblW w:w="907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098"/>
        <w:gridCol w:w="3974"/>
      </w:tblGrid>
      <w:tr w14:paraId="07847A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jc w:val="center"/>
        </w:trPr>
        <w:tc>
          <w:tcPr>
            <w:tcW w:w="5098" w:type="dxa"/>
            <w:tcBorders>
              <w:top w:val="single" w:color="auto" w:sz="4" w:space="0"/>
              <w:left w:val="single" w:color="auto" w:sz="4" w:space="0"/>
              <w:right w:val="single" w:color="auto" w:sz="4" w:space="0"/>
            </w:tcBorders>
          </w:tcPr>
          <w:p w14:paraId="26CC998E">
            <w:pPr>
              <w:spacing w:line="360" w:lineRule="exact"/>
              <w:jc w:val="center"/>
              <w:rPr>
                <w:rFonts w:hint="eastAsia" w:ascii="宋体" w:hAnsi="宋体" w:eastAsia="宋体"/>
              </w:rPr>
            </w:pPr>
            <w:r>
              <w:rPr>
                <w:rFonts w:hint="eastAsia" w:ascii="宋体" w:hAnsi="宋体" w:eastAsia="宋体"/>
              </w:rPr>
              <w:t>支付申请节点</w:t>
            </w:r>
          </w:p>
        </w:tc>
        <w:tc>
          <w:tcPr>
            <w:tcW w:w="3974" w:type="dxa"/>
            <w:tcBorders>
              <w:top w:val="single" w:color="auto" w:sz="4" w:space="0"/>
              <w:left w:val="single" w:color="auto" w:sz="4" w:space="0"/>
              <w:right w:val="single" w:color="auto" w:sz="4" w:space="0"/>
            </w:tcBorders>
          </w:tcPr>
          <w:p w14:paraId="3D16259B">
            <w:pPr>
              <w:spacing w:line="360" w:lineRule="exact"/>
              <w:jc w:val="center"/>
              <w:rPr>
                <w:rFonts w:hint="eastAsia" w:ascii="宋体" w:hAnsi="宋体" w:eastAsia="宋体"/>
              </w:rPr>
            </w:pPr>
            <w:r>
              <w:rPr>
                <w:rFonts w:hint="eastAsia" w:ascii="宋体" w:hAnsi="宋体" w:eastAsia="宋体"/>
              </w:rPr>
              <w:t>支付比例</w:t>
            </w:r>
          </w:p>
        </w:tc>
      </w:tr>
      <w:tr w14:paraId="0E731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Borders>
              <w:top w:val="single" w:color="auto" w:sz="4" w:space="0"/>
              <w:left w:val="single" w:color="auto" w:sz="4" w:space="0"/>
              <w:bottom w:val="single" w:color="auto" w:sz="4" w:space="0"/>
              <w:right w:val="single" w:color="auto" w:sz="4" w:space="0"/>
            </w:tcBorders>
          </w:tcPr>
          <w:p w14:paraId="406AB7A9">
            <w:pPr>
              <w:spacing w:line="360" w:lineRule="exact"/>
              <w:rPr>
                <w:rFonts w:hint="eastAsia" w:ascii="宋体" w:hAnsi="宋体" w:eastAsia="宋体" w:cs="宋体"/>
              </w:rPr>
            </w:pPr>
            <w:r>
              <w:rPr>
                <w:rFonts w:hint="eastAsia" w:ascii="宋体" w:hAnsi="宋体" w:eastAsia="宋体"/>
              </w:rPr>
              <w:t>合同签订并提交履约担保后</w:t>
            </w:r>
          </w:p>
        </w:tc>
        <w:tc>
          <w:tcPr>
            <w:tcW w:w="3974" w:type="dxa"/>
            <w:tcBorders>
              <w:top w:val="single" w:color="auto" w:sz="4" w:space="0"/>
              <w:left w:val="single" w:color="auto" w:sz="4" w:space="0"/>
              <w:bottom w:val="single" w:color="auto" w:sz="4" w:space="0"/>
              <w:right w:val="single" w:color="auto" w:sz="4" w:space="0"/>
            </w:tcBorders>
          </w:tcPr>
          <w:p w14:paraId="12C47F85">
            <w:pPr>
              <w:spacing w:line="360" w:lineRule="exact"/>
              <w:rPr>
                <w:rFonts w:hint="eastAsia" w:ascii="宋体" w:hAnsi="宋体" w:eastAsia="宋体" w:cs="宋体"/>
              </w:rPr>
            </w:pPr>
            <w:r>
              <w:rPr>
                <w:rFonts w:hint="eastAsia" w:ascii="宋体" w:hAnsi="宋体" w:eastAsia="宋体"/>
              </w:rPr>
              <w:t>合同设计费暂定总额的</w:t>
            </w:r>
            <w:r>
              <w:rPr>
                <w:rFonts w:ascii="宋体" w:hAnsi="宋体" w:eastAsia="宋体"/>
              </w:rPr>
              <w:t>20%</w:t>
            </w:r>
          </w:p>
        </w:tc>
      </w:tr>
      <w:tr w14:paraId="736BB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Borders>
              <w:top w:val="single" w:color="auto" w:sz="4" w:space="0"/>
              <w:left w:val="single" w:color="auto" w:sz="4" w:space="0"/>
              <w:bottom w:val="single" w:color="auto" w:sz="4" w:space="0"/>
              <w:right w:val="single" w:color="auto" w:sz="4" w:space="0"/>
            </w:tcBorders>
          </w:tcPr>
          <w:p w14:paraId="6B34AB9A">
            <w:pPr>
              <w:spacing w:line="360" w:lineRule="exact"/>
              <w:rPr>
                <w:rFonts w:hint="eastAsia" w:ascii="宋体" w:hAnsi="宋体" w:eastAsia="宋体" w:cs="宋体"/>
              </w:rPr>
            </w:pPr>
            <w:r>
              <w:rPr>
                <w:rFonts w:hint="eastAsia" w:ascii="宋体" w:hAnsi="宋体" w:eastAsia="宋体"/>
              </w:rPr>
              <w:t>施工图设计完成并经发包人确认且提交成果后</w:t>
            </w:r>
          </w:p>
        </w:tc>
        <w:tc>
          <w:tcPr>
            <w:tcW w:w="3974" w:type="dxa"/>
            <w:tcBorders>
              <w:top w:val="single" w:color="auto" w:sz="4" w:space="0"/>
              <w:left w:val="single" w:color="auto" w:sz="4" w:space="0"/>
              <w:bottom w:val="single" w:color="auto" w:sz="4" w:space="0"/>
              <w:right w:val="single" w:color="auto" w:sz="4" w:space="0"/>
            </w:tcBorders>
          </w:tcPr>
          <w:p w14:paraId="79716FBB">
            <w:pPr>
              <w:spacing w:line="360" w:lineRule="exact"/>
              <w:rPr>
                <w:rFonts w:hint="eastAsia" w:ascii="宋体" w:hAnsi="宋体" w:eastAsia="宋体" w:cs="宋体"/>
              </w:rPr>
            </w:pPr>
            <w:r>
              <w:rPr>
                <w:rFonts w:hint="eastAsia" w:ascii="宋体" w:hAnsi="宋体" w:eastAsia="宋体"/>
              </w:rPr>
              <w:t>累计支付至合同设计费暂定总额的</w:t>
            </w:r>
            <w:r>
              <w:rPr>
                <w:rFonts w:ascii="宋体" w:hAnsi="宋体" w:eastAsia="宋体"/>
              </w:rPr>
              <w:t>60%</w:t>
            </w:r>
          </w:p>
        </w:tc>
      </w:tr>
      <w:tr w14:paraId="7AAAC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Borders>
              <w:top w:val="single" w:color="auto" w:sz="4" w:space="0"/>
              <w:left w:val="single" w:color="auto" w:sz="4" w:space="0"/>
              <w:bottom w:val="single" w:color="auto" w:sz="4" w:space="0"/>
              <w:right w:val="single" w:color="auto" w:sz="4" w:space="0"/>
            </w:tcBorders>
          </w:tcPr>
          <w:p w14:paraId="36DE549E">
            <w:pPr>
              <w:spacing w:line="360" w:lineRule="exact"/>
              <w:rPr>
                <w:rFonts w:hint="eastAsia" w:ascii="宋体" w:hAnsi="宋体" w:eastAsia="宋体" w:cs="宋体"/>
              </w:rPr>
            </w:pPr>
            <w:r>
              <w:rPr>
                <w:rFonts w:hint="eastAsia" w:ascii="宋体" w:hAnsi="宋体" w:eastAsia="宋体"/>
              </w:rPr>
              <w:t>主体工程完成后</w:t>
            </w:r>
          </w:p>
        </w:tc>
        <w:tc>
          <w:tcPr>
            <w:tcW w:w="3974" w:type="dxa"/>
            <w:tcBorders>
              <w:top w:val="single" w:color="auto" w:sz="4" w:space="0"/>
              <w:left w:val="single" w:color="auto" w:sz="4" w:space="0"/>
              <w:bottom w:val="single" w:color="auto" w:sz="4" w:space="0"/>
              <w:right w:val="single" w:color="auto" w:sz="4" w:space="0"/>
            </w:tcBorders>
          </w:tcPr>
          <w:p w14:paraId="75CBC25E">
            <w:pPr>
              <w:spacing w:line="360" w:lineRule="exact"/>
              <w:rPr>
                <w:rFonts w:hint="eastAsia" w:ascii="宋体" w:hAnsi="宋体" w:eastAsia="宋体" w:cs="宋体"/>
              </w:rPr>
            </w:pPr>
            <w:r>
              <w:rPr>
                <w:rFonts w:hint="eastAsia" w:ascii="宋体" w:hAnsi="宋体" w:eastAsia="宋体"/>
              </w:rPr>
              <w:t>累计支付至合同设计费暂定总额的</w:t>
            </w:r>
            <w:r>
              <w:rPr>
                <w:rFonts w:ascii="宋体" w:hAnsi="宋体" w:eastAsia="宋体"/>
              </w:rPr>
              <w:t>80%</w:t>
            </w:r>
          </w:p>
        </w:tc>
      </w:tr>
      <w:tr w14:paraId="63A1F8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Borders>
              <w:top w:val="single" w:color="auto" w:sz="4" w:space="0"/>
              <w:left w:val="single" w:color="auto" w:sz="4" w:space="0"/>
              <w:bottom w:val="single" w:color="auto" w:sz="4" w:space="0"/>
              <w:right w:val="single" w:color="auto" w:sz="4" w:space="0"/>
            </w:tcBorders>
          </w:tcPr>
          <w:p w14:paraId="0B113EE2">
            <w:pPr>
              <w:spacing w:line="360" w:lineRule="exact"/>
              <w:rPr>
                <w:rFonts w:hint="eastAsia" w:ascii="宋体" w:hAnsi="宋体" w:eastAsia="宋体" w:cs="宋体"/>
              </w:rPr>
            </w:pPr>
            <w:r>
              <w:rPr>
                <w:rFonts w:hint="eastAsia" w:ascii="宋体" w:hAnsi="宋体" w:eastAsia="宋体"/>
              </w:rPr>
              <w:t>竣工验收合格，按规定提交技术档案并已完成本合同全部设计项目的实施工作，完成合同结算后</w:t>
            </w:r>
          </w:p>
        </w:tc>
        <w:tc>
          <w:tcPr>
            <w:tcW w:w="3974" w:type="dxa"/>
            <w:tcBorders>
              <w:top w:val="single" w:color="auto" w:sz="4" w:space="0"/>
              <w:left w:val="single" w:color="auto" w:sz="4" w:space="0"/>
              <w:bottom w:val="single" w:color="auto" w:sz="4" w:space="0"/>
              <w:right w:val="single" w:color="auto" w:sz="4" w:space="0"/>
            </w:tcBorders>
          </w:tcPr>
          <w:p w14:paraId="41C83F7B">
            <w:pPr>
              <w:spacing w:line="360" w:lineRule="exact"/>
              <w:rPr>
                <w:rFonts w:hint="eastAsia" w:ascii="宋体" w:hAnsi="宋体" w:eastAsia="宋体" w:cs="宋体"/>
              </w:rPr>
            </w:pPr>
            <w:r>
              <w:rPr>
                <w:rFonts w:hint="eastAsia" w:ascii="宋体" w:hAnsi="宋体" w:eastAsia="宋体"/>
              </w:rPr>
              <w:t>累计支付至设计费结算金额的</w:t>
            </w:r>
            <w:r>
              <w:rPr>
                <w:rFonts w:ascii="宋体" w:hAnsi="宋体" w:eastAsia="宋体"/>
              </w:rPr>
              <w:t>97%</w:t>
            </w:r>
          </w:p>
        </w:tc>
      </w:tr>
      <w:tr w14:paraId="3C2966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98" w:type="dxa"/>
            <w:tcBorders>
              <w:top w:val="single" w:color="auto" w:sz="4" w:space="0"/>
              <w:left w:val="single" w:color="auto" w:sz="4" w:space="0"/>
              <w:bottom w:val="single" w:color="auto" w:sz="4" w:space="0"/>
              <w:right w:val="single" w:color="auto" w:sz="4" w:space="0"/>
            </w:tcBorders>
          </w:tcPr>
          <w:p w14:paraId="31516F15">
            <w:pPr>
              <w:spacing w:line="360" w:lineRule="exact"/>
              <w:rPr>
                <w:rFonts w:hint="eastAsia" w:ascii="宋体" w:hAnsi="宋体" w:eastAsia="宋体" w:cs="宋体"/>
              </w:rPr>
            </w:pPr>
            <w:r>
              <w:rPr>
                <w:rFonts w:hint="eastAsia" w:ascii="宋体" w:hAnsi="宋体" w:eastAsia="宋体"/>
              </w:rPr>
              <w:t>缺陷责任期满并取得监理单位、发包人确认后</w:t>
            </w:r>
          </w:p>
        </w:tc>
        <w:tc>
          <w:tcPr>
            <w:tcW w:w="3974" w:type="dxa"/>
            <w:tcBorders>
              <w:top w:val="single" w:color="auto" w:sz="4" w:space="0"/>
              <w:left w:val="single" w:color="auto" w:sz="4" w:space="0"/>
              <w:bottom w:val="single" w:color="auto" w:sz="4" w:space="0"/>
              <w:right w:val="single" w:color="auto" w:sz="4" w:space="0"/>
            </w:tcBorders>
          </w:tcPr>
          <w:p w14:paraId="7DD9559F">
            <w:pPr>
              <w:spacing w:line="360" w:lineRule="exact"/>
              <w:rPr>
                <w:rFonts w:hint="eastAsia" w:ascii="宋体" w:hAnsi="宋体" w:eastAsia="宋体" w:cs="宋体"/>
              </w:rPr>
            </w:pPr>
            <w:r>
              <w:rPr>
                <w:rFonts w:hint="eastAsia" w:ascii="宋体" w:hAnsi="宋体" w:eastAsia="宋体"/>
              </w:rPr>
              <w:t>设计费结算金额的</w:t>
            </w:r>
            <w:r>
              <w:rPr>
                <w:rFonts w:ascii="宋体" w:hAnsi="宋体" w:eastAsia="宋体"/>
              </w:rPr>
              <w:t>3%</w:t>
            </w:r>
          </w:p>
        </w:tc>
      </w:tr>
    </w:tbl>
    <w:p w14:paraId="254B5EB9">
      <w:pPr>
        <w:pStyle w:val="403"/>
        <w:spacing w:line="460" w:lineRule="exact"/>
        <w:ind w:firstLine="480" w:firstLineChars="200"/>
        <w:rPr>
          <w:rFonts w:hint="eastAsia" w:eastAsia="宋体" w:cs="宋体"/>
          <w:snapToGrid w:val="0"/>
        </w:rPr>
      </w:pPr>
      <w:r>
        <w:rPr>
          <w:rFonts w:hint="eastAsia" w:eastAsia="宋体" w:cs="宋体"/>
          <w:snapToGrid w:val="0"/>
        </w:rPr>
        <w:t>本表所规定的支付约定是在承包人全面完成各设计阶段工作（含服务），并符合本合同所规定的设计进度和深度的前提下执行，否则发包人有权根据承包人的工作调整设计费的支付进度及比例。</w:t>
      </w:r>
    </w:p>
    <w:p w14:paraId="0504DEE7">
      <w:pPr>
        <w:pStyle w:val="403"/>
        <w:spacing w:line="460" w:lineRule="exact"/>
        <w:ind w:firstLine="480" w:firstLineChars="200"/>
        <w:rPr>
          <w:rFonts w:hint="eastAsia" w:eastAsia="宋体"/>
        </w:rPr>
      </w:pPr>
      <w:bookmarkStart w:id="1569" w:name="_Toc68594917"/>
      <w:r>
        <w:rPr>
          <w:rFonts w:hint="eastAsia" w:eastAsia="宋体"/>
        </w:rPr>
        <w:t>17.3.</w:t>
      </w:r>
      <w:r>
        <w:rPr>
          <w:rFonts w:hint="eastAsia" w:eastAsia="宋体" w:cs="宋体"/>
          <w:snapToGrid w:val="0"/>
        </w:rPr>
        <w:t>4</w:t>
      </w:r>
      <w:r>
        <w:rPr>
          <w:rFonts w:hint="eastAsia" w:eastAsia="宋体"/>
        </w:rPr>
        <w:t>本合同工程费（不含</w:t>
      </w:r>
      <w:r>
        <w:rPr>
          <w:rFonts w:hint="eastAsia" w:eastAsia="宋体" w:cs="宋体"/>
          <w:snapToGrid w:val="0"/>
        </w:rPr>
        <w:t>绿色</w:t>
      </w:r>
      <w:r>
        <w:rPr>
          <w:rFonts w:hint="eastAsia" w:eastAsia="宋体"/>
        </w:rPr>
        <w:t>施工</w:t>
      </w:r>
      <w:r>
        <w:rPr>
          <w:rFonts w:hint="eastAsia" w:eastAsia="宋体" w:cs="宋体"/>
          <w:snapToGrid w:val="0"/>
        </w:rPr>
        <w:t>安全防护</w:t>
      </w:r>
      <w:r>
        <w:rPr>
          <w:rFonts w:hint="eastAsia" w:eastAsia="宋体"/>
        </w:rPr>
        <w:t>措施费）按进度支付，支付方式如下</w:t>
      </w:r>
      <w:r>
        <w:rPr>
          <w:rFonts w:hint="eastAsia" w:eastAsia="宋体" w:cs="宋体"/>
          <w:snapToGrid w:val="0"/>
        </w:rPr>
        <w:t>：</w:t>
      </w:r>
    </w:p>
    <w:p w14:paraId="6F3E8BD8">
      <w:pPr>
        <w:pStyle w:val="403"/>
        <w:spacing w:line="460" w:lineRule="exact"/>
        <w:ind w:firstLine="480" w:firstLineChars="200"/>
        <w:rPr>
          <w:rFonts w:hint="eastAsia" w:eastAsia="宋体"/>
        </w:rPr>
      </w:pPr>
      <w:r>
        <w:rPr>
          <w:rFonts w:hint="eastAsia" w:eastAsia="宋体"/>
        </w:rPr>
        <w:t>（1）工程预付款按第17.2条规定支付。</w:t>
      </w:r>
    </w:p>
    <w:p w14:paraId="6ED92CBB">
      <w:pPr>
        <w:pStyle w:val="403"/>
        <w:spacing w:line="460" w:lineRule="exact"/>
        <w:ind w:firstLine="480" w:firstLineChars="200"/>
        <w:rPr>
          <w:rFonts w:hint="eastAsia" w:eastAsia="宋体" w:cs="宋体"/>
          <w:snapToGrid w:val="0"/>
        </w:rPr>
      </w:pPr>
      <w:r>
        <w:rPr>
          <w:rFonts w:hint="eastAsia" w:eastAsia="宋体"/>
        </w:rPr>
        <w:t>（2）</w:t>
      </w:r>
      <w:r>
        <w:rPr>
          <w:rFonts w:hint="eastAsia" w:eastAsia="宋体" w:cs="宋体"/>
          <w:snapToGrid w:val="0"/>
        </w:rPr>
        <w:t>在施工图预算确定之前：</w:t>
      </w:r>
    </w:p>
    <w:p w14:paraId="476820AF">
      <w:pPr>
        <w:pStyle w:val="403"/>
        <w:spacing w:line="460" w:lineRule="exact"/>
        <w:ind w:firstLine="480" w:firstLineChars="200"/>
        <w:rPr>
          <w:rFonts w:hint="eastAsia" w:eastAsia="宋体" w:cs="宋体"/>
          <w:snapToGrid w:val="0"/>
        </w:rPr>
      </w:pPr>
      <w:r>
        <w:rPr>
          <w:rFonts w:hint="eastAsia" w:eastAsia="宋体" w:cs="宋体"/>
          <w:snapToGrid w:val="0"/>
        </w:rPr>
        <w:t>可暂按经监理人审核、造价咨询人、发包人审批的暂定价格作为中间计量支付的依据。经监理人对施工进度及资料核查后，由承包人申请，按本期进度款的60%支付；最高累计支付至本合同工程费的60%。</w:t>
      </w:r>
    </w:p>
    <w:p w14:paraId="68899ED0">
      <w:pPr>
        <w:pStyle w:val="403"/>
        <w:spacing w:line="460" w:lineRule="exact"/>
        <w:ind w:firstLine="480" w:firstLineChars="200"/>
        <w:rPr>
          <w:rFonts w:hint="eastAsia" w:eastAsia="宋体"/>
        </w:rPr>
      </w:pPr>
      <w:r>
        <w:rPr>
          <w:rFonts w:hint="eastAsia" w:eastAsia="宋体" w:cs="宋体"/>
          <w:snapToGrid w:val="0"/>
        </w:rPr>
        <w:t>（3）</w:t>
      </w:r>
      <w:r>
        <w:rPr>
          <w:rFonts w:hint="eastAsia" w:eastAsia="宋体"/>
        </w:rPr>
        <w:t>施工图预算确定之后：</w:t>
      </w:r>
    </w:p>
    <w:p w14:paraId="131BCD04">
      <w:pPr>
        <w:pStyle w:val="403"/>
        <w:spacing w:line="460" w:lineRule="exact"/>
        <w:ind w:firstLine="480" w:firstLineChars="200"/>
        <w:rPr>
          <w:rFonts w:hint="eastAsia" w:eastAsia="宋体"/>
        </w:rPr>
      </w:pPr>
      <w:r>
        <w:rPr>
          <w:rFonts w:hint="eastAsia" w:eastAsia="宋体" w:cs="宋体"/>
          <w:snapToGrid w:val="0"/>
        </w:rPr>
        <w:t>双方根据施工图预算签订补充协议。</w:t>
      </w:r>
      <w:r>
        <w:rPr>
          <w:rFonts w:hint="eastAsia" w:eastAsia="宋体"/>
        </w:rPr>
        <w:t>经监理人和发包人对施工进度及资料核查后，由承包人申请，</w:t>
      </w:r>
      <w:r>
        <w:rPr>
          <w:rFonts w:hint="eastAsia" w:eastAsia="宋体" w:cs="宋体"/>
          <w:snapToGrid w:val="0"/>
        </w:rPr>
        <w:t>根据施工图预算单价，按本期</w:t>
      </w:r>
      <w:r>
        <w:rPr>
          <w:rFonts w:hint="eastAsia" w:eastAsia="宋体"/>
        </w:rPr>
        <w:t>进度款的80%</w:t>
      </w:r>
      <w:r>
        <w:rPr>
          <w:rFonts w:hint="eastAsia" w:eastAsia="宋体" w:cs="宋体"/>
          <w:snapToGrid w:val="0"/>
        </w:rPr>
        <w:t>支付。</w:t>
      </w:r>
      <w:r>
        <w:rPr>
          <w:rFonts w:hint="eastAsia" w:eastAsia="宋体"/>
        </w:rPr>
        <w:t>竣工验收前，</w:t>
      </w:r>
      <w:r>
        <w:rPr>
          <w:rFonts w:hint="eastAsia" w:eastAsia="宋体" w:cs="宋体"/>
          <w:snapToGrid w:val="0"/>
        </w:rPr>
        <w:t>最高累计支付至本合同工程费的80%。</w:t>
      </w:r>
    </w:p>
    <w:p w14:paraId="323FEF03">
      <w:pPr>
        <w:pStyle w:val="403"/>
        <w:spacing w:line="460" w:lineRule="exact"/>
        <w:ind w:firstLine="480" w:firstLineChars="200"/>
        <w:rPr>
          <w:rFonts w:hint="eastAsia" w:eastAsia="宋体"/>
        </w:rPr>
      </w:pPr>
      <w:r>
        <w:rPr>
          <w:rFonts w:hint="eastAsia" w:eastAsia="宋体"/>
        </w:rPr>
        <w:t>（4）发包人在支付工程进度款时，</w:t>
      </w:r>
      <w:r>
        <w:rPr>
          <w:rFonts w:hint="eastAsia" w:eastAsia="宋体" w:cs="宋体"/>
          <w:snapToGrid w:val="0"/>
        </w:rPr>
        <w:t>按</w:t>
      </w:r>
      <w:r>
        <w:rPr>
          <w:rFonts w:hint="eastAsia" w:eastAsia="宋体"/>
        </w:rPr>
        <w:t>工程进度款中</w:t>
      </w:r>
      <w:r>
        <w:rPr>
          <w:rFonts w:hint="eastAsia" w:eastAsia="宋体" w:cs="宋体"/>
          <w:snapToGrid w:val="0"/>
        </w:rPr>
        <w:t>的</w:t>
      </w:r>
      <w:r>
        <w:rPr>
          <w:rFonts w:hint="eastAsia" w:eastAsia="宋体"/>
        </w:rPr>
        <w:t>人工费划拨用于支付工人工资的工程款到承包人设立的工人工资款支付专用账户。承包人在申请每期工程进度款时，填报申请表中需加以说明，申请进度款的总金额中，包括：工程项目支付金额、工人工资支付金额，由发包人审核后分别出单分账汇入。</w:t>
      </w:r>
    </w:p>
    <w:p w14:paraId="2D0DA19D">
      <w:pPr>
        <w:pStyle w:val="403"/>
        <w:spacing w:line="460" w:lineRule="exact"/>
        <w:ind w:firstLine="480" w:firstLineChars="200"/>
        <w:rPr>
          <w:rFonts w:hint="eastAsia" w:eastAsia="宋体"/>
        </w:rPr>
      </w:pPr>
      <w:r>
        <w:rPr>
          <w:rFonts w:hint="eastAsia" w:eastAsia="宋体"/>
        </w:rPr>
        <w:t>（5）本合同约定的工程全部完工且由承包人配合完成本工程涉及的工程质量验收、档案验收等，取得相关验收主管部门出具的验收认可文件或者准许使用文件，通过发包人组织的工程竣工验收，竣工结算经详细内审后，经承包人申请，发包人审核通过后，累计支付至内审结算价的85%（扣除未按有关变更管理程序批复的费用部分）。</w:t>
      </w:r>
    </w:p>
    <w:p w14:paraId="2375C933">
      <w:pPr>
        <w:pStyle w:val="403"/>
        <w:spacing w:line="460" w:lineRule="exact"/>
        <w:ind w:firstLine="480" w:firstLineChars="200"/>
        <w:rPr>
          <w:rFonts w:hint="eastAsia" w:eastAsia="宋体"/>
        </w:rPr>
      </w:pPr>
      <w:r>
        <w:rPr>
          <w:rFonts w:hint="eastAsia" w:eastAsia="宋体" w:cs="宋体"/>
          <w:snapToGrid w:val="0"/>
        </w:rPr>
        <w:t>（6）</w:t>
      </w:r>
      <w:r>
        <w:rPr>
          <w:rFonts w:hint="eastAsia" w:eastAsia="宋体"/>
        </w:rPr>
        <w:t>规费及税金项目的支付方式</w:t>
      </w:r>
    </w:p>
    <w:p w14:paraId="29612A66">
      <w:pPr>
        <w:pStyle w:val="403"/>
        <w:spacing w:line="460" w:lineRule="exact"/>
        <w:ind w:firstLine="480" w:firstLineChars="200"/>
        <w:rPr>
          <w:rFonts w:hint="eastAsia" w:eastAsia="宋体"/>
        </w:rPr>
      </w:pPr>
      <w:r>
        <w:rPr>
          <w:rFonts w:hint="eastAsia" w:eastAsia="宋体"/>
        </w:rPr>
        <w:t>规费、税金按政府及广州地区税务部门有关规定计算，根据当期进度款同期支付。</w:t>
      </w:r>
    </w:p>
    <w:p w14:paraId="4CCF1A56">
      <w:pPr>
        <w:pStyle w:val="403"/>
        <w:spacing w:line="460" w:lineRule="exact"/>
        <w:ind w:firstLine="480" w:firstLineChars="200"/>
        <w:rPr>
          <w:rFonts w:hint="eastAsia" w:eastAsia="宋体"/>
        </w:rPr>
      </w:pPr>
      <w:r>
        <w:rPr>
          <w:rFonts w:hint="eastAsia" w:eastAsia="宋体" w:cs="宋体"/>
          <w:snapToGrid w:val="0"/>
        </w:rPr>
        <w:t>（7）</w:t>
      </w:r>
      <w:r>
        <w:rPr>
          <w:rFonts w:hint="eastAsia" w:eastAsia="宋体"/>
        </w:rPr>
        <w:t>因变更引起的工程项目支付方式</w:t>
      </w:r>
    </w:p>
    <w:p w14:paraId="33F3BF86">
      <w:pPr>
        <w:pStyle w:val="403"/>
        <w:spacing w:line="460" w:lineRule="exact"/>
        <w:ind w:firstLine="480" w:firstLineChars="200"/>
        <w:rPr>
          <w:rFonts w:hint="eastAsia" w:eastAsia="宋体"/>
        </w:rPr>
      </w:pPr>
      <w:r>
        <w:rPr>
          <w:rFonts w:hint="eastAsia" w:eastAsia="宋体"/>
        </w:rPr>
        <w:t>经发包人按上级部门规定的变更款审核程序完成审核后纳入每期进度款中一并支付。</w:t>
      </w:r>
    </w:p>
    <w:p w14:paraId="1BFEC3B7">
      <w:pPr>
        <w:pStyle w:val="403"/>
        <w:spacing w:line="460" w:lineRule="exact"/>
        <w:ind w:firstLine="480" w:firstLineChars="200"/>
        <w:rPr>
          <w:rFonts w:hint="eastAsia" w:eastAsia="宋体"/>
        </w:rPr>
      </w:pPr>
      <w:r>
        <w:rPr>
          <w:rFonts w:hint="eastAsia" w:eastAsia="宋体"/>
        </w:rPr>
        <w:t>（8）本合同工程结算经终审单位定审、承包人按合同约定完整移交工程且不发生合同专用条款第22.1.2.7工程质量方面的违约情形的，发包人累计支付至本合同结算定审金额的97%，留下本合同结算定审金额的3%作为</w:t>
      </w:r>
      <w:r>
        <w:rPr>
          <w:rFonts w:hint="eastAsia" w:eastAsia="宋体" w:cs="宋体"/>
          <w:snapToGrid w:val="0"/>
        </w:rPr>
        <w:t>工程质量</w:t>
      </w:r>
      <w:r>
        <w:rPr>
          <w:rFonts w:hint="eastAsia" w:eastAsia="宋体"/>
        </w:rPr>
        <w:t>无息</w:t>
      </w:r>
      <w:r>
        <w:rPr>
          <w:rFonts w:hint="eastAsia" w:eastAsia="宋体" w:cs="宋体"/>
          <w:snapToGrid w:val="0"/>
        </w:rPr>
        <w:t>保修</w:t>
      </w:r>
      <w:r>
        <w:rPr>
          <w:rFonts w:hint="eastAsia" w:eastAsia="宋体"/>
        </w:rPr>
        <w:t>金。</w:t>
      </w:r>
      <w:r>
        <w:rPr>
          <w:rFonts w:hint="eastAsia" w:eastAsia="宋体" w:cs="宋体"/>
          <w:snapToGrid w:val="0"/>
          <w:kern w:val="0"/>
        </w:rPr>
        <w:t>缺陷责任</w:t>
      </w:r>
      <w:r>
        <w:rPr>
          <w:rFonts w:hint="eastAsia" w:eastAsia="宋体" w:cs="宋体"/>
          <w:snapToGrid w:val="0"/>
          <w:kern w:val="0"/>
          <w:lang w:val="zh-CN"/>
        </w:rPr>
        <w:t>期满并取得发包人及监理单位确认后支付</w:t>
      </w:r>
      <w:r>
        <w:rPr>
          <w:rFonts w:hint="eastAsia" w:eastAsia="宋体" w:cs="宋体"/>
          <w:snapToGrid w:val="0"/>
          <w:kern w:val="0"/>
        </w:rPr>
        <w:t>工程质量保修金的70%，按《建设工程质量管理条例》规定防水工程保修期满并取得发包人及监理单位确认后支付工程质量保修金尾款</w:t>
      </w:r>
      <w:r>
        <w:rPr>
          <w:rFonts w:hint="eastAsia" w:eastAsia="宋体" w:cs="宋体"/>
          <w:snapToGrid w:val="0"/>
          <w:kern w:val="0"/>
          <w:lang w:val="zh-CN"/>
        </w:rPr>
        <w:t>。</w:t>
      </w:r>
    </w:p>
    <w:p w14:paraId="7B731C29">
      <w:pPr>
        <w:pStyle w:val="403"/>
        <w:spacing w:line="460" w:lineRule="exact"/>
        <w:ind w:firstLine="480" w:firstLineChars="200"/>
        <w:rPr>
          <w:rFonts w:hint="eastAsia" w:eastAsia="宋体" w:cs="宋体"/>
          <w:snapToGrid w:val="0"/>
        </w:rPr>
      </w:pPr>
      <w:r>
        <w:rPr>
          <w:rFonts w:hint="eastAsia" w:eastAsia="宋体"/>
        </w:rPr>
        <w:t>发包人已支付的累计金额大于本合同结算定审金额的97%的，承包人应在工程结算定审之日起15日内向发包人返还多收的款项；否则，发包人有权向承包人追索，承包人除应足额返还多收的款项外，还应每天按多收款项总金额的2‰从承包人工程款或</w:t>
      </w:r>
      <w:r>
        <w:rPr>
          <w:rFonts w:hint="eastAsia" w:eastAsia="宋体" w:cs="宋体"/>
          <w:snapToGrid w:val="0"/>
        </w:rPr>
        <w:t>履约担保</w:t>
      </w:r>
      <w:r>
        <w:rPr>
          <w:rFonts w:hint="eastAsia" w:eastAsia="宋体"/>
        </w:rPr>
        <w:t>中扣减违约金。</w:t>
      </w:r>
    </w:p>
    <w:p w14:paraId="1BF7AE47">
      <w:pPr>
        <w:pStyle w:val="403"/>
        <w:spacing w:line="460" w:lineRule="exact"/>
        <w:ind w:firstLine="480" w:firstLineChars="200"/>
        <w:rPr>
          <w:rFonts w:hint="eastAsia" w:eastAsia="宋体" w:cs="宋体"/>
          <w:snapToGrid w:val="0"/>
        </w:rPr>
      </w:pPr>
      <w:bookmarkStart w:id="1570" w:name="_Toc68594916"/>
      <w:r>
        <w:rPr>
          <w:rFonts w:hint="eastAsia" w:eastAsia="宋体" w:cs="宋体"/>
          <w:snapToGrid w:val="0"/>
        </w:rPr>
        <w:t>17.3.</w:t>
      </w:r>
      <w:bookmarkEnd w:id="1570"/>
      <w:r>
        <w:rPr>
          <w:rFonts w:hint="eastAsia" w:eastAsia="宋体" w:cs="宋体"/>
          <w:snapToGrid w:val="0"/>
        </w:rPr>
        <w:t>6绿色施工安全防护措施费</w:t>
      </w:r>
    </w:p>
    <w:p w14:paraId="2B0D03BC">
      <w:pPr>
        <w:pStyle w:val="403"/>
        <w:spacing w:line="460" w:lineRule="exact"/>
        <w:ind w:firstLine="480" w:firstLineChars="200"/>
        <w:rPr>
          <w:rFonts w:hint="eastAsia" w:eastAsia="宋体" w:cs="宋体"/>
          <w:snapToGrid w:val="0"/>
        </w:rPr>
      </w:pPr>
      <w:r>
        <w:rPr>
          <w:rFonts w:hint="eastAsia" w:eastAsia="宋体" w:cs="宋体"/>
          <w:snapToGrid w:val="0"/>
        </w:rPr>
        <w:t>（1）内容、范围和金额</w:t>
      </w:r>
      <w:bookmarkEnd w:id="1569"/>
    </w:p>
    <w:p w14:paraId="074B734C">
      <w:pPr>
        <w:pStyle w:val="403"/>
        <w:spacing w:line="460" w:lineRule="exact"/>
        <w:ind w:firstLine="480" w:firstLineChars="200"/>
        <w:rPr>
          <w:rFonts w:hint="eastAsia" w:eastAsia="宋体" w:cs="宋体"/>
          <w:snapToGrid w:val="0"/>
        </w:rPr>
      </w:pPr>
      <w:bookmarkStart w:id="1571" w:name="_Toc68594918"/>
      <w:r>
        <w:rPr>
          <w:rFonts w:hint="eastAsia" w:eastAsia="宋体" w:cs="宋体"/>
          <w:snapToGrid w:val="0"/>
        </w:rPr>
        <w:t>a.绿色施工安全防护措施的内容及范围：</w:t>
      </w:r>
      <w:bookmarkEnd w:id="1571"/>
    </w:p>
    <w:p w14:paraId="5430B932">
      <w:pPr>
        <w:pStyle w:val="403"/>
        <w:spacing w:line="460" w:lineRule="exact"/>
        <w:ind w:firstLine="480" w:firstLineChars="200"/>
        <w:rPr>
          <w:rFonts w:hint="eastAsia" w:eastAsia="宋体" w:cs="宋体"/>
          <w:snapToGrid w:val="0"/>
        </w:rPr>
      </w:pPr>
      <w:bookmarkStart w:id="1572" w:name="_Toc68594919"/>
      <w:r>
        <w:rPr>
          <w:rFonts w:hint="eastAsia" w:eastAsia="宋体" w:cs="宋体"/>
          <w:snapToGrid w:val="0"/>
        </w:rPr>
        <w:t>以广东省统一计价依据的规定为准。</w:t>
      </w:r>
      <w:bookmarkEnd w:id="1572"/>
    </w:p>
    <w:p w14:paraId="63B88406">
      <w:pPr>
        <w:pStyle w:val="403"/>
        <w:spacing w:line="460" w:lineRule="exact"/>
        <w:ind w:firstLine="480" w:firstLineChars="200"/>
        <w:rPr>
          <w:rFonts w:hint="eastAsia" w:eastAsia="宋体" w:cs="宋体"/>
          <w:snapToGrid w:val="0"/>
        </w:rPr>
      </w:pPr>
      <w:bookmarkStart w:id="1573" w:name="_Toc68594920"/>
      <w:r>
        <w:rPr>
          <w:rFonts w:hint="eastAsia" w:eastAsia="宋体" w:cs="宋体"/>
          <w:snapToGrid w:val="0"/>
        </w:rPr>
        <w:t>b.包含在合同总价中，专款专用，不得挪为他用。</w:t>
      </w:r>
      <w:bookmarkEnd w:id="1573"/>
    </w:p>
    <w:p w14:paraId="632F5641">
      <w:pPr>
        <w:pStyle w:val="403"/>
        <w:spacing w:line="460" w:lineRule="exact"/>
        <w:ind w:firstLine="480" w:firstLineChars="200"/>
        <w:rPr>
          <w:rFonts w:hint="eastAsia" w:eastAsia="宋体" w:cs="宋体"/>
          <w:snapToGrid w:val="0"/>
        </w:rPr>
      </w:pPr>
      <w:bookmarkStart w:id="1574" w:name="_Toc68594921"/>
      <w:r>
        <w:rPr>
          <w:rFonts w:hint="eastAsia" w:eastAsia="宋体" w:cs="宋体"/>
          <w:snapToGrid w:val="0"/>
        </w:rPr>
        <w:t>（2）约定支付方式</w:t>
      </w:r>
      <w:bookmarkEnd w:id="1574"/>
    </w:p>
    <w:p w14:paraId="4A336568">
      <w:pPr>
        <w:pStyle w:val="403"/>
        <w:spacing w:line="460" w:lineRule="exact"/>
        <w:ind w:firstLine="480" w:firstLineChars="200"/>
        <w:rPr>
          <w:rFonts w:hint="eastAsia" w:eastAsia="宋体" w:cs="宋体"/>
          <w:snapToGrid w:val="0"/>
        </w:rPr>
      </w:pPr>
      <w:r>
        <w:rPr>
          <w:rFonts w:hint="eastAsia" w:eastAsia="宋体" w:cs="宋体"/>
          <w:kern w:val="0"/>
        </w:rPr>
        <w:t>本工程</w:t>
      </w:r>
      <w:r>
        <w:rPr>
          <w:rFonts w:hint="eastAsia" w:eastAsia="宋体" w:cs="宋体"/>
        </w:rPr>
        <w:t>绿色施工安全防护措施费</w:t>
      </w:r>
      <w:r>
        <w:rPr>
          <w:rFonts w:hint="eastAsia" w:eastAsia="宋体" w:cs="宋体"/>
          <w:kern w:val="0"/>
        </w:rPr>
        <w:t>的</w:t>
      </w:r>
      <w:r>
        <w:rPr>
          <w:rFonts w:hint="eastAsia" w:eastAsia="宋体" w:cs="宋体"/>
          <w:snapToGrid w:val="0"/>
        </w:rPr>
        <w:t>20%</w:t>
      </w:r>
      <w:r>
        <w:rPr>
          <w:rFonts w:hint="eastAsia" w:eastAsia="宋体" w:cs="宋体"/>
          <w:kern w:val="0"/>
        </w:rPr>
        <w:t>（含税）已包含在本合同工程费预付款中一并支付；经发包人和监理工程师审查合格符合开工条件，承包人向发包人申请，发包人批准后，累计支付至该项费用的50%（含税）；施工期间，由发包人和监理工程师组织两次安全文明施工考评，两次考评合格后累计支付至该项费用的80%（含税），项目完工后支付该项费用余下的尾款。如承包人不按规定使用措施费或安全措施落实不到位，由发包人和监理工程师责令其改正，停止该项费用的划拨，同时上报建设行政主管部门，据情况追究有关责任，并将企业和项目经理的不良行为录入企业信誉档案，与其量化考评办法挂钩。</w:t>
      </w:r>
      <w:r>
        <w:rPr>
          <w:rFonts w:hint="eastAsia" w:eastAsia="宋体" w:cs="宋体"/>
        </w:rPr>
        <w:t>承包人申请支付绿色施工安全防护措施费时，须提交实际已发生的绿色施工安全防护措施费的支出明细及支出证明，经监理人和发包人核实后与进度款同期支付。</w:t>
      </w:r>
    </w:p>
    <w:p w14:paraId="4641A023">
      <w:pPr>
        <w:pStyle w:val="403"/>
        <w:spacing w:line="460" w:lineRule="exact"/>
        <w:ind w:firstLine="480" w:firstLineChars="200"/>
        <w:rPr>
          <w:rFonts w:hint="eastAsia" w:eastAsia="宋体" w:cs="宋体"/>
          <w:snapToGrid w:val="0"/>
        </w:rPr>
      </w:pPr>
      <w:r>
        <w:rPr>
          <w:rFonts w:hint="eastAsia" w:eastAsia="宋体" w:cs="宋体"/>
          <w:snapToGrid w:val="0"/>
        </w:rPr>
        <w:t>17.4 质量保证金</w:t>
      </w:r>
    </w:p>
    <w:p w14:paraId="1160FD76">
      <w:pPr>
        <w:pStyle w:val="403"/>
        <w:spacing w:line="460" w:lineRule="exact"/>
        <w:ind w:firstLine="480" w:firstLineChars="200"/>
        <w:rPr>
          <w:rFonts w:hint="eastAsia" w:eastAsia="宋体" w:cs="宋体"/>
          <w:snapToGrid w:val="0"/>
        </w:rPr>
      </w:pPr>
      <w:r>
        <w:rPr>
          <w:rFonts w:hint="eastAsia" w:eastAsia="宋体" w:cs="宋体"/>
          <w:snapToGrid w:val="0"/>
        </w:rPr>
        <w:t>17.4.1 质量保证金金额及扣留：</w:t>
      </w:r>
    </w:p>
    <w:p w14:paraId="27577A48">
      <w:pPr>
        <w:pStyle w:val="403"/>
        <w:spacing w:line="460" w:lineRule="exact"/>
        <w:ind w:firstLine="480" w:firstLineChars="200"/>
        <w:rPr>
          <w:rFonts w:hint="eastAsia" w:eastAsia="宋体" w:cs="宋体"/>
          <w:snapToGrid w:val="0"/>
        </w:rPr>
      </w:pPr>
      <w:r>
        <w:rPr>
          <w:rFonts w:hint="eastAsia" w:eastAsia="宋体" w:cs="宋体"/>
          <w:snapToGrid w:val="0"/>
        </w:rPr>
        <w:t>（1）质量保证金的金额：为设计费及工程费结算价款的3%。</w:t>
      </w:r>
    </w:p>
    <w:p w14:paraId="79D45698">
      <w:pPr>
        <w:pStyle w:val="403"/>
        <w:spacing w:line="460" w:lineRule="exact"/>
        <w:ind w:firstLine="480" w:firstLineChars="200"/>
        <w:rPr>
          <w:rFonts w:hint="eastAsia" w:eastAsia="宋体" w:cs="宋体"/>
          <w:snapToGrid w:val="0"/>
        </w:rPr>
      </w:pPr>
      <w:r>
        <w:rPr>
          <w:rFonts w:hint="eastAsia" w:eastAsia="宋体" w:cs="宋体"/>
          <w:snapToGrid w:val="0"/>
        </w:rPr>
        <w:t>（2）质量保证金的扣留：直接从结算价款中扣留。</w:t>
      </w:r>
    </w:p>
    <w:p w14:paraId="62A4173F">
      <w:pPr>
        <w:pStyle w:val="403"/>
        <w:spacing w:line="460" w:lineRule="exact"/>
        <w:ind w:firstLine="480" w:firstLineChars="200"/>
        <w:rPr>
          <w:rFonts w:hint="eastAsia" w:eastAsia="宋体" w:cs="宋体"/>
          <w:snapToGrid w:val="0"/>
        </w:rPr>
      </w:pPr>
      <w:r>
        <w:rPr>
          <w:rFonts w:hint="eastAsia" w:eastAsia="宋体" w:cs="宋体"/>
          <w:snapToGrid w:val="0"/>
        </w:rPr>
        <w:t>17.4.2 本款修改为：竣工验收合格且工程保修期满后，承包人在保修期内履行了保修责任，监理人出具支付保留金的付款证书。发包人应在收到上述付款证书后，按合同条款第17.3.4款将保留金支付给承包人，若保修期后尚需承包人完成剩余工作，则监理人有权扣留部分保留金用于完成剩余工作。</w:t>
      </w:r>
    </w:p>
    <w:p w14:paraId="6432BCF5">
      <w:pPr>
        <w:pStyle w:val="403"/>
        <w:spacing w:line="460" w:lineRule="exact"/>
        <w:ind w:firstLine="480" w:firstLineChars="200"/>
        <w:rPr>
          <w:rFonts w:hint="eastAsia" w:eastAsia="宋体" w:cs="宋体"/>
          <w:snapToGrid w:val="0"/>
        </w:rPr>
      </w:pPr>
      <w:r>
        <w:rPr>
          <w:rFonts w:hint="eastAsia" w:eastAsia="宋体" w:cs="宋体"/>
          <w:snapToGrid w:val="0"/>
        </w:rPr>
        <w:t>17.5 竣工结算</w:t>
      </w:r>
    </w:p>
    <w:p w14:paraId="01ED978E">
      <w:pPr>
        <w:pStyle w:val="403"/>
        <w:spacing w:line="460" w:lineRule="exact"/>
        <w:ind w:firstLine="480" w:firstLineChars="200"/>
        <w:rPr>
          <w:rFonts w:hint="eastAsia" w:eastAsia="宋体" w:cs="宋体"/>
          <w:snapToGrid w:val="0"/>
        </w:rPr>
      </w:pPr>
      <w:r>
        <w:rPr>
          <w:rFonts w:hint="eastAsia" w:eastAsia="宋体" w:cs="宋体"/>
          <w:snapToGrid w:val="0"/>
        </w:rPr>
        <w:t>17.5.2 竣工付款证书及支付时间</w:t>
      </w:r>
    </w:p>
    <w:p w14:paraId="2335A665">
      <w:pPr>
        <w:pStyle w:val="403"/>
        <w:spacing w:line="460" w:lineRule="exact"/>
        <w:ind w:firstLine="480" w:firstLineChars="200"/>
        <w:rPr>
          <w:rFonts w:hint="eastAsia" w:eastAsia="宋体" w:cs="宋体"/>
          <w:snapToGrid w:val="0"/>
        </w:rPr>
      </w:pPr>
      <w:r>
        <w:rPr>
          <w:rFonts w:hint="eastAsia" w:eastAsia="宋体" w:cs="宋体"/>
          <w:snapToGrid w:val="0"/>
        </w:rPr>
        <w:t>本款修改为：</w:t>
      </w:r>
    </w:p>
    <w:p w14:paraId="1EBC8EDA">
      <w:pPr>
        <w:pStyle w:val="403"/>
        <w:spacing w:line="460" w:lineRule="exact"/>
        <w:ind w:firstLine="480" w:firstLineChars="200"/>
        <w:rPr>
          <w:rFonts w:hint="eastAsia" w:eastAsia="宋体" w:cs="宋体"/>
          <w:snapToGrid w:val="0"/>
        </w:rPr>
      </w:pPr>
      <w:r>
        <w:rPr>
          <w:rFonts w:hint="eastAsia" w:eastAsia="宋体" w:cs="宋体"/>
          <w:snapToGrid w:val="0"/>
        </w:rPr>
        <w:t>监理人应在收到承包人提交的竣工付款申请单后的14天内完成复核，在竣工付款申请单上签字和出具竣工付款证书报送发包人审批。发包人应在收到上述竣工付款证书后的14天内审批，并按合同条款17.3.3款的规定支付给承包人。</w:t>
      </w:r>
    </w:p>
    <w:p w14:paraId="2BD90905">
      <w:pPr>
        <w:pStyle w:val="403"/>
        <w:spacing w:line="460" w:lineRule="exact"/>
        <w:ind w:firstLine="480" w:firstLineChars="200"/>
        <w:rPr>
          <w:rFonts w:hint="eastAsia" w:eastAsia="宋体" w:cs="宋体"/>
          <w:snapToGrid w:val="0"/>
        </w:rPr>
      </w:pPr>
      <w:r>
        <w:rPr>
          <w:rFonts w:hint="eastAsia" w:eastAsia="宋体" w:cs="宋体"/>
          <w:snapToGrid w:val="0"/>
        </w:rPr>
        <w:t>17.5.3 竣工结算原则</w:t>
      </w:r>
    </w:p>
    <w:p w14:paraId="06E585CA">
      <w:pPr>
        <w:pStyle w:val="403"/>
        <w:spacing w:line="460" w:lineRule="exact"/>
        <w:ind w:firstLine="480" w:firstLineChars="200"/>
        <w:rPr>
          <w:rFonts w:hint="eastAsia" w:eastAsia="宋体" w:cs="宋体"/>
          <w:snapToGrid w:val="0"/>
        </w:rPr>
      </w:pPr>
      <w:r>
        <w:rPr>
          <w:rFonts w:hint="eastAsia" w:eastAsia="宋体" w:cs="宋体"/>
          <w:snapToGrid w:val="0"/>
        </w:rPr>
        <w:t>本合同按照广州市城市建设投资集团有限公司相关结算管理办法进行结算。</w:t>
      </w:r>
    </w:p>
    <w:p w14:paraId="0A2648DB">
      <w:pPr>
        <w:pStyle w:val="403"/>
        <w:spacing w:line="460" w:lineRule="exact"/>
        <w:ind w:firstLine="480" w:firstLineChars="200"/>
        <w:rPr>
          <w:rFonts w:hint="eastAsia" w:eastAsia="宋体" w:cs="宋体"/>
          <w:snapToGrid w:val="0"/>
        </w:rPr>
      </w:pPr>
      <w:r>
        <w:rPr>
          <w:rFonts w:hint="eastAsia" w:eastAsia="宋体" w:cs="宋体"/>
          <w:snapToGrid w:val="0"/>
        </w:rPr>
        <w:t>17.5.3.1勘察费结算</w:t>
      </w:r>
    </w:p>
    <w:p w14:paraId="0D524387">
      <w:pPr>
        <w:pStyle w:val="403"/>
        <w:spacing w:line="460" w:lineRule="exact"/>
        <w:ind w:firstLine="480" w:firstLineChars="200"/>
        <w:rPr>
          <w:rFonts w:hint="eastAsia" w:eastAsia="宋体" w:cs="宋体"/>
          <w:snapToGrid w:val="0"/>
        </w:rPr>
      </w:pPr>
      <w:r>
        <w:rPr>
          <w:rFonts w:hint="eastAsia" w:eastAsia="宋体" w:cs="宋体"/>
          <w:snapToGrid w:val="0"/>
        </w:rPr>
        <w:t>17.5.3.1.1工程测量费综合单价包干，在合同实施期间工程测量费按现场实际完成工作量乘以综合单价执行结算。综合单价已包含完成工程测量工作所需的全部费用，不再另行计费。综合单价详见附件《投标报价表》。</w:t>
      </w:r>
    </w:p>
    <w:p w14:paraId="119E5D1E">
      <w:pPr>
        <w:pStyle w:val="403"/>
        <w:spacing w:line="460" w:lineRule="exact"/>
        <w:ind w:firstLine="480" w:firstLineChars="200"/>
        <w:rPr>
          <w:rFonts w:hint="eastAsia" w:eastAsia="宋体" w:cs="宋体"/>
          <w:snapToGrid w:val="0"/>
        </w:rPr>
      </w:pPr>
      <w:r>
        <w:rPr>
          <w:rFonts w:hint="eastAsia" w:eastAsia="宋体" w:cs="宋体"/>
          <w:snapToGrid w:val="0"/>
        </w:rPr>
        <w:t>17.5.3.1.2工程物探费综合单价包干，在合同实施期间工程物探（含管线探测及考古调查勘探）按现场实际完成工作量乘以综合单价执行结算。综合单价已包含完成工程物探（含管线探测及考古调查勘探）工作所需的全部费用，不再另行计费。综合单价详见附件《投标报价表》。</w:t>
      </w:r>
    </w:p>
    <w:p w14:paraId="7419EB46">
      <w:pPr>
        <w:pStyle w:val="403"/>
        <w:spacing w:line="460" w:lineRule="exact"/>
        <w:ind w:firstLine="480" w:firstLineChars="200"/>
        <w:rPr>
          <w:rFonts w:hint="eastAsia" w:eastAsia="宋体" w:cs="宋体"/>
          <w:snapToGrid w:val="0"/>
        </w:rPr>
      </w:pPr>
      <w:r>
        <w:rPr>
          <w:rFonts w:hint="eastAsia" w:eastAsia="宋体" w:cs="宋体"/>
          <w:snapToGrid w:val="0"/>
        </w:rPr>
        <w:t>17.5.3.1.3国土规划测绘费，参照国家、省、市相关规定及文件执行。国土规划测绘成果必须满足本项目设计使用及规划、国土等基本建设程序报建要求。如应规划报建、报验要求须委托相关职能部门或有相关资质的单位发生的测量费用，以政府相关计价收费标准作为上限按实际发生额实报实销，但承包人委托前应就委托测量费用书面报发包人审核确认。测绘工作指完成规划与国土部门报建（及验收）所需的所有测量测绘工作并提交满足审批要求的成果（验收），如下所述：</w:t>
      </w:r>
    </w:p>
    <w:p w14:paraId="3FF501D8">
      <w:pPr>
        <w:pStyle w:val="403"/>
        <w:spacing w:line="460" w:lineRule="exact"/>
        <w:ind w:firstLine="480" w:firstLineChars="200"/>
        <w:rPr>
          <w:rFonts w:hint="eastAsia" w:eastAsia="宋体" w:cs="宋体"/>
          <w:snapToGrid w:val="0"/>
        </w:rPr>
      </w:pPr>
      <w:r>
        <w:rPr>
          <w:rFonts w:hint="eastAsia" w:eastAsia="宋体" w:cs="宋体"/>
          <w:snapToGrid w:val="0"/>
        </w:rPr>
        <w:t>（1）在规划报建及验收各阶段（如申请规划选址、方案审查、建设用地规划许可证、建设工程规划许可证、建设工程规划验收合格证等）按审批部门要求完成相关的测量测绘工作，如：实测地形图、道路及管线工程放线测量（含控制点、实地定桩）、道路及管线工程验线测量等。</w:t>
      </w:r>
    </w:p>
    <w:p w14:paraId="57576319">
      <w:pPr>
        <w:pStyle w:val="403"/>
        <w:spacing w:line="460" w:lineRule="exact"/>
        <w:ind w:firstLine="480" w:firstLineChars="200"/>
        <w:rPr>
          <w:rFonts w:hint="eastAsia" w:eastAsia="宋体" w:cs="宋体"/>
          <w:snapToGrid w:val="0"/>
        </w:rPr>
      </w:pPr>
      <w:r>
        <w:rPr>
          <w:rFonts w:hint="eastAsia" w:eastAsia="宋体" w:cs="宋体"/>
          <w:snapToGrid w:val="0"/>
        </w:rPr>
        <w:t>（2）在国土报建及验收各阶段（如申请国土用地预审、建设用地批准书等）按审批部门要求完成相关测量测绘工作，如土地勘察定界工作（含《勘测定界技术报告书》、《建设用地批准书附图》、《建设用地套图》、《地理位置图》、《正射影像图》以及《划拨宗地平面界址图》等成果）。</w:t>
      </w:r>
    </w:p>
    <w:p w14:paraId="01CE40E7">
      <w:pPr>
        <w:pStyle w:val="403"/>
        <w:spacing w:line="460" w:lineRule="exact"/>
        <w:ind w:firstLine="480" w:firstLineChars="200"/>
        <w:rPr>
          <w:rFonts w:hint="eastAsia" w:eastAsia="宋体" w:cs="宋体"/>
          <w:snapToGrid w:val="0"/>
        </w:rPr>
      </w:pPr>
      <w:r>
        <w:rPr>
          <w:rFonts w:hint="eastAsia" w:eastAsia="宋体" w:cs="宋体"/>
          <w:snapToGrid w:val="0"/>
        </w:rPr>
        <w:t>（3）上述所提交的成果需满足相关审核部门收案和批复要求，同时应另单独提交成果原件2份、复印件若干交发包人存档。</w:t>
      </w:r>
    </w:p>
    <w:p w14:paraId="42CA2B0A">
      <w:pPr>
        <w:pStyle w:val="403"/>
        <w:spacing w:line="460" w:lineRule="exact"/>
        <w:ind w:firstLine="480" w:firstLineChars="200"/>
        <w:rPr>
          <w:rFonts w:hint="eastAsia" w:eastAsia="宋体" w:cs="宋体"/>
          <w:snapToGrid w:val="0"/>
        </w:rPr>
      </w:pPr>
      <w:r>
        <w:rPr>
          <w:rFonts w:hint="eastAsia" w:eastAsia="宋体" w:cs="宋体"/>
          <w:snapToGrid w:val="0"/>
        </w:rPr>
        <w:t>17.5.3.2设计费（包括设计及相关服务费）结算</w:t>
      </w:r>
    </w:p>
    <w:p w14:paraId="6C11F089">
      <w:pPr>
        <w:pStyle w:val="403"/>
        <w:spacing w:line="460" w:lineRule="exact"/>
        <w:ind w:firstLine="480" w:firstLineChars="200"/>
        <w:rPr>
          <w:rFonts w:hint="eastAsia" w:eastAsia="宋体" w:cs="宋体"/>
          <w:snapToGrid w:val="0"/>
          <w:kern w:val="0"/>
        </w:rPr>
      </w:pPr>
      <w:r>
        <w:rPr>
          <w:rFonts w:hint="eastAsia" w:eastAsia="宋体" w:cs="宋体"/>
          <w:snapToGrid w:val="0"/>
          <w:kern w:val="0"/>
        </w:rPr>
        <w:t>设计费综合包干费率为固定费率，最终设计费基数按批复概算中的建安造价为准，即：设计费最终结算价=批复概算中的建安造价×设计费综合包干费率，且不高于概算批复中所列支的设计费金额。</w:t>
      </w:r>
    </w:p>
    <w:p w14:paraId="0ADE7C24">
      <w:pPr>
        <w:pStyle w:val="403"/>
        <w:spacing w:line="460" w:lineRule="exact"/>
        <w:ind w:firstLine="480" w:firstLineChars="200"/>
        <w:rPr>
          <w:rFonts w:hint="eastAsia" w:eastAsia="宋体" w:cs="宋体"/>
          <w:snapToGrid w:val="0"/>
        </w:rPr>
      </w:pPr>
      <w:r>
        <w:rPr>
          <w:rFonts w:hint="eastAsia" w:eastAsia="宋体" w:cs="宋体"/>
          <w:snapToGrid w:val="0"/>
        </w:rPr>
        <w:t>如根据发包人要求对经发包人书面审核认定的阶段设计进行如下重大调整（单项变更调整的内容的工程造价超过经审定施工图预算总金额的30%及以上，或调整设计的面积超过总设计面积的30%及以上），要求承包人重新设计或修改设计时，在接到发包人书面通知后三个日历天内，向发包人提交返工费用预算（含工作量及计算依据，单价不能超过投标价格水平），经发包人审核确认并协商一致后双方签订补充协议。</w:t>
      </w:r>
    </w:p>
    <w:p w14:paraId="791858FB">
      <w:pPr>
        <w:pStyle w:val="403"/>
        <w:spacing w:line="460" w:lineRule="exact"/>
        <w:ind w:firstLine="480" w:firstLineChars="200"/>
        <w:rPr>
          <w:rFonts w:hint="eastAsia" w:eastAsia="宋体" w:cs="宋体"/>
          <w:snapToGrid w:val="0"/>
        </w:rPr>
      </w:pPr>
      <w:r>
        <w:rPr>
          <w:rFonts w:hint="eastAsia" w:eastAsia="宋体" w:cs="宋体"/>
          <w:snapToGrid w:val="0"/>
        </w:rPr>
        <w:t>17.5.3.3工程费结算</w:t>
      </w:r>
    </w:p>
    <w:p w14:paraId="4DE6AD12">
      <w:pPr>
        <w:pStyle w:val="403"/>
        <w:spacing w:line="460" w:lineRule="exact"/>
        <w:ind w:firstLine="480" w:firstLineChars="200"/>
        <w:rPr>
          <w:rFonts w:hint="eastAsia" w:eastAsia="宋体" w:cs="宋体"/>
          <w:snapToGrid w:val="0"/>
        </w:rPr>
      </w:pPr>
      <w:r>
        <w:rPr>
          <w:rFonts w:hint="eastAsia" w:eastAsia="宋体" w:cs="宋体"/>
          <w:snapToGrid w:val="0"/>
        </w:rPr>
        <w:t>根据发包人最终确认的施工图纸及承包人完成的实际工程量，依据专用合同条款第17.1.3.1.1条约定的方法计算价格；</w:t>
      </w:r>
      <w:bookmarkStart w:id="1575" w:name="_Hlk80795435"/>
      <w:r>
        <w:rPr>
          <w:rFonts w:hint="eastAsia" w:eastAsia="宋体" w:cs="宋体"/>
          <w:snapToGrid w:val="0"/>
        </w:rPr>
        <w:t>发包人、承包人据此</w:t>
      </w:r>
      <w:bookmarkEnd w:id="1575"/>
      <w:r>
        <w:rPr>
          <w:rFonts w:hint="eastAsia" w:eastAsia="宋体" w:cs="宋体"/>
          <w:snapToGrid w:val="0"/>
        </w:rPr>
        <w:t>作为结算价格，最终结算价按终审单位审定为准。</w:t>
      </w:r>
    </w:p>
    <w:p w14:paraId="41A546D8">
      <w:pPr>
        <w:pStyle w:val="403"/>
        <w:spacing w:line="460" w:lineRule="exact"/>
        <w:ind w:firstLine="480" w:firstLineChars="200"/>
        <w:rPr>
          <w:rFonts w:hint="eastAsia" w:eastAsia="宋体" w:cs="宋体"/>
          <w:snapToGrid w:val="0"/>
        </w:rPr>
      </w:pPr>
      <w:r>
        <w:rPr>
          <w:rFonts w:hint="eastAsia" w:eastAsia="宋体" w:cs="宋体"/>
          <w:snapToGrid w:val="0"/>
        </w:rPr>
        <w:t>17.6 最终结清</w:t>
      </w:r>
    </w:p>
    <w:p w14:paraId="61F1AFD7">
      <w:pPr>
        <w:pStyle w:val="403"/>
        <w:spacing w:line="460" w:lineRule="exact"/>
        <w:ind w:firstLine="480" w:firstLineChars="200"/>
        <w:rPr>
          <w:rFonts w:hint="eastAsia" w:eastAsia="宋体" w:cs="宋体"/>
          <w:snapToGrid w:val="0"/>
        </w:rPr>
      </w:pPr>
      <w:r>
        <w:rPr>
          <w:rFonts w:hint="eastAsia" w:eastAsia="宋体" w:cs="宋体"/>
          <w:snapToGrid w:val="0"/>
        </w:rPr>
        <w:t>17.6.1 最终结清申请单</w:t>
      </w:r>
    </w:p>
    <w:p w14:paraId="06237281">
      <w:pPr>
        <w:pStyle w:val="403"/>
        <w:spacing w:line="460" w:lineRule="exact"/>
        <w:ind w:firstLine="480" w:firstLineChars="200"/>
        <w:rPr>
          <w:rFonts w:hint="eastAsia" w:eastAsia="宋体" w:cs="宋体"/>
          <w:snapToGrid w:val="0"/>
        </w:rPr>
      </w:pPr>
      <w:r>
        <w:rPr>
          <w:rFonts w:hint="eastAsia" w:eastAsia="宋体" w:cs="宋体"/>
          <w:snapToGrid w:val="0"/>
        </w:rPr>
        <w:t>（1）修改为：缺陷责任期终止证书签发且工程保修期满后，承包人向监理人提交最终结清申请单（一式5份），并提供相关证明材料。</w:t>
      </w:r>
    </w:p>
    <w:p w14:paraId="607C36B4">
      <w:pPr>
        <w:pStyle w:val="403"/>
        <w:spacing w:line="460" w:lineRule="exact"/>
        <w:ind w:firstLine="480" w:firstLineChars="200"/>
        <w:rPr>
          <w:rFonts w:hint="eastAsia" w:eastAsia="宋体" w:cs="宋体"/>
          <w:snapToGrid w:val="0"/>
        </w:rPr>
      </w:pPr>
      <w:r>
        <w:rPr>
          <w:rFonts w:hint="eastAsia" w:eastAsia="宋体" w:cs="宋体"/>
          <w:snapToGrid w:val="0"/>
        </w:rPr>
        <w:t>（2）修改为：发包人应在监理人出具最终结清证书后，按合同条款17.3.3款的规定支付给承包人。</w:t>
      </w:r>
    </w:p>
    <w:p w14:paraId="3FE7C078">
      <w:pPr>
        <w:pStyle w:val="5"/>
        <w:spacing w:before="360" w:after="120" w:afterLines="50" w:line="480" w:lineRule="exact"/>
        <w:rPr>
          <w:rFonts w:hint="eastAsia" w:ascii="宋体" w:hAnsi="宋体" w:eastAsia="宋体" w:cs="宋体"/>
          <w:bCs/>
          <w:sz w:val="28"/>
          <w:szCs w:val="28"/>
        </w:rPr>
      </w:pPr>
      <w:bookmarkStart w:id="1576" w:name="_Toc176268761"/>
      <w:bookmarkStart w:id="1577" w:name="_Toc198803828"/>
      <w:bookmarkStart w:id="1578" w:name="_Toc83220632"/>
      <w:bookmarkStart w:id="1579" w:name="_Toc16254"/>
      <w:r>
        <w:rPr>
          <w:rFonts w:hint="eastAsia" w:ascii="宋体" w:hAnsi="宋体" w:eastAsia="宋体" w:cs="宋体"/>
          <w:bCs/>
          <w:sz w:val="28"/>
          <w:szCs w:val="28"/>
        </w:rPr>
        <w:t>19. 缺陷责任与保修责任</w:t>
      </w:r>
      <w:bookmarkEnd w:id="1576"/>
      <w:bookmarkEnd w:id="1577"/>
      <w:bookmarkEnd w:id="1578"/>
      <w:bookmarkEnd w:id="1579"/>
    </w:p>
    <w:p w14:paraId="0782CA08">
      <w:pPr>
        <w:pStyle w:val="403"/>
        <w:spacing w:line="460" w:lineRule="exact"/>
        <w:ind w:firstLine="480" w:firstLineChars="200"/>
        <w:rPr>
          <w:rFonts w:hint="eastAsia" w:eastAsia="宋体" w:cs="宋体"/>
          <w:snapToGrid w:val="0"/>
        </w:rPr>
      </w:pPr>
      <w:r>
        <w:rPr>
          <w:rFonts w:hint="eastAsia" w:eastAsia="宋体" w:cs="宋体"/>
          <w:snapToGrid w:val="0"/>
        </w:rPr>
        <w:t>19.1 缺陷责任期的起算时间</w:t>
      </w:r>
    </w:p>
    <w:p w14:paraId="6A8FF477">
      <w:pPr>
        <w:pStyle w:val="403"/>
        <w:spacing w:line="460" w:lineRule="exact"/>
        <w:ind w:firstLine="480" w:firstLineChars="200"/>
        <w:rPr>
          <w:rFonts w:hint="eastAsia" w:eastAsia="宋体" w:cs="宋体"/>
          <w:snapToGrid w:val="0"/>
        </w:rPr>
      </w:pPr>
      <w:r>
        <w:rPr>
          <w:rFonts w:hint="eastAsia" w:eastAsia="宋体" w:cs="宋体"/>
          <w:snapToGrid w:val="0"/>
        </w:rPr>
        <w:t>缺陷责任期自工程实际竣工日期起计算，保修期按《建设工程质量管理条例》规定执行。</w:t>
      </w:r>
    </w:p>
    <w:p w14:paraId="4EF13C99">
      <w:pPr>
        <w:pStyle w:val="403"/>
        <w:spacing w:line="460" w:lineRule="exact"/>
        <w:ind w:firstLine="480" w:firstLineChars="200"/>
        <w:rPr>
          <w:rFonts w:hint="eastAsia" w:eastAsia="宋体" w:cs="宋体"/>
          <w:snapToGrid w:val="0"/>
        </w:rPr>
      </w:pPr>
      <w:r>
        <w:rPr>
          <w:rFonts w:hint="eastAsia" w:eastAsia="宋体" w:cs="宋体"/>
          <w:snapToGrid w:val="0"/>
        </w:rPr>
        <w:t>补充以下内容：</w:t>
      </w:r>
    </w:p>
    <w:p w14:paraId="0A21ECEB">
      <w:pPr>
        <w:pStyle w:val="403"/>
        <w:spacing w:line="460" w:lineRule="exact"/>
        <w:ind w:firstLine="480" w:firstLineChars="200"/>
        <w:rPr>
          <w:rFonts w:hint="eastAsia" w:eastAsia="宋体" w:cs="宋体"/>
          <w:snapToGrid w:val="0"/>
        </w:rPr>
      </w:pPr>
      <w:r>
        <w:rPr>
          <w:rFonts w:hint="eastAsia" w:eastAsia="宋体" w:cs="宋体"/>
          <w:snapToGrid w:val="0"/>
        </w:rPr>
        <w:t>在缺陷责任期内，因承包人责任造成的工程缺陷或损坏，承包人应按发包人或监理人的保修通知的要求履行保修责任。</w:t>
      </w:r>
    </w:p>
    <w:p w14:paraId="143924CC">
      <w:pPr>
        <w:pStyle w:val="403"/>
        <w:spacing w:line="460" w:lineRule="exact"/>
        <w:ind w:firstLine="480" w:firstLineChars="200"/>
        <w:rPr>
          <w:rFonts w:hint="eastAsia" w:eastAsia="宋体" w:cs="宋体"/>
          <w:snapToGrid w:val="0"/>
        </w:rPr>
      </w:pPr>
      <w:r>
        <w:rPr>
          <w:rFonts w:hint="eastAsia" w:eastAsia="宋体" w:cs="宋体"/>
          <w:snapToGrid w:val="0"/>
        </w:rPr>
        <w:t>19.7 保修责任</w:t>
      </w:r>
    </w:p>
    <w:p w14:paraId="62E2FE8A">
      <w:pPr>
        <w:pStyle w:val="403"/>
        <w:spacing w:line="460" w:lineRule="exact"/>
        <w:ind w:firstLine="480" w:firstLineChars="200"/>
        <w:rPr>
          <w:rFonts w:hint="eastAsia" w:eastAsia="宋体" w:cs="宋体"/>
          <w:snapToGrid w:val="0"/>
        </w:rPr>
      </w:pPr>
      <w:r>
        <w:rPr>
          <w:rFonts w:hint="eastAsia" w:eastAsia="宋体" w:cs="宋体"/>
          <w:snapToGrid w:val="0"/>
        </w:rPr>
        <w:t>按《建设工程质量管理条例》规定执行。</w:t>
      </w:r>
    </w:p>
    <w:p w14:paraId="36EA695E">
      <w:pPr>
        <w:pStyle w:val="5"/>
        <w:spacing w:before="360" w:after="120" w:afterLines="50" w:line="480" w:lineRule="exact"/>
        <w:rPr>
          <w:rFonts w:hint="eastAsia" w:ascii="宋体" w:hAnsi="宋体" w:eastAsia="宋体" w:cs="宋体"/>
          <w:bCs/>
          <w:sz w:val="28"/>
          <w:szCs w:val="28"/>
        </w:rPr>
      </w:pPr>
      <w:bookmarkStart w:id="1580" w:name="_Toc14457"/>
      <w:bookmarkStart w:id="1581" w:name="_Toc198803829"/>
      <w:bookmarkStart w:id="1582" w:name="_Toc83220633"/>
      <w:bookmarkStart w:id="1583" w:name="_Toc176268762"/>
      <w:r>
        <w:rPr>
          <w:rFonts w:hint="eastAsia" w:ascii="宋体" w:hAnsi="宋体" w:eastAsia="宋体" w:cs="宋体"/>
          <w:bCs/>
          <w:sz w:val="28"/>
          <w:szCs w:val="28"/>
        </w:rPr>
        <w:t>20. 保险</w:t>
      </w:r>
      <w:bookmarkEnd w:id="1580"/>
      <w:bookmarkEnd w:id="1581"/>
      <w:bookmarkEnd w:id="1582"/>
      <w:bookmarkEnd w:id="1583"/>
    </w:p>
    <w:p w14:paraId="16D94AFA">
      <w:pPr>
        <w:pStyle w:val="403"/>
        <w:spacing w:line="460" w:lineRule="exact"/>
        <w:ind w:firstLine="480" w:firstLineChars="200"/>
        <w:rPr>
          <w:rFonts w:hint="eastAsia" w:eastAsia="宋体" w:cs="宋体"/>
          <w:snapToGrid w:val="0"/>
        </w:rPr>
      </w:pPr>
      <w:r>
        <w:rPr>
          <w:rFonts w:hint="eastAsia" w:eastAsia="宋体" w:cs="宋体"/>
          <w:snapToGrid w:val="0"/>
        </w:rPr>
        <w:t>20.1 设计和工程保险</w:t>
      </w:r>
    </w:p>
    <w:p w14:paraId="5A47823B">
      <w:pPr>
        <w:pStyle w:val="403"/>
        <w:spacing w:line="460" w:lineRule="exact"/>
        <w:ind w:firstLine="480" w:firstLineChars="200"/>
        <w:rPr>
          <w:rFonts w:hint="eastAsia" w:eastAsia="宋体" w:cs="宋体"/>
          <w:snapToGrid w:val="0"/>
        </w:rPr>
      </w:pPr>
      <w:r>
        <w:rPr>
          <w:rFonts w:hint="eastAsia" w:eastAsia="宋体" w:cs="宋体"/>
          <w:snapToGrid w:val="0"/>
        </w:rPr>
        <w:t>20.1.1承包人负责购买本建设工程的设计责任险、建筑职工意外伤害险（足额购买）、工伤险、承包人雇主责任险、施工机械设备保险、建筑工程一切险、安装工程一切险及第三者责任险、为本合同工作的员工（含临时工）人身意外保险、为运至施工场地内用于永久工程的材料和待安装工程设备办理的保险及其他保险事项</w:t>
      </w:r>
      <w:bookmarkStart w:id="1584" w:name="_Toc339641295"/>
      <w:r>
        <w:rPr>
          <w:rFonts w:hint="eastAsia" w:eastAsia="宋体" w:cs="宋体"/>
          <w:snapToGrid w:val="0"/>
        </w:rPr>
        <w:t>，由承包人办理，工程保险费包含在合同价款中，发包人不再另行支付。保险期自保单生效之日起至合同约定项目工程竣工验收且竣工验收备案完成之日止，且保单生效之日必须不迟于工程开工之日</w:t>
      </w:r>
      <w:bookmarkEnd w:id="1584"/>
      <w:r>
        <w:rPr>
          <w:rFonts w:hint="eastAsia" w:eastAsia="宋体" w:cs="宋体"/>
          <w:snapToGrid w:val="0"/>
        </w:rPr>
        <w:t>。</w:t>
      </w:r>
    </w:p>
    <w:p w14:paraId="1406ABAA">
      <w:pPr>
        <w:pStyle w:val="403"/>
        <w:spacing w:line="460" w:lineRule="exact"/>
        <w:ind w:firstLine="480" w:firstLineChars="200"/>
        <w:rPr>
          <w:rFonts w:hint="eastAsia" w:eastAsia="宋体" w:cs="宋体"/>
          <w:snapToGrid w:val="0"/>
        </w:rPr>
      </w:pPr>
      <w:r>
        <w:rPr>
          <w:rFonts w:hint="eastAsia" w:eastAsia="宋体" w:cs="宋体"/>
          <w:snapToGrid w:val="0"/>
        </w:rPr>
        <w:t>20.5对各项保险的一般要求</w:t>
      </w:r>
    </w:p>
    <w:p w14:paraId="6108AEE2">
      <w:pPr>
        <w:pStyle w:val="403"/>
        <w:spacing w:line="460" w:lineRule="exact"/>
        <w:ind w:firstLine="480" w:firstLineChars="200"/>
        <w:rPr>
          <w:rFonts w:hint="eastAsia" w:eastAsia="宋体" w:cs="宋体"/>
          <w:snapToGrid w:val="0"/>
        </w:rPr>
      </w:pPr>
      <w:r>
        <w:rPr>
          <w:rFonts w:hint="eastAsia" w:eastAsia="宋体" w:cs="宋体"/>
          <w:snapToGrid w:val="0"/>
        </w:rPr>
        <w:t>20.5.4 保险金不足的补偿</w:t>
      </w:r>
    </w:p>
    <w:p w14:paraId="2EB2AF36">
      <w:pPr>
        <w:pStyle w:val="403"/>
        <w:spacing w:line="460" w:lineRule="exact"/>
        <w:ind w:firstLine="480" w:firstLineChars="200"/>
        <w:rPr>
          <w:rFonts w:hint="eastAsia" w:eastAsia="宋体" w:cs="宋体"/>
          <w:snapToGrid w:val="0"/>
        </w:rPr>
      </w:pPr>
      <w:r>
        <w:rPr>
          <w:rFonts w:hint="eastAsia" w:eastAsia="宋体" w:cs="宋体"/>
          <w:snapToGrid w:val="0"/>
        </w:rPr>
        <w:t>由承包人负责办理的保险，如保险金不足以补偿损失的，应由承包人自行负责补偿。</w:t>
      </w:r>
    </w:p>
    <w:p w14:paraId="4193726F">
      <w:pPr>
        <w:pStyle w:val="5"/>
        <w:spacing w:before="360" w:after="120" w:afterLines="50" w:line="480" w:lineRule="exact"/>
        <w:rPr>
          <w:rFonts w:hint="eastAsia" w:ascii="宋体" w:hAnsi="宋体" w:eastAsia="宋体" w:cs="宋体"/>
          <w:bCs/>
          <w:sz w:val="28"/>
          <w:szCs w:val="28"/>
        </w:rPr>
      </w:pPr>
      <w:bookmarkStart w:id="1585" w:name="_Toc83220634"/>
      <w:bookmarkStart w:id="1586" w:name="_Toc15956"/>
      <w:bookmarkStart w:id="1587" w:name="_Toc198803830"/>
      <w:bookmarkStart w:id="1588" w:name="_Toc176268763"/>
      <w:r>
        <w:rPr>
          <w:rFonts w:hint="eastAsia" w:ascii="宋体" w:hAnsi="宋体" w:eastAsia="宋体" w:cs="宋体"/>
          <w:bCs/>
          <w:sz w:val="28"/>
          <w:szCs w:val="28"/>
        </w:rPr>
        <w:t>22. 违约</w:t>
      </w:r>
      <w:bookmarkEnd w:id="1585"/>
      <w:bookmarkEnd w:id="1586"/>
      <w:bookmarkEnd w:id="1587"/>
      <w:bookmarkEnd w:id="1588"/>
    </w:p>
    <w:p w14:paraId="067BC752">
      <w:pPr>
        <w:pStyle w:val="403"/>
        <w:spacing w:line="460" w:lineRule="exact"/>
        <w:ind w:firstLine="480" w:firstLineChars="200"/>
        <w:rPr>
          <w:rFonts w:hint="eastAsia" w:eastAsia="宋体" w:cs="宋体"/>
          <w:snapToGrid w:val="0"/>
        </w:rPr>
      </w:pPr>
      <w:r>
        <w:rPr>
          <w:rFonts w:hint="eastAsia" w:eastAsia="宋体" w:cs="宋体"/>
          <w:snapToGrid w:val="0"/>
        </w:rPr>
        <w:t>22.1 承包人违约</w:t>
      </w:r>
    </w:p>
    <w:p w14:paraId="065C7C18">
      <w:pPr>
        <w:pStyle w:val="403"/>
        <w:spacing w:line="460" w:lineRule="exact"/>
        <w:ind w:firstLine="480" w:firstLineChars="200"/>
        <w:rPr>
          <w:rFonts w:hint="eastAsia" w:eastAsia="宋体" w:cs="宋体"/>
          <w:snapToGrid w:val="0"/>
        </w:rPr>
      </w:pPr>
      <w:r>
        <w:rPr>
          <w:rFonts w:hint="eastAsia" w:eastAsia="宋体" w:cs="宋体"/>
          <w:snapToGrid w:val="0"/>
        </w:rPr>
        <w:t>22.1.1 承包人违约的情形（适用于承包人中的施工方）</w:t>
      </w:r>
    </w:p>
    <w:p w14:paraId="3CABDA8C">
      <w:pPr>
        <w:pStyle w:val="403"/>
        <w:spacing w:line="460" w:lineRule="exact"/>
        <w:ind w:firstLine="480" w:firstLineChars="200"/>
        <w:rPr>
          <w:rFonts w:hint="eastAsia" w:eastAsia="宋体" w:cs="宋体"/>
          <w:snapToGrid w:val="0"/>
        </w:rPr>
      </w:pPr>
      <w:r>
        <w:rPr>
          <w:rFonts w:hint="eastAsia" w:eastAsia="宋体" w:cs="宋体"/>
          <w:snapToGrid w:val="0"/>
        </w:rPr>
        <w:t>本款增加：</w:t>
      </w:r>
    </w:p>
    <w:p w14:paraId="7C75AB71">
      <w:pPr>
        <w:pStyle w:val="403"/>
        <w:spacing w:line="460" w:lineRule="exact"/>
        <w:ind w:firstLine="480" w:firstLineChars="200"/>
        <w:rPr>
          <w:rFonts w:hint="eastAsia" w:eastAsia="宋体" w:cs="宋体"/>
          <w:snapToGrid w:val="0"/>
        </w:rPr>
      </w:pPr>
      <w:r>
        <w:rPr>
          <w:rFonts w:hint="eastAsia" w:eastAsia="宋体" w:cs="宋体"/>
          <w:snapToGrid w:val="0"/>
        </w:rPr>
        <w:t>（10）承包人违反第4.5款关于承包人项目经理管理规定；</w:t>
      </w:r>
    </w:p>
    <w:p w14:paraId="76BB87C6">
      <w:pPr>
        <w:pStyle w:val="403"/>
        <w:spacing w:line="460" w:lineRule="exact"/>
        <w:ind w:firstLine="480" w:firstLineChars="200"/>
        <w:rPr>
          <w:rFonts w:hint="eastAsia" w:eastAsia="宋体" w:cs="宋体"/>
          <w:snapToGrid w:val="0"/>
        </w:rPr>
      </w:pPr>
      <w:r>
        <w:rPr>
          <w:rFonts w:hint="eastAsia" w:eastAsia="宋体" w:cs="宋体"/>
          <w:snapToGrid w:val="0"/>
        </w:rPr>
        <w:t>（11）承包人违反第4.6款关于承包人人员管理规定；</w:t>
      </w:r>
    </w:p>
    <w:p w14:paraId="4F276B18">
      <w:pPr>
        <w:pStyle w:val="403"/>
        <w:spacing w:line="460" w:lineRule="exact"/>
        <w:ind w:firstLine="480" w:firstLineChars="200"/>
        <w:rPr>
          <w:rFonts w:hint="eastAsia" w:eastAsia="宋体" w:cs="宋体"/>
          <w:snapToGrid w:val="0"/>
        </w:rPr>
      </w:pPr>
      <w:r>
        <w:rPr>
          <w:rFonts w:hint="eastAsia" w:eastAsia="宋体" w:cs="宋体"/>
          <w:snapToGrid w:val="0"/>
        </w:rPr>
        <w:t>（12）承包人未按期支付民工工资的；</w:t>
      </w:r>
    </w:p>
    <w:p w14:paraId="053F606B">
      <w:pPr>
        <w:pStyle w:val="403"/>
        <w:spacing w:line="460" w:lineRule="exact"/>
        <w:ind w:firstLine="480" w:firstLineChars="200"/>
        <w:rPr>
          <w:rFonts w:hint="eastAsia" w:eastAsia="宋体" w:cs="宋体"/>
          <w:snapToGrid w:val="0"/>
        </w:rPr>
      </w:pPr>
      <w:r>
        <w:rPr>
          <w:rFonts w:hint="eastAsia" w:eastAsia="宋体" w:cs="宋体"/>
          <w:snapToGrid w:val="0"/>
        </w:rPr>
        <w:t>（13）承包人提供的结算资料弄虚作假的。</w:t>
      </w:r>
    </w:p>
    <w:p w14:paraId="3BA527F7">
      <w:pPr>
        <w:pStyle w:val="403"/>
        <w:spacing w:line="460" w:lineRule="exact"/>
        <w:ind w:firstLine="480" w:firstLineChars="200"/>
        <w:rPr>
          <w:rFonts w:hint="eastAsia" w:eastAsia="宋体" w:cs="宋体"/>
          <w:snapToGrid w:val="0"/>
        </w:rPr>
      </w:pPr>
      <w:r>
        <w:rPr>
          <w:rFonts w:hint="eastAsia" w:eastAsia="宋体" w:cs="宋体"/>
          <w:snapToGrid w:val="0"/>
        </w:rPr>
        <w:t>22.1.2 对承包人违约的处理</w:t>
      </w:r>
    </w:p>
    <w:p w14:paraId="1357D177">
      <w:pPr>
        <w:pStyle w:val="403"/>
        <w:spacing w:line="460" w:lineRule="exact"/>
        <w:ind w:firstLine="480" w:firstLineChars="200"/>
        <w:rPr>
          <w:rFonts w:hint="eastAsia" w:eastAsia="宋体" w:cs="宋体"/>
          <w:snapToGrid w:val="0"/>
        </w:rPr>
      </w:pPr>
      <w:r>
        <w:rPr>
          <w:rFonts w:hint="eastAsia" w:eastAsia="宋体" w:cs="宋体"/>
          <w:snapToGrid w:val="0"/>
        </w:rPr>
        <w:t>22.1.2.1 承包人承担违约责任的方式包括但不限于：</w:t>
      </w:r>
    </w:p>
    <w:p w14:paraId="6F218DBF">
      <w:pPr>
        <w:pStyle w:val="403"/>
        <w:spacing w:line="460" w:lineRule="exact"/>
        <w:ind w:firstLine="480" w:firstLineChars="200"/>
        <w:rPr>
          <w:rFonts w:hint="eastAsia" w:eastAsia="宋体" w:cs="宋体"/>
          <w:snapToGrid w:val="0"/>
        </w:rPr>
      </w:pPr>
      <w:r>
        <w:rPr>
          <w:rFonts w:hint="eastAsia" w:eastAsia="宋体" w:cs="宋体"/>
          <w:snapToGrid w:val="0"/>
        </w:rPr>
        <w:t>（1）书面警告。承包人不履行或不完全履行合同约定的义务及责任，或者不执行总监理工程师或发包人（含主管人员）的指令时，发包人有权向承包人发出书面警告，从承包人工程款或履约担保中扣减10000元/次。承包人必须在书面警告限定的时间内改正，逾期未改正的，发包人有权要求其主管生产的副总经理以上级别的领导驻场办公，直至改正为止。</w:t>
      </w:r>
    </w:p>
    <w:p w14:paraId="5E6164B6">
      <w:pPr>
        <w:pStyle w:val="403"/>
        <w:spacing w:line="460" w:lineRule="exact"/>
        <w:ind w:firstLine="480" w:firstLineChars="200"/>
        <w:rPr>
          <w:rFonts w:hint="eastAsia" w:eastAsia="宋体" w:cs="宋体"/>
          <w:snapToGrid w:val="0"/>
        </w:rPr>
      </w:pPr>
      <w:r>
        <w:rPr>
          <w:rFonts w:hint="eastAsia" w:eastAsia="宋体" w:cs="宋体"/>
          <w:snapToGrid w:val="0"/>
        </w:rPr>
        <w:t>（2）一般违约责任。承包人违反本合同的约定须承担一般违约责任时，发包人从承包人工程款或履约担保中扣减违约金50000元/次。</w:t>
      </w:r>
    </w:p>
    <w:p w14:paraId="33FE44FF">
      <w:pPr>
        <w:pStyle w:val="403"/>
        <w:spacing w:line="460" w:lineRule="exact"/>
        <w:ind w:firstLine="480" w:firstLineChars="200"/>
        <w:rPr>
          <w:rFonts w:hint="eastAsia" w:eastAsia="宋体" w:cs="宋体"/>
          <w:snapToGrid w:val="0"/>
        </w:rPr>
      </w:pPr>
      <w:r>
        <w:rPr>
          <w:rFonts w:hint="eastAsia" w:eastAsia="宋体" w:cs="宋体"/>
          <w:snapToGrid w:val="0"/>
        </w:rPr>
        <w:t>（3）严重违约责任。承包人违反本合同的约定须承担严重违约责任时，发包人从承包人工程款或履约担保中扣减违约金100000元/次。</w:t>
      </w:r>
    </w:p>
    <w:p w14:paraId="5C71923D">
      <w:pPr>
        <w:pStyle w:val="403"/>
        <w:spacing w:line="460" w:lineRule="exact"/>
        <w:ind w:firstLine="480" w:firstLineChars="200"/>
        <w:rPr>
          <w:rFonts w:hint="eastAsia" w:eastAsia="宋体" w:cs="宋体"/>
          <w:snapToGrid w:val="0"/>
        </w:rPr>
      </w:pPr>
      <w:r>
        <w:rPr>
          <w:rFonts w:hint="eastAsia" w:eastAsia="宋体" w:cs="宋体"/>
          <w:snapToGrid w:val="0"/>
        </w:rPr>
        <w:t>（4）部分解除合同。当承包人违反本合同的约定符合部分解除合同的条件时，发包人有权向承包人发出书面部分解除合同的通知，该通知在送达承包人时即生效。发包人有权从本合同价款中直接扣除被解除部分工程所需的全部费用，同时，承包人应在部分解除合同之日起七日内从承包人工程款或履约担保中扣减被解除部分工程合同价款20%的违约金并赔偿发包人的实际损失。</w:t>
      </w:r>
    </w:p>
    <w:p w14:paraId="562D63BF">
      <w:pPr>
        <w:pStyle w:val="403"/>
        <w:spacing w:line="460" w:lineRule="exact"/>
        <w:ind w:firstLine="480" w:firstLineChars="200"/>
        <w:rPr>
          <w:rFonts w:hint="eastAsia" w:eastAsia="宋体" w:cs="宋体"/>
          <w:snapToGrid w:val="0"/>
        </w:rPr>
      </w:pPr>
      <w:r>
        <w:rPr>
          <w:rFonts w:hint="eastAsia" w:eastAsia="宋体" w:cs="宋体"/>
          <w:snapToGrid w:val="0"/>
        </w:rPr>
        <w:t>（5）解除合同。当承包人违反本合同的约定符合解除合同的条件时，发包人有权向承包人发出书面解除合同的通知，该通知在送达承包人时即生效，承包人应在解除合同之日起七日内从承包人工程款或履约担保中扣减本合同价款20%的违约金并赔偿发包人的实际损失。</w:t>
      </w:r>
    </w:p>
    <w:p w14:paraId="40ED6379">
      <w:pPr>
        <w:pStyle w:val="403"/>
        <w:spacing w:line="460" w:lineRule="exact"/>
        <w:ind w:firstLine="480" w:firstLineChars="200"/>
        <w:rPr>
          <w:rFonts w:hint="eastAsia" w:eastAsia="宋体" w:cs="宋体"/>
          <w:snapToGrid w:val="0"/>
        </w:rPr>
      </w:pPr>
      <w:r>
        <w:rPr>
          <w:rFonts w:hint="eastAsia" w:eastAsia="宋体" w:cs="宋体"/>
          <w:snapToGrid w:val="0"/>
        </w:rPr>
        <w:t>（6）赔偿损失。因承包人原因造成发包人经济损失的，承包人应赔偿发包人的经济损失。</w:t>
      </w:r>
    </w:p>
    <w:p w14:paraId="51A7A81D">
      <w:pPr>
        <w:pStyle w:val="403"/>
        <w:spacing w:line="460" w:lineRule="exact"/>
        <w:ind w:firstLine="480" w:firstLineChars="200"/>
        <w:rPr>
          <w:rFonts w:hint="eastAsia" w:eastAsia="宋体" w:cs="宋体"/>
          <w:snapToGrid w:val="0"/>
        </w:rPr>
      </w:pPr>
      <w:r>
        <w:rPr>
          <w:rFonts w:hint="eastAsia" w:eastAsia="宋体" w:cs="宋体"/>
          <w:snapToGrid w:val="0"/>
        </w:rPr>
        <w:t>22.1.2.2 在本合同有效期内，承包人累计承担三次严重违约责任的，发包人有权单方面部分或全部解除合同。</w:t>
      </w:r>
    </w:p>
    <w:p w14:paraId="74E00C6D">
      <w:pPr>
        <w:pStyle w:val="403"/>
        <w:spacing w:line="460" w:lineRule="exact"/>
        <w:ind w:firstLine="480" w:firstLineChars="200"/>
        <w:rPr>
          <w:rFonts w:hint="eastAsia" w:eastAsia="宋体" w:cs="宋体"/>
          <w:snapToGrid w:val="0"/>
        </w:rPr>
      </w:pPr>
      <w:r>
        <w:rPr>
          <w:rFonts w:hint="eastAsia" w:eastAsia="宋体" w:cs="宋体"/>
          <w:snapToGrid w:val="0"/>
        </w:rPr>
        <w:t>22.1.2.3 承包人按本合同约定应交纳的违约金和赔偿金，属于专用合同条款第22.1.2.7款“工程质量方面的违约责任”、第22.1.2.8款“安全生产方面的违约责任”的，发包人有权从应支付给承包人的工程款或履约担保中直接扣除。</w:t>
      </w:r>
    </w:p>
    <w:p w14:paraId="06BE9D48">
      <w:pPr>
        <w:pStyle w:val="403"/>
        <w:spacing w:line="460" w:lineRule="exact"/>
        <w:ind w:firstLine="480" w:firstLineChars="200"/>
        <w:rPr>
          <w:rFonts w:hint="eastAsia" w:eastAsia="宋体" w:cs="宋体"/>
          <w:snapToGrid w:val="0"/>
        </w:rPr>
      </w:pPr>
      <w:r>
        <w:rPr>
          <w:rFonts w:hint="eastAsia" w:eastAsia="宋体" w:cs="宋体"/>
          <w:snapToGrid w:val="0"/>
        </w:rPr>
        <w:t>属于专用合同条款第22.1.2.7款、第22.1.2.8款约定以外的其他违约责任的，发包人将根据承包人履行合同的实际情况在工程结算时予以扣除。若相关违约责任非承包人原因引起的，或相关违约责任对合同的履行未造成实质性影响的，或承包人在合同后续履行过程中已采取足够措施来弥补违约责任造成的损失的，由承包人提出申请，经监理单位、发包人批准后，可予以免除。</w:t>
      </w:r>
    </w:p>
    <w:p w14:paraId="2F2F6307">
      <w:pPr>
        <w:pStyle w:val="403"/>
        <w:spacing w:line="460" w:lineRule="exact"/>
        <w:ind w:firstLine="480" w:firstLineChars="200"/>
        <w:rPr>
          <w:rFonts w:hint="eastAsia"/>
        </w:rPr>
      </w:pPr>
      <w:r>
        <w:rPr>
          <w:rFonts w:hint="eastAsia"/>
        </w:rPr>
        <w:t>22.1.2.4工程组织管理方面的违约责任</w:t>
      </w:r>
    </w:p>
    <w:p w14:paraId="4699C8A6">
      <w:pPr>
        <w:pStyle w:val="403"/>
        <w:spacing w:line="460" w:lineRule="exact"/>
        <w:ind w:firstLine="480" w:firstLineChars="200"/>
        <w:rPr>
          <w:rFonts w:hint="eastAsia" w:eastAsia="宋体" w:cs="宋体"/>
          <w:snapToGrid w:val="0"/>
        </w:rPr>
      </w:pPr>
      <w:r>
        <w:rPr>
          <w:rFonts w:hint="eastAsia" w:eastAsia="宋体" w:cs="宋体"/>
          <w:snapToGrid w:val="0"/>
        </w:rPr>
        <w:t>（1）承包人不服从发包人及监理单位的管理，对发包人、监理单位的指令和书面通知公开或变相拒不执行的，发包人视情节严重程度有权要求其承担1次一般违约责任或者1次严重违约责任，并由承包人承担由此造成的一切经济损失。情节较轻的，可给予书面警告；情节特别严重的，发包人有权单方面部分解除合同或解除合同。</w:t>
      </w:r>
    </w:p>
    <w:p w14:paraId="540D3E0A">
      <w:pPr>
        <w:pStyle w:val="403"/>
        <w:spacing w:line="460" w:lineRule="exact"/>
        <w:ind w:firstLine="480" w:firstLineChars="200"/>
        <w:rPr>
          <w:rFonts w:hint="eastAsia" w:eastAsia="宋体" w:cs="宋体"/>
          <w:snapToGrid w:val="0"/>
        </w:rPr>
      </w:pPr>
      <w:r>
        <w:rPr>
          <w:rFonts w:hint="eastAsia" w:eastAsia="宋体" w:cs="宋体"/>
          <w:snapToGrid w:val="0"/>
        </w:rPr>
        <w:t>（2）承包人不遵守发包人所制定的各项制度、规定的，由承包人按所触犯制度、规定的有关规定承担违约责任。所触犯制度、规定没有明确规定的，由发包人参照专用合同条款第22.1.2.4（1）款的约定处理。</w:t>
      </w:r>
    </w:p>
    <w:p w14:paraId="6E69F87C">
      <w:pPr>
        <w:pStyle w:val="403"/>
        <w:spacing w:line="460" w:lineRule="exact"/>
        <w:ind w:firstLine="480" w:firstLineChars="200"/>
        <w:rPr>
          <w:rFonts w:hint="eastAsia" w:eastAsia="宋体" w:cs="宋体"/>
          <w:snapToGrid w:val="0"/>
        </w:rPr>
      </w:pPr>
      <w:r>
        <w:rPr>
          <w:rFonts w:hint="eastAsia" w:eastAsia="宋体" w:cs="宋体"/>
          <w:snapToGrid w:val="0"/>
        </w:rPr>
        <w:t>（3）承包人不按专用合同条款第4.5条、第4.6条的有关约定投入现场组织管理人员、施工作业人员、施工机械设备，或者擅自变更资源投入计划或者擅自对已投入的资源进行调整的，承包人必须按照总监理工程师或者发包人的指令限期改正；承包人拒不限期改正的，发包人有权要求其承担1次一般违约责任或者1次严重违约责任。情节较轻的，可给予书面警告；情节特别严重的，发包人有权单方面部分解除合同或解除合同。因缺勤而被扣除现场组织实施管理费的人员不再给予违约处理。</w:t>
      </w:r>
    </w:p>
    <w:p w14:paraId="623FA9E5">
      <w:pPr>
        <w:pStyle w:val="403"/>
        <w:spacing w:line="460" w:lineRule="exact"/>
        <w:ind w:firstLine="480" w:firstLineChars="200"/>
        <w:rPr>
          <w:rFonts w:hint="eastAsia" w:eastAsia="宋体" w:cs="宋体"/>
          <w:snapToGrid w:val="0"/>
        </w:rPr>
      </w:pPr>
      <w:r>
        <w:rPr>
          <w:rFonts w:hint="eastAsia" w:eastAsia="宋体" w:cs="宋体"/>
          <w:snapToGrid w:val="0"/>
        </w:rPr>
        <w:t>经发包人或总监理工程师考核，承包人投入的现场组织管理人员不能满足本工程建设要求的，承包人必须无条件按发包人的要求更换，直至满足本工程建设要求为止。而且，不能满足本工程建设要求的现场组织管理人员按缺勤处理。</w:t>
      </w:r>
    </w:p>
    <w:p w14:paraId="40F50415">
      <w:pPr>
        <w:pStyle w:val="403"/>
        <w:spacing w:line="460" w:lineRule="exact"/>
        <w:ind w:firstLine="480" w:firstLineChars="200"/>
        <w:rPr>
          <w:rFonts w:hint="eastAsia" w:eastAsia="宋体" w:cs="宋体"/>
          <w:snapToGrid w:val="0"/>
        </w:rPr>
      </w:pPr>
      <w:r>
        <w:rPr>
          <w:rFonts w:hint="eastAsia" w:eastAsia="宋体" w:cs="宋体"/>
          <w:snapToGrid w:val="0"/>
        </w:rPr>
        <w:t>如承包人违背投标承诺，私自更改投标承诺，除按上述约定承担违约责任之外，还应同时无条件按下表约定的金额从承包人工程款或履约担保中扣减违约金：</w:t>
      </w:r>
    </w:p>
    <w:tbl>
      <w:tblPr>
        <w:tblStyle w:val="6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8"/>
        <w:gridCol w:w="2448"/>
        <w:gridCol w:w="3840"/>
        <w:gridCol w:w="2101"/>
      </w:tblGrid>
      <w:tr w14:paraId="7ED9AE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18" w:type="dxa"/>
            <w:vAlign w:val="center"/>
          </w:tcPr>
          <w:p w14:paraId="51078389">
            <w:pPr>
              <w:pStyle w:val="403"/>
              <w:spacing w:line="460" w:lineRule="exact"/>
              <w:jc w:val="center"/>
              <w:rPr>
                <w:rFonts w:hint="eastAsia" w:eastAsia="宋体" w:cs="宋体"/>
                <w:snapToGrid w:val="0"/>
              </w:rPr>
            </w:pPr>
            <w:r>
              <w:rPr>
                <w:rFonts w:hint="eastAsia" w:eastAsia="宋体" w:cs="宋体"/>
                <w:snapToGrid w:val="0"/>
              </w:rPr>
              <w:t>序号</w:t>
            </w:r>
          </w:p>
        </w:tc>
        <w:tc>
          <w:tcPr>
            <w:tcW w:w="2448" w:type="dxa"/>
            <w:vAlign w:val="center"/>
          </w:tcPr>
          <w:p w14:paraId="739890C3">
            <w:pPr>
              <w:pStyle w:val="403"/>
              <w:spacing w:line="460" w:lineRule="exact"/>
              <w:jc w:val="center"/>
              <w:rPr>
                <w:rFonts w:hint="eastAsia" w:eastAsia="宋体" w:cs="宋体"/>
                <w:snapToGrid w:val="0"/>
              </w:rPr>
            </w:pPr>
            <w:r>
              <w:rPr>
                <w:rFonts w:hint="eastAsia" w:eastAsia="宋体" w:cs="宋体"/>
                <w:snapToGrid w:val="0"/>
              </w:rPr>
              <w:t>承诺项目</w:t>
            </w:r>
          </w:p>
        </w:tc>
        <w:tc>
          <w:tcPr>
            <w:tcW w:w="3840" w:type="dxa"/>
            <w:vAlign w:val="center"/>
          </w:tcPr>
          <w:p w14:paraId="1F69998A">
            <w:pPr>
              <w:pStyle w:val="403"/>
              <w:spacing w:line="460" w:lineRule="exact"/>
              <w:jc w:val="center"/>
              <w:rPr>
                <w:rFonts w:hint="eastAsia" w:eastAsia="宋体" w:cs="宋体"/>
                <w:snapToGrid w:val="0"/>
              </w:rPr>
            </w:pPr>
            <w:r>
              <w:rPr>
                <w:rFonts w:hint="eastAsia" w:eastAsia="宋体" w:cs="宋体"/>
                <w:snapToGrid w:val="0"/>
              </w:rPr>
              <w:t>违约说明</w:t>
            </w:r>
          </w:p>
        </w:tc>
        <w:tc>
          <w:tcPr>
            <w:tcW w:w="2101" w:type="dxa"/>
            <w:vAlign w:val="center"/>
          </w:tcPr>
          <w:p w14:paraId="2401247A">
            <w:pPr>
              <w:pStyle w:val="403"/>
              <w:spacing w:line="460" w:lineRule="exact"/>
              <w:jc w:val="center"/>
              <w:rPr>
                <w:rFonts w:hint="eastAsia" w:eastAsia="宋体" w:cs="宋体"/>
                <w:snapToGrid w:val="0"/>
              </w:rPr>
            </w:pPr>
            <w:r>
              <w:rPr>
                <w:rFonts w:hint="eastAsia" w:eastAsia="宋体" w:cs="宋体"/>
                <w:snapToGrid w:val="0"/>
              </w:rPr>
              <w:t>承包人承诺的违约金额（元）</w:t>
            </w:r>
          </w:p>
        </w:tc>
      </w:tr>
      <w:tr w14:paraId="73F0BC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dxa"/>
            <w:vMerge w:val="restart"/>
            <w:vAlign w:val="center"/>
          </w:tcPr>
          <w:p w14:paraId="276373A9">
            <w:pPr>
              <w:pStyle w:val="403"/>
              <w:spacing w:line="460" w:lineRule="exact"/>
              <w:jc w:val="center"/>
              <w:rPr>
                <w:rFonts w:hint="eastAsia" w:eastAsia="宋体" w:cs="宋体"/>
                <w:snapToGrid w:val="0"/>
              </w:rPr>
            </w:pPr>
            <w:r>
              <w:rPr>
                <w:rFonts w:hint="eastAsia" w:eastAsia="宋体" w:cs="宋体"/>
                <w:snapToGrid w:val="0"/>
              </w:rPr>
              <w:t>1</w:t>
            </w:r>
          </w:p>
        </w:tc>
        <w:tc>
          <w:tcPr>
            <w:tcW w:w="2448" w:type="dxa"/>
            <w:vMerge w:val="restart"/>
            <w:vAlign w:val="center"/>
          </w:tcPr>
          <w:p w14:paraId="7BF8EFC6">
            <w:pPr>
              <w:pStyle w:val="403"/>
              <w:spacing w:line="460" w:lineRule="exact"/>
              <w:jc w:val="center"/>
              <w:rPr>
                <w:rFonts w:hint="eastAsia" w:eastAsia="宋体" w:cs="宋体"/>
                <w:snapToGrid w:val="0"/>
              </w:rPr>
            </w:pPr>
            <w:r>
              <w:rPr>
                <w:rFonts w:hint="eastAsia" w:eastAsia="宋体" w:cs="宋体"/>
                <w:snapToGrid w:val="0"/>
              </w:rPr>
              <w:t>施工项目部</w:t>
            </w:r>
          </w:p>
        </w:tc>
        <w:tc>
          <w:tcPr>
            <w:tcW w:w="3840" w:type="dxa"/>
            <w:vAlign w:val="center"/>
          </w:tcPr>
          <w:p w14:paraId="1453DB2B">
            <w:pPr>
              <w:pStyle w:val="403"/>
              <w:spacing w:line="460" w:lineRule="exact"/>
              <w:rPr>
                <w:rFonts w:hint="eastAsia" w:eastAsia="宋体" w:cs="宋体"/>
                <w:snapToGrid w:val="0"/>
              </w:rPr>
            </w:pPr>
            <w:r>
              <w:rPr>
                <w:rFonts w:hint="eastAsia" w:eastAsia="宋体" w:cs="宋体"/>
                <w:snapToGrid w:val="0"/>
              </w:rPr>
              <w:t>更换项目经理</w:t>
            </w:r>
          </w:p>
        </w:tc>
        <w:tc>
          <w:tcPr>
            <w:tcW w:w="2101" w:type="dxa"/>
            <w:vAlign w:val="center"/>
          </w:tcPr>
          <w:p w14:paraId="296715A5">
            <w:pPr>
              <w:pStyle w:val="403"/>
              <w:spacing w:line="460" w:lineRule="exact"/>
              <w:jc w:val="center"/>
              <w:rPr>
                <w:rFonts w:hint="eastAsia" w:eastAsia="宋体" w:cs="宋体"/>
                <w:snapToGrid w:val="0"/>
              </w:rPr>
            </w:pPr>
            <w:r>
              <w:rPr>
                <w:rFonts w:hint="eastAsia" w:eastAsia="宋体" w:cs="宋体"/>
                <w:snapToGrid w:val="0"/>
              </w:rPr>
              <w:t>250000</w:t>
            </w:r>
          </w:p>
        </w:tc>
      </w:tr>
      <w:tr w14:paraId="4A9CC8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dxa"/>
            <w:vMerge w:val="continue"/>
            <w:vAlign w:val="center"/>
          </w:tcPr>
          <w:p w14:paraId="440731F9">
            <w:pPr>
              <w:pStyle w:val="403"/>
              <w:spacing w:line="460" w:lineRule="exact"/>
              <w:jc w:val="center"/>
              <w:rPr>
                <w:rFonts w:hint="eastAsia" w:eastAsia="宋体" w:cs="宋体"/>
                <w:snapToGrid w:val="0"/>
              </w:rPr>
            </w:pPr>
          </w:p>
        </w:tc>
        <w:tc>
          <w:tcPr>
            <w:tcW w:w="2448" w:type="dxa"/>
            <w:vMerge w:val="continue"/>
            <w:vAlign w:val="center"/>
          </w:tcPr>
          <w:p w14:paraId="2E7B297C">
            <w:pPr>
              <w:pStyle w:val="403"/>
              <w:spacing w:line="460" w:lineRule="exact"/>
              <w:jc w:val="center"/>
              <w:rPr>
                <w:rFonts w:hint="eastAsia" w:eastAsia="宋体" w:cs="宋体"/>
                <w:snapToGrid w:val="0"/>
              </w:rPr>
            </w:pPr>
          </w:p>
        </w:tc>
        <w:tc>
          <w:tcPr>
            <w:tcW w:w="3840" w:type="dxa"/>
            <w:vAlign w:val="center"/>
          </w:tcPr>
          <w:p w14:paraId="5FAAC29C">
            <w:pPr>
              <w:pStyle w:val="403"/>
              <w:spacing w:line="460" w:lineRule="exact"/>
              <w:rPr>
                <w:rFonts w:hint="eastAsia" w:eastAsia="宋体" w:cs="宋体"/>
                <w:snapToGrid w:val="0"/>
              </w:rPr>
            </w:pPr>
            <w:r>
              <w:rPr>
                <w:rFonts w:hint="eastAsia" w:eastAsia="宋体" w:cs="宋体"/>
                <w:snapToGrid w:val="0"/>
              </w:rPr>
              <w:t>更换项目副经理或技术负责人</w:t>
            </w:r>
          </w:p>
        </w:tc>
        <w:tc>
          <w:tcPr>
            <w:tcW w:w="2101" w:type="dxa"/>
            <w:vAlign w:val="center"/>
          </w:tcPr>
          <w:p w14:paraId="2553B473">
            <w:pPr>
              <w:pStyle w:val="403"/>
              <w:spacing w:line="460" w:lineRule="exact"/>
              <w:jc w:val="center"/>
              <w:rPr>
                <w:rFonts w:hint="eastAsia" w:eastAsia="宋体" w:cs="宋体"/>
                <w:snapToGrid w:val="0"/>
              </w:rPr>
            </w:pPr>
            <w:r>
              <w:rPr>
                <w:rFonts w:hint="eastAsia" w:eastAsia="宋体" w:cs="宋体"/>
                <w:snapToGrid w:val="0"/>
              </w:rPr>
              <w:t>150000</w:t>
            </w:r>
          </w:p>
        </w:tc>
      </w:tr>
      <w:tr w14:paraId="3FE751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dxa"/>
            <w:vMerge w:val="continue"/>
            <w:vAlign w:val="center"/>
          </w:tcPr>
          <w:p w14:paraId="507AE46F">
            <w:pPr>
              <w:pStyle w:val="403"/>
              <w:spacing w:line="460" w:lineRule="exact"/>
              <w:jc w:val="center"/>
              <w:rPr>
                <w:rFonts w:hint="eastAsia" w:eastAsia="宋体" w:cs="宋体"/>
                <w:snapToGrid w:val="0"/>
              </w:rPr>
            </w:pPr>
          </w:p>
        </w:tc>
        <w:tc>
          <w:tcPr>
            <w:tcW w:w="2448" w:type="dxa"/>
            <w:vMerge w:val="continue"/>
            <w:vAlign w:val="center"/>
          </w:tcPr>
          <w:p w14:paraId="71EFA226">
            <w:pPr>
              <w:pStyle w:val="403"/>
              <w:spacing w:line="460" w:lineRule="exact"/>
              <w:jc w:val="center"/>
              <w:rPr>
                <w:rFonts w:hint="eastAsia" w:eastAsia="宋体" w:cs="宋体"/>
                <w:snapToGrid w:val="0"/>
              </w:rPr>
            </w:pPr>
          </w:p>
        </w:tc>
        <w:tc>
          <w:tcPr>
            <w:tcW w:w="3840" w:type="dxa"/>
            <w:vAlign w:val="center"/>
          </w:tcPr>
          <w:p w14:paraId="0F04BDDE">
            <w:pPr>
              <w:pStyle w:val="403"/>
              <w:spacing w:line="460" w:lineRule="exact"/>
              <w:rPr>
                <w:rFonts w:hint="eastAsia" w:eastAsia="宋体" w:cs="宋体"/>
                <w:snapToGrid w:val="0"/>
              </w:rPr>
            </w:pPr>
            <w:r>
              <w:rPr>
                <w:rFonts w:hint="eastAsia" w:eastAsia="宋体" w:cs="宋体"/>
                <w:snapToGrid w:val="0"/>
              </w:rPr>
              <w:t>更换专职安全员、测量工程师、质检、造价管理或其他主要人员</w:t>
            </w:r>
          </w:p>
        </w:tc>
        <w:tc>
          <w:tcPr>
            <w:tcW w:w="2101" w:type="dxa"/>
            <w:vAlign w:val="center"/>
          </w:tcPr>
          <w:p w14:paraId="7B6CBA24">
            <w:pPr>
              <w:pStyle w:val="403"/>
              <w:spacing w:line="460" w:lineRule="exact"/>
              <w:jc w:val="center"/>
              <w:rPr>
                <w:rFonts w:hint="eastAsia" w:eastAsia="宋体" w:cs="宋体"/>
                <w:snapToGrid w:val="0"/>
              </w:rPr>
            </w:pPr>
            <w:r>
              <w:rPr>
                <w:rFonts w:hint="eastAsia" w:eastAsia="宋体" w:cs="宋体"/>
                <w:snapToGrid w:val="0"/>
              </w:rPr>
              <w:t>50000</w:t>
            </w:r>
          </w:p>
        </w:tc>
      </w:tr>
      <w:tr w14:paraId="460B1B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6F5F9D87">
            <w:pPr>
              <w:pStyle w:val="403"/>
              <w:spacing w:line="460" w:lineRule="exact"/>
              <w:jc w:val="center"/>
              <w:rPr>
                <w:rFonts w:hint="eastAsia" w:eastAsia="宋体" w:cs="宋体"/>
                <w:snapToGrid w:val="0"/>
              </w:rPr>
            </w:pPr>
            <w:r>
              <w:rPr>
                <w:rFonts w:hint="eastAsia" w:eastAsia="宋体" w:cs="宋体"/>
                <w:snapToGrid w:val="0"/>
              </w:rPr>
              <w:t>2</w:t>
            </w:r>
          </w:p>
        </w:tc>
        <w:tc>
          <w:tcPr>
            <w:tcW w:w="2448" w:type="dxa"/>
            <w:vAlign w:val="center"/>
          </w:tcPr>
          <w:p w14:paraId="325619B8">
            <w:pPr>
              <w:pStyle w:val="403"/>
              <w:spacing w:line="460" w:lineRule="exact"/>
              <w:jc w:val="center"/>
              <w:rPr>
                <w:rFonts w:hint="eastAsia" w:eastAsia="宋体" w:cs="宋体"/>
                <w:snapToGrid w:val="0"/>
              </w:rPr>
            </w:pPr>
            <w:r>
              <w:rPr>
                <w:rFonts w:hint="eastAsia" w:eastAsia="宋体" w:cs="宋体"/>
                <w:snapToGrid w:val="0"/>
              </w:rPr>
              <w:t>各阶段投入劳动力</w:t>
            </w:r>
          </w:p>
        </w:tc>
        <w:tc>
          <w:tcPr>
            <w:tcW w:w="3840" w:type="dxa"/>
            <w:vAlign w:val="center"/>
          </w:tcPr>
          <w:p w14:paraId="5E75D78E">
            <w:pPr>
              <w:pStyle w:val="403"/>
              <w:spacing w:line="460" w:lineRule="exact"/>
              <w:rPr>
                <w:rFonts w:hint="eastAsia" w:eastAsia="宋体" w:cs="宋体"/>
                <w:snapToGrid w:val="0"/>
              </w:rPr>
            </w:pPr>
            <w:r>
              <w:rPr>
                <w:rFonts w:hint="eastAsia" w:eastAsia="宋体" w:cs="宋体"/>
                <w:snapToGrid w:val="0"/>
              </w:rPr>
              <w:t>每少1人</w:t>
            </w:r>
          </w:p>
        </w:tc>
        <w:tc>
          <w:tcPr>
            <w:tcW w:w="2101" w:type="dxa"/>
            <w:vAlign w:val="center"/>
          </w:tcPr>
          <w:p w14:paraId="435D7AF1">
            <w:pPr>
              <w:pStyle w:val="403"/>
              <w:spacing w:line="460" w:lineRule="exact"/>
              <w:jc w:val="center"/>
              <w:rPr>
                <w:rFonts w:hint="eastAsia" w:eastAsia="宋体" w:cs="宋体"/>
                <w:snapToGrid w:val="0"/>
              </w:rPr>
            </w:pPr>
            <w:r>
              <w:rPr>
                <w:rFonts w:hint="eastAsia" w:eastAsia="宋体" w:cs="宋体"/>
                <w:snapToGrid w:val="0"/>
              </w:rPr>
              <w:t>10000</w:t>
            </w:r>
          </w:p>
        </w:tc>
      </w:tr>
      <w:tr w14:paraId="5D6AA8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18" w:type="dxa"/>
            <w:vAlign w:val="center"/>
          </w:tcPr>
          <w:p w14:paraId="387EB2A1">
            <w:pPr>
              <w:pStyle w:val="403"/>
              <w:spacing w:line="460" w:lineRule="exact"/>
              <w:jc w:val="center"/>
              <w:rPr>
                <w:rFonts w:hint="eastAsia" w:eastAsia="宋体" w:cs="宋体"/>
                <w:snapToGrid w:val="0"/>
              </w:rPr>
            </w:pPr>
            <w:r>
              <w:rPr>
                <w:rFonts w:hint="eastAsia" w:eastAsia="宋体" w:cs="宋体"/>
                <w:snapToGrid w:val="0"/>
              </w:rPr>
              <w:t>3</w:t>
            </w:r>
          </w:p>
        </w:tc>
        <w:tc>
          <w:tcPr>
            <w:tcW w:w="2448" w:type="dxa"/>
            <w:vAlign w:val="center"/>
          </w:tcPr>
          <w:p w14:paraId="1B51F335">
            <w:pPr>
              <w:pStyle w:val="403"/>
              <w:spacing w:line="460" w:lineRule="exact"/>
              <w:jc w:val="center"/>
              <w:rPr>
                <w:rFonts w:hint="eastAsia" w:eastAsia="宋体" w:cs="宋体"/>
                <w:snapToGrid w:val="0"/>
              </w:rPr>
            </w:pPr>
            <w:r>
              <w:rPr>
                <w:rFonts w:hint="eastAsia" w:eastAsia="宋体" w:cs="宋体"/>
                <w:snapToGrid w:val="0"/>
              </w:rPr>
              <w:t>各阶段投入主要材料</w:t>
            </w:r>
          </w:p>
        </w:tc>
        <w:tc>
          <w:tcPr>
            <w:tcW w:w="3840" w:type="dxa"/>
            <w:vAlign w:val="center"/>
          </w:tcPr>
          <w:p w14:paraId="2D43E407">
            <w:pPr>
              <w:pStyle w:val="403"/>
              <w:spacing w:line="460" w:lineRule="exact"/>
              <w:rPr>
                <w:rFonts w:hint="eastAsia" w:eastAsia="宋体" w:cs="宋体"/>
                <w:snapToGrid w:val="0"/>
              </w:rPr>
            </w:pPr>
            <w:r>
              <w:rPr>
                <w:rFonts w:hint="eastAsia" w:eastAsia="宋体" w:cs="宋体"/>
                <w:snapToGrid w:val="0"/>
              </w:rPr>
              <w:t>没有按发包人审定的总控或阶段计划投入，每少10%</w:t>
            </w:r>
          </w:p>
        </w:tc>
        <w:tc>
          <w:tcPr>
            <w:tcW w:w="2101" w:type="dxa"/>
            <w:vAlign w:val="center"/>
          </w:tcPr>
          <w:p w14:paraId="70F2FDB2">
            <w:pPr>
              <w:pStyle w:val="403"/>
              <w:spacing w:line="460" w:lineRule="exact"/>
              <w:jc w:val="center"/>
              <w:rPr>
                <w:rFonts w:hint="eastAsia" w:eastAsia="宋体" w:cs="宋体"/>
                <w:snapToGrid w:val="0"/>
              </w:rPr>
            </w:pPr>
            <w:r>
              <w:rPr>
                <w:rFonts w:hint="eastAsia" w:eastAsia="宋体" w:cs="宋体"/>
                <w:snapToGrid w:val="0"/>
              </w:rPr>
              <w:t>100000</w:t>
            </w:r>
          </w:p>
        </w:tc>
      </w:tr>
      <w:tr w14:paraId="597A1C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dxa"/>
            <w:vMerge w:val="restart"/>
            <w:vAlign w:val="center"/>
          </w:tcPr>
          <w:p w14:paraId="1E037FD2">
            <w:pPr>
              <w:pStyle w:val="403"/>
              <w:spacing w:line="460" w:lineRule="exact"/>
              <w:jc w:val="center"/>
              <w:rPr>
                <w:rFonts w:hint="eastAsia" w:eastAsia="宋体" w:cs="宋体"/>
                <w:snapToGrid w:val="0"/>
              </w:rPr>
            </w:pPr>
            <w:r>
              <w:rPr>
                <w:rFonts w:hint="eastAsia" w:eastAsia="宋体" w:cs="宋体"/>
                <w:snapToGrid w:val="0"/>
              </w:rPr>
              <w:t>4</w:t>
            </w:r>
          </w:p>
        </w:tc>
        <w:tc>
          <w:tcPr>
            <w:tcW w:w="2448" w:type="dxa"/>
            <w:vMerge w:val="restart"/>
            <w:vAlign w:val="center"/>
          </w:tcPr>
          <w:p w14:paraId="4FF260DF">
            <w:pPr>
              <w:pStyle w:val="403"/>
              <w:spacing w:line="460" w:lineRule="exact"/>
              <w:jc w:val="center"/>
              <w:rPr>
                <w:rFonts w:hint="eastAsia" w:eastAsia="宋体" w:cs="宋体"/>
                <w:snapToGrid w:val="0"/>
              </w:rPr>
            </w:pPr>
            <w:r>
              <w:rPr>
                <w:rFonts w:hint="eastAsia" w:eastAsia="宋体" w:cs="宋体"/>
                <w:snapToGrid w:val="0"/>
              </w:rPr>
              <w:t>各阶段投入施工设备</w:t>
            </w:r>
          </w:p>
        </w:tc>
        <w:tc>
          <w:tcPr>
            <w:tcW w:w="3840" w:type="dxa"/>
            <w:vAlign w:val="center"/>
          </w:tcPr>
          <w:p w14:paraId="720AC028">
            <w:pPr>
              <w:pStyle w:val="403"/>
              <w:spacing w:line="460" w:lineRule="exact"/>
              <w:rPr>
                <w:rFonts w:hint="eastAsia" w:eastAsia="宋体" w:cs="宋体"/>
                <w:snapToGrid w:val="0"/>
              </w:rPr>
            </w:pPr>
            <w:r>
              <w:rPr>
                <w:rFonts w:hint="eastAsia" w:eastAsia="宋体" w:cs="宋体"/>
                <w:snapToGrid w:val="0"/>
              </w:rPr>
              <w:t>没有按发包人审定的总控或阶段计划投入，主要设备每少1台</w:t>
            </w:r>
          </w:p>
        </w:tc>
        <w:tc>
          <w:tcPr>
            <w:tcW w:w="2101" w:type="dxa"/>
            <w:vAlign w:val="center"/>
          </w:tcPr>
          <w:p w14:paraId="2B6CA4F4">
            <w:pPr>
              <w:pStyle w:val="403"/>
              <w:spacing w:line="460" w:lineRule="exact"/>
              <w:jc w:val="center"/>
              <w:rPr>
                <w:rFonts w:hint="eastAsia" w:eastAsia="宋体" w:cs="宋体"/>
                <w:snapToGrid w:val="0"/>
              </w:rPr>
            </w:pPr>
            <w:r>
              <w:rPr>
                <w:rFonts w:hint="eastAsia" w:eastAsia="宋体" w:cs="宋体"/>
                <w:snapToGrid w:val="0"/>
              </w:rPr>
              <w:t>50000</w:t>
            </w:r>
          </w:p>
        </w:tc>
      </w:tr>
      <w:tr w14:paraId="27EDBE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18" w:type="dxa"/>
            <w:vMerge w:val="continue"/>
            <w:vAlign w:val="center"/>
          </w:tcPr>
          <w:p w14:paraId="1B1B0E2D">
            <w:pPr>
              <w:pStyle w:val="403"/>
              <w:spacing w:line="460" w:lineRule="exact"/>
              <w:jc w:val="center"/>
              <w:rPr>
                <w:rFonts w:hint="eastAsia" w:eastAsia="宋体" w:cs="宋体"/>
                <w:snapToGrid w:val="0"/>
              </w:rPr>
            </w:pPr>
          </w:p>
        </w:tc>
        <w:tc>
          <w:tcPr>
            <w:tcW w:w="2448" w:type="dxa"/>
            <w:vMerge w:val="continue"/>
            <w:vAlign w:val="center"/>
          </w:tcPr>
          <w:p w14:paraId="2BF3A05B">
            <w:pPr>
              <w:pStyle w:val="403"/>
              <w:spacing w:line="460" w:lineRule="exact"/>
              <w:jc w:val="center"/>
              <w:rPr>
                <w:rFonts w:hint="eastAsia" w:eastAsia="宋体" w:cs="宋体"/>
                <w:snapToGrid w:val="0"/>
              </w:rPr>
            </w:pPr>
          </w:p>
        </w:tc>
        <w:tc>
          <w:tcPr>
            <w:tcW w:w="3840" w:type="dxa"/>
            <w:vAlign w:val="center"/>
          </w:tcPr>
          <w:p w14:paraId="240D8A13">
            <w:pPr>
              <w:pStyle w:val="403"/>
              <w:spacing w:line="460" w:lineRule="exact"/>
              <w:rPr>
                <w:rFonts w:hint="eastAsia" w:eastAsia="宋体" w:cs="宋体"/>
                <w:snapToGrid w:val="0"/>
              </w:rPr>
            </w:pPr>
            <w:r>
              <w:rPr>
                <w:rFonts w:hint="eastAsia" w:eastAsia="宋体" w:cs="宋体"/>
                <w:snapToGrid w:val="0"/>
              </w:rPr>
              <w:t>没有按发包人审定的总控或阶段计划投入，一般设备每少1台</w:t>
            </w:r>
          </w:p>
        </w:tc>
        <w:tc>
          <w:tcPr>
            <w:tcW w:w="2101" w:type="dxa"/>
            <w:vAlign w:val="center"/>
          </w:tcPr>
          <w:p w14:paraId="64C63243">
            <w:pPr>
              <w:pStyle w:val="403"/>
              <w:spacing w:line="460" w:lineRule="exact"/>
              <w:jc w:val="center"/>
              <w:rPr>
                <w:rFonts w:hint="eastAsia" w:eastAsia="宋体" w:cs="宋体"/>
                <w:snapToGrid w:val="0"/>
              </w:rPr>
            </w:pPr>
            <w:r>
              <w:rPr>
                <w:rFonts w:hint="eastAsia" w:eastAsia="宋体" w:cs="宋体"/>
                <w:snapToGrid w:val="0"/>
              </w:rPr>
              <w:t>10000</w:t>
            </w:r>
          </w:p>
        </w:tc>
      </w:tr>
    </w:tbl>
    <w:p w14:paraId="21EE8B8F">
      <w:pPr>
        <w:pStyle w:val="403"/>
        <w:spacing w:line="460" w:lineRule="exact"/>
        <w:ind w:firstLine="480" w:firstLineChars="200"/>
        <w:rPr>
          <w:rFonts w:hint="eastAsia" w:eastAsia="宋体" w:cs="宋体"/>
          <w:snapToGrid w:val="0"/>
        </w:rPr>
      </w:pPr>
      <w:r>
        <w:rPr>
          <w:rFonts w:hint="eastAsia" w:eastAsia="宋体" w:cs="宋体"/>
          <w:snapToGrid w:val="0"/>
        </w:rPr>
        <w:t>（4）对于监理人或发包人通知承包人参加的会议（包括但不限于进场会、现场问题处理会议、工程验收会议、结算问题处理会议、质保期工作的相关会议等），被通知人员（包括但不限于承包人法定代表人、经监理人或发包人批准同意的承包人法定代表人授权人、项目经理、技术负责人等）未经监理人或发包人书面同意自行缺席的，每缺席一人次承包人承担1次一般违约责任。</w:t>
      </w:r>
    </w:p>
    <w:p w14:paraId="45A4E21A">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5</w:t>
      </w:r>
      <w:r>
        <w:rPr>
          <w:rFonts w:hint="eastAsia" w:eastAsia="宋体" w:cs="宋体"/>
          <w:snapToGrid w:val="0"/>
        </w:rPr>
        <w:t>）承包人在发包人组织的考评中不合格的，必须按照考评通报的要求限期改正，并承担1次一般违约责任；承包人拒不限期改正或整改效果不明显的，承包人必须承担1次严重违约责任。若连续2次或累计3次考评不合格，承包人必须承担1次严重违约责任，并必须按照总监理工程师或者发包人的指令限期改正；承包人拒不限期改正或整改效果不明显的，发包人有权单方面部分解除合同或解除合同。若连续3次或累计5次考评不合格，发包人有权解除合同。</w:t>
      </w:r>
    </w:p>
    <w:p w14:paraId="1C33C85E">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6</w:t>
      </w:r>
      <w:r>
        <w:rPr>
          <w:rFonts w:hint="eastAsia" w:eastAsia="宋体" w:cs="宋体"/>
          <w:snapToGrid w:val="0"/>
        </w:rPr>
        <w:t>）承包人不按合同约定或发包人要求提交竣工结算资料的，每发生1次，承担1次一般违约责任。</w:t>
      </w:r>
    </w:p>
    <w:p w14:paraId="5E68B535">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7</w:t>
      </w:r>
      <w:r>
        <w:rPr>
          <w:rFonts w:hint="eastAsia" w:eastAsia="宋体" w:cs="宋体"/>
          <w:snapToGrid w:val="0"/>
        </w:rPr>
        <w:t>）承包人单方面擅自终止或解除本合同的，应按专用合同条款第22.1.2.1（5）款约定的标准从承包人工程款或履约担保中扣减违约金及赔偿损失。</w:t>
      </w:r>
    </w:p>
    <w:p w14:paraId="627CDE43">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8</w:t>
      </w:r>
      <w:r>
        <w:rPr>
          <w:rFonts w:hint="eastAsia" w:eastAsia="宋体" w:cs="宋体"/>
          <w:snapToGrid w:val="0"/>
        </w:rPr>
        <w:t>）承包人单方面擅自部分终止或者部分解除本合同的，应按专用合同条款第22.1.2.1（4）款约定的标准从承包人工程款或履约担保中扣减违约金及赔偿损失。</w:t>
      </w:r>
    </w:p>
    <w:p w14:paraId="757AE3FF">
      <w:pPr>
        <w:pStyle w:val="403"/>
        <w:spacing w:line="460" w:lineRule="exact"/>
        <w:ind w:firstLine="480" w:firstLineChars="200"/>
        <w:rPr>
          <w:rFonts w:hint="eastAsia" w:eastAsia="宋体" w:cs="宋体"/>
          <w:snapToGrid w:val="0"/>
        </w:rPr>
      </w:pPr>
      <w:r>
        <w:rPr>
          <w:rFonts w:hint="eastAsia" w:eastAsia="宋体" w:cs="宋体"/>
          <w:snapToGrid w:val="0"/>
        </w:rPr>
        <w:t>（</w:t>
      </w:r>
      <w:r>
        <w:rPr>
          <w:rFonts w:eastAsia="宋体" w:cs="宋体"/>
          <w:snapToGrid w:val="0"/>
        </w:rPr>
        <w:t>9</w:t>
      </w:r>
      <w:r>
        <w:rPr>
          <w:rFonts w:hint="eastAsia" w:eastAsia="宋体" w:cs="宋体"/>
          <w:snapToGrid w:val="0"/>
        </w:rPr>
        <w:t>）如承包人未在项目经理和承包人相关信息发生变化时及时将变更情况书面通知发包人的，经发包人每确认1次，承包人承担1次一般违约责任。</w:t>
      </w:r>
    </w:p>
    <w:p w14:paraId="7CB3F657">
      <w:pPr>
        <w:pStyle w:val="403"/>
        <w:spacing w:line="460" w:lineRule="exact"/>
        <w:ind w:firstLine="480" w:firstLineChars="200"/>
        <w:rPr>
          <w:rFonts w:hint="eastAsia"/>
        </w:rPr>
      </w:pPr>
      <w:r>
        <w:rPr>
          <w:rFonts w:hint="eastAsia"/>
        </w:rPr>
        <w:t>22.1.2.5 工期延误方面的违约责任</w:t>
      </w:r>
    </w:p>
    <w:p w14:paraId="43FEACF1">
      <w:pPr>
        <w:pStyle w:val="403"/>
        <w:spacing w:line="460" w:lineRule="exact"/>
        <w:ind w:firstLine="480" w:firstLineChars="200"/>
        <w:rPr>
          <w:rFonts w:hint="eastAsia" w:eastAsia="宋体" w:cs="宋体"/>
          <w:snapToGrid w:val="0"/>
        </w:rPr>
      </w:pPr>
      <w:r>
        <w:rPr>
          <w:rFonts w:hint="eastAsia" w:eastAsia="宋体" w:cs="宋体"/>
          <w:snapToGrid w:val="0"/>
        </w:rPr>
        <w:t>（1）承包人违反合同协议书第3.1款约定延期开工的，每迟延开工1天，应从承包人工程款或履约担保中扣减本合同价款0.1‰的违约金；迟延开工超过10天的，发包人有权单方面解除合同。</w:t>
      </w:r>
    </w:p>
    <w:p w14:paraId="03849288">
      <w:pPr>
        <w:pStyle w:val="403"/>
        <w:spacing w:line="460" w:lineRule="exact"/>
        <w:ind w:firstLine="480" w:firstLineChars="200"/>
        <w:rPr>
          <w:rFonts w:hint="eastAsia" w:eastAsia="宋体" w:cs="宋体"/>
          <w:snapToGrid w:val="0"/>
        </w:rPr>
      </w:pPr>
      <w:r>
        <w:rPr>
          <w:rFonts w:hint="eastAsia" w:eastAsia="宋体" w:cs="宋体"/>
          <w:snapToGrid w:val="0"/>
        </w:rPr>
        <w:t>（2）承包人违反专用合同条款第12.1款约定单方面停工的，每停工1天，应从承包人工程款或履约担保中扣减本合同价款0.1‰的违约金；连续停工超过5天或累计停工超过10天的，发包人有权单方面解除合同。</w:t>
      </w:r>
    </w:p>
    <w:p w14:paraId="7AE697B0">
      <w:pPr>
        <w:pStyle w:val="403"/>
        <w:spacing w:line="460" w:lineRule="exact"/>
        <w:ind w:firstLine="480" w:firstLineChars="200"/>
        <w:rPr>
          <w:rFonts w:hint="eastAsia" w:eastAsia="宋体" w:cs="宋体"/>
          <w:snapToGrid w:val="0"/>
        </w:rPr>
      </w:pPr>
      <w:r>
        <w:rPr>
          <w:rFonts w:hint="eastAsia" w:eastAsia="宋体" w:cs="宋体"/>
          <w:snapToGrid w:val="0"/>
        </w:rPr>
        <w:t>（3）承包人违反专用合同条款第4.1款的约定，延期交付施工组织设计，延期3天以内的（含3天），发包人给予书面警告；延期4～7天的，承包人应承担1次一般违约责任；延期8～10天的，承包人应承担1次严重违约责任；延期11天以上的（含11天），发包人有权单方面解除合同。</w:t>
      </w:r>
    </w:p>
    <w:p w14:paraId="398F33DA">
      <w:pPr>
        <w:pStyle w:val="403"/>
        <w:spacing w:line="460" w:lineRule="exact"/>
        <w:ind w:firstLine="480" w:firstLineChars="200"/>
        <w:rPr>
          <w:rFonts w:hint="eastAsia" w:eastAsia="宋体" w:cs="宋体"/>
          <w:snapToGrid w:val="0"/>
        </w:rPr>
      </w:pPr>
      <w:r>
        <w:rPr>
          <w:rFonts w:hint="eastAsia" w:eastAsia="宋体" w:cs="宋体"/>
          <w:snapToGrid w:val="0"/>
        </w:rPr>
        <w:t>（4）由于承包人原因造成不能按合同约定或监理人批准的关键节点日期完工，每延误一天，支付违约金10万元，但最终累计总金额不超过合同价格的10%。同时由发包人按照对本工程最有利的原则，按如下约定选择处理：</w:t>
      </w:r>
    </w:p>
    <w:p w14:paraId="7E8822BF">
      <w:pPr>
        <w:pStyle w:val="403"/>
        <w:spacing w:line="460" w:lineRule="exact"/>
        <w:ind w:firstLine="480" w:firstLineChars="200"/>
        <w:rPr>
          <w:rFonts w:hint="eastAsia" w:eastAsia="宋体" w:cs="宋体"/>
          <w:snapToGrid w:val="0"/>
        </w:rPr>
      </w:pPr>
      <w:r>
        <w:rPr>
          <w:rFonts w:hint="eastAsia" w:eastAsia="宋体" w:cs="宋体"/>
          <w:snapToGrid w:val="0"/>
        </w:rPr>
        <w:t>1）承包人按上述约定从承包人工程款或履约担保中扣减违约金并在发包人限定的时间内竣工；如承包人仍不能在发包人限定的时间内竣工，承包人除按上述约定扣减违约金外（直至本工程全部竣工为止），还在工程结算时按本合同结算总价款下浮2%作为本合同的最终结算价款，同时承包人还应据实赔偿发包人的实际损失。</w:t>
      </w:r>
    </w:p>
    <w:p w14:paraId="141B91F9">
      <w:pPr>
        <w:pStyle w:val="403"/>
        <w:spacing w:line="460" w:lineRule="exact"/>
        <w:ind w:firstLine="480" w:firstLineChars="200"/>
        <w:rPr>
          <w:rFonts w:hint="eastAsia" w:eastAsia="宋体" w:cs="宋体"/>
          <w:snapToGrid w:val="0"/>
        </w:rPr>
      </w:pPr>
      <w:r>
        <w:rPr>
          <w:rFonts w:hint="eastAsia" w:eastAsia="宋体" w:cs="宋体"/>
          <w:snapToGrid w:val="0"/>
        </w:rPr>
        <w:t>2）由发包人将未完工程量从本合同中分割，交由第三方完成，由此发生的费用全部从本合同价款中支付，同时由承包人从工程款或履约担保中扣减未完工程量价款20%的违约金并赔偿发包人的实际损失。</w:t>
      </w:r>
    </w:p>
    <w:p w14:paraId="13092C9F">
      <w:pPr>
        <w:pStyle w:val="403"/>
        <w:spacing w:line="460" w:lineRule="exact"/>
        <w:ind w:firstLine="480" w:firstLineChars="200"/>
        <w:rPr>
          <w:rFonts w:hint="eastAsia"/>
        </w:rPr>
      </w:pPr>
      <w:r>
        <w:rPr>
          <w:rFonts w:hint="eastAsia"/>
        </w:rPr>
        <w:t>22.1.2.6 材料设备管理方面的违约责任</w:t>
      </w:r>
    </w:p>
    <w:p w14:paraId="29573EA9">
      <w:pPr>
        <w:pStyle w:val="403"/>
        <w:spacing w:line="460" w:lineRule="exact"/>
        <w:ind w:firstLine="480" w:firstLineChars="200"/>
        <w:rPr>
          <w:rFonts w:hint="eastAsia" w:eastAsia="宋体" w:cs="宋体"/>
          <w:snapToGrid w:val="0"/>
        </w:rPr>
      </w:pPr>
      <w:r>
        <w:rPr>
          <w:rFonts w:hint="eastAsia" w:eastAsia="宋体" w:cs="宋体"/>
          <w:snapToGrid w:val="0"/>
        </w:rPr>
        <w:t>（1）发包人（包括发包人委托的材料设备检验机构）或总监理工程师抽查承包人的工程材料设备（主要为乙供材料设备），发现所检查的材料与合同约定标准的任何一项不符合时，承包人除必须全部退货、返工，并赔偿发包人由此遭受的实际损失外，还应当根据该批次材料的价值，按照如下约定承担违约责任：</w:t>
      </w:r>
    </w:p>
    <w:p w14:paraId="1599C17E">
      <w:pPr>
        <w:pStyle w:val="403"/>
        <w:spacing w:line="460" w:lineRule="exact"/>
        <w:ind w:firstLine="480" w:firstLineChars="200"/>
        <w:rPr>
          <w:rFonts w:hint="eastAsia" w:eastAsia="宋体" w:cs="宋体"/>
          <w:snapToGrid w:val="0"/>
        </w:rPr>
      </w:pPr>
      <w:r>
        <w:rPr>
          <w:rFonts w:hint="eastAsia" w:eastAsia="宋体" w:cs="宋体"/>
          <w:snapToGrid w:val="0"/>
        </w:rPr>
        <w:t>A、单宗或批次价值不到5万元的材料设备抽检不合格的，每发生3例，由承包人承担1次一般违约责任。</w:t>
      </w:r>
    </w:p>
    <w:p w14:paraId="709CBB55">
      <w:pPr>
        <w:pStyle w:val="403"/>
        <w:spacing w:line="460" w:lineRule="exact"/>
        <w:ind w:firstLine="480" w:firstLineChars="200"/>
        <w:rPr>
          <w:rFonts w:hint="eastAsia" w:eastAsia="宋体" w:cs="宋体"/>
          <w:snapToGrid w:val="0"/>
        </w:rPr>
      </w:pPr>
      <w:r>
        <w:rPr>
          <w:rFonts w:hint="eastAsia" w:eastAsia="宋体" w:cs="宋体"/>
          <w:snapToGrid w:val="0"/>
        </w:rPr>
        <w:t>B、单宗或批次价值达到5万元不到10万元的材料设备抽检不合格的，每发生1例，由承包人承担1次一般违约责任。</w:t>
      </w:r>
    </w:p>
    <w:p w14:paraId="69BDF14E">
      <w:pPr>
        <w:pStyle w:val="403"/>
        <w:spacing w:line="460" w:lineRule="exact"/>
        <w:ind w:firstLine="480" w:firstLineChars="200"/>
        <w:rPr>
          <w:rFonts w:hint="eastAsia" w:eastAsia="宋体" w:cs="宋体"/>
          <w:snapToGrid w:val="0"/>
        </w:rPr>
      </w:pPr>
      <w:r>
        <w:rPr>
          <w:rFonts w:hint="eastAsia" w:eastAsia="宋体" w:cs="宋体"/>
          <w:snapToGrid w:val="0"/>
        </w:rPr>
        <w:t>C、单宗或批次价值达到10万元不到50万元的材料设备抽检不合格的，每发生1例，由承包人承担1次严重违约责任。</w:t>
      </w:r>
    </w:p>
    <w:p w14:paraId="151CB8D4">
      <w:pPr>
        <w:pStyle w:val="403"/>
        <w:spacing w:line="460" w:lineRule="exact"/>
        <w:ind w:firstLine="480" w:firstLineChars="200"/>
        <w:rPr>
          <w:rFonts w:hint="eastAsia" w:eastAsia="宋体" w:cs="宋体"/>
          <w:snapToGrid w:val="0"/>
        </w:rPr>
      </w:pPr>
      <w:r>
        <w:rPr>
          <w:rFonts w:hint="eastAsia" w:eastAsia="宋体" w:cs="宋体"/>
          <w:snapToGrid w:val="0"/>
        </w:rPr>
        <w:t>D、单宗或批次价值达到50万元以上的材料设备抽检不合格的，每发生1例，发包人有权单方面部分解除合同或解除合同。</w:t>
      </w:r>
    </w:p>
    <w:p w14:paraId="2515F391">
      <w:pPr>
        <w:pStyle w:val="403"/>
        <w:spacing w:line="460" w:lineRule="exact"/>
        <w:ind w:firstLine="480" w:firstLineChars="200"/>
        <w:rPr>
          <w:rFonts w:hint="eastAsia" w:eastAsia="宋体" w:cs="宋体"/>
          <w:snapToGrid w:val="0"/>
        </w:rPr>
      </w:pPr>
      <w:r>
        <w:rPr>
          <w:rFonts w:hint="eastAsia" w:eastAsia="宋体" w:cs="宋体"/>
          <w:snapToGrid w:val="0"/>
        </w:rPr>
        <w:t>（2）承包人必须保证用于本工程所有的材料设备的品牌、型号、规格、质量等符合本合同及招投标文件或公开择优竞价文件的要求。如发生不符合上述要求的情况（属于不可抗力或不可归责于承包人事由造成的除外），承包人必须无条件在发包人限定的时间内全部更换为符合要求的产品，并由承包人按所需更换的符合要求的货物价款的20%从承包人工程款或履约担保中扣减违约金，因此给发包人造成损失的，由承包人负责赔偿；同时，发包人有权将承包人的上述行为通过媒体公开披露，并移送有关主管部门依法处理。如因此致使发包人需要另行采购符合本合同及招投标文件或公开择优竞价文件要求的货物的，由承包人按另行采购的货物总价款的120%从承包人工程款或履约担保中扣减违约金。</w:t>
      </w:r>
    </w:p>
    <w:p w14:paraId="23F4C635">
      <w:pPr>
        <w:pStyle w:val="403"/>
        <w:spacing w:line="460" w:lineRule="exact"/>
        <w:ind w:firstLine="480" w:firstLineChars="200"/>
        <w:rPr>
          <w:rFonts w:hint="eastAsia" w:eastAsia="宋体" w:cs="宋体"/>
          <w:snapToGrid w:val="0"/>
        </w:rPr>
      </w:pPr>
      <w:r>
        <w:rPr>
          <w:rFonts w:hint="eastAsia" w:eastAsia="宋体" w:cs="宋体"/>
          <w:snapToGrid w:val="0"/>
        </w:rPr>
        <w:t>（3）承包人不按专用合同条款第6条的约定对用于本工程的材料设备进行管理的，视同不服从发包人及监理单位管理，应按专用合同条款第22.1.2.4（1）款的约定承担违约责任；同时发包人有权暂停支付本工程进度款，直到承包人完成相关工作为止。</w:t>
      </w:r>
    </w:p>
    <w:p w14:paraId="563B327A">
      <w:pPr>
        <w:pStyle w:val="403"/>
        <w:spacing w:line="460" w:lineRule="exact"/>
        <w:ind w:firstLine="480" w:firstLineChars="200"/>
        <w:rPr>
          <w:rFonts w:hint="eastAsia"/>
        </w:rPr>
      </w:pPr>
      <w:r>
        <w:rPr>
          <w:rFonts w:hint="eastAsia"/>
        </w:rPr>
        <w:t>22.1.2.7 工程质量方面的违约责任</w:t>
      </w:r>
    </w:p>
    <w:p w14:paraId="5F337087">
      <w:pPr>
        <w:pStyle w:val="403"/>
        <w:spacing w:line="460" w:lineRule="exact"/>
        <w:ind w:firstLine="480" w:firstLineChars="200"/>
        <w:rPr>
          <w:rFonts w:hint="eastAsia" w:eastAsia="宋体" w:cs="宋体"/>
          <w:snapToGrid w:val="0"/>
        </w:rPr>
      </w:pPr>
      <w:r>
        <w:rPr>
          <w:rFonts w:hint="eastAsia" w:eastAsia="宋体" w:cs="宋体"/>
          <w:snapToGrid w:val="0"/>
        </w:rPr>
        <w:t>（1）承包人必须对各工序报验核查质量控制点。承包人申请报验后，经总监理工程师或发包人检查发现存在较大质量问题（存在质量问题的部分超过检查部分工程的10%）的，则该工序质量为不合格，承包人必须对不合格部分进行返工，返工后经检查合格才准进入下一工序，工期不予顺延。复检的结果，按每一分项工程计算，总计发现3次或连续发现2次质量控制点不合格的，承包人承担1次一般违约责任；总计发现3次以上（不含本数）或连续发现2次以上（不含本数）质量控制点不合格的，承包人承担1次严重违约责任；承包人采取整改措施后效果仍不明显的，发包人有权部分解除合同，将该分项工程另行发包，且不免除承包人应承担的违约赔偿责任。</w:t>
      </w:r>
    </w:p>
    <w:p w14:paraId="6F954CFF">
      <w:pPr>
        <w:pStyle w:val="403"/>
        <w:spacing w:line="460" w:lineRule="exact"/>
        <w:ind w:firstLine="480" w:firstLineChars="200"/>
        <w:rPr>
          <w:rFonts w:hint="eastAsia" w:eastAsia="宋体" w:cs="宋体"/>
          <w:snapToGrid w:val="0"/>
        </w:rPr>
      </w:pPr>
      <w:r>
        <w:rPr>
          <w:rFonts w:hint="eastAsia" w:eastAsia="宋体" w:cs="宋体"/>
          <w:snapToGrid w:val="0"/>
        </w:rPr>
        <w:t>（2）工程竣工验收不符合国家强制性标准及规范要求或者未能实现一次验收合格的，承包人除应从工程款或履约担保中扣减本工程合同价款的20%作为违约金并无偿采取补救措施及赔偿发包人的实际损失外，还应承担由此引起的一切责任。</w:t>
      </w:r>
    </w:p>
    <w:p w14:paraId="2D2426D5">
      <w:pPr>
        <w:pStyle w:val="403"/>
        <w:spacing w:line="460" w:lineRule="exact"/>
        <w:ind w:firstLine="480" w:firstLineChars="200"/>
        <w:rPr>
          <w:rFonts w:hint="eastAsia" w:eastAsia="宋体" w:cs="宋体"/>
          <w:snapToGrid w:val="0"/>
        </w:rPr>
      </w:pPr>
      <w:r>
        <w:rPr>
          <w:rFonts w:hint="eastAsia" w:eastAsia="宋体" w:cs="宋体"/>
          <w:snapToGrid w:val="0"/>
        </w:rPr>
        <w:t>（3）在本工程质量保修期内发现有重大质量问题的（该重大质量问题应界定为达不到要求的质量标准，属质量保修的问题除外），承包人必须在规定的期限内返工达到合同约定的质量等级并赔偿由此给发包人造成的损失，同时按所在工程合同价款的5%从承包人工程款或履约担保中扣减违约金。</w:t>
      </w:r>
    </w:p>
    <w:p w14:paraId="1CD833FD">
      <w:pPr>
        <w:pStyle w:val="403"/>
        <w:spacing w:line="460" w:lineRule="exact"/>
        <w:ind w:firstLine="480" w:firstLineChars="200"/>
        <w:rPr>
          <w:rFonts w:hint="eastAsia" w:eastAsia="宋体" w:cs="宋体"/>
          <w:snapToGrid w:val="0"/>
        </w:rPr>
      </w:pPr>
      <w:r>
        <w:rPr>
          <w:rFonts w:hint="eastAsia" w:eastAsia="宋体" w:cs="宋体"/>
          <w:snapToGrid w:val="0"/>
        </w:rPr>
        <w:t>（4）由于承包人的原因发生工程质量事故的，承包人应全额赔偿发包人的损失并承担相关法律责任。</w:t>
      </w:r>
    </w:p>
    <w:p w14:paraId="1E8F3C80">
      <w:pPr>
        <w:pStyle w:val="403"/>
        <w:spacing w:line="460" w:lineRule="exact"/>
        <w:ind w:firstLine="480" w:firstLineChars="200"/>
        <w:rPr>
          <w:rFonts w:hint="eastAsia"/>
        </w:rPr>
      </w:pPr>
      <w:r>
        <w:rPr>
          <w:rFonts w:hint="eastAsia"/>
        </w:rPr>
        <w:t>22.1.2.8 安全生产方面的违约责任</w:t>
      </w:r>
    </w:p>
    <w:p w14:paraId="5D0E0606">
      <w:pPr>
        <w:pStyle w:val="403"/>
        <w:spacing w:line="460" w:lineRule="exact"/>
        <w:ind w:firstLine="480" w:firstLineChars="200"/>
        <w:rPr>
          <w:rFonts w:hint="eastAsia" w:eastAsia="宋体" w:cs="宋体"/>
          <w:snapToGrid w:val="0"/>
        </w:rPr>
      </w:pPr>
      <w:r>
        <w:rPr>
          <w:rFonts w:hint="eastAsia" w:eastAsia="宋体" w:cs="宋体"/>
          <w:snapToGrid w:val="0"/>
        </w:rPr>
        <w:t>（1）承包人在政府行政主管部门组织的安全生产检查中，被发现存在严重的安全隐患，被通报批评，或被新闻媒体曝光造成不良影响的，被通报或被曝光一次，承包人必须承担1次严重违约责任；造成严重社会影响或累计被通报或被曝光3次以上（含本数）的，发包人有权解除合同。</w:t>
      </w:r>
    </w:p>
    <w:p w14:paraId="4CAB8725">
      <w:pPr>
        <w:pStyle w:val="403"/>
        <w:spacing w:line="460" w:lineRule="exact"/>
        <w:ind w:firstLine="480" w:firstLineChars="200"/>
        <w:rPr>
          <w:rFonts w:hint="eastAsia" w:eastAsia="宋体" w:cs="宋体"/>
          <w:snapToGrid w:val="0"/>
        </w:rPr>
      </w:pPr>
      <w:r>
        <w:rPr>
          <w:rFonts w:hint="eastAsia" w:eastAsia="宋体" w:cs="宋体"/>
          <w:snapToGrid w:val="0"/>
        </w:rPr>
        <w:t>（2）承包人在发包人、总监理工程师进行的日常安全生产检查中，被发现存在安全隐患的，承包人应限期改正。若同样问题被发现2次或累计类似问题被发现3次的，承包人必须承担1次一般违约责任。此类问题的认定，以发包人、总监理工程师书面通知、指令、通报或会议纪要为准。</w:t>
      </w:r>
    </w:p>
    <w:p w14:paraId="0200A2A9">
      <w:pPr>
        <w:pStyle w:val="403"/>
        <w:spacing w:line="460" w:lineRule="exact"/>
        <w:ind w:firstLine="480" w:firstLineChars="200"/>
        <w:rPr>
          <w:rFonts w:hint="eastAsia" w:eastAsia="宋体" w:cs="宋体"/>
          <w:snapToGrid w:val="0"/>
        </w:rPr>
      </w:pPr>
      <w:r>
        <w:rPr>
          <w:rFonts w:hint="eastAsia" w:eastAsia="宋体" w:cs="宋体"/>
          <w:snapToGrid w:val="0"/>
        </w:rPr>
        <w:t>（3）承包人因自身原因造成安全事故的，除按国家规定由主管部门处罚外，承包人必须依照下列约定承担违约责任：</w:t>
      </w:r>
    </w:p>
    <w:p w14:paraId="764A0E70">
      <w:pPr>
        <w:pStyle w:val="403"/>
        <w:spacing w:line="460" w:lineRule="exact"/>
        <w:ind w:firstLine="480" w:firstLineChars="200"/>
        <w:rPr>
          <w:rFonts w:hint="eastAsia" w:eastAsia="宋体" w:cs="宋体"/>
          <w:snapToGrid w:val="0"/>
        </w:rPr>
      </w:pPr>
      <w:r>
        <w:rPr>
          <w:rFonts w:hint="eastAsia" w:eastAsia="宋体" w:cs="宋体"/>
          <w:snapToGrid w:val="0"/>
        </w:rPr>
        <w:t>1）发生特别重大事故，承包人按事故所造成损失金额的15%从工程款或履约担保中扣减违约金，同时违约金的数额不得低于50万元；</w:t>
      </w:r>
    </w:p>
    <w:p w14:paraId="67619F9B">
      <w:pPr>
        <w:pStyle w:val="403"/>
        <w:spacing w:line="460" w:lineRule="exact"/>
        <w:ind w:firstLine="480" w:firstLineChars="200"/>
        <w:rPr>
          <w:rFonts w:hint="eastAsia" w:eastAsia="宋体" w:cs="宋体"/>
          <w:snapToGrid w:val="0"/>
        </w:rPr>
      </w:pPr>
      <w:r>
        <w:rPr>
          <w:rFonts w:hint="eastAsia" w:eastAsia="宋体" w:cs="宋体"/>
          <w:snapToGrid w:val="0"/>
        </w:rPr>
        <w:t>2）发生重大事故，承包人按事故所造成损失金额的12%从工程款或履约担保中扣减违约金，同时违约金的数额不得低于30万元；</w:t>
      </w:r>
    </w:p>
    <w:p w14:paraId="36DA4D8E">
      <w:pPr>
        <w:pStyle w:val="403"/>
        <w:spacing w:line="460" w:lineRule="exact"/>
        <w:ind w:firstLine="480" w:firstLineChars="200"/>
        <w:rPr>
          <w:rFonts w:hint="eastAsia" w:eastAsia="宋体" w:cs="宋体"/>
          <w:snapToGrid w:val="0"/>
        </w:rPr>
      </w:pPr>
      <w:r>
        <w:rPr>
          <w:rFonts w:hint="eastAsia" w:eastAsia="宋体" w:cs="宋体"/>
          <w:snapToGrid w:val="0"/>
        </w:rPr>
        <w:t>3）发生较大事故，承包人按事故所造成损失金额的10%从工程款或履约担保中扣减违约金，同时违约金数额不得低于20万元；</w:t>
      </w:r>
    </w:p>
    <w:p w14:paraId="1CE07B7B">
      <w:pPr>
        <w:pStyle w:val="403"/>
        <w:spacing w:line="460" w:lineRule="exact"/>
        <w:ind w:firstLine="480" w:firstLineChars="200"/>
        <w:rPr>
          <w:rFonts w:hint="eastAsia" w:eastAsia="宋体" w:cs="宋体"/>
          <w:snapToGrid w:val="0"/>
        </w:rPr>
      </w:pPr>
      <w:r>
        <w:rPr>
          <w:rFonts w:hint="eastAsia" w:eastAsia="宋体" w:cs="宋体"/>
          <w:snapToGrid w:val="0"/>
        </w:rPr>
        <w:t>4）发生一般事故，承包人按事故所造成损失金额的8%从工程款或履约担保中扣减违约金，同时违约金数额不得低于10万元。</w:t>
      </w:r>
    </w:p>
    <w:p w14:paraId="5C4B94DD">
      <w:pPr>
        <w:pStyle w:val="403"/>
        <w:spacing w:line="460" w:lineRule="exact"/>
        <w:ind w:firstLine="480" w:firstLineChars="200"/>
        <w:rPr>
          <w:rFonts w:hint="eastAsia" w:eastAsia="宋体" w:cs="宋体"/>
          <w:snapToGrid w:val="0"/>
        </w:rPr>
      </w:pPr>
      <w:r>
        <w:rPr>
          <w:rFonts w:hint="eastAsia" w:eastAsia="宋体" w:cs="宋体"/>
          <w:snapToGrid w:val="0"/>
        </w:rPr>
        <w:t>发生上述安全事故，发包人给予承包人1次严重违约处理，直至部分或全部解除合同。情节较轻的，给予1次一般违约处理。</w:t>
      </w:r>
    </w:p>
    <w:p w14:paraId="18390E32">
      <w:pPr>
        <w:pStyle w:val="403"/>
        <w:spacing w:line="460" w:lineRule="exact"/>
        <w:ind w:firstLine="480" w:firstLineChars="200"/>
        <w:rPr>
          <w:rFonts w:hint="eastAsia" w:eastAsia="宋体" w:cs="宋体"/>
          <w:snapToGrid w:val="0"/>
        </w:rPr>
      </w:pPr>
      <w:r>
        <w:rPr>
          <w:rFonts w:hint="eastAsia" w:eastAsia="宋体" w:cs="宋体"/>
          <w:snapToGrid w:val="0"/>
        </w:rPr>
        <w:t>承包人依照上述约定从工程款或履约担保中扣减违约金后，所扣减的违约金不足以弥补由此给发包人造成的损失的，承包人还须补偿发包人的其他损失。</w:t>
      </w:r>
    </w:p>
    <w:p w14:paraId="73768306">
      <w:pPr>
        <w:pStyle w:val="403"/>
        <w:spacing w:line="460" w:lineRule="exact"/>
        <w:ind w:firstLine="480" w:firstLineChars="200"/>
        <w:rPr>
          <w:rFonts w:hint="eastAsia"/>
        </w:rPr>
      </w:pPr>
      <w:r>
        <w:rPr>
          <w:rFonts w:hint="eastAsia"/>
        </w:rPr>
        <w:t>22.1.2.9 文明施工、环境保护方面的违约责任</w:t>
      </w:r>
    </w:p>
    <w:p w14:paraId="2BABCEB7">
      <w:pPr>
        <w:pStyle w:val="403"/>
        <w:spacing w:line="460" w:lineRule="exact"/>
        <w:ind w:firstLine="480" w:firstLineChars="200"/>
        <w:rPr>
          <w:rFonts w:hint="eastAsia" w:eastAsia="宋体" w:cs="宋体"/>
          <w:snapToGrid w:val="0"/>
        </w:rPr>
      </w:pPr>
      <w:r>
        <w:rPr>
          <w:rFonts w:hint="eastAsia" w:eastAsia="宋体" w:cs="宋体"/>
          <w:snapToGrid w:val="0"/>
        </w:rPr>
        <w:t>（1）发包人、总监理工程师按照专用合同条款第10款的约定，对承包人文明施工措施进行对照检查。经检查发现承包人因自身原因未能落实的，承包人必须承担1次一般违约责任，并限期改正；如限期届满未改正的，承包人须承担1次严重违约责任。</w:t>
      </w:r>
    </w:p>
    <w:p w14:paraId="6B1BE137">
      <w:pPr>
        <w:pStyle w:val="403"/>
        <w:spacing w:line="460" w:lineRule="exact"/>
        <w:ind w:firstLine="480" w:firstLineChars="200"/>
        <w:rPr>
          <w:rFonts w:hint="eastAsia" w:eastAsia="宋体" w:cs="宋体"/>
          <w:snapToGrid w:val="0"/>
        </w:rPr>
      </w:pPr>
      <w:r>
        <w:rPr>
          <w:rFonts w:hint="eastAsia" w:eastAsia="宋体" w:cs="宋体"/>
          <w:snapToGrid w:val="0"/>
        </w:rPr>
        <w:t>（2）在行业主管部门的检查中，承包人的施工场地被评为不合格工地或者被通报批评或者被新闻媒体曝光的，承包人必须承担1次严重违约责任，并立即采取切实有效措施予以整改；拒不采取切实有效措施整改或整改效果不明显的，发包人有权部分或全部解除合同。</w:t>
      </w:r>
    </w:p>
    <w:p w14:paraId="2A2F15DB">
      <w:pPr>
        <w:pStyle w:val="403"/>
        <w:spacing w:line="460" w:lineRule="exact"/>
        <w:ind w:firstLine="480" w:firstLineChars="200"/>
        <w:rPr>
          <w:rFonts w:hint="eastAsia" w:eastAsia="宋体" w:cs="宋体"/>
          <w:snapToGrid w:val="0"/>
        </w:rPr>
      </w:pPr>
      <w:r>
        <w:rPr>
          <w:rFonts w:hint="eastAsia" w:eastAsia="宋体" w:cs="宋体"/>
          <w:snapToGrid w:val="0"/>
        </w:rPr>
        <w:t>（3）承包人在施工过程中因其自身原因造成周围环境卫生状况较差，被其他施工单位或周围居民投诉的，承包人必须在当天内整改。若故意拖延或类似问题累计被投诉2次以上且经查实的，承包人必须承担1次严重违约责任。</w:t>
      </w:r>
    </w:p>
    <w:p w14:paraId="5E1E5A77">
      <w:pPr>
        <w:pStyle w:val="403"/>
        <w:spacing w:line="460" w:lineRule="exact"/>
        <w:ind w:firstLine="480" w:firstLineChars="200"/>
        <w:rPr>
          <w:rFonts w:hint="eastAsia"/>
        </w:rPr>
      </w:pPr>
      <w:r>
        <w:rPr>
          <w:rFonts w:hint="eastAsia"/>
        </w:rPr>
        <w:t>22.1.2.10 工程转包、分包方面的违约责任</w:t>
      </w:r>
    </w:p>
    <w:p w14:paraId="6E6EDC11">
      <w:pPr>
        <w:pStyle w:val="403"/>
        <w:spacing w:line="460" w:lineRule="exact"/>
        <w:ind w:firstLine="480" w:firstLineChars="200"/>
        <w:rPr>
          <w:rFonts w:hint="eastAsia" w:eastAsia="宋体" w:cs="宋体"/>
          <w:snapToGrid w:val="0"/>
        </w:rPr>
      </w:pPr>
      <w:r>
        <w:rPr>
          <w:rFonts w:hint="eastAsia" w:eastAsia="宋体" w:cs="宋体"/>
          <w:snapToGrid w:val="0"/>
        </w:rPr>
        <w:t>承包人转包工程或者违法分包工程，经建设行政主管部门调查核实并作出处理决定的，发包人将严格服从建设行政主管部门的处理决定，同时发包人有权决定是否解除合同。因承包人转包工程或者违法分包工程给发包人造成损失的，发包人有权要求赔偿。</w:t>
      </w:r>
    </w:p>
    <w:p w14:paraId="0B80B311">
      <w:pPr>
        <w:pStyle w:val="403"/>
        <w:spacing w:line="460" w:lineRule="exact"/>
        <w:ind w:firstLine="480" w:firstLineChars="200"/>
        <w:rPr>
          <w:rFonts w:hint="eastAsia"/>
        </w:rPr>
      </w:pPr>
      <w:r>
        <w:rPr>
          <w:rFonts w:hint="eastAsia"/>
        </w:rPr>
        <w:t>22.1.2.11 施工人员工资支付方面的违约责任</w:t>
      </w:r>
    </w:p>
    <w:p w14:paraId="765BFBF0">
      <w:pPr>
        <w:pStyle w:val="403"/>
        <w:spacing w:line="460" w:lineRule="exact"/>
        <w:ind w:firstLine="480" w:firstLineChars="200"/>
        <w:rPr>
          <w:rFonts w:hint="eastAsia" w:eastAsia="宋体" w:cs="宋体"/>
          <w:snapToGrid w:val="0"/>
        </w:rPr>
      </w:pPr>
      <w:r>
        <w:rPr>
          <w:rFonts w:hint="eastAsia" w:eastAsia="宋体" w:cs="宋体"/>
          <w:snapToGrid w:val="0"/>
        </w:rPr>
        <w:t>（1）承包人违反专用合同条款第4.1.10（18.1）款的约定，被施工人员投诉或上访属实的，承包人必须在3天内发放拖欠的款项。若继续拖延被投诉2次及以上，经查实，承包人必须承担1次一般违约责任。若仍然不予整改并发放拖欠的款项，使施工人员采取停工、集聚围阻发包人办公地点甚至政府办公部门、阻塞交通要道、围堵或破坏、拆除已移交发包人的工程等过激行动的，承包人必须承担1次严重违约责任，并立即采取切实有效措施予以整改；拒不采取切实有效措施整改或整改效果不明显的，发包人有权部分或全部解除合同。</w:t>
      </w:r>
    </w:p>
    <w:p w14:paraId="71631A18">
      <w:pPr>
        <w:pStyle w:val="403"/>
        <w:spacing w:line="460" w:lineRule="exact"/>
        <w:ind w:firstLine="480" w:firstLineChars="200"/>
        <w:rPr>
          <w:rFonts w:hint="eastAsia" w:eastAsia="宋体" w:cs="宋体"/>
          <w:snapToGrid w:val="0"/>
        </w:rPr>
      </w:pPr>
      <w:r>
        <w:rPr>
          <w:rFonts w:hint="eastAsia" w:eastAsia="宋体" w:cs="宋体"/>
          <w:snapToGrid w:val="0"/>
        </w:rPr>
        <w:t>（2）由于承包人或其管理的分包单位（包括施工专业分包、供货分包及劳务分包单位等）拖欠施工人员工资致使发包人被投诉或起诉并被判令先行垫付施工人员工资的，承包人除承担1次严重违约责任外，还应从工程款或履约担保中扣减发包人先行垫付的施工人员工资金额的120%作为补偿。</w:t>
      </w:r>
    </w:p>
    <w:p w14:paraId="2CAF95E7">
      <w:pPr>
        <w:pStyle w:val="403"/>
        <w:spacing w:line="460" w:lineRule="exact"/>
        <w:ind w:firstLine="480" w:firstLineChars="200"/>
        <w:rPr>
          <w:rFonts w:hint="eastAsia" w:eastAsia="宋体" w:cs="宋体"/>
          <w:snapToGrid w:val="0"/>
        </w:rPr>
      </w:pPr>
      <w:r>
        <w:rPr>
          <w:rFonts w:hint="eastAsia" w:eastAsia="宋体" w:cs="宋体"/>
          <w:snapToGrid w:val="0"/>
        </w:rPr>
        <w:t>（3）因承包人违约导致发包人暂停支付工程款时，承包人不得以此为理由拖欠施工人员工资，在发包人和承包人就暂停支付工程款问题解决之前，承包人有义务先行支付其所属工人工资。</w:t>
      </w:r>
    </w:p>
    <w:p w14:paraId="293F3D11">
      <w:pPr>
        <w:pStyle w:val="403"/>
        <w:spacing w:line="460" w:lineRule="exact"/>
        <w:ind w:firstLine="480" w:firstLineChars="200"/>
        <w:rPr>
          <w:rFonts w:hint="eastAsia" w:eastAsia="宋体" w:cs="宋体"/>
          <w:snapToGrid w:val="0"/>
        </w:rPr>
      </w:pPr>
      <w:r>
        <w:rPr>
          <w:rFonts w:hint="eastAsia" w:eastAsia="宋体" w:cs="宋体"/>
          <w:snapToGrid w:val="0"/>
        </w:rPr>
        <w:t>（4）承包人不按合同及有关规定按时、足额支付分包单位合同价款及施工人员工资致使施工人员集体上访、集聚围阻而造成社会不良影响的，发包人将立即终止与承包人的合同，并上报省、市主管部门建议取消其参加广州地区省、市重大项目的投标资格并予以公告。如属恶意煽动并造成社会不良影响的，发包人将提请司法部门追究其法律责任。</w:t>
      </w:r>
    </w:p>
    <w:p w14:paraId="0214B797">
      <w:pPr>
        <w:pStyle w:val="403"/>
        <w:spacing w:line="460" w:lineRule="exact"/>
        <w:ind w:firstLine="480" w:firstLineChars="200"/>
        <w:rPr>
          <w:rFonts w:hint="eastAsia" w:eastAsia="宋体" w:cs="宋体"/>
          <w:snapToGrid w:val="0"/>
        </w:rPr>
      </w:pPr>
      <w:r>
        <w:rPr>
          <w:rFonts w:hint="eastAsia"/>
        </w:rPr>
        <w:t xml:space="preserve">22.1.2.12 </w:t>
      </w:r>
      <w:r>
        <w:rPr>
          <w:rFonts w:hint="eastAsia" w:eastAsia="宋体" w:cs="宋体"/>
          <w:snapToGrid w:val="0"/>
        </w:rPr>
        <w:t>除上述约定之外，承包人不履行或不完全履行合同其他义务的，均构成违约，应当承担1次一般违约责任。情节较轻的，可给予书面警告；情节较重的，应当承担1次严重违约责任。</w:t>
      </w:r>
    </w:p>
    <w:p w14:paraId="145ECCA6">
      <w:pPr>
        <w:pStyle w:val="403"/>
        <w:spacing w:line="460" w:lineRule="exact"/>
        <w:ind w:firstLine="480" w:firstLineChars="200"/>
        <w:rPr>
          <w:rFonts w:hint="eastAsia" w:eastAsia="宋体" w:cs="宋体"/>
          <w:snapToGrid w:val="0"/>
        </w:rPr>
      </w:pPr>
      <w:r>
        <w:rPr>
          <w:rFonts w:hint="eastAsia" w:eastAsia="宋体" w:cs="宋体"/>
          <w:snapToGrid w:val="0"/>
        </w:rPr>
        <w:t>22.1.2.1</w:t>
      </w:r>
      <w:r>
        <w:rPr>
          <w:rFonts w:eastAsia="宋体" w:cs="宋体"/>
          <w:snapToGrid w:val="0"/>
        </w:rPr>
        <w:t>3</w:t>
      </w:r>
      <w:r>
        <w:rPr>
          <w:rFonts w:hint="eastAsia" w:eastAsia="宋体" w:cs="宋体"/>
          <w:snapToGrid w:val="0"/>
        </w:rPr>
        <w:t xml:space="preserve"> 承包人违约责任的认定方式、送达程序及违约金的处理</w:t>
      </w:r>
    </w:p>
    <w:p w14:paraId="11324E65">
      <w:pPr>
        <w:pStyle w:val="403"/>
        <w:spacing w:line="460" w:lineRule="exact"/>
        <w:ind w:firstLine="480" w:firstLineChars="200"/>
        <w:rPr>
          <w:rFonts w:hint="eastAsia" w:eastAsia="宋体" w:cs="宋体"/>
          <w:snapToGrid w:val="0"/>
        </w:rPr>
      </w:pPr>
      <w:r>
        <w:rPr>
          <w:rFonts w:hint="eastAsia" w:eastAsia="宋体" w:cs="宋体"/>
          <w:snapToGrid w:val="0"/>
        </w:rPr>
        <w:t>（1）认定方式：以发包人发出的通知、通报、会议纪要等书面文件确定的内容为准。</w:t>
      </w:r>
    </w:p>
    <w:p w14:paraId="52228A72">
      <w:pPr>
        <w:pStyle w:val="403"/>
        <w:spacing w:line="460" w:lineRule="exact"/>
        <w:ind w:firstLine="480" w:firstLineChars="200"/>
        <w:rPr>
          <w:rFonts w:hint="eastAsia" w:eastAsia="宋体" w:cs="宋体"/>
          <w:snapToGrid w:val="0"/>
        </w:rPr>
      </w:pPr>
      <w:r>
        <w:rPr>
          <w:rFonts w:hint="eastAsia" w:eastAsia="宋体" w:cs="宋体"/>
          <w:snapToGrid w:val="0"/>
        </w:rPr>
        <w:t>（2）送达程序：发包人以下列方式之一将书面违约处理决定送达承包人：</w:t>
      </w:r>
    </w:p>
    <w:p w14:paraId="1A77524D">
      <w:pPr>
        <w:pStyle w:val="403"/>
        <w:spacing w:line="460" w:lineRule="exact"/>
        <w:ind w:firstLine="480" w:firstLineChars="200"/>
        <w:rPr>
          <w:rFonts w:hint="eastAsia" w:eastAsia="宋体" w:cs="宋体"/>
          <w:snapToGrid w:val="0"/>
        </w:rPr>
      </w:pPr>
      <w:r>
        <w:rPr>
          <w:rFonts w:hint="eastAsia" w:eastAsia="宋体" w:cs="宋体"/>
          <w:snapToGrid w:val="0"/>
        </w:rPr>
        <w:t>1）承包人现场管理机构工作人员签收。</w:t>
      </w:r>
    </w:p>
    <w:p w14:paraId="23BC8314">
      <w:pPr>
        <w:pStyle w:val="403"/>
        <w:spacing w:line="460" w:lineRule="exact"/>
        <w:ind w:firstLine="480" w:firstLineChars="200"/>
        <w:rPr>
          <w:rFonts w:hint="eastAsia" w:eastAsia="宋体" w:cs="宋体"/>
          <w:snapToGrid w:val="0"/>
        </w:rPr>
      </w:pPr>
      <w:r>
        <w:rPr>
          <w:rFonts w:hint="eastAsia" w:eastAsia="宋体" w:cs="宋体"/>
          <w:snapToGrid w:val="0"/>
        </w:rPr>
        <w:t>2）承包人其他工作人员签收。</w:t>
      </w:r>
    </w:p>
    <w:p w14:paraId="3C914489">
      <w:pPr>
        <w:pStyle w:val="403"/>
        <w:spacing w:line="460" w:lineRule="exact"/>
        <w:ind w:firstLine="480" w:firstLineChars="200"/>
        <w:rPr>
          <w:rFonts w:hint="eastAsia" w:eastAsia="宋体" w:cs="宋体"/>
          <w:snapToGrid w:val="0"/>
        </w:rPr>
      </w:pPr>
      <w:r>
        <w:rPr>
          <w:rFonts w:hint="eastAsia" w:eastAsia="宋体" w:cs="宋体"/>
          <w:snapToGrid w:val="0"/>
        </w:rPr>
        <w:t>3）发包人邮寄送达。</w:t>
      </w:r>
    </w:p>
    <w:p w14:paraId="19BC176A">
      <w:pPr>
        <w:pStyle w:val="403"/>
        <w:spacing w:line="460" w:lineRule="exact"/>
        <w:ind w:firstLine="480" w:firstLineChars="200"/>
        <w:rPr>
          <w:rFonts w:hint="eastAsia" w:eastAsia="宋体" w:cs="宋体"/>
          <w:snapToGrid w:val="0"/>
        </w:rPr>
      </w:pPr>
      <w:r>
        <w:rPr>
          <w:rFonts w:hint="eastAsia" w:eastAsia="宋体" w:cs="宋体"/>
          <w:snapToGrid w:val="0"/>
        </w:rPr>
        <w:t>（3）发包人以书面形式作出的违约处理决定一经送达承包人立即生效。承包人如有足够证据证明不应由其承担违约责任的，属不需扣减违约金的，应在收到违约处理决定后3天内以书面形式向发包人提出异议并附上有关证据；属需要扣减违约金的，应在工程结算报告送达监理单位前以书面形式向发包人提出异议并附上有关证据。发包人在收到承包人的异议后15个工作日内审核完毕且作出书面决定并通知承包人。在异议审核期间，承包人须正常施工，不得以审核未确定为由拖延或者中止工程施工。</w:t>
      </w:r>
    </w:p>
    <w:p w14:paraId="431E27C3">
      <w:pPr>
        <w:pStyle w:val="403"/>
        <w:spacing w:line="460" w:lineRule="exact"/>
        <w:ind w:firstLine="480" w:firstLineChars="200"/>
        <w:rPr>
          <w:rFonts w:hint="eastAsia"/>
        </w:rPr>
      </w:pPr>
      <w:bookmarkStart w:id="1589" w:name="_Toc81895182"/>
      <w:r>
        <w:rPr>
          <w:rFonts w:hint="eastAsia"/>
        </w:rPr>
        <w:t>22.1.7 设计违约</w:t>
      </w:r>
    </w:p>
    <w:bookmarkEnd w:id="1589"/>
    <w:p w14:paraId="36537D7A">
      <w:pPr>
        <w:pStyle w:val="403"/>
        <w:spacing w:line="460" w:lineRule="exact"/>
        <w:ind w:firstLine="480" w:firstLineChars="200"/>
        <w:rPr>
          <w:rFonts w:hint="eastAsia" w:eastAsia="宋体" w:cs="宋体"/>
          <w:snapToGrid w:val="0"/>
        </w:rPr>
      </w:pPr>
      <w:r>
        <w:rPr>
          <w:rFonts w:hint="eastAsia" w:eastAsia="宋体" w:cs="宋体"/>
          <w:snapToGrid w:val="0"/>
        </w:rPr>
        <w:t>22.1.7.1总则</w:t>
      </w:r>
    </w:p>
    <w:p w14:paraId="5AF92C82">
      <w:pPr>
        <w:pStyle w:val="403"/>
        <w:spacing w:line="460" w:lineRule="exact"/>
        <w:ind w:firstLine="480" w:firstLineChars="200"/>
        <w:rPr>
          <w:rFonts w:hint="eastAsia" w:eastAsia="宋体" w:cs="宋体"/>
          <w:snapToGrid w:val="0"/>
        </w:rPr>
      </w:pPr>
      <w:r>
        <w:rPr>
          <w:rFonts w:hint="eastAsia" w:eastAsia="宋体" w:cs="宋体"/>
          <w:snapToGrid w:val="0"/>
        </w:rPr>
        <w:t>（1）合同双方均应全面履行本合同，任何一方都不得擅自变更或解除合同。合同生效后，如果设计承包人无故中途停止设计，应退回发包人已支付的设计费（若设计承包人提交的部分设计成果经发包人确认用于后期设计和施工依据的，且设计承包人配合发包人完成后期服务、承担相关设计责任的，该部分设计费用可以不予退还），并赔偿由此造成发包人的损失；如果发包人因故中途要求停止设计，应及时书面通知设计承包人，设计承包人应立即停止设计，发包人已付的设计费预付款不予退还，并按照设计承包人实际已完成的工作量和投资规模支付设计费用。</w:t>
      </w:r>
    </w:p>
    <w:p w14:paraId="57CAEF08">
      <w:pPr>
        <w:pStyle w:val="403"/>
        <w:spacing w:line="460" w:lineRule="exact"/>
        <w:ind w:firstLine="480" w:firstLineChars="200"/>
        <w:rPr>
          <w:rFonts w:hint="eastAsia" w:eastAsia="宋体" w:cs="宋体"/>
          <w:snapToGrid w:val="0"/>
        </w:rPr>
      </w:pPr>
      <w:r>
        <w:rPr>
          <w:rFonts w:hint="eastAsia" w:eastAsia="宋体" w:cs="宋体"/>
          <w:snapToGrid w:val="0"/>
        </w:rPr>
        <w:t>（2）本合同任何一方不履行合同或者履行合同规定的义务和范围不符合约定条件的，即视为违约。守约方有权要求违约方采取合理的补救措施。采取补救措施后，尚不能完全弥补守约方受到的损失，守约方仍然有权要求赔偿损失。</w:t>
      </w:r>
    </w:p>
    <w:p w14:paraId="25A4D7EA">
      <w:pPr>
        <w:pStyle w:val="403"/>
        <w:spacing w:line="460" w:lineRule="exact"/>
        <w:ind w:firstLine="480" w:firstLineChars="200"/>
        <w:rPr>
          <w:rFonts w:hint="eastAsia" w:eastAsia="宋体" w:cs="宋体"/>
          <w:snapToGrid w:val="0"/>
        </w:rPr>
      </w:pPr>
      <w:r>
        <w:rPr>
          <w:rFonts w:hint="eastAsia" w:eastAsia="宋体" w:cs="宋体"/>
          <w:snapToGrid w:val="0"/>
        </w:rPr>
        <w:t>（3）设计质量不符合本合同规定或设计资料及文件出现遗漏或错误，设计承包人应负责修改或补充，直至满足本合同规定的设计文件质量要求。</w:t>
      </w:r>
    </w:p>
    <w:p w14:paraId="26FFFBBF">
      <w:pPr>
        <w:pStyle w:val="403"/>
        <w:spacing w:line="460" w:lineRule="exact"/>
        <w:ind w:firstLine="480" w:firstLineChars="200"/>
        <w:rPr>
          <w:rFonts w:hint="eastAsia" w:eastAsia="宋体" w:cs="宋体"/>
          <w:snapToGrid w:val="0"/>
        </w:rPr>
      </w:pPr>
      <w:r>
        <w:rPr>
          <w:rFonts w:hint="eastAsia" w:eastAsia="宋体" w:cs="宋体"/>
          <w:snapToGrid w:val="0"/>
        </w:rPr>
        <w:t>（4）设计承包人因本合同设计方面的违约责任所引起的对发包人的违约金额，累计</w:t>
      </w:r>
      <w:bookmarkStart w:id="1590" w:name="_Hlk82863520"/>
      <w:r>
        <w:rPr>
          <w:rFonts w:hint="eastAsia" w:eastAsia="宋体" w:cs="宋体"/>
          <w:snapToGrid w:val="0"/>
        </w:rPr>
        <w:t>最高不超过本合同设计费总额</w:t>
      </w:r>
      <w:bookmarkEnd w:id="1590"/>
      <w:r>
        <w:rPr>
          <w:rFonts w:hint="eastAsia" w:eastAsia="宋体" w:cs="宋体"/>
          <w:snapToGrid w:val="0"/>
        </w:rPr>
        <w:t>。</w:t>
      </w:r>
    </w:p>
    <w:p w14:paraId="0392F004">
      <w:pPr>
        <w:pStyle w:val="403"/>
        <w:spacing w:line="460" w:lineRule="exact"/>
        <w:ind w:firstLine="480" w:firstLineChars="200"/>
        <w:rPr>
          <w:rFonts w:hint="eastAsia" w:eastAsia="宋体" w:cs="宋体"/>
          <w:snapToGrid w:val="0"/>
        </w:rPr>
      </w:pPr>
      <w:r>
        <w:rPr>
          <w:rFonts w:hint="eastAsia" w:eastAsia="宋体" w:cs="宋体"/>
          <w:snapToGrid w:val="0"/>
        </w:rPr>
        <w:t>（5）当发包人依合同约定决定给设计承包人予以违约处理时，设计承包人按合同约定的分工内容，由实施该工作内容的设计承包人承担违约责任，其他设计承包人承担连带责任；没有分工比例约定的，由发包人根据各方责任的大小或公平的原则决定各方的承担比例。</w:t>
      </w:r>
    </w:p>
    <w:p w14:paraId="5D8BA150">
      <w:pPr>
        <w:pStyle w:val="403"/>
        <w:spacing w:line="460" w:lineRule="exact"/>
        <w:ind w:firstLine="480" w:firstLineChars="200"/>
        <w:rPr>
          <w:rFonts w:hint="eastAsia" w:eastAsia="宋体" w:cs="宋体"/>
          <w:snapToGrid w:val="0"/>
        </w:rPr>
      </w:pPr>
      <w:r>
        <w:rPr>
          <w:rFonts w:hint="eastAsia" w:eastAsia="宋体" w:cs="宋体"/>
          <w:snapToGrid w:val="0"/>
        </w:rPr>
        <w:t>（6）设计承包人违约需支付违约金或赔偿金时，发包人有权从应支付设计承包人的设计费中直接抵扣，设计承包人不得有异议。</w:t>
      </w:r>
    </w:p>
    <w:p w14:paraId="01E687DA">
      <w:pPr>
        <w:pStyle w:val="403"/>
        <w:spacing w:line="460" w:lineRule="exact"/>
        <w:ind w:firstLine="480" w:firstLineChars="200"/>
        <w:rPr>
          <w:rFonts w:hint="eastAsia" w:eastAsia="宋体" w:cs="宋体"/>
          <w:snapToGrid w:val="0"/>
        </w:rPr>
      </w:pPr>
      <w:r>
        <w:rPr>
          <w:rFonts w:hint="eastAsia" w:eastAsia="宋体" w:cs="宋体"/>
          <w:snapToGrid w:val="0"/>
        </w:rPr>
        <w:t>（7）违约责任形式</w:t>
      </w:r>
    </w:p>
    <w:p w14:paraId="1EA56700">
      <w:pPr>
        <w:pStyle w:val="403"/>
        <w:spacing w:line="460" w:lineRule="exact"/>
        <w:ind w:firstLine="480" w:firstLineChars="200"/>
        <w:rPr>
          <w:rFonts w:hint="eastAsia" w:eastAsia="宋体" w:cs="宋体"/>
          <w:snapToGrid w:val="0"/>
        </w:rPr>
      </w:pPr>
      <w:r>
        <w:rPr>
          <w:rFonts w:hint="eastAsia" w:eastAsia="宋体" w:cs="宋体"/>
          <w:snapToGrid w:val="0"/>
        </w:rPr>
        <w:t>设计承包人违反本合同的约定，应当按约定向发包人承担相应的违约责任。设计承包人承担违约责任的形式包括但不仅限于：</w:t>
      </w:r>
    </w:p>
    <w:p w14:paraId="14F3C84B">
      <w:pPr>
        <w:pStyle w:val="403"/>
        <w:spacing w:line="460" w:lineRule="exact"/>
        <w:ind w:firstLine="480" w:firstLineChars="200"/>
        <w:rPr>
          <w:rFonts w:hint="eastAsia" w:eastAsia="宋体" w:cs="宋体"/>
          <w:snapToGrid w:val="0"/>
        </w:rPr>
      </w:pPr>
      <w:r>
        <w:rPr>
          <w:rFonts w:hint="eastAsia" w:eastAsia="宋体" w:cs="宋体"/>
          <w:snapToGrid w:val="0"/>
        </w:rPr>
        <w:t>1）限期改正。设计承包人未履行或未按时履行或未按质履行义务时，必须在发包人限定的时间内履行义务。</w:t>
      </w:r>
    </w:p>
    <w:p w14:paraId="70012505">
      <w:pPr>
        <w:pStyle w:val="403"/>
        <w:spacing w:line="460" w:lineRule="exact"/>
        <w:ind w:firstLine="480" w:firstLineChars="200"/>
        <w:rPr>
          <w:rFonts w:hint="eastAsia" w:eastAsia="宋体" w:cs="宋体"/>
          <w:snapToGrid w:val="0"/>
        </w:rPr>
      </w:pPr>
      <w:r>
        <w:rPr>
          <w:rFonts w:hint="eastAsia" w:eastAsia="宋体" w:cs="宋体"/>
          <w:snapToGrid w:val="0"/>
        </w:rPr>
        <w:t>2）一般违约责任。设计承包人被发包人要求按本合同约定承担一般违约责任时，必须向发包人交纳违约金人民币2万元/次。</w:t>
      </w:r>
    </w:p>
    <w:p w14:paraId="398CF559">
      <w:pPr>
        <w:pStyle w:val="403"/>
        <w:spacing w:line="460" w:lineRule="exact"/>
        <w:ind w:firstLine="480" w:firstLineChars="200"/>
        <w:rPr>
          <w:rFonts w:hint="eastAsia" w:eastAsia="宋体" w:cs="宋体"/>
          <w:snapToGrid w:val="0"/>
        </w:rPr>
      </w:pPr>
      <w:r>
        <w:rPr>
          <w:rFonts w:hint="eastAsia" w:eastAsia="宋体" w:cs="宋体"/>
          <w:snapToGrid w:val="0"/>
        </w:rPr>
        <w:t>3）严重违约责任。设计承包人被发包人要求按本合同约定承担严重违约责任时，必须向发包人交纳违约金人民币5万元/次。</w:t>
      </w:r>
    </w:p>
    <w:p w14:paraId="2EB30AA9">
      <w:pPr>
        <w:pStyle w:val="403"/>
        <w:spacing w:line="460" w:lineRule="exact"/>
        <w:ind w:firstLine="480" w:firstLineChars="200"/>
        <w:rPr>
          <w:rFonts w:hint="eastAsia" w:eastAsia="宋体" w:cs="宋体"/>
          <w:snapToGrid w:val="0"/>
        </w:rPr>
      </w:pPr>
      <w:r>
        <w:rPr>
          <w:rFonts w:hint="eastAsia" w:eastAsia="宋体" w:cs="宋体"/>
          <w:snapToGrid w:val="0"/>
        </w:rPr>
        <w:t>4）部分解除合同。发包人因设计承包人违约向设计承包人发出部分解除合同的通知后，本合同部分解除即生效，设计承包人必须在三天内停止被解除部分的工作，五天内配合发包人完成现场工作和有关资料的交接，所交接资料必须完整。设计承包人无特殊原因未在规定期限内完成交接和离场，或交接资料不完整的，发包人有权视情况全部解除合同；因设计承包人拒交或延误交接现场工作和有关资料而引致发包人工期延误及其他方面的损失，发包人有权要求设计承包人赔偿实际损失。</w:t>
      </w:r>
    </w:p>
    <w:p w14:paraId="748EED81">
      <w:pPr>
        <w:pStyle w:val="403"/>
        <w:spacing w:line="460" w:lineRule="exact"/>
        <w:ind w:firstLine="480" w:firstLineChars="200"/>
        <w:rPr>
          <w:rFonts w:hint="eastAsia" w:eastAsia="宋体" w:cs="宋体"/>
          <w:snapToGrid w:val="0"/>
        </w:rPr>
      </w:pPr>
      <w:r>
        <w:rPr>
          <w:rFonts w:hint="eastAsia" w:eastAsia="宋体" w:cs="宋体"/>
          <w:snapToGrid w:val="0"/>
        </w:rPr>
        <w:t>5）解除合同。发包人因设计承包人违约向设计承包人发出解除合同的通知后，本合同即解除，设计承包人必须在三天内停止全部工作，五天内配合发包人完成现场工作和有关资料的交接，并于完成交接工作当天内离场。设计承包人应保证所移交的资料齐全完整，承包无特殊原因未在规定期限内完成交接和离场或所移交的资料不完整的，引致发包人工期延误和其他方面的损失，发包人有权要求设计承包人赔偿损失。</w:t>
      </w:r>
    </w:p>
    <w:p w14:paraId="12E75498">
      <w:pPr>
        <w:pStyle w:val="403"/>
        <w:spacing w:line="460" w:lineRule="exact"/>
        <w:ind w:firstLine="480" w:firstLineChars="200"/>
        <w:rPr>
          <w:rFonts w:hint="eastAsia" w:eastAsia="宋体" w:cs="宋体"/>
          <w:snapToGrid w:val="0"/>
        </w:rPr>
      </w:pPr>
      <w:r>
        <w:rPr>
          <w:rFonts w:hint="eastAsia" w:eastAsia="宋体" w:cs="宋体"/>
          <w:snapToGrid w:val="0"/>
        </w:rPr>
        <w:t>6）赔偿损失。因设计承包人违约或工作失误给发包人造成损失的，由设计承包人向发包人赔偿与违约有直接关系的所有损失。</w:t>
      </w:r>
    </w:p>
    <w:p w14:paraId="03545779">
      <w:pPr>
        <w:pStyle w:val="403"/>
        <w:spacing w:line="460" w:lineRule="exact"/>
        <w:ind w:firstLine="480" w:firstLineChars="200"/>
        <w:rPr>
          <w:rFonts w:hint="eastAsia" w:eastAsia="宋体" w:cs="宋体"/>
          <w:snapToGrid w:val="0"/>
        </w:rPr>
      </w:pPr>
      <w:r>
        <w:rPr>
          <w:rFonts w:hint="eastAsia" w:eastAsia="宋体" w:cs="宋体"/>
          <w:snapToGrid w:val="0"/>
        </w:rPr>
        <w:t>7）三次限期纠正责任相当于一次一般违约责任，三次一般违约责任相当于一次严重违约责任，累计三次严重违约责任，发包人有权单方面部分或全部解除合同。</w:t>
      </w:r>
    </w:p>
    <w:p w14:paraId="039E25F0">
      <w:pPr>
        <w:pStyle w:val="403"/>
        <w:spacing w:line="460" w:lineRule="exact"/>
        <w:ind w:firstLine="480" w:firstLineChars="200"/>
        <w:rPr>
          <w:rFonts w:hint="eastAsia" w:eastAsia="宋体" w:cs="宋体"/>
          <w:snapToGrid w:val="0"/>
        </w:rPr>
      </w:pPr>
      <w:r>
        <w:rPr>
          <w:rFonts w:hint="eastAsia" w:eastAsia="宋体" w:cs="宋体"/>
          <w:snapToGrid w:val="0"/>
        </w:rPr>
        <w:t>22.1.7.2违约责任</w:t>
      </w:r>
    </w:p>
    <w:p w14:paraId="1DECCDD0">
      <w:pPr>
        <w:pStyle w:val="403"/>
        <w:spacing w:line="460" w:lineRule="exact"/>
        <w:ind w:firstLine="480" w:firstLineChars="200"/>
        <w:rPr>
          <w:rFonts w:hint="eastAsia" w:eastAsia="宋体" w:cs="宋体"/>
          <w:snapToGrid w:val="0"/>
        </w:rPr>
      </w:pPr>
      <w:r>
        <w:rPr>
          <w:rFonts w:hint="eastAsia" w:eastAsia="宋体" w:cs="宋体"/>
          <w:snapToGrid w:val="0"/>
        </w:rPr>
        <w:t>当发包人认为设计承包人无正当理由而不履行或没有充分履行其相关义务时，发包人有权书面通知设计承包人，指明设计承包人未能履约的内容并要求设计承包人按如下约定承担违约责任：</w:t>
      </w:r>
    </w:p>
    <w:p w14:paraId="38E72088">
      <w:pPr>
        <w:pStyle w:val="403"/>
        <w:spacing w:line="460" w:lineRule="exact"/>
        <w:ind w:firstLine="480" w:firstLineChars="200"/>
        <w:rPr>
          <w:rFonts w:hint="eastAsia"/>
        </w:rPr>
      </w:pPr>
      <w:r>
        <w:rPr>
          <w:rFonts w:hint="eastAsia"/>
        </w:rPr>
        <w:t>22.1.7.2.1设计管理方面的违约责任</w:t>
      </w:r>
    </w:p>
    <w:p w14:paraId="21D5B577">
      <w:pPr>
        <w:pStyle w:val="403"/>
        <w:spacing w:line="460" w:lineRule="exact"/>
        <w:ind w:firstLine="480" w:firstLineChars="200"/>
        <w:rPr>
          <w:rFonts w:hint="eastAsia" w:eastAsia="宋体" w:cs="宋体"/>
          <w:snapToGrid w:val="0"/>
        </w:rPr>
      </w:pPr>
      <w:r>
        <w:rPr>
          <w:rFonts w:hint="eastAsia" w:eastAsia="宋体" w:cs="宋体"/>
          <w:snapToGrid w:val="0"/>
        </w:rPr>
        <w:t>（1）设计承包人转包和私自分包设计任务，按严重违约（违约金人民币5万元/次）处理。情节严重的，发包人有权单方面解除合同，设计承包人返还设计费预付款。同时，发包人将扣除转包（分包）部分的全额设计费用，设计承包人应承担由此造成的工期、技术及其他一切损失。</w:t>
      </w:r>
    </w:p>
    <w:p w14:paraId="4AF824D1">
      <w:pPr>
        <w:pStyle w:val="403"/>
        <w:spacing w:line="460" w:lineRule="exact"/>
        <w:ind w:firstLine="480" w:firstLineChars="200"/>
        <w:rPr>
          <w:rFonts w:hint="eastAsia" w:eastAsia="宋体" w:cs="宋体"/>
          <w:snapToGrid w:val="0"/>
        </w:rPr>
      </w:pPr>
      <w:r>
        <w:rPr>
          <w:rFonts w:hint="eastAsia" w:eastAsia="宋体" w:cs="宋体"/>
          <w:snapToGrid w:val="0"/>
        </w:rPr>
        <w:t>（2）设计承包人承诺主动支持发包人的工作，对发包人的指令和书面通知，若无正当理由又未提前报告、得到认可，而公开或变相拒不执行，第一次按一般违约（违约金人民币2万元/次）处理；第二次以后，每违反一次按一次严重违约（违约金人民币5万元/次）处理；超过三次的，发包人有权单方面解除合同。同时，设计承包人还要承担由此造成的一切经济损失。</w:t>
      </w:r>
    </w:p>
    <w:p w14:paraId="5FF25077">
      <w:pPr>
        <w:pStyle w:val="403"/>
        <w:spacing w:line="460" w:lineRule="exact"/>
        <w:ind w:firstLine="480" w:firstLineChars="200"/>
        <w:rPr>
          <w:rFonts w:hint="eastAsia" w:eastAsia="宋体" w:cs="宋体"/>
          <w:snapToGrid w:val="0"/>
        </w:rPr>
      </w:pPr>
      <w:r>
        <w:rPr>
          <w:rFonts w:hint="eastAsia" w:eastAsia="宋体" w:cs="宋体"/>
          <w:snapToGrid w:val="0"/>
        </w:rPr>
        <w:t>（3）设计承包人应严格按照本合同要求或发包人在前一设计阶段书面确认的原则、标准、方案进行设计工作；拟开展的设计工作与上述情况不符的（包括但不限于降低或提高标准、改变方案），应事先单独向发包人做出专项申请，取得发包人书面同意意见后方可实施。否则，每违反一次按一次严重违约（违约金人民币5万元/次）处理；超过三次的，发包人有权单方面解除合同，设计承包人还要承担由此造成的一切经济损失。未事先单独向发包人做出专项申请而与其他设计工作一并向发包人申请，即使取得发包人的同意或相关设计成果通过发包人审查或接收，也不免除上述违约责任。</w:t>
      </w:r>
    </w:p>
    <w:p w14:paraId="0BDB0EF9">
      <w:pPr>
        <w:pStyle w:val="403"/>
        <w:spacing w:line="460" w:lineRule="exact"/>
        <w:ind w:firstLine="480" w:firstLineChars="200"/>
        <w:rPr>
          <w:rFonts w:hint="eastAsia" w:eastAsia="宋体" w:cs="宋体"/>
          <w:snapToGrid w:val="0"/>
        </w:rPr>
      </w:pPr>
      <w:r>
        <w:rPr>
          <w:rFonts w:hint="eastAsia" w:eastAsia="宋体" w:cs="宋体"/>
          <w:snapToGrid w:val="0"/>
        </w:rPr>
        <w:t>（4）设计承包人没有按照合同的约定做好设计管理工作，发包人有权根据实际情况决定其承担违约责任的形式并要求其承担比原计划多开支的费用，设计承包人不得提出任何异议。</w:t>
      </w:r>
    </w:p>
    <w:p w14:paraId="7D5B166A">
      <w:pPr>
        <w:pStyle w:val="403"/>
        <w:spacing w:line="460" w:lineRule="exact"/>
        <w:ind w:firstLine="480" w:firstLineChars="200"/>
        <w:rPr>
          <w:rFonts w:hint="eastAsia"/>
        </w:rPr>
      </w:pPr>
      <w:r>
        <w:rPr>
          <w:rFonts w:hint="eastAsia"/>
        </w:rPr>
        <w:t>22.1.7.2.2设计成果方面的违约责任</w:t>
      </w:r>
    </w:p>
    <w:p w14:paraId="76AC8D9E">
      <w:pPr>
        <w:pStyle w:val="403"/>
        <w:spacing w:line="460" w:lineRule="exact"/>
        <w:ind w:firstLine="480" w:firstLineChars="200"/>
        <w:rPr>
          <w:rFonts w:hint="eastAsia" w:eastAsia="宋体" w:cs="宋体"/>
          <w:snapToGrid w:val="0"/>
        </w:rPr>
      </w:pPr>
      <w:r>
        <w:rPr>
          <w:rFonts w:hint="eastAsia" w:eastAsia="宋体" w:cs="宋体"/>
          <w:snapToGrid w:val="0"/>
        </w:rPr>
        <w:t>22.1.7.2.2.1设计承包人原因造成逾期交付设计文件的处理</w:t>
      </w:r>
    </w:p>
    <w:p w14:paraId="318C7B5D">
      <w:pPr>
        <w:pStyle w:val="403"/>
        <w:spacing w:line="460" w:lineRule="exact"/>
        <w:ind w:firstLine="480" w:firstLineChars="200"/>
        <w:rPr>
          <w:rFonts w:hint="eastAsia" w:eastAsia="宋体" w:cs="宋体"/>
          <w:snapToGrid w:val="0"/>
        </w:rPr>
      </w:pPr>
      <w:r>
        <w:rPr>
          <w:rFonts w:hint="eastAsia" w:eastAsia="宋体" w:cs="宋体"/>
          <w:snapToGrid w:val="0"/>
        </w:rPr>
        <w:t>（1）一次性逾期3天以内（含本数）的，设计承包人应承担设计费合同总价1%的违约金；</w:t>
      </w:r>
    </w:p>
    <w:p w14:paraId="789ACE04">
      <w:pPr>
        <w:pStyle w:val="403"/>
        <w:spacing w:line="460" w:lineRule="exact"/>
        <w:ind w:firstLine="480" w:firstLineChars="200"/>
        <w:rPr>
          <w:rFonts w:hint="eastAsia" w:eastAsia="宋体" w:cs="宋体"/>
          <w:snapToGrid w:val="0"/>
        </w:rPr>
      </w:pPr>
      <w:r>
        <w:rPr>
          <w:rFonts w:hint="eastAsia" w:eastAsia="宋体" w:cs="宋体"/>
          <w:snapToGrid w:val="0"/>
        </w:rPr>
        <w:t>（2）一次性逾期4-7天（含本数）的，设计承包人应承担设计费合同总价2%的违约金；</w:t>
      </w:r>
    </w:p>
    <w:p w14:paraId="118DC6F6">
      <w:pPr>
        <w:pStyle w:val="403"/>
        <w:spacing w:line="460" w:lineRule="exact"/>
        <w:ind w:firstLine="480" w:firstLineChars="200"/>
        <w:rPr>
          <w:rFonts w:hint="eastAsia" w:eastAsia="宋体" w:cs="宋体"/>
          <w:snapToGrid w:val="0"/>
        </w:rPr>
      </w:pPr>
      <w:r>
        <w:rPr>
          <w:rFonts w:hint="eastAsia" w:eastAsia="宋体" w:cs="宋体"/>
          <w:snapToGrid w:val="0"/>
        </w:rPr>
        <w:t>（3）一次性逾期8-14天（含本数）的，设计承包人应承担设计费合同总价3%的违约金；</w:t>
      </w:r>
    </w:p>
    <w:p w14:paraId="196EEE77">
      <w:pPr>
        <w:pStyle w:val="403"/>
        <w:spacing w:line="460" w:lineRule="exact"/>
        <w:ind w:firstLine="480" w:firstLineChars="200"/>
        <w:rPr>
          <w:rFonts w:hint="eastAsia" w:eastAsia="宋体" w:cs="宋体"/>
          <w:snapToGrid w:val="0"/>
        </w:rPr>
      </w:pPr>
      <w:r>
        <w:rPr>
          <w:rFonts w:hint="eastAsia" w:eastAsia="宋体" w:cs="宋体"/>
          <w:snapToGrid w:val="0"/>
        </w:rPr>
        <w:t>（4）一次性逾期15-30天（含本数）的，设计承包人应承担设计费合同总价4%的违约金；</w:t>
      </w:r>
    </w:p>
    <w:p w14:paraId="7ECFDBAC">
      <w:pPr>
        <w:pStyle w:val="403"/>
        <w:spacing w:line="460" w:lineRule="exact"/>
        <w:ind w:firstLine="480" w:firstLineChars="200"/>
        <w:rPr>
          <w:rFonts w:hint="eastAsia" w:eastAsia="宋体" w:cs="宋体"/>
          <w:snapToGrid w:val="0"/>
        </w:rPr>
      </w:pPr>
      <w:r>
        <w:rPr>
          <w:rFonts w:hint="eastAsia" w:eastAsia="宋体" w:cs="宋体"/>
          <w:snapToGrid w:val="0"/>
        </w:rPr>
        <w:t>（5）一次性逾期超过30天的，设计承包人应承担设计费合同总价6%的违约金；同时发包人有权部分或全部解除合同，设计承包人返还设计费预付款并赔偿由此造成发包人的损失。</w:t>
      </w:r>
    </w:p>
    <w:p w14:paraId="3AEF61BB">
      <w:pPr>
        <w:pStyle w:val="403"/>
        <w:spacing w:line="460" w:lineRule="exact"/>
        <w:ind w:firstLine="480" w:firstLineChars="200"/>
        <w:rPr>
          <w:rFonts w:hint="eastAsia" w:eastAsia="宋体" w:cs="宋体"/>
          <w:snapToGrid w:val="0"/>
        </w:rPr>
      </w:pPr>
      <w:r>
        <w:rPr>
          <w:rFonts w:hint="eastAsia" w:eastAsia="宋体" w:cs="宋体"/>
          <w:snapToGrid w:val="0"/>
        </w:rPr>
        <w:t>22.1.7.2.2.2设计质量不符合合同约定或设计文件出现遗漏或错误，按如下约定处理：</w:t>
      </w:r>
    </w:p>
    <w:p w14:paraId="7F1CB2E2">
      <w:pPr>
        <w:pStyle w:val="403"/>
        <w:spacing w:line="460" w:lineRule="exact"/>
        <w:ind w:firstLine="480" w:firstLineChars="200"/>
        <w:rPr>
          <w:rFonts w:hint="eastAsia" w:eastAsia="宋体" w:cs="宋体"/>
          <w:snapToGrid w:val="0"/>
        </w:rPr>
      </w:pPr>
      <w:r>
        <w:rPr>
          <w:rFonts w:hint="eastAsia" w:eastAsia="宋体" w:cs="宋体"/>
          <w:snapToGrid w:val="0"/>
        </w:rPr>
        <w:t>（1）在设计过程中发现设计承包人的设计质量不符合合同约定或设计文件出现遗漏或错误的，给予限期改正；因此造成设计文件逾期交付的，按第</w:t>
      </w:r>
      <w:r>
        <w:rPr>
          <w:rFonts w:eastAsia="宋体" w:cs="宋体"/>
          <w:snapToGrid w:val="0"/>
        </w:rPr>
        <w:t>22.1.7.2.2.1</w:t>
      </w:r>
      <w:r>
        <w:rPr>
          <w:rFonts w:hint="eastAsia" w:eastAsia="宋体" w:cs="宋体"/>
          <w:snapToGrid w:val="0"/>
        </w:rPr>
        <w:t>条的约定处理。</w:t>
      </w:r>
    </w:p>
    <w:p w14:paraId="5C6F9996">
      <w:pPr>
        <w:pStyle w:val="403"/>
        <w:spacing w:line="460" w:lineRule="exact"/>
        <w:ind w:firstLine="480" w:firstLineChars="200"/>
        <w:rPr>
          <w:rFonts w:hint="eastAsia" w:eastAsia="宋体" w:cs="宋体"/>
          <w:snapToGrid w:val="0"/>
        </w:rPr>
      </w:pPr>
      <w:r>
        <w:rPr>
          <w:rFonts w:hint="eastAsia" w:eastAsia="宋体" w:cs="宋体"/>
          <w:snapToGrid w:val="0"/>
        </w:rPr>
        <w:t>（2）在对设计文件进行评审或审查时发现设计承包人的设计质量不符合合同约定或设计文件出现遗漏或错误的，给予一般违约（违约金人民币2万元/次）处理；因此造成设计文件逾期交付的，按第</w:t>
      </w:r>
      <w:r>
        <w:rPr>
          <w:rFonts w:eastAsia="宋体" w:cs="宋体"/>
          <w:snapToGrid w:val="0"/>
        </w:rPr>
        <w:t>22.1.7.2.2.1</w:t>
      </w:r>
      <w:r>
        <w:rPr>
          <w:rFonts w:hint="eastAsia" w:eastAsia="宋体" w:cs="宋体"/>
          <w:snapToGrid w:val="0"/>
        </w:rPr>
        <w:t>条的约定处理。</w:t>
      </w:r>
    </w:p>
    <w:p w14:paraId="0DB25426">
      <w:pPr>
        <w:pStyle w:val="403"/>
        <w:spacing w:line="460" w:lineRule="exact"/>
        <w:ind w:firstLine="480" w:firstLineChars="200"/>
        <w:rPr>
          <w:rFonts w:hint="eastAsia" w:eastAsia="宋体" w:cs="宋体"/>
          <w:snapToGrid w:val="0"/>
        </w:rPr>
      </w:pPr>
      <w:r>
        <w:rPr>
          <w:rFonts w:hint="eastAsia" w:eastAsia="宋体" w:cs="宋体"/>
          <w:snapToGrid w:val="0"/>
        </w:rPr>
        <w:t>（3）在后续设计或施工时发现设计承包人的设计质量不符合合同约定或设计文件出现遗漏或错误的，发包人有权根据实际情况决定其承担违约责任的形式并要求设计承包人赔偿损失。</w:t>
      </w:r>
    </w:p>
    <w:p w14:paraId="3BA60050">
      <w:pPr>
        <w:pStyle w:val="403"/>
        <w:spacing w:line="460" w:lineRule="exact"/>
        <w:ind w:firstLine="480" w:firstLineChars="200"/>
        <w:rPr>
          <w:rFonts w:hint="eastAsia" w:eastAsia="宋体" w:cs="宋体"/>
          <w:snapToGrid w:val="0"/>
        </w:rPr>
      </w:pPr>
      <w:r>
        <w:rPr>
          <w:rFonts w:hint="eastAsia" w:eastAsia="宋体" w:cs="宋体"/>
          <w:snapToGrid w:val="0"/>
        </w:rPr>
        <w:t>（4）因设计承包人的设计质量不符合合同约定或设计文件出现遗漏或错误造成工期延误的处理：</w:t>
      </w:r>
    </w:p>
    <w:p w14:paraId="3397E7C4">
      <w:pPr>
        <w:pStyle w:val="403"/>
        <w:spacing w:line="460" w:lineRule="exact"/>
        <w:ind w:firstLine="480" w:firstLineChars="200"/>
        <w:rPr>
          <w:rFonts w:hint="eastAsia" w:eastAsia="宋体" w:cs="宋体"/>
          <w:snapToGrid w:val="0"/>
        </w:rPr>
      </w:pPr>
      <w:r>
        <w:rPr>
          <w:rFonts w:hint="eastAsia" w:eastAsia="宋体" w:cs="宋体"/>
          <w:snapToGrid w:val="0"/>
        </w:rPr>
        <w:t>1）造成工期延误3天以内（含本数）的，设计承包人应承担设计费合同总价1%的违约金；</w:t>
      </w:r>
    </w:p>
    <w:p w14:paraId="037160D9">
      <w:pPr>
        <w:pStyle w:val="403"/>
        <w:spacing w:line="460" w:lineRule="exact"/>
        <w:ind w:firstLine="480" w:firstLineChars="200"/>
        <w:rPr>
          <w:rFonts w:hint="eastAsia" w:eastAsia="宋体" w:cs="宋体"/>
          <w:snapToGrid w:val="0"/>
        </w:rPr>
      </w:pPr>
      <w:r>
        <w:rPr>
          <w:rFonts w:hint="eastAsia" w:eastAsia="宋体" w:cs="宋体"/>
          <w:snapToGrid w:val="0"/>
        </w:rPr>
        <w:t>2）造成工期延误4-7天（含本数）的，设计承包人应承担设计费合同总价2%的违约金；</w:t>
      </w:r>
    </w:p>
    <w:p w14:paraId="0F1245C6">
      <w:pPr>
        <w:pStyle w:val="403"/>
        <w:spacing w:line="460" w:lineRule="exact"/>
        <w:ind w:firstLine="480" w:firstLineChars="200"/>
        <w:rPr>
          <w:rFonts w:hint="eastAsia" w:eastAsia="宋体" w:cs="宋体"/>
          <w:snapToGrid w:val="0"/>
        </w:rPr>
      </w:pPr>
      <w:r>
        <w:rPr>
          <w:rFonts w:hint="eastAsia" w:eastAsia="宋体" w:cs="宋体"/>
          <w:snapToGrid w:val="0"/>
        </w:rPr>
        <w:t>3）造成工期延误8-14天（含本数）的，设计承包人应承担设计费合同总价3%的违约金；</w:t>
      </w:r>
    </w:p>
    <w:p w14:paraId="7B1997FF">
      <w:pPr>
        <w:pStyle w:val="403"/>
        <w:spacing w:line="460" w:lineRule="exact"/>
        <w:ind w:firstLine="480" w:firstLineChars="200"/>
        <w:rPr>
          <w:rFonts w:hint="eastAsia" w:eastAsia="宋体" w:cs="宋体"/>
          <w:snapToGrid w:val="0"/>
        </w:rPr>
      </w:pPr>
      <w:r>
        <w:rPr>
          <w:rFonts w:hint="eastAsia" w:eastAsia="宋体" w:cs="宋体"/>
          <w:snapToGrid w:val="0"/>
        </w:rPr>
        <w:t>4）造成工期延误15-30天（含本数）的，设计承包人应承担设计费合同总价4%的违约金；</w:t>
      </w:r>
    </w:p>
    <w:p w14:paraId="06C9A9F4">
      <w:pPr>
        <w:pStyle w:val="403"/>
        <w:spacing w:line="460" w:lineRule="exact"/>
        <w:ind w:firstLine="480" w:firstLineChars="200"/>
        <w:rPr>
          <w:rFonts w:hint="eastAsia" w:eastAsia="宋体" w:cs="宋体"/>
          <w:snapToGrid w:val="0"/>
        </w:rPr>
      </w:pPr>
      <w:r>
        <w:rPr>
          <w:rFonts w:hint="eastAsia" w:eastAsia="宋体" w:cs="宋体"/>
          <w:snapToGrid w:val="0"/>
        </w:rPr>
        <w:t>5）造成工期延误超过30天的，设计承包人应承担设计费合同总价6%的违约金；同时发包人有权部分或全部解除合同，设计承包人返还设计费预付款并赔偿由此造成发包人的损失。</w:t>
      </w:r>
    </w:p>
    <w:p w14:paraId="4E6D6111">
      <w:pPr>
        <w:pStyle w:val="403"/>
        <w:spacing w:line="460" w:lineRule="exact"/>
        <w:ind w:firstLine="480" w:firstLineChars="200"/>
        <w:rPr>
          <w:rFonts w:hint="eastAsia" w:eastAsia="宋体" w:cs="宋体"/>
          <w:snapToGrid w:val="0"/>
        </w:rPr>
      </w:pPr>
      <w:r>
        <w:rPr>
          <w:rFonts w:hint="eastAsia" w:eastAsia="宋体" w:cs="宋体"/>
          <w:snapToGrid w:val="0"/>
        </w:rPr>
        <w:t>（5）发包人或发包人聘请的设计咨询单位对设计成果文件进行审核，如设计承包人存在过度设计（具体设计技术指标超过经发包人或发包人聘请的设计咨询方审核指标的10%），设计承包人应无条件修改设计文件直至满足要求，每出现一项按一次一般违约（违约金人民币2万元/次）处理。</w:t>
      </w:r>
    </w:p>
    <w:p w14:paraId="6172724C">
      <w:pPr>
        <w:pStyle w:val="403"/>
        <w:spacing w:line="460" w:lineRule="exact"/>
        <w:ind w:firstLine="480" w:firstLineChars="200"/>
        <w:rPr>
          <w:rFonts w:hint="eastAsia" w:eastAsia="宋体" w:cs="宋体"/>
          <w:snapToGrid w:val="0"/>
        </w:rPr>
      </w:pPr>
      <w:r>
        <w:rPr>
          <w:rFonts w:hint="eastAsia" w:eastAsia="宋体" w:cs="宋体"/>
          <w:snapToGrid w:val="0"/>
        </w:rPr>
        <w:t>（6）由于设计承包人原因产生的设计问题造成工程质量事故或其他事故时，设计承包人除负责采取补救措施外，每违反一次按一次严重违约（违约金人民币5万元/次）处理，同时应当通过所投建设工程设计责任保险向发包人承担赔偿责任或者根据直接经济损失程度向发包人支付赔偿金。</w:t>
      </w:r>
    </w:p>
    <w:p w14:paraId="12F2D5FF">
      <w:pPr>
        <w:pStyle w:val="403"/>
        <w:spacing w:line="460" w:lineRule="exact"/>
        <w:ind w:firstLine="480" w:firstLineChars="200"/>
        <w:rPr>
          <w:rFonts w:hint="eastAsia" w:eastAsia="宋体" w:cs="宋体"/>
          <w:snapToGrid w:val="0"/>
        </w:rPr>
      </w:pPr>
      <w:r>
        <w:rPr>
          <w:rFonts w:hint="eastAsia" w:eastAsia="宋体" w:cs="宋体"/>
          <w:snapToGrid w:val="0"/>
        </w:rPr>
        <w:t>（7）设计承包人设计成果文件交付下一阶段设计工作或交付施工前应经发包人审核。未经发包人审核，设计承包人擅自将设计成果文件交付下一阶段设计工作或交付施工，按一次一般违约（违约金人民币2万元/次）处理，同时扣除该部分设计费用并赔偿由此造成发包人的损失。</w:t>
      </w:r>
    </w:p>
    <w:p w14:paraId="683D69CB">
      <w:pPr>
        <w:pStyle w:val="403"/>
        <w:spacing w:line="460" w:lineRule="exact"/>
        <w:ind w:firstLine="480" w:firstLineChars="200"/>
        <w:rPr>
          <w:rFonts w:hint="eastAsia"/>
        </w:rPr>
      </w:pPr>
      <w:r>
        <w:rPr>
          <w:rFonts w:hint="eastAsia"/>
        </w:rPr>
        <w:t>22.1.7.2.3投资控制方面的违约责任</w:t>
      </w:r>
    </w:p>
    <w:p w14:paraId="32D78FE7">
      <w:pPr>
        <w:pStyle w:val="403"/>
        <w:spacing w:line="460" w:lineRule="exact"/>
        <w:ind w:firstLine="480" w:firstLineChars="200"/>
        <w:rPr>
          <w:rFonts w:hint="eastAsia" w:eastAsia="宋体" w:cs="宋体"/>
          <w:snapToGrid w:val="0"/>
        </w:rPr>
      </w:pPr>
      <w:r>
        <w:rPr>
          <w:rFonts w:hint="eastAsia" w:eastAsia="宋体" w:cs="宋体"/>
          <w:snapToGrid w:val="0"/>
        </w:rPr>
        <w:t>（1）设计承包人应保证所提供的初步设计文件中的工程概算的准确性，造价专业负责人应有注册造价师资质，要求三级会审。概算应是依据初步设计中主要材料及设备的量、价清单编制的，是客观、准确、可行的，并已包括依据中国、广东省、广州市有关法律、行政法规和政策性造价管理文件所规定的所有计费内容，发包人应及时提供与本项目有关的资料和协助。设计承包人承诺，如果因设计承包人的过错造成施工图预算超出经确认的初步设计概算，设计承包人必须在初步设计的基础上对施工图进行修改，并保证设计质量标准和施工进度。</w:t>
      </w:r>
    </w:p>
    <w:p w14:paraId="1C49C456">
      <w:pPr>
        <w:pStyle w:val="403"/>
        <w:spacing w:line="460" w:lineRule="exact"/>
        <w:ind w:firstLine="480" w:firstLineChars="200"/>
        <w:rPr>
          <w:rFonts w:hint="eastAsia" w:eastAsia="宋体" w:cs="宋体"/>
          <w:snapToGrid w:val="0"/>
        </w:rPr>
      </w:pPr>
      <w:r>
        <w:rPr>
          <w:rFonts w:hint="eastAsia" w:eastAsia="宋体" w:cs="宋体"/>
          <w:snapToGrid w:val="0"/>
        </w:rPr>
        <w:t>（2）设计承包人未取得发包人同意超投资限额设计的，需无条件修改设计使之满足限额设计的要求，同时须保证设计品质、质量标准和施工进度。设计承包人拒绝进行修改或经过修改仍无法满足限额要求，发包人有权按解除合同处理。</w:t>
      </w:r>
    </w:p>
    <w:p w14:paraId="65F4DA9E">
      <w:pPr>
        <w:pStyle w:val="403"/>
        <w:spacing w:line="460" w:lineRule="exact"/>
        <w:ind w:firstLine="480" w:firstLineChars="200"/>
        <w:rPr>
          <w:rFonts w:hint="eastAsia" w:eastAsia="宋体" w:cs="宋体"/>
          <w:snapToGrid w:val="0"/>
        </w:rPr>
      </w:pPr>
      <w:r>
        <w:rPr>
          <w:rFonts w:hint="eastAsia" w:eastAsia="宋体" w:cs="宋体"/>
          <w:snapToGrid w:val="0"/>
        </w:rPr>
        <w:t>如因设计承包人的原因必须超过中标金额的工程费时，虽经发包人妥协接受后可采用设计承包人设计成果，但设计承包人需承担一定的违约金。如超过中标金额的工程费</w:t>
      </w:r>
      <w:r>
        <w:rPr>
          <w:rFonts w:eastAsia="宋体" w:cs="宋体"/>
          <w:snapToGrid w:val="0"/>
        </w:rPr>
        <w:t>5</w:t>
      </w:r>
      <w:r>
        <w:rPr>
          <w:rFonts w:hint="eastAsia" w:eastAsia="宋体" w:cs="宋体"/>
          <w:snapToGrid w:val="0"/>
        </w:rPr>
        <w:t>%以内则按设计费的</w:t>
      </w:r>
      <w:r>
        <w:rPr>
          <w:rFonts w:eastAsia="宋体" w:cs="宋体"/>
          <w:snapToGrid w:val="0"/>
        </w:rPr>
        <w:t>5</w:t>
      </w:r>
      <w:r>
        <w:rPr>
          <w:rFonts w:hint="eastAsia" w:eastAsia="宋体" w:cs="宋体"/>
          <w:snapToGrid w:val="0"/>
        </w:rPr>
        <w:t>%计算违约金；如超过中标金额的工程费5</w:t>
      </w:r>
      <w:r>
        <w:rPr>
          <w:rFonts w:eastAsia="宋体" w:cs="宋体"/>
          <w:snapToGrid w:val="0"/>
        </w:rPr>
        <w:t>-</w:t>
      </w:r>
      <w:r>
        <w:rPr>
          <w:rFonts w:hint="eastAsia" w:eastAsia="宋体" w:cs="宋体"/>
          <w:snapToGrid w:val="0"/>
        </w:rPr>
        <w:t>10%则按设计费的</w:t>
      </w:r>
      <w:r>
        <w:rPr>
          <w:rFonts w:eastAsia="宋体" w:cs="宋体"/>
          <w:snapToGrid w:val="0"/>
        </w:rPr>
        <w:t>8</w:t>
      </w:r>
      <w:r>
        <w:rPr>
          <w:rFonts w:hint="eastAsia" w:eastAsia="宋体" w:cs="宋体"/>
          <w:snapToGrid w:val="0"/>
        </w:rPr>
        <w:t>%计算违约金；如超过中标金额的工程费10%以上时，则按超额比例核减设计费。</w:t>
      </w:r>
    </w:p>
    <w:p w14:paraId="2DC07A7A">
      <w:pPr>
        <w:pStyle w:val="403"/>
        <w:spacing w:line="460" w:lineRule="exact"/>
        <w:ind w:firstLine="480" w:firstLineChars="200"/>
        <w:rPr>
          <w:rFonts w:hint="eastAsia" w:eastAsia="宋体" w:cs="宋体"/>
          <w:snapToGrid w:val="0"/>
        </w:rPr>
      </w:pPr>
      <w:r>
        <w:rPr>
          <w:rFonts w:hint="eastAsia" w:eastAsia="宋体" w:cs="宋体"/>
          <w:snapToGrid w:val="0"/>
        </w:rPr>
        <w:t>（3）如设计承包人报审的初步设计概算金额超出批复概算金额10%，按合同设计费3%计算违约金。</w:t>
      </w:r>
    </w:p>
    <w:p w14:paraId="560C4EF3">
      <w:pPr>
        <w:pStyle w:val="403"/>
        <w:spacing w:line="460" w:lineRule="exact"/>
        <w:ind w:firstLine="480" w:firstLineChars="200"/>
        <w:rPr>
          <w:rFonts w:hint="eastAsia" w:eastAsia="宋体" w:cs="宋体"/>
          <w:snapToGrid w:val="0"/>
        </w:rPr>
      </w:pPr>
      <w:r>
        <w:rPr>
          <w:rFonts w:hint="eastAsia" w:eastAsia="宋体" w:cs="宋体"/>
          <w:snapToGrid w:val="0"/>
        </w:rPr>
        <w:t>（4）如设计承包人提供的施工图预算超出发包人或项目业主单位审查金额的±</w:t>
      </w:r>
      <w:r>
        <w:rPr>
          <w:rFonts w:eastAsia="宋体" w:cs="宋体"/>
          <w:snapToGrid w:val="0"/>
        </w:rPr>
        <w:t>10%</w:t>
      </w:r>
      <w:r>
        <w:rPr>
          <w:rFonts w:hint="eastAsia" w:eastAsia="宋体" w:cs="宋体"/>
          <w:snapToGrid w:val="0"/>
        </w:rPr>
        <w:t>，按合同设计费的</w:t>
      </w:r>
      <w:r>
        <w:rPr>
          <w:rFonts w:eastAsia="宋体" w:cs="宋体"/>
          <w:snapToGrid w:val="0"/>
        </w:rPr>
        <w:t>3</w:t>
      </w:r>
      <w:r>
        <w:rPr>
          <w:rFonts w:hint="eastAsia" w:eastAsia="宋体" w:cs="宋体"/>
          <w:snapToGrid w:val="0"/>
        </w:rPr>
        <w:t>%计算违约金。</w:t>
      </w:r>
    </w:p>
    <w:p w14:paraId="090165A0">
      <w:pPr>
        <w:pStyle w:val="403"/>
        <w:spacing w:line="460" w:lineRule="exact"/>
        <w:ind w:firstLine="480" w:firstLineChars="200"/>
        <w:rPr>
          <w:rFonts w:hint="eastAsia" w:eastAsia="宋体" w:cs="宋体"/>
          <w:snapToGrid w:val="0"/>
        </w:rPr>
      </w:pPr>
      <w:r>
        <w:rPr>
          <w:rFonts w:hint="eastAsia" w:eastAsia="宋体" w:cs="宋体"/>
          <w:snapToGrid w:val="0"/>
        </w:rPr>
        <w:t>22.1.7.2.4人员投入方面的违约责任</w:t>
      </w:r>
    </w:p>
    <w:p w14:paraId="0457C1C4">
      <w:pPr>
        <w:pStyle w:val="403"/>
        <w:spacing w:line="460" w:lineRule="exact"/>
        <w:ind w:firstLine="480" w:firstLineChars="200"/>
        <w:rPr>
          <w:rFonts w:hint="eastAsia" w:eastAsia="宋体" w:cs="宋体"/>
          <w:snapToGrid w:val="0"/>
        </w:rPr>
      </w:pPr>
      <w:r>
        <w:rPr>
          <w:rFonts w:hint="eastAsia" w:eastAsia="宋体" w:cs="宋体"/>
          <w:snapToGrid w:val="0"/>
        </w:rPr>
        <w:t>（1）设计承包人服务人员（含驻场人员）未按时到位或中途离岗，每人每天按违约金人民币</w:t>
      </w:r>
      <w:r>
        <w:rPr>
          <w:rFonts w:eastAsia="宋体" w:cs="宋体"/>
          <w:snapToGrid w:val="0"/>
        </w:rPr>
        <w:t>2000</w:t>
      </w:r>
      <w:r>
        <w:rPr>
          <w:rFonts w:hint="eastAsia" w:eastAsia="宋体" w:cs="宋体"/>
          <w:snapToGrid w:val="0"/>
        </w:rPr>
        <w:t>元处理。</w:t>
      </w:r>
    </w:p>
    <w:p w14:paraId="6E8CB2D4">
      <w:pPr>
        <w:pStyle w:val="403"/>
        <w:spacing w:line="460" w:lineRule="exact"/>
        <w:ind w:firstLine="480" w:firstLineChars="200"/>
        <w:rPr>
          <w:rFonts w:hint="eastAsia" w:eastAsia="宋体" w:cs="宋体"/>
          <w:snapToGrid w:val="0"/>
        </w:rPr>
      </w:pPr>
      <w:r>
        <w:rPr>
          <w:rFonts w:hint="eastAsia" w:eastAsia="宋体" w:cs="宋体"/>
          <w:snapToGrid w:val="0"/>
        </w:rPr>
        <w:t>（2）设计承包人服务人员（含驻场人员）须遵守发包人单位设计、技术管理规章制度的约定，服从发包人规定安排,设计承包人服务人员（含驻场人员）如工作不称职，必须在发包人规定的时间内予以更换。到期不更换的，视为设计承包人该人员已离岗，发包人有权要求设计承包人限期更换该人员，直到终止合同，设计承包人必须无条件接受，并承担由此引起的后果及费用。如设计承包人拒不执行，则自收到发包人的更换要求7日后，发包人可认为该岗位已空缺，每人每天按违约金人民币</w:t>
      </w:r>
      <w:r>
        <w:rPr>
          <w:rFonts w:eastAsia="宋体" w:cs="宋体"/>
          <w:snapToGrid w:val="0"/>
        </w:rPr>
        <w:t>2000</w:t>
      </w:r>
      <w:r>
        <w:rPr>
          <w:rFonts w:hint="eastAsia" w:eastAsia="宋体" w:cs="宋体"/>
          <w:snapToGrid w:val="0"/>
        </w:rPr>
        <w:t>元处理。</w:t>
      </w:r>
    </w:p>
    <w:p w14:paraId="7210B5E5">
      <w:pPr>
        <w:pStyle w:val="403"/>
        <w:spacing w:line="460" w:lineRule="exact"/>
        <w:ind w:firstLine="480" w:firstLineChars="200"/>
        <w:rPr>
          <w:rFonts w:hint="eastAsia" w:eastAsia="宋体" w:cs="宋体"/>
          <w:snapToGrid w:val="0"/>
        </w:rPr>
      </w:pPr>
      <w:r>
        <w:rPr>
          <w:rFonts w:hint="eastAsia" w:eastAsia="宋体" w:cs="宋体"/>
          <w:snapToGrid w:val="0"/>
        </w:rPr>
        <w:t>22.1.7.2.5人员投入方面的违约责任其他方面的违约责任：</w:t>
      </w:r>
    </w:p>
    <w:p w14:paraId="6A92C447">
      <w:pPr>
        <w:pStyle w:val="403"/>
        <w:spacing w:line="460" w:lineRule="exact"/>
        <w:ind w:firstLine="480" w:firstLineChars="200"/>
        <w:rPr>
          <w:rFonts w:hint="eastAsia" w:eastAsia="宋体" w:cs="宋体"/>
          <w:snapToGrid w:val="0"/>
        </w:rPr>
      </w:pPr>
      <w:r>
        <w:rPr>
          <w:rFonts w:hint="eastAsia" w:eastAsia="宋体" w:cs="宋体"/>
          <w:snapToGrid w:val="0"/>
        </w:rPr>
        <w:t>设计承包人违反本合同其他条款的约定或者履约时与其承诺不符，发包人有权根据实际情况按照第</w:t>
      </w:r>
      <w:r>
        <w:rPr>
          <w:rFonts w:eastAsia="宋体" w:cs="宋体"/>
          <w:snapToGrid w:val="0"/>
        </w:rPr>
        <w:t>22.1.7.1</w:t>
      </w:r>
      <w:r>
        <w:rPr>
          <w:rFonts w:hint="eastAsia" w:eastAsia="宋体" w:cs="宋体"/>
          <w:snapToGrid w:val="0"/>
        </w:rPr>
        <w:t>（7）条处理。</w:t>
      </w:r>
    </w:p>
    <w:p w14:paraId="0699C446">
      <w:pPr>
        <w:pStyle w:val="403"/>
        <w:spacing w:line="460" w:lineRule="exact"/>
        <w:ind w:firstLine="480" w:firstLineChars="200"/>
        <w:rPr>
          <w:rFonts w:hint="eastAsia" w:eastAsia="宋体" w:cs="宋体"/>
          <w:snapToGrid w:val="0"/>
        </w:rPr>
      </w:pPr>
      <w:r>
        <w:rPr>
          <w:rFonts w:hint="eastAsia" w:eastAsia="宋体" w:cs="宋体"/>
          <w:snapToGrid w:val="0"/>
        </w:rPr>
        <w:t>22.1.8 勘察违约</w:t>
      </w:r>
    </w:p>
    <w:p w14:paraId="5AD199A1">
      <w:pPr>
        <w:pStyle w:val="403"/>
        <w:spacing w:line="460" w:lineRule="exact"/>
        <w:ind w:firstLine="480" w:firstLineChars="200"/>
        <w:rPr>
          <w:rFonts w:hint="eastAsia" w:eastAsia="宋体" w:cs="宋体"/>
          <w:snapToGrid w:val="0"/>
        </w:rPr>
      </w:pPr>
      <w:r>
        <w:rPr>
          <w:rFonts w:hint="eastAsia" w:eastAsia="宋体" w:cs="宋体"/>
          <w:snapToGrid w:val="0"/>
        </w:rPr>
        <w:t>（1）由于承包人中的勘察方原因造成勘察成果资料质量不合格，不能满足技术要求时，其返工勘察费用由承包人中的勘察方承担。</w:t>
      </w:r>
    </w:p>
    <w:p w14:paraId="3893899F">
      <w:pPr>
        <w:pStyle w:val="403"/>
        <w:spacing w:line="460" w:lineRule="exact"/>
        <w:ind w:firstLine="480" w:firstLineChars="200"/>
        <w:rPr>
          <w:rFonts w:hint="eastAsia" w:eastAsia="宋体" w:cs="宋体"/>
          <w:snapToGrid w:val="0"/>
        </w:rPr>
      </w:pPr>
      <w:r>
        <w:rPr>
          <w:rFonts w:hint="eastAsia" w:eastAsia="宋体" w:cs="宋体"/>
          <w:snapToGrid w:val="0"/>
        </w:rPr>
        <w:t>（2）如果承包人中的勘察方未能按时按质提供勘察成果资料给发包人，一次性逾期1天以内的，给予书面通报批评并限期改正；一次性逾期3天以内（或累计达5天以内）的，承包人中的勘察方必须向发包人交纳违约金人民币2万元/次；一次性逾期5天以内（或累计达10天以内）的，承包人中的勘察方必须向发包人交纳违约金人民币5万元/次；一次性逾期10天以内（或累计达15天以内）的，发包人有权部分解除合同；一次性逾期超过10天（或累计超过15天）的，发包人有权全部解除合同，承包人中的勘察方返还勘察费预付款并赔偿由此造成发包人的损失。发包人另聘他人完成相关工作的费用由承包人中的勘察方承担。</w:t>
      </w:r>
    </w:p>
    <w:p w14:paraId="51C76228">
      <w:pPr>
        <w:pStyle w:val="403"/>
        <w:spacing w:line="460" w:lineRule="exact"/>
        <w:ind w:firstLine="480" w:firstLineChars="200"/>
        <w:rPr>
          <w:rFonts w:hint="eastAsia" w:eastAsia="宋体" w:cs="宋体"/>
          <w:snapToGrid w:val="0"/>
        </w:rPr>
      </w:pPr>
      <w:r>
        <w:rPr>
          <w:rFonts w:hint="eastAsia" w:eastAsia="宋体" w:cs="宋体"/>
          <w:snapToGrid w:val="0"/>
        </w:rPr>
        <w:t>（2）合同履行期间，由于工程停建而终止合同或发包人要求解除合同时，承包人中的勘察方未进行勘察工作的，不退还发包人已付勘察费预付款。已进行勘察工作的，按实际完成的工作量向承包人中的勘察方支付勘察费。</w:t>
      </w:r>
    </w:p>
    <w:p w14:paraId="797253FF">
      <w:pPr>
        <w:pStyle w:val="403"/>
        <w:spacing w:line="460" w:lineRule="exact"/>
        <w:ind w:firstLine="480" w:firstLineChars="200"/>
        <w:rPr>
          <w:rFonts w:hint="eastAsia" w:eastAsia="宋体" w:cs="宋体"/>
          <w:snapToGrid w:val="0"/>
        </w:rPr>
      </w:pPr>
      <w:r>
        <w:rPr>
          <w:rFonts w:hint="eastAsia" w:eastAsia="宋体" w:cs="宋体"/>
          <w:snapToGrid w:val="0"/>
        </w:rPr>
        <w:t>（3）本合同签订后，发包人不履行合同时，无权要求返还勘察费预付款；承包人中的勘察方不履行合同时，应返还勘察费预付款，并赔偿发包人的损失。</w:t>
      </w:r>
    </w:p>
    <w:p w14:paraId="75B62E0A">
      <w:pPr>
        <w:pStyle w:val="5"/>
        <w:spacing w:before="360" w:after="120" w:afterLines="50" w:line="480" w:lineRule="exact"/>
        <w:rPr>
          <w:rFonts w:hint="eastAsia" w:ascii="宋体" w:hAnsi="宋体" w:eastAsia="宋体" w:cs="宋体"/>
          <w:bCs/>
          <w:sz w:val="28"/>
          <w:szCs w:val="28"/>
        </w:rPr>
      </w:pPr>
      <w:bookmarkStart w:id="1591" w:name="_Toc198803831"/>
      <w:bookmarkStart w:id="1592" w:name="_Toc176268764"/>
      <w:bookmarkStart w:id="1593" w:name="_Toc83220635"/>
      <w:bookmarkStart w:id="1594" w:name="_Toc20045"/>
      <w:r>
        <w:rPr>
          <w:rFonts w:hint="eastAsia" w:ascii="宋体" w:hAnsi="宋体" w:eastAsia="宋体" w:cs="宋体"/>
          <w:bCs/>
          <w:sz w:val="28"/>
          <w:szCs w:val="28"/>
        </w:rPr>
        <w:t>24. 争议的解决</w:t>
      </w:r>
      <w:bookmarkEnd w:id="1591"/>
      <w:bookmarkEnd w:id="1592"/>
      <w:bookmarkEnd w:id="1593"/>
      <w:bookmarkEnd w:id="1594"/>
    </w:p>
    <w:p w14:paraId="7619236C">
      <w:pPr>
        <w:pStyle w:val="403"/>
        <w:spacing w:line="460" w:lineRule="exact"/>
        <w:ind w:firstLine="480" w:firstLineChars="200"/>
        <w:rPr>
          <w:rFonts w:hint="eastAsia" w:eastAsia="宋体" w:cs="宋体"/>
          <w:snapToGrid w:val="0"/>
        </w:rPr>
      </w:pPr>
      <w:bookmarkStart w:id="1595" w:name="_Toc528255618"/>
      <w:bookmarkStart w:id="1596" w:name="_Toc68594924"/>
      <w:r>
        <w:rPr>
          <w:rFonts w:hint="eastAsia" w:eastAsia="宋体" w:cs="宋体"/>
          <w:snapToGrid w:val="0"/>
        </w:rPr>
        <w:t>24.1 争议的解决方式</w:t>
      </w:r>
      <w:bookmarkEnd w:id="1595"/>
      <w:bookmarkEnd w:id="1596"/>
    </w:p>
    <w:p w14:paraId="56880A51">
      <w:pPr>
        <w:pStyle w:val="403"/>
        <w:spacing w:line="460" w:lineRule="exact"/>
        <w:ind w:firstLine="480" w:firstLineChars="200"/>
        <w:rPr>
          <w:rFonts w:hint="eastAsia" w:eastAsia="宋体" w:cs="宋体"/>
          <w:snapToGrid w:val="0"/>
        </w:rPr>
      </w:pPr>
      <w:r>
        <w:rPr>
          <w:rFonts w:hint="eastAsia" w:eastAsia="宋体" w:cs="宋体"/>
          <w:snapToGrid w:val="0"/>
        </w:rPr>
        <w:t>发包人和承包人在履行合同中发生争议的，可以友好协商解决。合同当事人友好协商解决不成的，向工程所在地人民法院提起诉讼。</w:t>
      </w:r>
    </w:p>
    <w:p w14:paraId="1A6BB7C2">
      <w:pPr>
        <w:pStyle w:val="5"/>
        <w:spacing w:before="360" w:after="120" w:afterLines="50" w:line="480" w:lineRule="exact"/>
        <w:rPr>
          <w:rFonts w:hint="eastAsia" w:ascii="宋体" w:hAnsi="宋体" w:eastAsia="宋体" w:cs="宋体"/>
          <w:bCs/>
          <w:sz w:val="28"/>
          <w:szCs w:val="28"/>
        </w:rPr>
      </w:pPr>
      <w:bookmarkStart w:id="1597" w:name="_Toc176268765"/>
      <w:bookmarkStart w:id="1598" w:name="_Toc198803832"/>
      <w:bookmarkStart w:id="1599" w:name="_Toc7665"/>
      <w:r>
        <w:rPr>
          <w:rFonts w:hint="eastAsia" w:ascii="宋体" w:hAnsi="宋体" w:eastAsia="宋体" w:cs="宋体"/>
          <w:bCs/>
          <w:sz w:val="28"/>
          <w:szCs w:val="28"/>
        </w:rPr>
        <w:t>25. 修正条款或补充条款</w:t>
      </w:r>
      <w:bookmarkEnd w:id="1597"/>
      <w:bookmarkEnd w:id="1598"/>
      <w:bookmarkEnd w:id="1599"/>
    </w:p>
    <w:p w14:paraId="64C165CB">
      <w:pPr>
        <w:pStyle w:val="403"/>
        <w:spacing w:line="460" w:lineRule="exact"/>
        <w:ind w:firstLine="480" w:firstLineChars="200"/>
        <w:rPr>
          <w:rFonts w:hint="eastAsia" w:eastAsia="宋体" w:cs="宋体"/>
          <w:snapToGrid w:val="0"/>
        </w:rPr>
      </w:pPr>
      <w:r>
        <w:rPr>
          <w:rFonts w:hint="eastAsia" w:eastAsia="宋体" w:cs="宋体"/>
          <w:snapToGrid w:val="0"/>
        </w:rPr>
        <w:t>25.1施工水电费（包括承包人本身及其总承包管理范围内的专业单位、分包单位的水电费）由承包人向有关部门缴纳，发包人协助办理相关手续。发包人不提供临水、临电接驳口，由承包人自行解决，因此产生的费用已包含在合同总价中，发包人及项目业主单位不再另行支付。</w:t>
      </w:r>
    </w:p>
    <w:p w14:paraId="1F66B87D">
      <w:pPr>
        <w:adjustRightInd w:val="0"/>
        <w:snapToGrid w:val="0"/>
        <w:spacing w:line="440" w:lineRule="exact"/>
        <w:ind w:right="11" w:firstLine="480" w:firstLineChars="200"/>
        <w:outlineLvl w:val="3"/>
        <w:rPr>
          <w:rFonts w:hint="eastAsia" w:ascii="宋体" w:hAnsi="宋体" w:eastAsia="宋体" w:cs="宋体"/>
          <w:snapToGrid w:val="0"/>
          <w:kern w:val="0"/>
          <w:sz w:val="24"/>
        </w:rPr>
      </w:pPr>
      <w:r>
        <w:rPr>
          <w:rFonts w:hint="eastAsia" w:ascii="宋体" w:hAnsi="宋体" w:eastAsia="宋体" w:cs="宋体"/>
          <w:snapToGrid w:val="0"/>
          <w:kern w:val="0"/>
          <w:sz w:val="24"/>
        </w:rPr>
        <w:t>25.2双方一致同意，在工程未竣工验收移交前所有工程资料均归发包人所有，并必须在现场存放保管，发包人委托监理单位负责看管，在未得到发包人同意前，上述资料不得移出工地现场。</w:t>
      </w:r>
    </w:p>
    <w:p w14:paraId="28E5DD8A">
      <w:pPr>
        <w:adjustRightInd w:val="0"/>
        <w:snapToGrid w:val="0"/>
        <w:spacing w:line="440" w:lineRule="exact"/>
        <w:ind w:right="11" w:firstLine="480" w:firstLineChars="200"/>
        <w:rPr>
          <w:rFonts w:hint="eastAsia" w:ascii="宋体" w:hAnsi="宋体" w:eastAsia="宋体" w:cs="宋体"/>
          <w:snapToGrid w:val="0"/>
          <w:kern w:val="0"/>
          <w:sz w:val="24"/>
        </w:rPr>
      </w:pPr>
    </w:p>
    <w:p w14:paraId="227E1B0B">
      <w:pPr>
        <w:pStyle w:val="403"/>
        <w:spacing w:line="460" w:lineRule="exact"/>
        <w:ind w:firstLine="480" w:firstLineChars="200"/>
        <w:rPr>
          <w:rFonts w:hint="eastAsia" w:eastAsia="宋体" w:cs="宋体"/>
          <w:snapToGrid w:val="0"/>
        </w:rPr>
        <w:sectPr>
          <w:footerReference r:id="rId8" w:type="default"/>
          <w:pgSz w:w="11906" w:h="16838"/>
          <w:pgMar w:top="1417" w:right="1531" w:bottom="1304" w:left="1531" w:header="851" w:footer="992" w:gutter="0"/>
          <w:cols w:space="720" w:num="1"/>
          <w:docGrid w:linePitch="312" w:charSpace="0"/>
        </w:sectPr>
      </w:pPr>
    </w:p>
    <w:p w14:paraId="1E5DD6F5">
      <w:pPr>
        <w:pStyle w:val="403"/>
        <w:spacing w:after="240" w:afterLines="100" w:line="460" w:lineRule="exact"/>
        <w:jc w:val="center"/>
        <w:outlineLvl w:val="0"/>
        <w:rPr>
          <w:rFonts w:hint="eastAsia" w:eastAsia="宋体" w:cs="宋体"/>
          <w:b/>
          <w:bCs/>
          <w:sz w:val="44"/>
          <w:szCs w:val="44"/>
        </w:rPr>
      </w:pPr>
      <w:bookmarkStart w:id="1600" w:name="_Toc198803833"/>
      <w:bookmarkStart w:id="1601" w:name="_Toc17356"/>
      <w:bookmarkStart w:id="1602" w:name="_Toc83220636"/>
      <w:bookmarkStart w:id="1603" w:name="_Toc176268766"/>
      <w:r>
        <w:rPr>
          <w:rFonts w:hint="eastAsia" w:eastAsia="宋体" w:cs="宋体"/>
          <w:b/>
          <w:bCs/>
          <w:sz w:val="44"/>
          <w:szCs w:val="44"/>
        </w:rPr>
        <w:t>第四部分  合同附件</w:t>
      </w:r>
      <w:bookmarkEnd w:id="1600"/>
      <w:bookmarkEnd w:id="1601"/>
      <w:bookmarkEnd w:id="1602"/>
      <w:bookmarkEnd w:id="1603"/>
      <w:bookmarkStart w:id="1604" w:name="_Toc144974831"/>
    </w:p>
    <w:p w14:paraId="5C227026">
      <w:pPr>
        <w:pStyle w:val="5"/>
        <w:rPr>
          <w:rFonts w:hint="eastAsia" w:ascii="宋体" w:hAnsi="宋体" w:eastAsia="宋体" w:cs="宋体"/>
          <w:bCs/>
        </w:rPr>
      </w:pPr>
      <w:bookmarkStart w:id="1605" w:name="_Toc6552"/>
      <w:bookmarkStart w:id="1606" w:name="_Toc176268767"/>
      <w:bookmarkStart w:id="1607" w:name="_Toc83220637"/>
      <w:bookmarkStart w:id="1608" w:name="_Toc198803834"/>
      <w:r>
        <w:rPr>
          <w:rFonts w:hint="eastAsia" w:ascii="宋体" w:hAnsi="宋体" w:eastAsia="宋体" w:cs="宋体"/>
          <w:bCs/>
        </w:rPr>
        <w:t>附件1：</w:t>
      </w:r>
      <w:bookmarkEnd w:id="1605"/>
      <w:bookmarkEnd w:id="1606"/>
      <w:bookmarkEnd w:id="1607"/>
      <w:r>
        <w:rPr>
          <w:rFonts w:hint="eastAsia" w:ascii="宋体" w:hAnsi="宋体" w:eastAsia="宋体" w:cs="宋体"/>
          <w:bCs/>
        </w:rPr>
        <w:t>任务书及建设标准</w:t>
      </w:r>
      <w:bookmarkEnd w:id="1608"/>
    </w:p>
    <w:p w14:paraId="084A07DF">
      <w:pPr>
        <w:pStyle w:val="403"/>
        <w:spacing w:line="460" w:lineRule="exact"/>
        <w:rPr>
          <w:rFonts w:hint="eastAsia" w:eastAsia="宋体" w:cs="宋体"/>
          <w:snapToGrid w:val="0"/>
        </w:rPr>
      </w:pPr>
    </w:p>
    <w:p w14:paraId="4A79B98A">
      <w:pPr>
        <w:pStyle w:val="403"/>
        <w:spacing w:line="460" w:lineRule="exact"/>
        <w:rPr>
          <w:rFonts w:hint="eastAsia" w:eastAsia="宋体" w:cs="宋体"/>
          <w:snapToGrid w:val="0"/>
        </w:rPr>
      </w:pPr>
    </w:p>
    <w:p w14:paraId="66F04458">
      <w:pPr>
        <w:pStyle w:val="403"/>
        <w:spacing w:line="460" w:lineRule="exact"/>
        <w:rPr>
          <w:rFonts w:hint="eastAsia" w:eastAsia="宋体" w:cs="宋体"/>
          <w:snapToGrid w:val="0"/>
        </w:rPr>
      </w:pPr>
    </w:p>
    <w:p w14:paraId="46404027">
      <w:pPr>
        <w:pStyle w:val="403"/>
        <w:spacing w:line="460" w:lineRule="exact"/>
        <w:rPr>
          <w:rFonts w:hint="eastAsia" w:eastAsia="宋体" w:cs="宋体"/>
          <w:snapToGrid w:val="0"/>
        </w:rPr>
      </w:pPr>
    </w:p>
    <w:p w14:paraId="3ABCD6FB">
      <w:pPr>
        <w:pStyle w:val="403"/>
        <w:spacing w:line="460" w:lineRule="exact"/>
        <w:rPr>
          <w:rFonts w:hint="eastAsia" w:eastAsia="宋体" w:cs="宋体"/>
          <w:snapToGrid w:val="0"/>
        </w:rPr>
      </w:pPr>
    </w:p>
    <w:p w14:paraId="2EF91A23">
      <w:pPr>
        <w:pStyle w:val="403"/>
        <w:spacing w:line="460" w:lineRule="exact"/>
        <w:rPr>
          <w:rFonts w:hint="eastAsia" w:eastAsia="宋体" w:cs="宋体"/>
          <w:snapToGrid w:val="0"/>
        </w:rPr>
      </w:pPr>
    </w:p>
    <w:p w14:paraId="497A19E0">
      <w:pPr>
        <w:pStyle w:val="403"/>
        <w:spacing w:line="460" w:lineRule="exact"/>
        <w:rPr>
          <w:rFonts w:hint="eastAsia" w:eastAsia="宋体" w:cs="宋体"/>
          <w:snapToGrid w:val="0"/>
        </w:rPr>
      </w:pPr>
    </w:p>
    <w:p w14:paraId="481CDCFC">
      <w:pPr>
        <w:pStyle w:val="403"/>
        <w:spacing w:line="460" w:lineRule="exact"/>
        <w:rPr>
          <w:rFonts w:hint="eastAsia" w:eastAsia="宋体" w:cs="宋体"/>
          <w:snapToGrid w:val="0"/>
        </w:rPr>
      </w:pPr>
    </w:p>
    <w:p w14:paraId="5FCAB91C">
      <w:pPr>
        <w:pStyle w:val="403"/>
        <w:spacing w:line="460" w:lineRule="exact"/>
        <w:rPr>
          <w:rFonts w:hint="eastAsia" w:eastAsia="宋体" w:cs="宋体"/>
          <w:snapToGrid w:val="0"/>
        </w:rPr>
      </w:pPr>
    </w:p>
    <w:p w14:paraId="799A28BE">
      <w:pPr>
        <w:pStyle w:val="403"/>
        <w:spacing w:line="460" w:lineRule="exact"/>
        <w:rPr>
          <w:rFonts w:hint="eastAsia" w:eastAsia="宋体" w:cs="宋体"/>
          <w:snapToGrid w:val="0"/>
        </w:rPr>
      </w:pPr>
    </w:p>
    <w:p w14:paraId="12CC2029">
      <w:pPr>
        <w:pStyle w:val="403"/>
        <w:spacing w:line="460" w:lineRule="exact"/>
        <w:rPr>
          <w:rFonts w:hint="eastAsia" w:eastAsia="宋体" w:cs="宋体"/>
          <w:snapToGrid w:val="0"/>
        </w:rPr>
      </w:pPr>
    </w:p>
    <w:p w14:paraId="443FF218">
      <w:pPr>
        <w:pStyle w:val="403"/>
        <w:spacing w:line="460" w:lineRule="exact"/>
        <w:rPr>
          <w:rFonts w:hint="eastAsia" w:eastAsia="宋体" w:cs="宋体"/>
          <w:snapToGrid w:val="0"/>
        </w:rPr>
      </w:pPr>
    </w:p>
    <w:p w14:paraId="6FB8908E">
      <w:pPr>
        <w:pStyle w:val="403"/>
        <w:spacing w:line="460" w:lineRule="exact"/>
        <w:rPr>
          <w:rFonts w:hint="eastAsia" w:eastAsia="宋体" w:cs="宋体"/>
          <w:snapToGrid w:val="0"/>
        </w:rPr>
      </w:pPr>
    </w:p>
    <w:p w14:paraId="5BA62CE6">
      <w:pPr>
        <w:pStyle w:val="403"/>
        <w:spacing w:line="460" w:lineRule="exact"/>
        <w:rPr>
          <w:rFonts w:hint="eastAsia" w:eastAsia="宋体" w:cs="宋体"/>
          <w:snapToGrid w:val="0"/>
        </w:rPr>
      </w:pPr>
    </w:p>
    <w:p w14:paraId="589A31C3">
      <w:pPr>
        <w:pStyle w:val="403"/>
        <w:spacing w:line="460" w:lineRule="exact"/>
        <w:rPr>
          <w:rFonts w:hint="eastAsia" w:eastAsia="宋体" w:cs="宋体"/>
          <w:snapToGrid w:val="0"/>
        </w:rPr>
      </w:pPr>
    </w:p>
    <w:p w14:paraId="05AC24C6">
      <w:pPr>
        <w:pStyle w:val="403"/>
        <w:spacing w:line="460" w:lineRule="exact"/>
        <w:rPr>
          <w:rFonts w:hint="eastAsia" w:eastAsia="宋体" w:cs="宋体"/>
          <w:snapToGrid w:val="0"/>
        </w:rPr>
      </w:pPr>
    </w:p>
    <w:p w14:paraId="674A0ABF">
      <w:pPr>
        <w:pStyle w:val="403"/>
        <w:spacing w:line="460" w:lineRule="exact"/>
        <w:rPr>
          <w:rFonts w:hint="eastAsia" w:eastAsia="宋体" w:cs="宋体"/>
          <w:snapToGrid w:val="0"/>
        </w:rPr>
      </w:pPr>
    </w:p>
    <w:p w14:paraId="46AAB0F8">
      <w:pPr>
        <w:pStyle w:val="403"/>
        <w:spacing w:line="460" w:lineRule="exact"/>
        <w:rPr>
          <w:rFonts w:hint="eastAsia" w:eastAsia="宋体" w:cs="宋体"/>
          <w:snapToGrid w:val="0"/>
        </w:rPr>
      </w:pPr>
    </w:p>
    <w:p w14:paraId="706D5CE6">
      <w:pPr>
        <w:pStyle w:val="403"/>
        <w:spacing w:line="460" w:lineRule="exact"/>
        <w:rPr>
          <w:rFonts w:hint="eastAsia" w:eastAsia="宋体" w:cs="宋体"/>
          <w:snapToGrid w:val="0"/>
        </w:rPr>
      </w:pPr>
    </w:p>
    <w:p w14:paraId="30C8BC4B">
      <w:pPr>
        <w:pStyle w:val="403"/>
        <w:spacing w:line="460" w:lineRule="exact"/>
        <w:rPr>
          <w:rFonts w:hint="eastAsia" w:eastAsia="宋体" w:cs="宋体"/>
          <w:snapToGrid w:val="0"/>
        </w:rPr>
      </w:pPr>
    </w:p>
    <w:p w14:paraId="08FF7754">
      <w:pPr>
        <w:pStyle w:val="403"/>
        <w:spacing w:line="460" w:lineRule="exact"/>
        <w:rPr>
          <w:rFonts w:hint="eastAsia" w:eastAsia="宋体" w:cs="宋体"/>
          <w:snapToGrid w:val="0"/>
        </w:rPr>
      </w:pPr>
    </w:p>
    <w:p w14:paraId="55919D6B">
      <w:pPr>
        <w:pStyle w:val="403"/>
        <w:spacing w:line="460" w:lineRule="exact"/>
        <w:rPr>
          <w:rFonts w:hint="eastAsia" w:eastAsia="宋体" w:cs="宋体"/>
          <w:snapToGrid w:val="0"/>
        </w:rPr>
      </w:pPr>
    </w:p>
    <w:p w14:paraId="795C0C64">
      <w:pPr>
        <w:pStyle w:val="403"/>
        <w:spacing w:line="460" w:lineRule="exact"/>
        <w:rPr>
          <w:rFonts w:hint="eastAsia" w:eastAsia="宋体" w:cs="宋体"/>
          <w:snapToGrid w:val="0"/>
        </w:rPr>
      </w:pPr>
    </w:p>
    <w:p w14:paraId="178A7F9A">
      <w:pPr>
        <w:pStyle w:val="403"/>
        <w:spacing w:line="460" w:lineRule="exact"/>
        <w:rPr>
          <w:rFonts w:hint="eastAsia" w:eastAsia="宋体" w:cs="宋体"/>
          <w:snapToGrid w:val="0"/>
        </w:rPr>
      </w:pPr>
    </w:p>
    <w:p w14:paraId="102F29A0">
      <w:pPr>
        <w:pStyle w:val="403"/>
        <w:spacing w:line="460" w:lineRule="exact"/>
        <w:rPr>
          <w:rFonts w:hint="eastAsia" w:eastAsia="宋体" w:cs="宋体"/>
          <w:snapToGrid w:val="0"/>
        </w:rPr>
      </w:pPr>
    </w:p>
    <w:p w14:paraId="57C00C8A">
      <w:pPr>
        <w:pStyle w:val="403"/>
        <w:spacing w:line="460" w:lineRule="exact"/>
        <w:rPr>
          <w:rFonts w:hint="eastAsia" w:eastAsia="宋体" w:cs="宋体"/>
          <w:snapToGrid w:val="0"/>
        </w:rPr>
      </w:pPr>
    </w:p>
    <w:p w14:paraId="18E3A510">
      <w:pPr>
        <w:pStyle w:val="403"/>
        <w:spacing w:line="460" w:lineRule="exact"/>
        <w:rPr>
          <w:rFonts w:hint="eastAsia" w:eastAsia="宋体" w:cs="宋体"/>
          <w:snapToGrid w:val="0"/>
        </w:rPr>
        <w:sectPr>
          <w:pgSz w:w="11906" w:h="16838"/>
          <w:pgMar w:top="1417" w:right="1531" w:bottom="1304" w:left="1531" w:header="851" w:footer="992" w:gutter="0"/>
          <w:cols w:space="720" w:num="1"/>
          <w:docGrid w:linePitch="312" w:charSpace="0"/>
        </w:sectPr>
      </w:pPr>
    </w:p>
    <w:p w14:paraId="0692B094">
      <w:pPr>
        <w:pStyle w:val="5"/>
        <w:rPr>
          <w:rFonts w:hint="eastAsia" w:ascii="宋体" w:hAnsi="宋体" w:eastAsia="宋体" w:cs="宋体"/>
          <w:bCs/>
        </w:rPr>
      </w:pPr>
      <w:bookmarkStart w:id="1609" w:name="_Toc198803835"/>
      <w:bookmarkStart w:id="1610" w:name="_Toc83220638"/>
      <w:bookmarkStart w:id="1611" w:name="_Toc28937"/>
      <w:bookmarkStart w:id="1612" w:name="_Toc176268768"/>
      <w:r>
        <w:rPr>
          <w:rFonts w:hint="eastAsia" w:ascii="宋体" w:hAnsi="宋体" w:eastAsia="宋体" w:cs="宋体"/>
          <w:bCs/>
        </w:rPr>
        <w:t>附件2：中标通知书</w:t>
      </w:r>
      <w:bookmarkEnd w:id="1609"/>
      <w:bookmarkEnd w:id="1610"/>
      <w:bookmarkEnd w:id="1611"/>
      <w:bookmarkEnd w:id="1612"/>
    </w:p>
    <w:p w14:paraId="19A1FB3A">
      <w:pPr>
        <w:pStyle w:val="403"/>
        <w:spacing w:line="460" w:lineRule="exact"/>
        <w:rPr>
          <w:rFonts w:hint="eastAsia" w:eastAsia="宋体" w:cs="宋体"/>
          <w:snapToGrid w:val="0"/>
        </w:rPr>
      </w:pPr>
    </w:p>
    <w:p w14:paraId="58C133DF">
      <w:pPr>
        <w:pStyle w:val="403"/>
        <w:spacing w:line="460" w:lineRule="exact"/>
        <w:rPr>
          <w:rFonts w:hint="eastAsia" w:eastAsia="宋体" w:cs="宋体"/>
          <w:snapToGrid w:val="0"/>
        </w:rPr>
      </w:pPr>
    </w:p>
    <w:p w14:paraId="1FAD05A2">
      <w:pPr>
        <w:pStyle w:val="403"/>
        <w:spacing w:line="460" w:lineRule="exact"/>
        <w:rPr>
          <w:rFonts w:hint="eastAsia" w:eastAsia="宋体" w:cs="宋体"/>
          <w:snapToGrid w:val="0"/>
        </w:rPr>
      </w:pPr>
    </w:p>
    <w:p w14:paraId="23C29D88">
      <w:pPr>
        <w:pStyle w:val="403"/>
        <w:spacing w:line="460" w:lineRule="exact"/>
        <w:rPr>
          <w:rFonts w:hint="eastAsia" w:eastAsia="宋体" w:cs="宋体"/>
          <w:snapToGrid w:val="0"/>
        </w:rPr>
      </w:pPr>
    </w:p>
    <w:p w14:paraId="0DD8558B">
      <w:pPr>
        <w:pStyle w:val="403"/>
        <w:spacing w:line="460" w:lineRule="exact"/>
        <w:rPr>
          <w:rFonts w:hint="eastAsia" w:eastAsia="宋体" w:cs="宋体"/>
          <w:snapToGrid w:val="0"/>
        </w:rPr>
      </w:pPr>
    </w:p>
    <w:p w14:paraId="0014F4AC">
      <w:pPr>
        <w:pStyle w:val="403"/>
        <w:spacing w:line="460" w:lineRule="exact"/>
        <w:rPr>
          <w:rFonts w:hint="eastAsia" w:eastAsia="宋体" w:cs="宋体"/>
          <w:snapToGrid w:val="0"/>
        </w:rPr>
      </w:pPr>
    </w:p>
    <w:p w14:paraId="07E321B2">
      <w:pPr>
        <w:pStyle w:val="403"/>
        <w:spacing w:line="460" w:lineRule="exact"/>
        <w:rPr>
          <w:rFonts w:hint="eastAsia" w:eastAsia="宋体" w:cs="宋体"/>
          <w:snapToGrid w:val="0"/>
        </w:rPr>
      </w:pPr>
    </w:p>
    <w:p w14:paraId="487AA73C">
      <w:pPr>
        <w:pStyle w:val="403"/>
        <w:spacing w:line="460" w:lineRule="exact"/>
        <w:rPr>
          <w:rFonts w:hint="eastAsia" w:eastAsia="宋体" w:cs="宋体"/>
          <w:snapToGrid w:val="0"/>
        </w:rPr>
      </w:pPr>
    </w:p>
    <w:p w14:paraId="2418D963">
      <w:pPr>
        <w:pStyle w:val="403"/>
        <w:spacing w:line="460" w:lineRule="exact"/>
        <w:rPr>
          <w:rFonts w:hint="eastAsia" w:eastAsia="宋体" w:cs="宋体"/>
          <w:snapToGrid w:val="0"/>
        </w:rPr>
      </w:pPr>
    </w:p>
    <w:p w14:paraId="4621011B">
      <w:pPr>
        <w:pStyle w:val="403"/>
        <w:spacing w:line="460" w:lineRule="exact"/>
        <w:rPr>
          <w:rFonts w:hint="eastAsia" w:eastAsia="宋体" w:cs="宋体"/>
          <w:snapToGrid w:val="0"/>
        </w:rPr>
      </w:pPr>
    </w:p>
    <w:p w14:paraId="7A39EC72">
      <w:pPr>
        <w:pStyle w:val="403"/>
        <w:spacing w:line="460" w:lineRule="exact"/>
        <w:rPr>
          <w:rFonts w:hint="eastAsia" w:eastAsia="宋体" w:cs="宋体"/>
          <w:snapToGrid w:val="0"/>
        </w:rPr>
      </w:pPr>
    </w:p>
    <w:p w14:paraId="747C9C03">
      <w:pPr>
        <w:pStyle w:val="403"/>
        <w:spacing w:line="460" w:lineRule="exact"/>
        <w:rPr>
          <w:rFonts w:hint="eastAsia" w:eastAsia="宋体" w:cs="宋体"/>
          <w:snapToGrid w:val="0"/>
        </w:rPr>
      </w:pPr>
    </w:p>
    <w:p w14:paraId="357160FB">
      <w:pPr>
        <w:pStyle w:val="403"/>
        <w:spacing w:line="460" w:lineRule="exact"/>
        <w:rPr>
          <w:rFonts w:hint="eastAsia" w:eastAsia="宋体" w:cs="宋体"/>
          <w:snapToGrid w:val="0"/>
        </w:rPr>
      </w:pPr>
    </w:p>
    <w:p w14:paraId="5AF1ECCF">
      <w:pPr>
        <w:pStyle w:val="403"/>
        <w:spacing w:line="460" w:lineRule="exact"/>
        <w:rPr>
          <w:rFonts w:hint="eastAsia" w:eastAsia="宋体" w:cs="宋体"/>
          <w:snapToGrid w:val="0"/>
        </w:rPr>
      </w:pPr>
    </w:p>
    <w:p w14:paraId="13F4649E">
      <w:pPr>
        <w:pStyle w:val="403"/>
        <w:spacing w:line="460" w:lineRule="exact"/>
        <w:rPr>
          <w:rFonts w:hint="eastAsia" w:eastAsia="宋体" w:cs="宋体"/>
          <w:snapToGrid w:val="0"/>
        </w:rPr>
      </w:pPr>
    </w:p>
    <w:p w14:paraId="49327B7A">
      <w:pPr>
        <w:pStyle w:val="403"/>
        <w:spacing w:line="460" w:lineRule="exact"/>
        <w:rPr>
          <w:rFonts w:hint="eastAsia" w:eastAsia="宋体" w:cs="宋体"/>
          <w:snapToGrid w:val="0"/>
        </w:rPr>
      </w:pPr>
    </w:p>
    <w:p w14:paraId="2F477DC3">
      <w:pPr>
        <w:pStyle w:val="403"/>
        <w:spacing w:line="460" w:lineRule="exact"/>
        <w:rPr>
          <w:rFonts w:hint="eastAsia" w:eastAsia="宋体" w:cs="宋体"/>
          <w:snapToGrid w:val="0"/>
        </w:rPr>
      </w:pPr>
    </w:p>
    <w:p w14:paraId="4325D34E">
      <w:pPr>
        <w:pStyle w:val="403"/>
        <w:spacing w:line="460" w:lineRule="exact"/>
        <w:rPr>
          <w:rFonts w:hint="eastAsia" w:eastAsia="宋体" w:cs="宋体"/>
          <w:snapToGrid w:val="0"/>
        </w:rPr>
      </w:pPr>
    </w:p>
    <w:p w14:paraId="213B8455">
      <w:pPr>
        <w:pStyle w:val="403"/>
        <w:spacing w:line="460" w:lineRule="exact"/>
        <w:rPr>
          <w:rFonts w:hint="eastAsia" w:eastAsia="宋体" w:cs="宋体"/>
          <w:snapToGrid w:val="0"/>
        </w:rPr>
      </w:pPr>
    </w:p>
    <w:p w14:paraId="43803575">
      <w:pPr>
        <w:pStyle w:val="403"/>
        <w:spacing w:line="460" w:lineRule="exact"/>
        <w:rPr>
          <w:rFonts w:hint="eastAsia" w:eastAsia="宋体" w:cs="宋体"/>
          <w:snapToGrid w:val="0"/>
        </w:rPr>
      </w:pPr>
    </w:p>
    <w:p w14:paraId="543CB854">
      <w:pPr>
        <w:pStyle w:val="403"/>
        <w:spacing w:line="460" w:lineRule="exact"/>
        <w:rPr>
          <w:rFonts w:hint="eastAsia" w:eastAsia="宋体" w:cs="宋体"/>
          <w:snapToGrid w:val="0"/>
        </w:rPr>
      </w:pPr>
    </w:p>
    <w:p w14:paraId="3A1ADD2F">
      <w:pPr>
        <w:pStyle w:val="403"/>
        <w:spacing w:line="460" w:lineRule="exact"/>
        <w:rPr>
          <w:rFonts w:hint="eastAsia" w:eastAsia="宋体" w:cs="宋体"/>
          <w:snapToGrid w:val="0"/>
        </w:rPr>
      </w:pPr>
    </w:p>
    <w:p w14:paraId="74A82629">
      <w:pPr>
        <w:pStyle w:val="403"/>
        <w:spacing w:line="460" w:lineRule="exact"/>
        <w:rPr>
          <w:rFonts w:hint="eastAsia" w:eastAsia="宋体" w:cs="宋体"/>
          <w:snapToGrid w:val="0"/>
        </w:rPr>
      </w:pPr>
    </w:p>
    <w:p w14:paraId="599E5D7E">
      <w:pPr>
        <w:pStyle w:val="403"/>
        <w:spacing w:line="460" w:lineRule="exact"/>
        <w:rPr>
          <w:rFonts w:hint="eastAsia" w:eastAsia="宋体" w:cs="宋体"/>
          <w:snapToGrid w:val="0"/>
        </w:rPr>
      </w:pPr>
    </w:p>
    <w:p w14:paraId="27F0D441">
      <w:pPr>
        <w:pStyle w:val="403"/>
        <w:spacing w:line="460" w:lineRule="exact"/>
        <w:rPr>
          <w:rFonts w:hint="eastAsia" w:eastAsia="宋体" w:cs="宋体"/>
          <w:snapToGrid w:val="0"/>
        </w:rPr>
      </w:pPr>
    </w:p>
    <w:p w14:paraId="038C9189">
      <w:pPr>
        <w:pStyle w:val="403"/>
        <w:spacing w:line="460" w:lineRule="exact"/>
        <w:rPr>
          <w:rFonts w:hint="eastAsia" w:eastAsia="宋体" w:cs="宋体"/>
          <w:snapToGrid w:val="0"/>
        </w:rPr>
      </w:pPr>
    </w:p>
    <w:p w14:paraId="4A4E2E37">
      <w:pPr>
        <w:pStyle w:val="403"/>
        <w:spacing w:line="460" w:lineRule="exact"/>
        <w:rPr>
          <w:rFonts w:hint="eastAsia" w:eastAsia="宋体" w:cs="宋体"/>
          <w:snapToGrid w:val="0"/>
        </w:rPr>
      </w:pPr>
    </w:p>
    <w:p w14:paraId="3C7576F6">
      <w:pPr>
        <w:pStyle w:val="403"/>
        <w:spacing w:line="460" w:lineRule="exact"/>
        <w:rPr>
          <w:rFonts w:hint="eastAsia" w:eastAsia="宋体" w:cs="宋体"/>
          <w:snapToGrid w:val="0"/>
        </w:rPr>
        <w:sectPr>
          <w:pgSz w:w="11906" w:h="16838"/>
          <w:pgMar w:top="1417" w:right="1531" w:bottom="1304" w:left="1531" w:header="851" w:footer="992" w:gutter="0"/>
          <w:cols w:space="720" w:num="1"/>
          <w:docGrid w:linePitch="312" w:charSpace="0"/>
        </w:sectPr>
      </w:pPr>
    </w:p>
    <w:p w14:paraId="13CD9019">
      <w:pPr>
        <w:pStyle w:val="5"/>
        <w:rPr>
          <w:rFonts w:hint="eastAsia" w:ascii="宋体" w:hAnsi="宋体" w:eastAsia="宋体" w:cs="宋体"/>
          <w:bCs/>
        </w:rPr>
      </w:pPr>
      <w:bookmarkStart w:id="1613" w:name="_Toc198803836"/>
      <w:bookmarkStart w:id="1614" w:name="_Toc83220639"/>
      <w:bookmarkStart w:id="1615" w:name="_Toc176268769"/>
      <w:bookmarkStart w:id="1616" w:name="_Toc4971"/>
      <w:r>
        <w:rPr>
          <w:rFonts w:hint="eastAsia" w:ascii="宋体" w:hAnsi="宋体" w:eastAsia="宋体" w:cs="宋体"/>
          <w:bCs/>
        </w:rPr>
        <w:t>附件3：联合体协议（如有）</w:t>
      </w:r>
      <w:bookmarkEnd w:id="1613"/>
      <w:bookmarkEnd w:id="1614"/>
      <w:bookmarkEnd w:id="1615"/>
      <w:bookmarkEnd w:id="1616"/>
    </w:p>
    <w:p w14:paraId="6845F8F9">
      <w:pPr>
        <w:pStyle w:val="403"/>
        <w:spacing w:line="460" w:lineRule="exact"/>
        <w:rPr>
          <w:rFonts w:hint="eastAsia" w:eastAsia="宋体" w:cs="宋体"/>
        </w:rPr>
      </w:pPr>
    </w:p>
    <w:p w14:paraId="6E2D7330">
      <w:pPr>
        <w:pStyle w:val="403"/>
        <w:spacing w:line="460" w:lineRule="exact"/>
        <w:rPr>
          <w:rFonts w:hint="eastAsia" w:eastAsia="宋体" w:cs="宋体"/>
        </w:rPr>
      </w:pPr>
    </w:p>
    <w:p w14:paraId="73BA14FD">
      <w:pPr>
        <w:pStyle w:val="403"/>
        <w:spacing w:line="460" w:lineRule="exact"/>
        <w:rPr>
          <w:rFonts w:hint="eastAsia" w:eastAsia="宋体" w:cs="宋体"/>
        </w:rPr>
      </w:pPr>
    </w:p>
    <w:p w14:paraId="41FFA0EB">
      <w:pPr>
        <w:pStyle w:val="403"/>
        <w:spacing w:line="460" w:lineRule="exact"/>
        <w:rPr>
          <w:rFonts w:hint="eastAsia" w:eastAsia="宋体" w:cs="宋体"/>
        </w:rPr>
      </w:pPr>
    </w:p>
    <w:p w14:paraId="31CE24E2">
      <w:pPr>
        <w:pStyle w:val="403"/>
        <w:spacing w:line="460" w:lineRule="exact"/>
        <w:rPr>
          <w:rFonts w:hint="eastAsia" w:eastAsia="宋体" w:cs="宋体"/>
        </w:rPr>
      </w:pPr>
    </w:p>
    <w:p w14:paraId="797016CF">
      <w:pPr>
        <w:pStyle w:val="403"/>
        <w:spacing w:line="460" w:lineRule="exact"/>
        <w:rPr>
          <w:rFonts w:hint="eastAsia" w:eastAsia="宋体" w:cs="宋体"/>
        </w:rPr>
      </w:pPr>
    </w:p>
    <w:p w14:paraId="068B63DE">
      <w:pPr>
        <w:pStyle w:val="403"/>
        <w:spacing w:line="460" w:lineRule="exact"/>
        <w:rPr>
          <w:rFonts w:hint="eastAsia" w:eastAsia="宋体" w:cs="宋体"/>
        </w:rPr>
      </w:pPr>
    </w:p>
    <w:p w14:paraId="37E3C811">
      <w:pPr>
        <w:pStyle w:val="403"/>
        <w:spacing w:line="460" w:lineRule="exact"/>
        <w:rPr>
          <w:rFonts w:hint="eastAsia" w:eastAsia="宋体" w:cs="宋体"/>
        </w:rPr>
      </w:pPr>
    </w:p>
    <w:p w14:paraId="79D6166C">
      <w:pPr>
        <w:pStyle w:val="403"/>
        <w:spacing w:line="460" w:lineRule="exact"/>
        <w:rPr>
          <w:rFonts w:hint="eastAsia" w:eastAsia="宋体" w:cs="宋体"/>
        </w:rPr>
      </w:pPr>
    </w:p>
    <w:p w14:paraId="42DB5EB9">
      <w:pPr>
        <w:pStyle w:val="403"/>
        <w:spacing w:line="460" w:lineRule="exact"/>
        <w:rPr>
          <w:rFonts w:hint="eastAsia" w:eastAsia="宋体" w:cs="宋体"/>
        </w:rPr>
      </w:pPr>
    </w:p>
    <w:p w14:paraId="17E34B83">
      <w:pPr>
        <w:pStyle w:val="403"/>
        <w:spacing w:line="460" w:lineRule="exact"/>
        <w:rPr>
          <w:rFonts w:hint="eastAsia" w:eastAsia="宋体" w:cs="宋体"/>
        </w:rPr>
      </w:pPr>
    </w:p>
    <w:p w14:paraId="0ECAFC77">
      <w:pPr>
        <w:pStyle w:val="403"/>
        <w:spacing w:line="460" w:lineRule="exact"/>
        <w:rPr>
          <w:rFonts w:hint="eastAsia" w:eastAsia="宋体" w:cs="宋体"/>
        </w:rPr>
      </w:pPr>
    </w:p>
    <w:p w14:paraId="236F968F">
      <w:pPr>
        <w:pStyle w:val="403"/>
        <w:spacing w:line="460" w:lineRule="exact"/>
        <w:rPr>
          <w:rFonts w:hint="eastAsia" w:eastAsia="宋体" w:cs="宋体"/>
        </w:rPr>
      </w:pPr>
    </w:p>
    <w:p w14:paraId="47BD74F6">
      <w:pPr>
        <w:pStyle w:val="403"/>
        <w:spacing w:line="460" w:lineRule="exact"/>
        <w:rPr>
          <w:rFonts w:hint="eastAsia" w:eastAsia="宋体" w:cs="宋体"/>
        </w:rPr>
      </w:pPr>
    </w:p>
    <w:p w14:paraId="7E7E1EEF">
      <w:pPr>
        <w:pStyle w:val="403"/>
        <w:spacing w:line="460" w:lineRule="exact"/>
        <w:rPr>
          <w:rFonts w:hint="eastAsia" w:eastAsia="宋体" w:cs="宋体"/>
        </w:rPr>
      </w:pPr>
    </w:p>
    <w:p w14:paraId="506C5697">
      <w:pPr>
        <w:pStyle w:val="403"/>
        <w:spacing w:line="460" w:lineRule="exact"/>
        <w:rPr>
          <w:rFonts w:hint="eastAsia" w:eastAsia="宋体" w:cs="宋体"/>
        </w:rPr>
      </w:pPr>
    </w:p>
    <w:p w14:paraId="1B1632C2">
      <w:pPr>
        <w:pStyle w:val="403"/>
        <w:spacing w:line="460" w:lineRule="exact"/>
        <w:rPr>
          <w:rFonts w:hint="eastAsia" w:eastAsia="宋体" w:cs="宋体"/>
        </w:rPr>
      </w:pPr>
    </w:p>
    <w:p w14:paraId="66433AD9">
      <w:pPr>
        <w:pStyle w:val="403"/>
        <w:spacing w:line="460" w:lineRule="exact"/>
        <w:rPr>
          <w:rFonts w:hint="eastAsia" w:eastAsia="宋体" w:cs="宋体"/>
        </w:rPr>
      </w:pPr>
    </w:p>
    <w:p w14:paraId="3272F787">
      <w:pPr>
        <w:pStyle w:val="403"/>
        <w:spacing w:line="460" w:lineRule="exact"/>
        <w:rPr>
          <w:rFonts w:hint="eastAsia" w:eastAsia="宋体" w:cs="宋体"/>
        </w:rPr>
      </w:pPr>
    </w:p>
    <w:p w14:paraId="20994D06">
      <w:pPr>
        <w:pStyle w:val="403"/>
        <w:spacing w:line="460" w:lineRule="exact"/>
        <w:rPr>
          <w:rFonts w:hint="eastAsia" w:eastAsia="宋体" w:cs="宋体"/>
        </w:rPr>
      </w:pPr>
    </w:p>
    <w:p w14:paraId="49051D45">
      <w:pPr>
        <w:pStyle w:val="403"/>
        <w:spacing w:line="460" w:lineRule="exact"/>
        <w:rPr>
          <w:rFonts w:hint="eastAsia" w:eastAsia="宋体" w:cs="宋体"/>
        </w:rPr>
      </w:pPr>
    </w:p>
    <w:p w14:paraId="2FA73AF7">
      <w:pPr>
        <w:pStyle w:val="403"/>
        <w:spacing w:line="460" w:lineRule="exact"/>
        <w:rPr>
          <w:rFonts w:hint="eastAsia" w:eastAsia="宋体" w:cs="宋体"/>
        </w:rPr>
      </w:pPr>
    </w:p>
    <w:p w14:paraId="772063A1">
      <w:pPr>
        <w:pStyle w:val="403"/>
        <w:spacing w:line="460" w:lineRule="exact"/>
        <w:rPr>
          <w:rFonts w:hint="eastAsia" w:eastAsia="宋体" w:cs="宋体"/>
        </w:rPr>
      </w:pPr>
    </w:p>
    <w:p w14:paraId="605E38B4">
      <w:pPr>
        <w:pStyle w:val="403"/>
        <w:spacing w:line="460" w:lineRule="exact"/>
        <w:rPr>
          <w:rFonts w:hint="eastAsia" w:eastAsia="宋体" w:cs="宋体"/>
        </w:rPr>
      </w:pPr>
    </w:p>
    <w:p w14:paraId="58147A85">
      <w:pPr>
        <w:pStyle w:val="403"/>
        <w:spacing w:line="460" w:lineRule="exact"/>
        <w:rPr>
          <w:rFonts w:hint="eastAsia" w:eastAsia="宋体" w:cs="宋体"/>
        </w:rPr>
      </w:pPr>
    </w:p>
    <w:p w14:paraId="4C8D3A78">
      <w:pPr>
        <w:pStyle w:val="403"/>
        <w:spacing w:line="460" w:lineRule="exact"/>
        <w:rPr>
          <w:rFonts w:hint="eastAsia" w:eastAsia="宋体" w:cs="宋体"/>
        </w:rPr>
      </w:pPr>
    </w:p>
    <w:p w14:paraId="23168E3C">
      <w:pPr>
        <w:pStyle w:val="403"/>
        <w:spacing w:line="460" w:lineRule="exact"/>
        <w:rPr>
          <w:rFonts w:hint="eastAsia" w:eastAsia="宋体" w:cs="宋体"/>
        </w:rPr>
      </w:pPr>
    </w:p>
    <w:p w14:paraId="4C79AB35">
      <w:pPr>
        <w:pStyle w:val="403"/>
        <w:spacing w:line="460" w:lineRule="exact"/>
        <w:rPr>
          <w:rFonts w:hint="eastAsia" w:eastAsia="宋体" w:cs="宋体"/>
        </w:rPr>
        <w:sectPr>
          <w:pgSz w:w="11906" w:h="16838"/>
          <w:pgMar w:top="1417" w:right="1531" w:bottom="1304" w:left="1531" w:header="851" w:footer="992" w:gutter="0"/>
          <w:cols w:space="720" w:num="1"/>
          <w:docGrid w:linePitch="312" w:charSpace="0"/>
        </w:sectPr>
      </w:pPr>
    </w:p>
    <w:p w14:paraId="50D79CFA">
      <w:pPr>
        <w:pStyle w:val="5"/>
        <w:rPr>
          <w:rFonts w:hint="eastAsia" w:ascii="宋体" w:hAnsi="宋体" w:eastAsia="宋体" w:cs="宋体"/>
          <w:bCs/>
        </w:rPr>
      </w:pPr>
      <w:bookmarkStart w:id="1617" w:name="_Toc83220640"/>
      <w:bookmarkStart w:id="1618" w:name="_Toc198803837"/>
      <w:bookmarkStart w:id="1619" w:name="_Toc22673"/>
      <w:bookmarkStart w:id="1620" w:name="_Toc176268770"/>
      <w:r>
        <w:rPr>
          <w:rFonts w:hint="eastAsia" w:ascii="宋体" w:hAnsi="宋体" w:eastAsia="宋体" w:cs="宋体"/>
          <w:bCs/>
        </w:rPr>
        <w:t>附件4：项目管理机构配备表</w:t>
      </w:r>
      <w:bookmarkEnd w:id="1617"/>
      <w:bookmarkEnd w:id="1618"/>
      <w:bookmarkEnd w:id="1619"/>
      <w:bookmarkEnd w:id="1620"/>
    </w:p>
    <w:p w14:paraId="2DDB1DA8">
      <w:pPr>
        <w:pStyle w:val="403"/>
        <w:spacing w:line="460" w:lineRule="exact"/>
        <w:rPr>
          <w:rFonts w:hint="eastAsia" w:eastAsia="宋体" w:cs="宋体"/>
          <w:snapToGrid w:val="0"/>
        </w:rPr>
      </w:pPr>
    </w:p>
    <w:p w14:paraId="2A6313A6">
      <w:pPr>
        <w:pStyle w:val="403"/>
        <w:spacing w:line="460" w:lineRule="exact"/>
        <w:rPr>
          <w:rFonts w:hint="eastAsia" w:eastAsia="宋体" w:cs="宋体"/>
          <w:snapToGrid w:val="0"/>
        </w:rPr>
      </w:pPr>
    </w:p>
    <w:p w14:paraId="172FDE54">
      <w:pPr>
        <w:pStyle w:val="403"/>
        <w:spacing w:line="460" w:lineRule="exact"/>
        <w:rPr>
          <w:rFonts w:hint="eastAsia" w:eastAsia="宋体" w:cs="宋体"/>
          <w:snapToGrid w:val="0"/>
        </w:rPr>
      </w:pPr>
    </w:p>
    <w:p w14:paraId="3792F193">
      <w:pPr>
        <w:pStyle w:val="403"/>
        <w:spacing w:line="460" w:lineRule="exact"/>
        <w:rPr>
          <w:rFonts w:hint="eastAsia" w:eastAsia="宋体" w:cs="宋体"/>
          <w:snapToGrid w:val="0"/>
        </w:rPr>
      </w:pPr>
    </w:p>
    <w:p w14:paraId="591F4D24">
      <w:pPr>
        <w:pStyle w:val="403"/>
        <w:spacing w:line="460" w:lineRule="exact"/>
        <w:rPr>
          <w:rFonts w:hint="eastAsia" w:eastAsia="宋体" w:cs="宋体"/>
          <w:snapToGrid w:val="0"/>
        </w:rPr>
      </w:pPr>
    </w:p>
    <w:p w14:paraId="017E73A2">
      <w:pPr>
        <w:pStyle w:val="403"/>
        <w:spacing w:line="460" w:lineRule="exact"/>
        <w:rPr>
          <w:rFonts w:hint="eastAsia" w:eastAsia="宋体" w:cs="宋体"/>
          <w:snapToGrid w:val="0"/>
        </w:rPr>
      </w:pPr>
    </w:p>
    <w:p w14:paraId="6DDF3E52">
      <w:pPr>
        <w:pStyle w:val="403"/>
        <w:spacing w:line="460" w:lineRule="exact"/>
        <w:rPr>
          <w:rFonts w:hint="eastAsia" w:eastAsia="宋体" w:cs="宋体"/>
          <w:snapToGrid w:val="0"/>
        </w:rPr>
      </w:pPr>
    </w:p>
    <w:p w14:paraId="14F2E9F1">
      <w:pPr>
        <w:pStyle w:val="403"/>
        <w:spacing w:line="460" w:lineRule="exact"/>
        <w:rPr>
          <w:rFonts w:hint="eastAsia" w:eastAsia="宋体" w:cs="宋体"/>
          <w:snapToGrid w:val="0"/>
        </w:rPr>
      </w:pPr>
    </w:p>
    <w:p w14:paraId="30E8E4A0">
      <w:pPr>
        <w:pStyle w:val="403"/>
        <w:spacing w:line="460" w:lineRule="exact"/>
        <w:rPr>
          <w:rFonts w:hint="eastAsia" w:eastAsia="宋体" w:cs="宋体"/>
          <w:snapToGrid w:val="0"/>
        </w:rPr>
      </w:pPr>
    </w:p>
    <w:p w14:paraId="6151D15B">
      <w:pPr>
        <w:pStyle w:val="403"/>
        <w:spacing w:line="460" w:lineRule="exact"/>
        <w:rPr>
          <w:rFonts w:hint="eastAsia" w:eastAsia="宋体" w:cs="宋体"/>
          <w:snapToGrid w:val="0"/>
        </w:rPr>
      </w:pPr>
    </w:p>
    <w:p w14:paraId="0656022E">
      <w:pPr>
        <w:pStyle w:val="403"/>
        <w:spacing w:line="460" w:lineRule="exact"/>
        <w:rPr>
          <w:rFonts w:hint="eastAsia" w:eastAsia="宋体" w:cs="宋体"/>
          <w:snapToGrid w:val="0"/>
        </w:rPr>
      </w:pPr>
    </w:p>
    <w:p w14:paraId="615CA7F8">
      <w:pPr>
        <w:pStyle w:val="403"/>
        <w:spacing w:line="460" w:lineRule="exact"/>
        <w:rPr>
          <w:rFonts w:hint="eastAsia" w:eastAsia="宋体" w:cs="宋体"/>
          <w:snapToGrid w:val="0"/>
        </w:rPr>
      </w:pPr>
    </w:p>
    <w:p w14:paraId="782F6195">
      <w:pPr>
        <w:pStyle w:val="403"/>
        <w:spacing w:line="460" w:lineRule="exact"/>
        <w:rPr>
          <w:rFonts w:hint="eastAsia" w:eastAsia="宋体" w:cs="宋体"/>
          <w:snapToGrid w:val="0"/>
        </w:rPr>
      </w:pPr>
    </w:p>
    <w:p w14:paraId="019651A2">
      <w:pPr>
        <w:pStyle w:val="403"/>
        <w:spacing w:line="460" w:lineRule="exact"/>
        <w:rPr>
          <w:rFonts w:hint="eastAsia" w:eastAsia="宋体" w:cs="宋体"/>
          <w:snapToGrid w:val="0"/>
        </w:rPr>
      </w:pPr>
    </w:p>
    <w:p w14:paraId="3EDFD23E">
      <w:pPr>
        <w:pStyle w:val="403"/>
        <w:spacing w:line="460" w:lineRule="exact"/>
        <w:rPr>
          <w:rFonts w:hint="eastAsia" w:eastAsia="宋体" w:cs="宋体"/>
          <w:snapToGrid w:val="0"/>
        </w:rPr>
      </w:pPr>
    </w:p>
    <w:p w14:paraId="20CD0E2B">
      <w:pPr>
        <w:pStyle w:val="403"/>
        <w:spacing w:line="460" w:lineRule="exact"/>
        <w:rPr>
          <w:rFonts w:hint="eastAsia" w:eastAsia="宋体" w:cs="宋体"/>
          <w:snapToGrid w:val="0"/>
        </w:rPr>
      </w:pPr>
    </w:p>
    <w:p w14:paraId="7B2965CF">
      <w:pPr>
        <w:pStyle w:val="403"/>
        <w:spacing w:line="460" w:lineRule="exact"/>
        <w:rPr>
          <w:rFonts w:hint="eastAsia" w:eastAsia="宋体" w:cs="宋体"/>
          <w:snapToGrid w:val="0"/>
        </w:rPr>
      </w:pPr>
    </w:p>
    <w:p w14:paraId="112279E2">
      <w:pPr>
        <w:pStyle w:val="403"/>
        <w:spacing w:line="460" w:lineRule="exact"/>
        <w:rPr>
          <w:rFonts w:hint="eastAsia" w:eastAsia="宋体" w:cs="宋体"/>
          <w:snapToGrid w:val="0"/>
        </w:rPr>
      </w:pPr>
    </w:p>
    <w:p w14:paraId="6FD41A44">
      <w:pPr>
        <w:pStyle w:val="403"/>
        <w:spacing w:line="460" w:lineRule="exact"/>
        <w:rPr>
          <w:rFonts w:hint="eastAsia" w:eastAsia="宋体" w:cs="宋体"/>
          <w:snapToGrid w:val="0"/>
        </w:rPr>
      </w:pPr>
    </w:p>
    <w:p w14:paraId="63BB700A">
      <w:pPr>
        <w:pStyle w:val="403"/>
        <w:spacing w:line="460" w:lineRule="exact"/>
        <w:rPr>
          <w:rFonts w:hint="eastAsia" w:eastAsia="宋体" w:cs="宋体"/>
          <w:snapToGrid w:val="0"/>
        </w:rPr>
      </w:pPr>
    </w:p>
    <w:p w14:paraId="43406CBB">
      <w:pPr>
        <w:pStyle w:val="403"/>
        <w:spacing w:line="460" w:lineRule="exact"/>
        <w:rPr>
          <w:rFonts w:hint="eastAsia" w:eastAsia="宋体" w:cs="宋体"/>
          <w:snapToGrid w:val="0"/>
        </w:rPr>
      </w:pPr>
    </w:p>
    <w:p w14:paraId="7442BF99">
      <w:pPr>
        <w:pStyle w:val="403"/>
        <w:spacing w:line="460" w:lineRule="exact"/>
        <w:rPr>
          <w:rFonts w:hint="eastAsia" w:eastAsia="宋体" w:cs="宋体"/>
          <w:snapToGrid w:val="0"/>
        </w:rPr>
      </w:pPr>
    </w:p>
    <w:p w14:paraId="7C916BC4">
      <w:pPr>
        <w:pStyle w:val="403"/>
        <w:spacing w:line="460" w:lineRule="exact"/>
        <w:rPr>
          <w:rFonts w:hint="eastAsia" w:eastAsia="宋体" w:cs="宋体"/>
          <w:snapToGrid w:val="0"/>
        </w:rPr>
      </w:pPr>
    </w:p>
    <w:p w14:paraId="3240E309">
      <w:pPr>
        <w:pStyle w:val="403"/>
        <w:spacing w:line="460" w:lineRule="exact"/>
        <w:rPr>
          <w:rFonts w:hint="eastAsia" w:eastAsia="宋体" w:cs="宋体"/>
          <w:snapToGrid w:val="0"/>
        </w:rPr>
      </w:pPr>
    </w:p>
    <w:p w14:paraId="61732ED1">
      <w:pPr>
        <w:pStyle w:val="403"/>
        <w:spacing w:line="460" w:lineRule="exact"/>
        <w:rPr>
          <w:rFonts w:hint="eastAsia" w:eastAsia="宋体" w:cs="宋体"/>
          <w:snapToGrid w:val="0"/>
        </w:rPr>
      </w:pPr>
    </w:p>
    <w:p w14:paraId="7EB2C6CD">
      <w:pPr>
        <w:pStyle w:val="403"/>
        <w:spacing w:line="460" w:lineRule="exact"/>
        <w:rPr>
          <w:rFonts w:hint="eastAsia" w:eastAsia="宋体" w:cs="宋体"/>
          <w:snapToGrid w:val="0"/>
        </w:rPr>
      </w:pPr>
    </w:p>
    <w:p w14:paraId="5FAD9BE9">
      <w:pPr>
        <w:pStyle w:val="403"/>
        <w:spacing w:line="460" w:lineRule="exact"/>
        <w:rPr>
          <w:rFonts w:hint="eastAsia" w:eastAsia="宋体" w:cs="宋体"/>
          <w:snapToGrid w:val="0"/>
        </w:rPr>
      </w:pPr>
    </w:p>
    <w:p w14:paraId="7AA0880C">
      <w:pPr>
        <w:pStyle w:val="403"/>
        <w:spacing w:line="460" w:lineRule="exact"/>
        <w:rPr>
          <w:rFonts w:hint="eastAsia" w:eastAsia="宋体" w:cs="宋体"/>
          <w:snapToGrid w:val="0"/>
        </w:rPr>
        <w:sectPr>
          <w:pgSz w:w="11906" w:h="16838"/>
          <w:pgMar w:top="1417" w:right="1531" w:bottom="1304" w:left="1531" w:header="851" w:footer="992" w:gutter="0"/>
          <w:cols w:space="720" w:num="1"/>
          <w:docGrid w:linePitch="312" w:charSpace="0"/>
        </w:sectPr>
      </w:pPr>
    </w:p>
    <w:p w14:paraId="4BA630A7">
      <w:pPr>
        <w:pStyle w:val="5"/>
        <w:rPr>
          <w:rFonts w:hint="eastAsia" w:ascii="宋体" w:hAnsi="宋体" w:eastAsia="宋体" w:cs="宋体"/>
          <w:bCs/>
        </w:rPr>
      </w:pPr>
      <w:bookmarkStart w:id="1621" w:name="_Toc83220641"/>
      <w:bookmarkStart w:id="1622" w:name="_Toc176268771"/>
      <w:bookmarkStart w:id="1623" w:name="_Toc20717"/>
      <w:bookmarkStart w:id="1624" w:name="_Toc198803838"/>
      <w:r>
        <w:rPr>
          <w:rFonts w:hint="eastAsia" w:ascii="宋体" w:hAnsi="宋体" w:eastAsia="宋体" w:cs="宋体"/>
          <w:bCs/>
        </w:rPr>
        <w:t>附件5：廉</w:t>
      </w:r>
      <w:bookmarkEnd w:id="1621"/>
      <w:r>
        <w:rPr>
          <w:rFonts w:hint="eastAsia" w:ascii="宋体" w:hAnsi="宋体" w:eastAsia="宋体" w:cs="宋体"/>
          <w:bCs/>
        </w:rPr>
        <w:t>洁协议</w:t>
      </w:r>
      <w:bookmarkEnd w:id="1622"/>
      <w:bookmarkEnd w:id="1623"/>
      <w:bookmarkEnd w:id="1624"/>
    </w:p>
    <w:p w14:paraId="4AED3EB8">
      <w:pPr>
        <w:spacing w:line="500" w:lineRule="exact"/>
        <w:ind w:firstLine="424" w:firstLineChars="202"/>
        <w:rPr>
          <w:rFonts w:hint="eastAsia" w:ascii="宋体" w:hAnsi="宋体" w:eastAsia="宋体"/>
        </w:rPr>
      </w:pPr>
      <w:bookmarkStart w:id="1625" w:name="_Hlk96615143"/>
      <w:bookmarkStart w:id="1626" w:name="_Toc152042551"/>
      <w:bookmarkStart w:id="1627" w:name="_Toc247527801"/>
      <w:bookmarkStart w:id="1628" w:name="_Toc247514200"/>
      <w:bookmarkStart w:id="1629" w:name="_Toc300835202"/>
      <w:bookmarkStart w:id="1630" w:name="_Toc152045769"/>
      <w:r>
        <w:rPr>
          <w:rFonts w:hint="eastAsia" w:ascii="宋体" w:hAnsi="宋体" w:eastAsia="宋体"/>
        </w:rPr>
        <w:t>根据国家、省、市有关规定，为做好海心沙体验中心项目智能展示工程勘察设计采购施工总承包（EPC）合同的廉洁建设，保证工程质量与安</w:t>
      </w:r>
      <w:r>
        <w:rPr>
          <w:rFonts w:ascii="宋体" w:hAnsi="宋体" w:eastAsia="宋体"/>
        </w:rPr>
        <w:t>全，提高建设资金的有效使用和投资效益，双方当事人就加强合同工程的廉洁建设，订立本协议。</w:t>
      </w:r>
    </w:p>
    <w:p w14:paraId="43E6B153">
      <w:pPr>
        <w:spacing w:line="500" w:lineRule="exact"/>
        <w:ind w:firstLine="426" w:firstLineChars="202"/>
        <w:rPr>
          <w:rFonts w:hint="eastAsia" w:ascii="宋体" w:hAnsi="宋体" w:eastAsia="宋体"/>
          <w:b/>
          <w:bCs/>
        </w:rPr>
      </w:pPr>
      <w:r>
        <w:rPr>
          <w:rFonts w:ascii="宋体" w:hAnsi="宋体" w:eastAsia="宋体"/>
          <w:b/>
          <w:bCs/>
        </w:rPr>
        <w:t>1</w:t>
      </w:r>
      <w:r>
        <w:rPr>
          <w:rFonts w:hint="eastAsia" w:ascii="宋体" w:hAnsi="宋体" w:eastAsia="宋体"/>
          <w:b/>
          <w:bCs/>
        </w:rPr>
        <w:t>.</w:t>
      </w:r>
      <w:r>
        <w:rPr>
          <w:rFonts w:ascii="宋体" w:hAnsi="宋体" w:eastAsia="宋体"/>
          <w:b/>
          <w:bCs/>
        </w:rPr>
        <w:t>双方权利和义务</w:t>
      </w:r>
    </w:p>
    <w:p w14:paraId="499A4A9E">
      <w:pPr>
        <w:spacing w:line="500" w:lineRule="exact"/>
        <w:ind w:firstLine="424" w:firstLineChars="202"/>
        <w:rPr>
          <w:rFonts w:hint="eastAsia" w:ascii="宋体" w:hAnsi="宋体" w:eastAsia="宋体"/>
        </w:rPr>
      </w:pPr>
      <w:r>
        <w:rPr>
          <w:rFonts w:ascii="宋体" w:hAnsi="宋体" w:eastAsia="宋体"/>
        </w:rPr>
        <w:t>1.1严格遵守</w:t>
      </w:r>
      <w:r>
        <w:rPr>
          <w:rFonts w:hint="eastAsia" w:ascii="宋体" w:hAnsi="宋体" w:eastAsia="宋体"/>
        </w:rPr>
        <w:t>国家、省、市</w:t>
      </w:r>
      <w:r>
        <w:rPr>
          <w:rFonts w:ascii="宋体" w:hAnsi="宋体" w:eastAsia="宋体"/>
        </w:rPr>
        <w:t>有关法律法规的规定。</w:t>
      </w:r>
    </w:p>
    <w:p w14:paraId="4DB5E087">
      <w:pPr>
        <w:spacing w:line="500" w:lineRule="exact"/>
        <w:ind w:firstLine="424" w:firstLineChars="202"/>
        <w:rPr>
          <w:rFonts w:hint="eastAsia" w:ascii="宋体" w:hAnsi="宋体" w:eastAsia="宋体"/>
        </w:rPr>
      </w:pPr>
      <w:r>
        <w:rPr>
          <w:rFonts w:ascii="宋体" w:hAnsi="宋体" w:eastAsia="宋体"/>
        </w:rPr>
        <w:t>1.2严格执行合同工程一切合同文件，自觉按合同办事。</w:t>
      </w:r>
    </w:p>
    <w:p w14:paraId="23B4BDE0">
      <w:pPr>
        <w:spacing w:line="500" w:lineRule="exact"/>
        <w:ind w:firstLine="424" w:firstLineChars="202"/>
        <w:rPr>
          <w:rFonts w:hint="eastAsia" w:ascii="宋体" w:hAnsi="宋体" w:eastAsia="宋体"/>
        </w:rPr>
      </w:pPr>
      <w:r>
        <w:rPr>
          <w:rFonts w:ascii="宋体" w:hAnsi="宋体" w:eastAsia="宋体"/>
        </w:rPr>
        <w:t>1.3双方当事人的业务活动应坚持公平、公开、公正和诚信的原则（法律认定的商业秘密和合同文件另有规定除外），不得损害国家和集体利益，不得违反工程建设管理规章制度。</w:t>
      </w:r>
    </w:p>
    <w:p w14:paraId="76FC2A0C">
      <w:pPr>
        <w:spacing w:line="500" w:lineRule="exact"/>
        <w:ind w:firstLine="424" w:firstLineChars="202"/>
        <w:rPr>
          <w:rFonts w:hint="eastAsia" w:ascii="宋体" w:hAnsi="宋体" w:eastAsia="宋体"/>
        </w:rPr>
      </w:pPr>
      <w:r>
        <w:rPr>
          <w:rFonts w:ascii="宋体" w:hAnsi="宋体" w:eastAsia="宋体"/>
        </w:rPr>
        <w:t>1.4发现对方在业务活动中有违反廉洁</w:t>
      </w:r>
      <w:r>
        <w:rPr>
          <w:rFonts w:hint="eastAsia" w:ascii="宋体" w:hAnsi="宋体" w:eastAsia="宋体"/>
        </w:rPr>
        <w:t>从业</w:t>
      </w:r>
      <w:r>
        <w:rPr>
          <w:rFonts w:ascii="宋体" w:hAnsi="宋体" w:eastAsia="宋体"/>
        </w:rPr>
        <w:t>规定的行为，应及时给予提醒和纠正。</w:t>
      </w:r>
    </w:p>
    <w:p w14:paraId="1F3B24EA">
      <w:pPr>
        <w:spacing w:line="500" w:lineRule="exact"/>
        <w:ind w:firstLine="424" w:firstLineChars="202"/>
        <w:rPr>
          <w:rFonts w:hint="eastAsia" w:ascii="宋体" w:hAnsi="宋体" w:eastAsia="宋体"/>
        </w:rPr>
      </w:pPr>
      <w:r>
        <w:rPr>
          <w:rFonts w:ascii="宋体" w:hAnsi="宋体" w:eastAsia="宋体"/>
        </w:rPr>
        <w:t>1.</w:t>
      </w:r>
      <w:r>
        <w:rPr>
          <w:rFonts w:hint="eastAsia" w:ascii="宋体" w:hAnsi="宋体" w:eastAsia="宋体"/>
        </w:rPr>
        <w:t>5</w:t>
      </w:r>
      <w:r>
        <w:rPr>
          <w:rFonts w:ascii="宋体" w:hAnsi="宋体" w:eastAsia="宋体"/>
        </w:rPr>
        <w:t>发现对方严重违反合同的行为，有向其上级部门举报、建议给予处理并要求告知处理结果的权利。</w:t>
      </w:r>
    </w:p>
    <w:p w14:paraId="2502B9FD">
      <w:pPr>
        <w:spacing w:line="500" w:lineRule="exact"/>
        <w:ind w:firstLine="426" w:firstLineChars="202"/>
        <w:rPr>
          <w:rFonts w:hint="eastAsia" w:ascii="宋体" w:hAnsi="宋体" w:eastAsia="宋体"/>
          <w:b/>
          <w:bCs/>
        </w:rPr>
      </w:pPr>
      <w:r>
        <w:rPr>
          <w:rFonts w:ascii="宋体" w:hAnsi="宋体" w:eastAsia="宋体"/>
          <w:b/>
          <w:bCs/>
        </w:rPr>
        <w:t>2</w:t>
      </w:r>
      <w:r>
        <w:rPr>
          <w:rFonts w:hint="eastAsia" w:ascii="宋体" w:hAnsi="宋体" w:eastAsia="宋体"/>
          <w:b/>
          <w:bCs/>
        </w:rPr>
        <w:t>.</w:t>
      </w:r>
      <w:r>
        <w:rPr>
          <w:rFonts w:ascii="宋体" w:hAnsi="宋体" w:eastAsia="宋体"/>
          <w:b/>
          <w:bCs/>
        </w:rPr>
        <w:t>甲方义务</w:t>
      </w:r>
    </w:p>
    <w:p w14:paraId="47AD51EF">
      <w:pPr>
        <w:spacing w:line="500" w:lineRule="exact"/>
        <w:ind w:firstLine="424" w:firstLineChars="202"/>
        <w:rPr>
          <w:rFonts w:hint="eastAsia" w:ascii="宋体" w:hAnsi="宋体" w:eastAsia="宋体"/>
        </w:rPr>
      </w:pPr>
      <w:r>
        <w:rPr>
          <w:rFonts w:ascii="宋体" w:hAnsi="宋体" w:eastAsia="宋体"/>
        </w:rPr>
        <w:t>2.1甲方及其工作人员不得索要或接受乙方的</w:t>
      </w:r>
      <w:r>
        <w:rPr>
          <w:rFonts w:hint="eastAsia" w:ascii="宋体" w:hAnsi="宋体" w:eastAsia="宋体"/>
        </w:rPr>
        <w:t>礼品、礼金、消费卡（券）和有价证券、股权、其他金融产品等财物，</w:t>
      </w:r>
      <w:r>
        <w:rPr>
          <w:rFonts w:ascii="宋体" w:hAnsi="宋体" w:eastAsia="宋体"/>
        </w:rPr>
        <w:t>不得在乙方报销应由甲方或工作人员个人支付的费用等。</w:t>
      </w:r>
    </w:p>
    <w:p w14:paraId="36CCC2A1">
      <w:pPr>
        <w:spacing w:line="500" w:lineRule="exact"/>
        <w:ind w:firstLine="424" w:firstLineChars="202"/>
        <w:rPr>
          <w:rFonts w:hint="eastAsia" w:ascii="宋体" w:hAnsi="宋体" w:eastAsia="宋体"/>
        </w:rPr>
      </w:pPr>
      <w:r>
        <w:rPr>
          <w:rFonts w:ascii="宋体" w:hAnsi="宋体" w:eastAsia="宋体"/>
        </w:rPr>
        <w:t>2.2甲方及其工作人员不得</w:t>
      </w:r>
      <w:r>
        <w:rPr>
          <w:rFonts w:hint="eastAsia" w:ascii="宋体" w:hAnsi="宋体" w:eastAsia="宋体"/>
        </w:rPr>
        <w:t>接受</w:t>
      </w:r>
      <w:r>
        <w:rPr>
          <w:rFonts w:ascii="宋体" w:hAnsi="宋体" w:eastAsia="宋体"/>
        </w:rPr>
        <w:t>乙方的宴请（工作餐除外）</w:t>
      </w:r>
      <w:r>
        <w:rPr>
          <w:rFonts w:hint="eastAsia" w:ascii="宋体" w:hAnsi="宋体" w:eastAsia="宋体"/>
        </w:rPr>
        <w:t>或者</w:t>
      </w:r>
      <w:r>
        <w:rPr>
          <w:rFonts w:ascii="宋体" w:hAnsi="宋体" w:eastAsia="宋体"/>
        </w:rPr>
        <w:t>旅游、健身、娱乐等活动安排</w:t>
      </w:r>
      <w:r>
        <w:rPr>
          <w:rFonts w:hint="eastAsia" w:ascii="宋体" w:hAnsi="宋体" w:eastAsia="宋体"/>
        </w:rPr>
        <w:t>。</w:t>
      </w:r>
    </w:p>
    <w:p w14:paraId="7EAA4D8D">
      <w:pPr>
        <w:spacing w:line="500" w:lineRule="exact"/>
        <w:ind w:firstLine="424" w:firstLineChars="202"/>
        <w:rPr>
          <w:rFonts w:hint="eastAsia" w:ascii="宋体" w:hAnsi="宋体" w:eastAsia="宋体"/>
        </w:rPr>
      </w:pPr>
      <w:r>
        <w:rPr>
          <w:rFonts w:hint="eastAsia" w:ascii="宋体" w:hAnsi="宋体" w:eastAsia="宋体"/>
        </w:rPr>
        <w:t>2.3</w:t>
      </w:r>
      <w:r>
        <w:rPr>
          <w:rFonts w:ascii="宋体" w:hAnsi="宋体" w:eastAsia="宋体"/>
        </w:rPr>
        <w:t>甲方及其工作人员不得接受乙方提供的</w:t>
      </w:r>
      <w:r>
        <w:rPr>
          <w:rFonts w:hint="eastAsia" w:ascii="宋体" w:hAnsi="宋体" w:eastAsia="宋体"/>
        </w:rPr>
        <w:t>钱款</w:t>
      </w:r>
      <w:r>
        <w:rPr>
          <w:rFonts w:ascii="宋体" w:hAnsi="宋体" w:eastAsia="宋体"/>
        </w:rPr>
        <w:t>、住房、车辆等。</w:t>
      </w:r>
    </w:p>
    <w:p w14:paraId="6F30FA64">
      <w:pPr>
        <w:spacing w:line="500" w:lineRule="exact"/>
        <w:ind w:firstLine="424" w:firstLineChars="202"/>
        <w:rPr>
          <w:rFonts w:hint="eastAsia" w:ascii="宋体" w:hAnsi="宋体" w:eastAsia="宋体"/>
        </w:rPr>
      </w:pPr>
      <w:r>
        <w:rPr>
          <w:rFonts w:ascii="宋体" w:hAnsi="宋体" w:eastAsia="宋体"/>
        </w:rPr>
        <w:t>2.</w:t>
      </w:r>
      <w:r>
        <w:rPr>
          <w:rFonts w:hint="eastAsia" w:ascii="宋体" w:hAnsi="宋体" w:eastAsia="宋体"/>
        </w:rPr>
        <w:t>4</w:t>
      </w:r>
      <w:r>
        <w:rPr>
          <w:rFonts w:ascii="宋体" w:hAnsi="宋体" w:eastAsia="宋体"/>
        </w:rPr>
        <w:t>甲方及其工作人员不得以任何理由向乙方推荐分包人、推销材料和工程设备，不得要求乙方购买合同以外的材料和工程设备。</w:t>
      </w:r>
    </w:p>
    <w:p w14:paraId="62DF81DB">
      <w:pPr>
        <w:spacing w:line="500" w:lineRule="exact"/>
        <w:ind w:firstLine="424" w:firstLineChars="202"/>
        <w:rPr>
          <w:rFonts w:hint="eastAsia" w:ascii="宋体" w:hAnsi="宋体" w:eastAsia="宋体"/>
        </w:rPr>
      </w:pPr>
      <w:r>
        <w:rPr>
          <w:rFonts w:ascii="宋体" w:hAnsi="宋体" w:eastAsia="宋体"/>
        </w:rPr>
        <w:t>2.</w:t>
      </w:r>
      <w:r>
        <w:rPr>
          <w:rFonts w:hint="eastAsia" w:ascii="宋体" w:hAnsi="宋体" w:eastAsia="宋体"/>
        </w:rPr>
        <w:t>5</w:t>
      </w:r>
      <w:r>
        <w:rPr>
          <w:rFonts w:ascii="宋体" w:hAnsi="宋体" w:eastAsia="宋体"/>
        </w:rPr>
        <w:t>甲方及其工作人员要秉公办事，不准营私舞弊，不准利用职权私自为合同工程安排</w:t>
      </w:r>
      <w:r>
        <w:rPr>
          <w:rFonts w:hint="eastAsia" w:ascii="宋体" w:hAnsi="宋体" w:eastAsia="宋体"/>
        </w:rPr>
        <w:t>参建</w:t>
      </w:r>
      <w:r>
        <w:rPr>
          <w:rFonts w:ascii="宋体" w:hAnsi="宋体" w:eastAsia="宋体"/>
        </w:rPr>
        <w:t>队伍，也不得从事与合同工程有关的各种有偿中介活动。</w:t>
      </w:r>
    </w:p>
    <w:p w14:paraId="7C7DAE2A">
      <w:pPr>
        <w:spacing w:line="500" w:lineRule="exact"/>
        <w:ind w:firstLine="424" w:firstLineChars="202"/>
        <w:rPr>
          <w:rFonts w:hint="eastAsia" w:ascii="宋体" w:hAnsi="宋体" w:eastAsia="宋体"/>
        </w:rPr>
      </w:pPr>
      <w:r>
        <w:rPr>
          <w:rFonts w:ascii="宋体" w:hAnsi="宋体" w:eastAsia="宋体"/>
        </w:rPr>
        <w:t>2.</w:t>
      </w:r>
      <w:r>
        <w:rPr>
          <w:rFonts w:hint="eastAsia" w:ascii="宋体" w:hAnsi="宋体" w:eastAsia="宋体"/>
        </w:rPr>
        <w:t>6</w:t>
      </w:r>
      <w:r>
        <w:rPr>
          <w:rFonts w:ascii="宋体" w:hAnsi="宋体" w:eastAsia="宋体"/>
        </w:rPr>
        <w:t>甲方及其工作人员（</w:t>
      </w:r>
      <w:r>
        <w:rPr>
          <w:rFonts w:hint="eastAsia" w:ascii="宋体" w:hAnsi="宋体" w:eastAsia="宋体"/>
        </w:rPr>
        <w:t>包括</w:t>
      </w:r>
      <w:r>
        <w:rPr>
          <w:rFonts w:ascii="宋体" w:hAnsi="宋体" w:eastAsia="宋体"/>
        </w:rPr>
        <w:t>配偶、子女及其配偶等）不得从事与合同工程有关的材料和工程设备供应、工程分包、劳务等经济活动。</w:t>
      </w:r>
    </w:p>
    <w:p w14:paraId="507E96A6">
      <w:pPr>
        <w:spacing w:line="500" w:lineRule="exact"/>
        <w:ind w:firstLine="426" w:firstLineChars="202"/>
        <w:rPr>
          <w:rFonts w:hint="eastAsia" w:ascii="宋体" w:hAnsi="宋体" w:eastAsia="宋体"/>
          <w:b/>
          <w:bCs/>
        </w:rPr>
      </w:pPr>
      <w:r>
        <w:rPr>
          <w:rFonts w:ascii="宋体" w:hAnsi="宋体" w:eastAsia="宋体"/>
          <w:b/>
          <w:bCs/>
        </w:rPr>
        <w:t>3</w:t>
      </w:r>
      <w:r>
        <w:rPr>
          <w:rFonts w:hint="eastAsia" w:ascii="宋体" w:hAnsi="宋体" w:eastAsia="宋体"/>
          <w:b/>
          <w:bCs/>
        </w:rPr>
        <w:t>.</w:t>
      </w:r>
      <w:r>
        <w:rPr>
          <w:rFonts w:ascii="宋体" w:hAnsi="宋体" w:eastAsia="宋体"/>
          <w:b/>
          <w:bCs/>
        </w:rPr>
        <w:t>乙方义务</w:t>
      </w:r>
    </w:p>
    <w:p w14:paraId="3D91E998">
      <w:pPr>
        <w:spacing w:line="500" w:lineRule="exact"/>
        <w:ind w:firstLine="424" w:firstLineChars="202"/>
        <w:rPr>
          <w:rFonts w:hint="eastAsia" w:ascii="宋体" w:hAnsi="宋体" w:eastAsia="宋体"/>
        </w:rPr>
      </w:pPr>
      <w:r>
        <w:rPr>
          <w:rFonts w:ascii="宋体" w:hAnsi="宋体" w:eastAsia="宋体"/>
        </w:rPr>
        <w:t>3.1乙方不得以任何理由向甲方及其工作人员行贿或馈赠</w:t>
      </w:r>
      <w:r>
        <w:rPr>
          <w:rFonts w:hint="eastAsia" w:ascii="宋体" w:hAnsi="宋体" w:eastAsia="宋体"/>
        </w:rPr>
        <w:t>礼品、礼金、消费卡（券）和有价证券、股权、其他金融产品等财物。</w:t>
      </w:r>
    </w:p>
    <w:p w14:paraId="0D53046A">
      <w:pPr>
        <w:spacing w:line="500" w:lineRule="exact"/>
        <w:ind w:firstLine="424" w:firstLineChars="202"/>
        <w:rPr>
          <w:rFonts w:hint="eastAsia" w:ascii="宋体" w:hAnsi="宋体" w:eastAsia="宋体"/>
        </w:rPr>
      </w:pPr>
      <w:r>
        <w:rPr>
          <w:rFonts w:ascii="宋体" w:hAnsi="宋体" w:eastAsia="宋体"/>
        </w:rPr>
        <w:t>3.2乙方不得以任何名义为甲方及其工作人员报销应由甲方或其工作人员个人支付的费用。</w:t>
      </w:r>
    </w:p>
    <w:p w14:paraId="3A8DCC56">
      <w:pPr>
        <w:spacing w:line="500" w:lineRule="exact"/>
        <w:ind w:firstLine="424" w:firstLineChars="202"/>
        <w:rPr>
          <w:rFonts w:hint="eastAsia" w:ascii="宋体" w:hAnsi="宋体" w:eastAsia="宋体"/>
        </w:rPr>
      </w:pPr>
      <w:r>
        <w:rPr>
          <w:rFonts w:ascii="宋体" w:hAnsi="宋体" w:eastAsia="宋体"/>
        </w:rPr>
        <w:t>3.3乙方不得以任何理由向甲方及其工作人员</w:t>
      </w:r>
      <w:r>
        <w:rPr>
          <w:rFonts w:hint="eastAsia" w:ascii="宋体" w:hAnsi="宋体" w:eastAsia="宋体"/>
        </w:rPr>
        <w:t>提供</w:t>
      </w:r>
      <w:r>
        <w:rPr>
          <w:rFonts w:ascii="宋体" w:hAnsi="宋体" w:eastAsia="宋体"/>
        </w:rPr>
        <w:t>宴请（工作餐除外）</w:t>
      </w:r>
      <w:r>
        <w:rPr>
          <w:rFonts w:hint="eastAsia" w:ascii="宋体" w:hAnsi="宋体" w:eastAsia="宋体"/>
        </w:rPr>
        <w:t>或者旅游、健身、娱乐等活动安排</w:t>
      </w:r>
      <w:r>
        <w:rPr>
          <w:rFonts w:ascii="宋体" w:hAnsi="宋体" w:eastAsia="宋体"/>
        </w:rPr>
        <w:t>。</w:t>
      </w:r>
    </w:p>
    <w:p w14:paraId="0B20BAA6">
      <w:pPr>
        <w:spacing w:line="500" w:lineRule="exact"/>
        <w:ind w:firstLine="424" w:firstLineChars="202"/>
        <w:rPr>
          <w:rFonts w:hint="eastAsia" w:ascii="宋体" w:hAnsi="宋体" w:eastAsia="宋体"/>
        </w:rPr>
      </w:pPr>
      <w:r>
        <w:rPr>
          <w:rFonts w:ascii="宋体" w:hAnsi="宋体" w:eastAsia="宋体"/>
        </w:rPr>
        <w:t>3.4乙方不得以任何理由为甲方及其工作人员</w:t>
      </w:r>
      <w:r>
        <w:rPr>
          <w:rFonts w:hint="eastAsia" w:ascii="宋体" w:hAnsi="宋体" w:eastAsia="宋体"/>
        </w:rPr>
        <w:t>借用钱款、住房、车辆等。</w:t>
      </w:r>
    </w:p>
    <w:p w14:paraId="411E64CB">
      <w:pPr>
        <w:spacing w:line="500" w:lineRule="exact"/>
        <w:ind w:firstLine="426" w:firstLineChars="202"/>
        <w:rPr>
          <w:rFonts w:hint="eastAsia" w:ascii="宋体" w:hAnsi="宋体" w:eastAsia="宋体"/>
          <w:b/>
          <w:bCs/>
        </w:rPr>
      </w:pPr>
      <w:r>
        <w:rPr>
          <w:rFonts w:ascii="宋体" w:hAnsi="宋体" w:eastAsia="宋体"/>
          <w:b/>
          <w:bCs/>
        </w:rPr>
        <w:t>4</w:t>
      </w:r>
      <w:r>
        <w:rPr>
          <w:rFonts w:hint="eastAsia" w:ascii="宋体" w:hAnsi="宋体" w:eastAsia="宋体"/>
          <w:b/>
          <w:bCs/>
        </w:rPr>
        <w:t>.</w:t>
      </w:r>
      <w:r>
        <w:rPr>
          <w:rFonts w:ascii="宋体" w:hAnsi="宋体" w:eastAsia="宋体"/>
          <w:b/>
          <w:bCs/>
        </w:rPr>
        <w:t>违约责任</w:t>
      </w:r>
    </w:p>
    <w:p w14:paraId="38AA66EC">
      <w:pPr>
        <w:spacing w:line="500" w:lineRule="exact"/>
        <w:ind w:firstLine="424" w:firstLineChars="202"/>
        <w:rPr>
          <w:rFonts w:hint="eastAsia" w:ascii="宋体" w:hAnsi="宋体" w:eastAsia="宋体"/>
        </w:rPr>
      </w:pPr>
      <w:r>
        <w:rPr>
          <w:rFonts w:ascii="宋体" w:hAnsi="宋体" w:eastAsia="宋体"/>
        </w:rPr>
        <w:t>4.1甲方及其工作人员违反本协议第1条和第2条规定，应依据有关规定给予处分；涉嫌违法犯罪的，</w:t>
      </w:r>
      <w:r>
        <w:rPr>
          <w:rFonts w:hint="eastAsia" w:ascii="宋体" w:hAnsi="宋体" w:eastAsia="宋体"/>
        </w:rPr>
        <w:t>移送有关国家机关依法处理</w:t>
      </w:r>
      <w:r>
        <w:rPr>
          <w:rFonts w:ascii="宋体" w:hAnsi="宋体" w:eastAsia="宋体"/>
        </w:rPr>
        <w:t>；给乙方造成经济损失的，应予赔偿。</w:t>
      </w:r>
    </w:p>
    <w:p w14:paraId="4674B37E">
      <w:pPr>
        <w:spacing w:line="500" w:lineRule="exact"/>
        <w:ind w:firstLine="424" w:firstLineChars="202"/>
        <w:rPr>
          <w:rFonts w:hint="eastAsia" w:ascii="宋体" w:hAnsi="宋体" w:eastAsia="宋体"/>
        </w:rPr>
      </w:pPr>
      <w:r>
        <w:rPr>
          <w:rFonts w:ascii="宋体" w:hAnsi="宋体" w:eastAsia="宋体"/>
        </w:rPr>
        <w:t>4.2乙方及其工作人员违反本协议第1条和第3条规定，应按照廉洁</w:t>
      </w:r>
      <w:r>
        <w:rPr>
          <w:rFonts w:hint="eastAsia" w:ascii="宋体" w:hAnsi="宋体" w:eastAsia="宋体"/>
        </w:rPr>
        <w:t>从业</w:t>
      </w:r>
      <w:r>
        <w:rPr>
          <w:rFonts w:ascii="宋体" w:hAnsi="宋体" w:eastAsia="宋体"/>
        </w:rPr>
        <w:t>的有关规定给予处分；情节严重的，给予乙方1</w:t>
      </w:r>
      <w:r>
        <w:rPr>
          <w:rFonts w:hint="eastAsia" w:ascii="宋体" w:hAnsi="宋体" w:eastAsia="宋体"/>
        </w:rPr>
        <w:t>-</w:t>
      </w:r>
      <w:r>
        <w:rPr>
          <w:rFonts w:ascii="宋体" w:hAnsi="宋体" w:eastAsia="宋体"/>
        </w:rPr>
        <w:t>3年内不得进入工程建设市场的处罚；涉嫌违法犯罪的，</w:t>
      </w:r>
      <w:r>
        <w:rPr>
          <w:rFonts w:hint="eastAsia" w:ascii="宋体" w:hAnsi="宋体" w:eastAsia="宋体"/>
        </w:rPr>
        <w:t>移送有关国家机关依法处理</w:t>
      </w:r>
      <w:r>
        <w:rPr>
          <w:rFonts w:ascii="宋体" w:hAnsi="宋体" w:eastAsia="宋体"/>
        </w:rPr>
        <w:t>；给甲方造成损失的，应予赔偿。</w:t>
      </w:r>
    </w:p>
    <w:p w14:paraId="25EAB670">
      <w:pPr>
        <w:spacing w:line="500" w:lineRule="exact"/>
        <w:ind w:firstLine="426" w:firstLineChars="202"/>
        <w:rPr>
          <w:rFonts w:hint="eastAsia" w:ascii="宋体" w:hAnsi="宋体" w:eastAsia="宋体"/>
          <w:b/>
          <w:bCs/>
        </w:rPr>
      </w:pPr>
      <w:r>
        <w:rPr>
          <w:rFonts w:ascii="宋体" w:hAnsi="宋体" w:eastAsia="宋体"/>
          <w:b/>
          <w:bCs/>
        </w:rPr>
        <w:t>5</w:t>
      </w:r>
      <w:r>
        <w:rPr>
          <w:rFonts w:hint="eastAsia" w:ascii="宋体" w:hAnsi="宋体" w:eastAsia="宋体"/>
          <w:b/>
          <w:bCs/>
        </w:rPr>
        <w:t>.其他</w:t>
      </w:r>
      <w:r>
        <w:rPr>
          <w:rFonts w:ascii="宋体" w:hAnsi="宋体" w:eastAsia="宋体"/>
          <w:b/>
          <w:bCs/>
        </w:rPr>
        <w:t>约定</w:t>
      </w:r>
    </w:p>
    <w:p w14:paraId="172321FD">
      <w:pPr>
        <w:spacing w:line="500" w:lineRule="exact"/>
        <w:ind w:firstLine="424" w:firstLineChars="202"/>
        <w:rPr>
          <w:rFonts w:hint="eastAsia" w:ascii="宋体" w:hAnsi="宋体" w:eastAsia="宋体"/>
        </w:rPr>
      </w:pPr>
      <w:r>
        <w:rPr>
          <w:rFonts w:hint="eastAsia" w:ascii="宋体" w:hAnsi="宋体" w:eastAsia="宋体"/>
        </w:rPr>
        <w:t>本协议由双方当事人或其上级部门负责监督执行与检查</w:t>
      </w:r>
      <w:r>
        <w:rPr>
          <w:rFonts w:ascii="宋体" w:hAnsi="宋体" w:eastAsia="宋体"/>
        </w:rPr>
        <w:t>。</w:t>
      </w:r>
    </w:p>
    <w:p w14:paraId="30338ACA">
      <w:pPr>
        <w:spacing w:line="500" w:lineRule="exact"/>
        <w:ind w:firstLine="420"/>
        <w:rPr>
          <w:rFonts w:hint="eastAsia" w:ascii="宋体" w:hAnsi="宋体" w:eastAsia="宋体"/>
        </w:rPr>
      </w:pPr>
      <w:r>
        <w:rPr>
          <w:rFonts w:hint="eastAsia" w:ascii="宋体" w:hAnsi="宋体" w:eastAsia="宋体"/>
        </w:rPr>
        <w:t>举报方式：</w:t>
      </w:r>
      <w:r>
        <w:fldChar w:fldCharType="begin"/>
      </w:r>
      <w:r>
        <w:instrText xml:space="preserve"> HYPERLINK "mailto:ctxzzjjs@163.com" </w:instrText>
      </w:r>
      <w:r>
        <w:fldChar w:fldCharType="separate"/>
      </w:r>
      <w:r>
        <w:rPr>
          <w:rFonts w:ascii="宋体" w:hAnsi="宋体" w:eastAsia="宋体"/>
        </w:rPr>
        <w:t>ctxzzjjs@163.com</w:t>
      </w:r>
      <w:r>
        <w:rPr>
          <w:rFonts w:ascii="宋体" w:hAnsi="宋体" w:eastAsia="宋体"/>
        </w:rPr>
        <w:fldChar w:fldCharType="end"/>
      </w:r>
      <w:r>
        <w:rPr>
          <w:rFonts w:hint="eastAsia" w:ascii="宋体" w:hAnsi="宋体" w:eastAsia="宋体"/>
        </w:rPr>
        <w:t>。</w:t>
      </w:r>
    </w:p>
    <w:p w14:paraId="2ACE18A3">
      <w:pPr>
        <w:spacing w:line="440" w:lineRule="exact"/>
        <w:ind w:firstLine="424" w:firstLineChars="202"/>
        <w:rPr>
          <w:rFonts w:hint="eastAsia" w:ascii="宋体" w:hAnsi="宋体" w:eastAsia="宋体"/>
        </w:rPr>
      </w:pPr>
    </w:p>
    <w:p w14:paraId="11DAEE35">
      <w:pPr>
        <w:spacing w:line="440" w:lineRule="exact"/>
        <w:ind w:firstLine="424" w:firstLineChars="202"/>
        <w:rPr>
          <w:rFonts w:hint="eastAsia" w:ascii="宋体" w:hAnsi="宋体" w:eastAsia="宋体"/>
        </w:rPr>
      </w:pPr>
    </w:p>
    <w:tbl>
      <w:tblPr>
        <w:tblStyle w:val="62"/>
        <w:tblW w:w="0" w:type="auto"/>
        <w:tblInd w:w="0" w:type="dxa"/>
        <w:tblLayout w:type="autofit"/>
        <w:tblCellMar>
          <w:top w:w="0" w:type="dxa"/>
          <w:left w:w="108" w:type="dxa"/>
          <w:bottom w:w="0" w:type="dxa"/>
          <w:right w:w="108" w:type="dxa"/>
        </w:tblCellMar>
      </w:tblPr>
      <w:tblGrid>
        <w:gridCol w:w="4077"/>
        <w:gridCol w:w="4219"/>
      </w:tblGrid>
      <w:tr w14:paraId="32B5ACAF">
        <w:tblPrEx>
          <w:tblCellMar>
            <w:top w:w="0" w:type="dxa"/>
            <w:left w:w="108" w:type="dxa"/>
            <w:bottom w:w="0" w:type="dxa"/>
            <w:right w:w="108" w:type="dxa"/>
          </w:tblCellMar>
        </w:tblPrEx>
        <w:tc>
          <w:tcPr>
            <w:tcW w:w="4077" w:type="dxa"/>
          </w:tcPr>
          <w:p w14:paraId="556EC535">
            <w:pPr>
              <w:rPr>
                <w:rFonts w:hint="eastAsia" w:ascii="宋体" w:hAnsi="宋体" w:eastAsia="宋体"/>
                <w:sz w:val="24"/>
                <w:szCs w:val="28"/>
              </w:rPr>
            </w:pPr>
            <w:r>
              <w:rPr>
                <w:rFonts w:hint="eastAsia" w:ascii="宋体" w:hAnsi="宋体" w:eastAsia="宋体"/>
                <w:sz w:val="24"/>
                <w:szCs w:val="28"/>
              </w:rPr>
              <w:t>甲方</w:t>
            </w:r>
            <w:r>
              <w:rPr>
                <w:rFonts w:ascii="宋体" w:hAnsi="宋体" w:eastAsia="宋体"/>
                <w:sz w:val="24"/>
                <w:szCs w:val="28"/>
              </w:rPr>
              <w:t>：</w:t>
            </w:r>
            <w:r>
              <w:rPr>
                <w:rFonts w:hint="eastAsia" w:ascii="宋体" w:hAnsi="宋体" w:eastAsia="宋体"/>
                <w:sz w:val="24"/>
                <w:szCs w:val="28"/>
              </w:rPr>
              <w:t>广州新中轴建设有限公司</w:t>
            </w:r>
          </w:p>
          <w:p w14:paraId="15409413">
            <w:pPr>
              <w:rPr>
                <w:rFonts w:hint="eastAsia" w:ascii="宋体" w:hAnsi="宋体" w:eastAsia="宋体"/>
                <w:sz w:val="24"/>
                <w:szCs w:val="28"/>
              </w:rPr>
            </w:pPr>
            <w:r>
              <w:rPr>
                <w:rFonts w:ascii="宋体" w:hAnsi="宋体" w:eastAsia="宋体"/>
                <w:sz w:val="24"/>
                <w:szCs w:val="28"/>
              </w:rPr>
              <w:t>（盖章）</w:t>
            </w:r>
          </w:p>
          <w:p w14:paraId="334A5F0B">
            <w:pPr>
              <w:rPr>
                <w:rFonts w:hint="eastAsia" w:ascii="宋体" w:hAnsi="宋体" w:eastAsia="宋体"/>
                <w:sz w:val="24"/>
                <w:szCs w:val="28"/>
              </w:rPr>
            </w:pPr>
          </w:p>
          <w:p w14:paraId="11666B9A">
            <w:pPr>
              <w:rPr>
                <w:rFonts w:hint="eastAsia" w:ascii="宋体" w:hAnsi="宋体" w:eastAsia="宋体"/>
                <w:sz w:val="24"/>
                <w:szCs w:val="28"/>
              </w:rPr>
            </w:pPr>
          </w:p>
        </w:tc>
        <w:tc>
          <w:tcPr>
            <w:tcW w:w="4219" w:type="dxa"/>
          </w:tcPr>
          <w:p w14:paraId="17199C1F">
            <w:pPr>
              <w:rPr>
                <w:rFonts w:hint="eastAsia" w:ascii="宋体" w:hAnsi="宋体" w:eastAsia="宋体"/>
                <w:sz w:val="24"/>
                <w:szCs w:val="28"/>
              </w:rPr>
            </w:pPr>
            <w:r>
              <w:rPr>
                <w:rFonts w:ascii="宋体" w:hAnsi="宋体" w:eastAsia="宋体"/>
                <w:sz w:val="24"/>
                <w:szCs w:val="28"/>
              </w:rPr>
              <w:t>乙方：</w:t>
            </w:r>
            <w:r>
              <w:rPr>
                <w:rFonts w:hint="eastAsia" w:ascii="宋体" w:hAnsi="宋体" w:eastAsia="宋体"/>
                <w:sz w:val="24"/>
                <w:szCs w:val="28"/>
              </w:rPr>
              <w:t>【承包人单位名称】</w:t>
            </w:r>
          </w:p>
          <w:p w14:paraId="758B2502">
            <w:pPr>
              <w:rPr>
                <w:rFonts w:hint="eastAsia" w:ascii="宋体" w:hAnsi="宋体" w:eastAsia="宋体"/>
                <w:sz w:val="24"/>
                <w:szCs w:val="28"/>
              </w:rPr>
            </w:pPr>
            <w:r>
              <w:rPr>
                <w:rFonts w:ascii="宋体" w:hAnsi="宋体" w:eastAsia="宋体"/>
                <w:sz w:val="24"/>
                <w:szCs w:val="28"/>
              </w:rPr>
              <w:t>（盖章）</w:t>
            </w:r>
          </w:p>
          <w:p w14:paraId="2D515C54">
            <w:pPr>
              <w:rPr>
                <w:rFonts w:hint="eastAsia" w:ascii="宋体" w:hAnsi="宋体" w:eastAsia="宋体"/>
                <w:sz w:val="24"/>
                <w:szCs w:val="28"/>
              </w:rPr>
            </w:pPr>
          </w:p>
          <w:p w14:paraId="0206EFD9">
            <w:pPr>
              <w:rPr>
                <w:rFonts w:hint="eastAsia" w:ascii="宋体" w:hAnsi="宋体" w:eastAsia="宋体"/>
                <w:sz w:val="24"/>
                <w:szCs w:val="28"/>
              </w:rPr>
            </w:pPr>
          </w:p>
        </w:tc>
      </w:tr>
      <w:tr w14:paraId="083FF17F">
        <w:tblPrEx>
          <w:tblCellMar>
            <w:top w:w="0" w:type="dxa"/>
            <w:left w:w="108" w:type="dxa"/>
            <w:bottom w:w="0" w:type="dxa"/>
            <w:right w:w="108" w:type="dxa"/>
          </w:tblCellMar>
        </w:tblPrEx>
        <w:tc>
          <w:tcPr>
            <w:tcW w:w="4077" w:type="dxa"/>
          </w:tcPr>
          <w:p w14:paraId="6A1B4EAF">
            <w:pPr>
              <w:rPr>
                <w:rFonts w:hint="eastAsia" w:ascii="宋体" w:hAnsi="宋体" w:eastAsia="宋体"/>
                <w:sz w:val="24"/>
                <w:szCs w:val="28"/>
              </w:rPr>
            </w:pPr>
            <w:r>
              <w:rPr>
                <w:rFonts w:hint="eastAsia" w:ascii="宋体" w:hAnsi="宋体" w:eastAsia="宋体"/>
                <w:sz w:val="24"/>
                <w:szCs w:val="28"/>
              </w:rPr>
              <w:t>负责人：</w:t>
            </w:r>
          </w:p>
          <w:p w14:paraId="6A856CAC">
            <w:pPr>
              <w:rPr>
                <w:rFonts w:hint="eastAsia" w:ascii="宋体" w:hAnsi="宋体" w:eastAsia="宋体"/>
                <w:sz w:val="24"/>
                <w:szCs w:val="28"/>
              </w:rPr>
            </w:pPr>
            <w:r>
              <w:rPr>
                <w:rFonts w:hint="eastAsia" w:ascii="宋体" w:hAnsi="宋体" w:eastAsia="宋体"/>
                <w:sz w:val="24"/>
                <w:szCs w:val="28"/>
              </w:rPr>
              <w:t>（签字）</w:t>
            </w:r>
          </w:p>
          <w:p w14:paraId="7A5F5B1A">
            <w:pPr>
              <w:rPr>
                <w:rFonts w:hint="eastAsia" w:ascii="宋体" w:hAnsi="宋体" w:eastAsia="宋体"/>
                <w:sz w:val="24"/>
                <w:szCs w:val="28"/>
              </w:rPr>
            </w:pPr>
          </w:p>
        </w:tc>
        <w:tc>
          <w:tcPr>
            <w:tcW w:w="4219" w:type="dxa"/>
          </w:tcPr>
          <w:p w14:paraId="05B8E779">
            <w:pPr>
              <w:rPr>
                <w:rFonts w:hint="eastAsia" w:ascii="宋体" w:hAnsi="宋体" w:eastAsia="宋体"/>
                <w:sz w:val="24"/>
                <w:szCs w:val="28"/>
              </w:rPr>
            </w:pPr>
            <w:r>
              <w:rPr>
                <w:rFonts w:hint="eastAsia" w:ascii="宋体" w:hAnsi="宋体" w:eastAsia="宋体"/>
                <w:sz w:val="24"/>
                <w:szCs w:val="28"/>
              </w:rPr>
              <w:t>负责人：</w:t>
            </w:r>
          </w:p>
          <w:p w14:paraId="6226FE02">
            <w:pPr>
              <w:rPr>
                <w:rFonts w:hint="eastAsia" w:ascii="宋体" w:hAnsi="宋体" w:eastAsia="宋体"/>
                <w:sz w:val="24"/>
                <w:szCs w:val="28"/>
              </w:rPr>
            </w:pPr>
            <w:r>
              <w:rPr>
                <w:rFonts w:hint="eastAsia" w:ascii="宋体" w:hAnsi="宋体" w:eastAsia="宋体"/>
                <w:sz w:val="24"/>
                <w:szCs w:val="28"/>
              </w:rPr>
              <w:t>（签字）</w:t>
            </w:r>
          </w:p>
          <w:p w14:paraId="6194EFED">
            <w:pPr>
              <w:rPr>
                <w:rFonts w:hint="eastAsia" w:ascii="宋体" w:hAnsi="宋体" w:eastAsia="宋体"/>
                <w:sz w:val="24"/>
                <w:szCs w:val="28"/>
              </w:rPr>
            </w:pPr>
          </w:p>
        </w:tc>
      </w:tr>
      <w:bookmarkEnd w:id="1625"/>
    </w:tbl>
    <w:p w14:paraId="21509F6D">
      <w:pPr>
        <w:ind w:firstLine="424" w:firstLineChars="202"/>
        <w:rPr>
          <w:rFonts w:hint="eastAsia" w:ascii="宋体" w:hAnsi="宋体" w:eastAsia="宋体"/>
        </w:rPr>
      </w:pPr>
    </w:p>
    <w:p w14:paraId="2362A6D0">
      <w:pPr>
        <w:adjustRightInd w:val="0"/>
        <w:snapToGrid w:val="0"/>
        <w:spacing w:line="360" w:lineRule="auto"/>
        <w:ind w:right="11"/>
        <w:rPr>
          <w:rFonts w:hint="eastAsia" w:ascii="宋体" w:hAnsi="宋体" w:eastAsia="宋体" w:cs="宋体"/>
          <w:snapToGrid w:val="0"/>
          <w:kern w:val="0"/>
          <w:sz w:val="24"/>
        </w:rPr>
      </w:pPr>
    </w:p>
    <w:p w14:paraId="17800F52">
      <w:pPr>
        <w:adjustRightInd w:val="0"/>
        <w:snapToGrid w:val="0"/>
        <w:spacing w:line="360" w:lineRule="auto"/>
        <w:ind w:right="11"/>
        <w:jc w:val="left"/>
        <w:rPr>
          <w:rFonts w:hint="eastAsia" w:ascii="宋体" w:hAnsi="宋体" w:eastAsia="宋体" w:cs="宋体"/>
          <w:snapToGrid w:val="0"/>
          <w:kern w:val="0"/>
          <w:sz w:val="24"/>
        </w:rPr>
      </w:pPr>
      <w:r>
        <w:rPr>
          <w:rFonts w:hint="eastAsia" w:ascii="黑体" w:hAnsi="黑体"/>
          <w:sz w:val="24"/>
        </w:rPr>
        <w:t>签署日期：2025年   月   日</w:t>
      </w:r>
    </w:p>
    <w:p w14:paraId="419469AA">
      <w:pPr>
        <w:pStyle w:val="403"/>
        <w:spacing w:line="460" w:lineRule="exact"/>
        <w:rPr>
          <w:rFonts w:hint="eastAsia" w:eastAsia="宋体" w:cs="宋体"/>
          <w:snapToGrid w:val="0"/>
        </w:rPr>
      </w:pPr>
    </w:p>
    <w:p w14:paraId="00CDF651">
      <w:pPr>
        <w:pStyle w:val="403"/>
        <w:spacing w:line="460" w:lineRule="exact"/>
        <w:rPr>
          <w:rFonts w:hint="eastAsia" w:eastAsia="宋体" w:cs="宋体"/>
          <w:snapToGrid w:val="0"/>
        </w:rPr>
        <w:sectPr>
          <w:pgSz w:w="11906" w:h="16838"/>
          <w:pgMar w:top="1417" w:right="1531" w:bottom="1304" w:left="1531" w:header="851" w:footer="992" w:gutter="0"/>
          <w:cols w:space="720" w:num="1"/>
          <w:docGrid w:linePitch="312" w:charSpace="0"/>
        </w:sectPr>
      </w:pPr>
    </w:p>
    <w:p w14:paraId="53198BAE">
      <w:pPr>
        <w:pStyle w:val="5"/>
        <w:rPr>
          <w:rFonts w:hint="eastAsia" w:ascii="宋体" w:hAnsi="宋体" w:eastAsia="宋体" w:cs="宋体"/>
          <w:bCs/>
        </w:rPr>
      </w:pPr>
      <w:bookmarkStart w:id="1631" w:name="_Toc27231"/>
      <w:bookmarkStart w:id="1632" w:name="_Toc176268772"/>
      <w:bookmarkStart w:id="1633" w:name="_Toc198803839"/>
      <w:r>
        <w:rPr>
          <w:rFonts w:hint="eastAsia" w:ascii="宋体" w:hAnsi="宋体" w:eastAsia="宋体" w:cs="宋体"/>
          <w:bCs/>
        </w:rPr>
        <w:t>附件6：保密协议</w:t>
      </w:r>
      <w:bookmarkEnd w:id="1631"/>
      <w:bookmarkEnd w:id="1632"/>
      <w:bookmarkEnd w:id="1633"/>
    </w:p>
    <w:p w14:paraId="173DAAA7">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为做好海心沙体验中心项目智能展示工程勘察设计采购施工总承包（EPC）合同的</w:t>
      </w:r>
      <w:r>
        <w:rPr>
          <w:rFonts w:ascii="宋体" w:hAnsi="宋体" w:eastAsia="宋体"/>
          <w:sz w:val="28"/>
          <w:szCs w:val="28"/>
        </w:rPr>
        <w:t>保密</w:t>
      </w:r>
      <w:r>
        <w:rPr>
          <w:rFonts w:hint="eastAsia" w:ascii="宋体" w:hAnsi="宋体" w:eastAsia="宋体"/>
          <w:sz w:val="28"/>
          <w:szCs w:val="28"/>
        </w:rPr>
        <w:t>工作</w:t>
      </w:r>
      <w:r>
        <w:rPr>
          <w:rFonts w:ascii="宋体" w:hAnsi="宋体" w:eastAsia="宋体"/>
          <w:sz w:val="28"/>
          <w:szCs w:val="28"/>
        </w:rPr>
        <w:t>，乙方同意遵守下列保密条款：</w:t>
      </w:r>
    </w:p>
    <w:p w14:paraId="5D5B79C9">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一、保密信息的范围</w:t>
      </w:r>
    </w:p>
    <w:p w14:paraId="37F00F76">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保密信息”在本保密协议中是指乙方在为甲方提供服务工作的过程中所获取的重要工作信息。该保密信息包括但不限于投资计划、项目规模、项目计划、项目相关数据和图纸、招标文件资料及信息、合同、价格、成本、研究报告、会议资料和文件。</w:t>
      </w:r>
    </w:p>
    <w:p w14:paraId="0668A258">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不论以何种形式或载于何种载体，无论在披露时是否以口头、图像或以书面方式表明其具有保密性，都视为甲方的保密信息。</w:t>
      </w:r>
    </w:p>
    <w:p w14:paraId="31EBD57A">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二、乙方的保密义务</w:t>
      </w:r>
    </w:p>
    <w:p w14:paraId="75359CB5">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乙方对已知悉的甲方保密信息，在此同意：</w:t>
      </w:r>
    </w:p>
    <w:p w14:paraId="17AAE450">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（一）未经甲方事前书面批准，不论服务期间或以后，乙方及其工作人员不得以任何方式向任何第三方泄漏甲方的保密信息。</w:t>
      </w:r>
    </w:p>
    <w:p w14:paraId="1BA13387">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（二）一旦服务工作终止，乙方及其工作人员将退还保存的属于甲方的所有机密资料，如方案、制度、报告、合同等。</w:t>
      </w:r>
    </w:p>
    <w:p w14:paraId="5D312580">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（三）严守机密，并采取所有保密措施保护保密信息。</w:t>
      </w:r>
    </w:p>
    <w:p w14:paraId="05E9A091">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三、保密期限</w:t>
      </w:r>
    </w:p>
    <w:p w14:paraId="48980720">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保密期限包括但不限于：从获知甲方保密信息时起，至保密信息已由甲方通过合法途径让普通公众知悉时止。</w:t>
      </w:r>
    </w:p>
    <w:p w14:paraId="50729B52">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四、违约责任</w:t>
      </w:r>
    </w:p>
    <w:p w14:paraId="0FE6B549">
      <w:pPr>
        <w:spacing w:line="600" w:lineRule="exact"/>
        <w:ind w:firstLine="565" w:firstLineChars="202"/>
        <w:rPr>
          <w:rFonts w:hint="eastAsia" w:ascii="宋体" w:hAnsi="宋体" w:eastAsia="宋体"/>
          <w:sz w:val="28"/>
          <w:szCs w:val="28"/>
        </w:rPr>
      </w:pPr>
      <w:r>
        <w:rPr>
          <w:rFonts w:hint="eastAsia" w:ascii="宋体" w:hAnsi="宋体" w:eastAsia="宋体"/>
          <w:sz w:val="28"/>
          <w:szCs w:val="28"/>
        </w:rPr>
        <w:t>乙方违反本保密协议约定，要承担违约责任，甲方有权通过任何合理方式追究乙方的责任并终止服务合同。造成损失的，甲方有权要求乙方进行赔偿或追究乙方的法律责任。</w:t>
      </w:r>
    </w:p>
    <w:p w14:paraId="6BB5FCC0">
      <w:pPr>
        <w:spacing w:line="440" w:lineRule="exact"/>
        <w:ind w:firstLine="424" w:firstLineChars="202"/>
        <w:rPr>
          <w:rFonts w:hint="eastAsia" w:ascii="宋体" w:hAnsi="宋体" w:eastAsia="宋体"/>
        </w:rPr>
      </w:pPr>
    </w:p>
    <w:p w14:paraId="39ADF6B1">
      <w:pPr>
        <w:spacing w:line="440" w:lineRule="exact"/>
        <w:ind w:firstLine="424" w:firstLineChars="202"/>
        <w:rPr>
          <w:rFonts w:hint="eastAsia" w:ascii="宋体" w:hAnsi="宋体" w:eastAsia="宋体"/>
        </w:rPr>
      </w:pPr>
    </w:p>
    <w:tbl>
      <w:tblPr>
        <w:tblStyle w:val="62"/>
        <w:tblW w:w="0" w:type="auto"/>
        <w:tblInd w:w="0" w:type="dxa"/>
        <w:tblLayout w:type="autofit"/>
        <w:tblCellMar>
          <w:top w:w="0" w:type="dxa"/>
          <w:left w:w="108" w:type="dxa"/>
          <w:bottom w:w="0" w:type="dxa"/>
          <w:right w:w="108" w:type="dxa"/>
        </w:tblCellMar>
      </w:tblPr>
      <w:tblGrid>
        <w:gridCol w:w="4077"/>
        <w:gridCol w:w="4219"/>
      </w:tblGrid>
      <w:tr w14:paraId="35732FE2">
        <w:tblPrEx>
          <w:tblCellMar>
            <w:top w:w="0" w:type="dxa"/>
            <w:left w:w="108" w:type="dxa"/>
            <w:bottom w:w="0" w:type="dxa"/>
            <w:right w:w="108" w:type="dxa"/>
          </w:tblCellMar>
        </w:tblPrEx>
        <w:tc>
          <w:tcPr>
            <w:tcW w:w="4077" w:type="dxa"/>
          </w:tcPr>
          <w:p w14:paraId="0FE4EED6">
            <w:pPr>
              <w:rPr>
                <w:rFonts w:hint="eastAsia" w:ascii="宋体" w:hAnsi="宋体" w:eastAsia="宋体"/>
                <w:sz w:val="24"/>
                <w:szCs w:val="28"/>
              </w:rPr>
            </w:pPr>
            <w:r>
              <w:rPr>
                <w:rFonts w:hint="eastAsia" w:ascii="宋体" w:hAnsi="宋体" w:eastAsia="宋体"/>
                <w:sz w:val="24"/>
                <w:szCs w:val="28"/>
              </w:rPr>
              <w:t>甲方</w:t>
            </w:r>
            <w:r>
              <w:rPr>
                <w:rFonts w:ascii="宋体" w:hAnsi="宋体" w:eastAsia="宋体"/>
                <w:sz w:val="24"/>
                <w:szCs w:val="28"/>
              </w:rPr>
              <w:t>：</w:t>
            </w:r>
            <w:r>
              <w:rPr>
                <w:rFonts w:hint="eastAsia" w:ascii="宋体" w:hAnsi="宋体" w:eastAsia="宋体"/>
                <w:sz w:val="24"/>
                <w:szCs w:val="28"/>
              </w:rPr>
              <w:t>广州新中轴建设有限公司</w:t>
            </w:r>
          </w:p>
          <w:p w14:paraId="1D57303B">
            <w:pPr>
              <w:rPr>
                <w:rFonts w:hint="eastAsia" w:ascii="宋体" w:hAnsi="宋体" w:eastAsia="宋体"/>
                <w:sz w:val="24"/>
                <w:szCs w:val="28"/>
              </w:rPr>
            </w:pPr>
            <w:r>
              <w:rPr>
                <w:rFonts w:ascii="宋体" w:hAnsi="宋体" w:eastAsia="宋体"/>
                <w:sz w:val="24"/>
                <w:szCs w:val="28"/>
              </w:rPr>
              <w:t>（盖章）</w:t>
            </w:r>
          </w:p>
          <w:p w14:paraId="2471090A">
            <w:pPr>
              <w:rPr>
                <w:rFonts w:hint="eastAsia" w:ascii="宋体" w:hAnsi="宋体" w:eastAsia="宋体"/>
                <w:sz w:val="24"/>
                <w:szCs w:val="28"/>
              </w:rPr>
            </w:pPr>
          </w:p>
          <w:p w14:paraId="7797E0F6">
            <w:pPr>
              <w:rPr>
                <w:rFonts w:hint="eastAsia" w:ascii="宋体" w:hAnsi="宋体" w:eastAsia="宋体"/>
                <w:sz w:val="24"/>
                <w:szCs w:val="28"/>
              </w:rPr>
            </w:pPr>
          </w:p>
        </w:tc>
        <w:tc>
          <w:tcPr>
            <w:tcW w:w="4219" w:type="dxa"/>
          </w:tcPr>
          <w:p w14:paraId="5BC6EB9A">
            <w:pPr>
              <w:rPr>
                <w:rFonts w:hint="eastAsia" w:ascii="宋体" w:hAnsi="宋体" w:eastAsia="宋体"/>
                <w:sz w:val="24"/>
                <w:szCs w:val="28"/>
              </w:rPr>
            </w:pPr>
            <w:r>
              <w:rPr>
                <w:rFonts w:ascii="宋体" w:hAnsi="宋体" w:eastAsia="宋体"/>
                <w:sz w:val="24"/>
                <w:szCs w:val="28"/>
              </w:rPr>
              <w:t>乙方：</w:t>
            </w:r>
            <w:r>
              <w:rPr>
                <w:rFonts w:hint="eastAsia" w:ascii="宋体" w:hAnsi="宋体" w:eastAsia="宋体"/>
                <w:sz w:val="24"/>
                <w:szCs w:val="28"/>
              </w:rPr>
              <w:t>【承包人单位名称】</w:t>
            </w:r>
          </w:p>
          <w:p w14:paraId="20B0F172">
            <w:pPr>
              <w:rPr>
                <w:rFonts w:hint="eastAsia" w:ascii="宋体" w:hAnsi="宋体" w:eastAsia="宋体"/>
                <w:sz w:val="24"/>
                <w:szCs w:val="28"/>
              </w:rPr>
            </w:pPr>
            <w:r>
              <w:rPr>
                <w:rFonts w:ascii="宋体" w:hAnsi="宋体" w:eastAsia="宋体"/>
                <w:sz w:val="24"/>
                <w:szCs w:val="28"/>
              </w:rPr>
              <w:t>（盖章）</w:t>
            </w:r>
          </w:p>
          <w:p w14:paraId="55328788">
            <w:pPr>
              <w:rPr>
                <w:rFonts w:hint="eastAsia" w:ascii="宋体" w:hAnsi="宋体" w:eastAsia="宋体"/>
                <w:sz w:val="24"/>
                <w:szCs w:val="28"/>
              </w:rPr>
            </w:pPr>
          </w:p>
          <w:p w14:paraId="278B14EA">
            <w:pPr>
              <w:rPr>
                <w:rFonts w:hint="eastAsia" w:ascii="宋体" w:hAnsi="宋体" w:eastAsia="宋体"/>
                <w:sz w:val="24"/>
                <w:szCs w:val="28"/>
              </w:rPr>
            </w:pPr>
          </w:p>
        </w:tc>
      </w:tr>
      <w:tr w14:paraId="18EB3F26">
        <w:tblPrEx>
          <w:tblCellMar>
            <w:top w:w="0" w:type="dxa"/>
            <w:left w:w="108" w:type="dxa"/>
            <w:bottom w:w="0" w:type="dxa"/>
            <w:right w:w="108" w:type="dxa"/>
          </w:tblCellMar>
        </w:tblPrEx>
        <w:tc>
          <w:tcPr>
            <w:tcW w:w="4077" w:type="dxa"/>
          </w:tcPr>
          <w:p w14:paraId="68F98372">
            <w:pPr>
              <w:rPr>
                <w:rFonts w:hint="eastAsia" w:ascii="宋体" w:hAnsi="宋体" w:eastAsia="宋体"/>
                <w:sz w:val="24"/>
                <w:szCs w:val="28"/>
              </w:rPr>
            </w:pPr>
            <w:r>
              <w:rPr>
                <w:rFonts w:hint="eastAsia" w:ascii="宋体" w:hAnsi="宋体" w:eastAsia="宋体"/>
                <w:sz w:val="24"/>
                <w:szCs w:val="28"/>
              </w:rPr>
              <w:t>负责人：</w:t>
            </w:r>
          </w:p>
          <w:p w14:paraId="2C394910">
            <w:pPr>
              <w:rPr>
                <w:rFonts w:hint="eastAsia" w:ascii="宋体" w:hAnsi="宋体" w:eastAsia="宋体"/>
                <w:sz w:val="24"/>
                <w:szCs w:val="28"/>
              </w:rPr>
            </w:pPr>
            <w:r>
              <w:rPr>
                <w:rFonts w:hint="eastAsia" w:ascii="宋体" w:hAnsi="宋体" w:eastAsia="宋体"/>
                <w:sz w:val="24"/>
                <w:szCs w:val="28"/>
              </w:rPr>
              <w:t>（签字）</w:t>
            </w:r>
          </w:p>
          <w:p w14:paraId="6011F8B4">
            <w:pPr>
              <w:rPr>
                <w:rFonts w:hint="eastAsia" w:ascii="宋体" w:hAnsi="宋体" w:eastAsia="宋体"/>
                <w:sz w:val="24"/>
                <w:szCs w:val="28"/>
              </w:rPr>
            </w:pPr>
          </w:p>
        </w:tc>
        <w:tc>
          <w:tcPr>
            <w:tcW w:w="4219" w:type="dxa"/>
          </w:tcPr>
          <w:p w14:paraId="2DE864F7">
            <w:pPr>
              <w:rPr>
                <w:rFonts w:hint="eastAsia" w:ascii="宋体" w:hAnsi="宋体" w:eastAsia="宋体"/>
                <w:sz w:val="24"/>
                <w:szCs w:val="28"/>
              </w:rPr>
            </w:pPr>
            <w:r>
              <w:rPr>
                <w:rFonts w:hint="eastAsia" w:ascii="宋体" w:hAnsi="宋体" w:eastAsia="宋体"/>
                <w:sz w:val="24"/>
                <w:szCs w:val="28"/>
              </w:rPr>
              <w:t>负责人：</w:t>
            </w:r>
          </w:p>
          <w:p w14:paraId="713F3712">
            <w:pPr>
              <w:rPr>
                <w:rFonts w:hint="eastAsia" w:ascii="宋体" w:hAnsi="宋体" w:eastAsia="宋体"/>
                <w:sz w:val="24"/>
                <w:szCs w:val="28"/>
              </w:rPr>
            </w:pPr>
            <w:r>
              <w:rPr>
                <w:rFonts w:hint="eastAsia" w:ascii="宋体" w:hAnsi="宋体" w:eastAsia="宋体"/>
                <w:sz w:val="24"/>
                <w:szCs w:val="28"/>
              </w:rPr>
              <w:t>（签字）</w:t>
            </w:r>
          </w:p>
          <w:p w14:paraId="51D6E2A2">
            <w:pPr>
              <w:rPr>
                <w:rFonts w:hint="eastAsia" w:ascii="宋体" w:hAnsi="宋体" w:eastAsia="宋体"/>
                <w:sz w:val="24"/>
                <w:szCs w:val="28"/>
              </w:rPr>
            </w:pPr>
          </w:p>
        </w:tc>
      </w:tr>
    </w:tbl>
    <w:p w14:paraId="40D0AA79">
      <w:pPr>
        <w:ind w:firstLine="424" w:firstLineChars="202"/>
        <w:rPr>
          <w:rFonts w:hint="eastAsia" w:ascii="宋体" w:hAnsi="宋体" w:eastAsia="宋体"/>
        </w:rPr>
      </w:pPr>
    </w:p>
    <w:p w14:paraId="4B9CAEA1">
      <w:pPr>
        <w:pStyle w:val="17"/>
        <w:spacing w:line="440" w:lineRule="exact"/>
        <w:ind w:firstLine="640"/>
        <w:rPr>
          <w:rFonts w:hint="eastAsia" w:ascii="宋体" w:hAnsi="宋体" w:eastAsia="宋体" w:cs="宋体"/>
          <w:bCs/>
          <w:snapToGrid w:val="0"/>
          <w:kern w:val="0"/>
          <w:sz w:val="32"/>
          <w:szCs w:val="32"/>
        </w:rPr>
      </w:pPr>
    </w:p>
    <w:tbl>
      <w:tblPr>
        <w:tblStyle w:val="62"/>
        <w:tblW w:w="0" w:type="auto"/>
        <w:tblInd w:w="0" w:type="dxa"/>
        <w:tblLayout w:type="autofit"/>
        <w:tblCellMar>
          <w:top w:w="0" w:type="dxa"/>
          <w:left w:w="108" w:type="dxa"/>
          <w:bottom w:w="0" w:type="dxa"/>
          <w:right w:w="108" w:type="dxa"/>
        </w:tblCellMar>
      </w:tblPr>
      <w:tblGrid>
        <w:gridCol w:w="4077"/>
        <w:gridCol w:w="4219"/>
      </w:tblGrid>
      <w:tr w14:paraId="0D1B33E3">
        <w:tblPrEx>
          <w:tblCellMar>
            <w:top w:w="0" w:type="dxa"/>
            <w:left w:w="108" w:type="dxa"/>
            <w:bottom w:w="0" w:type="dxa"/>
            <w:right w:w="108" w:type="dxa"/>
          </w:tblCellMar>
        </w:tblPrEx>
        <w:tc>
          <w:tcPr>
            <w:tcW w:w="4077" w:type="dxa"/>
          </w:tcPr>
          <w:p w14:paraId="566DDCA6">
            <w:pPr>
              <w:rPr>
                <w:rFonts w:hint="eastAsia" w:ascii="宋体" w:hAnsi="宋体" w:eastAsia="宋体"/>
                <w:sz w:val="24"/>
                <w:szCs w:val="28"/>
              </w:rPr>
            </w:pPr>
          </w:p>
        </w:tc>
        <w:tc>
          <w:tcPr>
            <w:tcW w:w="4219" w:type="dxa"/>
          </w:tcPr>
          <w:p w14:paraId="4A719DBE">
            <w:pPr>
              <w:rPr>
                <w:rFonts w:hint="eastAsia" w:ascii="宋体" w:hAnsi="宋体" w:eastAsia="宋体"/>
                <w:sz w:val="24"/>
                <w:szCs w:val="28"/>
              </w:rPr>
            </w:pPr>
          </w:p>
        </w:tc>
      </w:tr>
      <w:tr w14:paraId="1F721D28">
        <w:tblPrEx>
          <w:tblCellMar>
            <w:top w:w="0" w:type="dxa"/>
            <w:left w:w="108" w:type="dxa"/>
            <w:bottom w:w="0" w:type="dxa"/>
            <w:right w:w="108" w:type="dxa"/>
          </w:tblCellMar>
        </w:tblPrEx>
        <w:tc>
          <w:tcPr>
            <w:tcW w:w="4077" w:type="dxa"/>
          </w:tcPr>
          <w:p w14:paraId="10124FAA">
            <w:pPr>
              <w:rPr>
                <w:rFonts w:hint="eastAsia" w:ascii="宋体" w:hAnsi="宋体" w:eastAsia="宋体"/>
                <w:sz w:val="24"/>
                <w:szCs w:val="28"/>
              </w:rPr>
            </w:pPr>
            <w:r>
              <w:rPr>
                <w:rFonts w:hint="eastAsia" w:ascii="黑体" w:hAnsi="黑体"/>
                <w:sz w:val="24"/>
              </w:rPr>
              <w:t>签署日期：2025年   月   日</w:t>
            </w:r>
          </w:p>
        </w:tc>
        <w:tc>
          <w:tcPr>
            <w:tcW w:w="4219" w:type="dxa"/>
          </w:tcPr>
          <w:p w14:paraId="7C4373A8">
            <w:pPr>
              <w:rPr>
                <w:rFonts w:hint="eastAsia" w:ascii="宋体" w:hAnsi="宋体" w:eastAsia="宋体"/>
                <w:sz w:val="24"/>
                <w:szCs w:val="28"/>
              </w:rPr>
            </w:pPr>
          </w:p>
        </w:tc>
      </w:tr>
    </w:tbl>
    <w:p w14:paraId="30A42AAE">
      <w:pPr>
        <w:adjustRightInd w:val="0"/>
        <w:snapToGrid w:val="0"/>
        <w:spacing w:line="360" w:lineRule="auto"/>
        <w:ind w:right="11"/>
        <w:rPr>
          <w:rFonts w:hint="eastAsia" w:ascii="宋体" w:hAnsi="宋体" w:eastAsia="宋体" w:cs="宋体"/>
          <w:snapToGrid w:val="0"/>
          <w:kern w:val="0"/>
          <w:sz w:val="24"/>
        </w:rPr>
      </w:pPr>
    </w:p>
    <w:p w14:paraId="1A1B1040">
      <w:pPr>
        <w:adjustRightInd w:val="0"/>
        <w:snapToGrid w:val="0"/>
        <w:spacing w:line="360" w:lineRule="auto"/>
        <w:ind w:right="11"/>
        <w:jc w:val="left"/>
        <w:rPr>
          <w:rFonts w:hint="eastAsia" w:ascii="宋体" w:hAnsi="宋体" w:eastAsia="宋体" w:cs="宋体"/>
          <w:snapToGrid w:val="0"/>
          <w:kern w:val="0"/>
          <w:sz w:val="24"/>
        </w:rPr>
      </w:pPr>
    </w:p>
    <w:p w14:paraId="180D7CBF">
      <w:pPr>
        <w:adjustRightInd w:val="0"/>
        <w:snapToGrid w:val="0"/>
        <w:spacing w:line="360" w:lineRule="auto"/>
        <w:ind w:right="11"/>
        <w:jc w:val="left"/>
        <w:rPr>
          <w:rFonts w:hint="eastAsia" w:ascii="宋体" w:hAnsi="宋体" w:eastAsia="宋体" w:cs="宋体"/>
          <w:snapToGrid w:val="0"/>
          <w:kern w:val="0"/>
          <w:sz w:val="24"/>
        </w:rPr>
      </w:pPr>
    </w:p>
    <w:p w14:paraId="54AB2B08">
      <w:pPr>
        <w:pStyle w:val="403"/>
        <w:spacing w:line="460" w:lineRule="exact"/>
        <w:rPr>
          <w:rFonts w:hint="eastAsia" w:eastAsia="宋体" w:cs="宋体"/>
        </w:rPr>
        <w:sectPr>
          <w:headerReference r:id="rId9" w:type="default"/>
          <w:pgSz w:w="11906" w:h="16838"/>
          <w:pgMar w:top="1417" w:right="1531" w:bottom="1304" w:left="1531" w:header="851" w:footer="992" w:gutter="0"/>
          <w:cols w:space="720" w:num="1"/>
          <w:docGrid w:linePitch="312" w:charSpace="0"/>
        </w:sectPr>
      </w:pPr>
    </w:p>
    <w:p w14:paraId="0D768611">
      <w:pPr>
        <w:pStyle w:val="5"/>
        <w:rPr>
          <w:rFonts w:hint="eastAsia" w:ascii="宋体" w:hAnsi="宋体" w:eastAsia="宋体" w:cs="宋体"/>
          <w:bCs/>
        </w:rPr>
      </w:pPr>
      <w:bookmarkStart w:id="1634" w:name="_Toc198803840"/>
      <w:bookmarkStart w:id="1635" w:name="_Toc83220642"/>
      <w:bookmarkStart w:id="1636" w:name="_Toc18598"/>
      <w:bookmarkStart w:id="1637" w:name="_Toc176268773"/>
      <w:r>
        <w:rPr>
          <w:rFonts w:hint="eastAsia" w:ascii="宋体" w:hAnsi="宋体" w:eastAsia="宋体" w:cs="宋体"/>
          <w:bCs/>
        </w:rPr>
        <w:t>附件7：安全生产协议书</w:t>
      </w:r>
      <w:bookmarkEnd w:id="1634"/>
      <w:bookmarkEnd w:id="1635"/>
      <w:bookmarkEnd w:id="1636"/>
      <w:bookmarkEnd w:id="1637"/>
    </w:p>
    <w:p w14:paraId="23B1C311">
      <w:pPr>
        <w:autoSpaceDE w:val="0"/>
        <w:autoSpaceDN w:val="0"/>
        <w:adjustRightInd w:val="0"/>
        <w:snapToGrid w:val="0"/>
        <w:spacing w:line="400" w:lineRule="exact"/>
        <w:ind w:right="11" w:firstLine="480" w:firstLineChars="200"/>
        <w:rPr>
          <w:rFonts w:hint="eastAsia" w:ascii="宋体" w:hAnsi="宋体" w:eastAsia="宋体" w:cs="宋体"/>
          <w:bCs/>
          <w:snapToGrid w:val="0"/>
          <w:kern w:val="0"/>
          <w:sz w:val="24"/>
          <w:lang w:val="zh-CN"/>
        </w:rPr>
      </w:pPr>
      <w:r>
        <w:rPr>
          <w:rFonts w:hint="eastAsia" w:ascii="宋体" w:hAnsi="宋体" w:eastAsia="宋体" w:cs="宋体"/>
          <w:bCs/>
          <w:snapToGrid w:val="0"/>
          <w:kern w:val="0"/>
          <w:sz w:val="24"/>
          <w:lang w:val="zh-CN"/>
        </w:rPr>
        <w:t>为确保</w:t>
      </w:r>
      <w:r>
        <w:rPr>
          <w:rFonts w:hint="eastAsia" w:ascii="宋体" w:hAnsi="宋体" w:eastAsia="宋体" w:cs="宋体"/>
          <w:bCs/>
          <w:sz w:val="24"/>
        </w:rPr>
        <w:t>海心沙体验中心项目智能展示工程勘察设计采购施工总承包（EPC）合同</w:t>
      </w:r>
      <w:r>
        <w:rPr>
          <w:rFonts w:hint="eastAsia" w:ascii="宋体" w:hAnsi="宋体" w:eastAsia="宋体" w:cs="宋体"/>
          <w:bCs/>
          <w:snapToGrid w:val="0"/>
          <w:kern w:val="0"/>
          <w:sz w:val="24"/>
          <w:lang w:val="zh-CN"/>
        </w:rPr>
        <w:t>实施过程中的安全，甲、乙双方特签订本安全生产协议书，明确双方职责。</w:t>
      </w:r>
    </w:p>
    <w:p w14:paraId="486D9270">
      <w:pPr>
        <w:tabs>
          <w:tab w:val="left" w:pos="480"/>
        </w:tabs>
        <w:autoSpaceDE w:val="0"/>
        <w:autoSpaceDN w:val="0"/>
        <w:adjustRightInd w:val="0"/>
        <w:snapToGrid w:val="0"/>
        <w:spacing w:line="400" w:lineRule="exact"/>
        <w:ind w:left="461"/>
        <w:rPr>
          <w:rFonts w:hint="eastAsia" w:ascii="宋体" w:hAnsi="宋体" w:eastAsia="宋体" w:cs="宋体"/>
          <w:b/>
          <w:snapToGrid w:val="0"/>
          <w:kern w:val="0"/>
          <w:sz w:val="24"/>
          <w:lang w:val="zh-CN"/>
        </w:rPr>
      </w:pPr>
      <w:r>
        <w:rPr>
          <w:rFonts w:hint="eastAsia" w:ascii="宋体" w:hAnsi="宋体" w:eastAsia="宋体" w:cs="宋体"/>
          <w:b/>
          <w:snapToGrid w:val="0"/>
          <w:kern w:val="0"/>
          <w:sz w:val="24"/>
          <w:lang w:val="zh-CN"/>
        </w:rPr>
        <w:t>一、甲方职责</w:t>
      </w:r>
    </w:p>
    <w:p w14:paraId="16268807">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（一）认真履行《建设工程安全生产管理条例》规定的安全责任及执行工程承包合同中的有关安全条款。</w:t>
      </w:r>
    </w:p>
    <w:p w14:paraId="54EE2F61">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（二）重要的安全设施必须坚持与主体工程“三同时”的原则，即：同时设计、审批；同时施工；同时验收，投入使用。</w:t>
      </w:r>
    </w:p>
    <w:p w14:paraId="6E27FFD8">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（三）定期召开安全生产会议，指出施工现场存在的安全隐患，及时传达上级关于安全文明施工的要求。</w:t>
      </w:r>
    </w:p>
    <w:p w14:paraId="05A28BB8">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（四）组织对乙方施工现场安全生产检查，监督乙方及时排除各种安全隐患。</w:t>
      </w:r>
    </w:p>
    <w:p w14:paraId="3286214D">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（五）依据甲方制定的</w:t>
      </w:r>
      <w:r>
        <w:rPr>
          <w:rFonts w:hint="eastAsia" w:ascii="宋体" w:hAnsi="宋体" w:eastAsia="宋体" w:cs="宋体"/>
          <w:snapToGrid w:val="0"/>
          <w:kern w:val="0"/>
          <w:sz w:val="24"/>
        </w:rPr>
        <w:t>工程管理办法及政府、主管部门相关规定要求</w:t>
      </w:r>
      <w:r>
        <w:rPr>
          <w:rFonts w:hint="eastAsia" w:ascii="宋体" w:hAnsi="宋体" w:eastAsia="宋体" w:cs="宋体"/>
          <w:snapToGrid w:val="0"/>
          <w:kern w:val="0"/>
          <w:sz w:val="24"/>
          <w:lang w:val="zh-CN"/>
        </w:rPr>
        <w:t>进行工程项目管理。</w:t>
      </w:r>
    </w:p>
    <w:p w14:paraId="5480B7D7">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（六）协助与促进乙方创建“广州市安全文明施工样板工地”。</w:t>
      </w:r>
    </w:p>
    <w:p w14:paraId="2E61578B">
      <w:pPr>
        <w:autoSpaceDE w:val="0"/>
        <w:autoSpaceDN w:val="0"/>
        <w:adjustRightInd w:val="0"/>
        <w:snapToGrid w:val="0"/>
        <w:spacing w:line="400" w:lineRule="exact"/>
        <w:ind w:firstLine="482" w:firstLineChars="200"/>
        <w:rPr>
          <w:rFonts w:hint="eastAsia" w:ascii="宋体" w:hAnsi="宋体" w:eastAsia="宋体" w:cs="宋体"/>
          <w:b/>
          <w:snapToGrid w:val="0"/>
          <w:kern w:val="0"/>
          <w:sz w:val="24"/>
          <w:lang w:val="zh-CN"/>
        </w:rPr>
      </w:pPr>
      <w:r>
        <w:rPr>
          <w:rFonts w:hint="eastAsia" w:ascii="宋体" w:hAnsi="宋体" w:eastAsia="宋体" w:cs="宋体"/>
          <w:b/>
          <w:snapToGrid w:val="0"/>
          <w:kern w:val="0"/>
          <w:sz w:val="24"/>
          <w:lang w:val="zh-CN"/>
        </w:rPr>
        <w:t>二、乙方职责</w:t>
      </w:r>
    </w:p>
    <w:p w14:paraId="7FC7F763">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（一）认真履行《建设工程安全生产管理条例》规定的安全责任及执行工程承包合同中的有关安全条款。</w:t>
      </w:r>
    </w:p>
    <w:p w14:paraId="2C17BB93">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（二）坚持</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安全</w:t>
      </w:r>
      <w:r>
        <w:rPr>
          <w:rFonts w:hint="eastAsia" w:ascii="宋体" w:hAnsi="宋体" w:eastAsia="宋体" w:cs="宋体"/>
          <w:snapToGrid w:val="0"/>
          <w:kern w:val="0"/>
          <w:sz w:val="24"/>
        </w:rPr>
        <w:t>第一</w:t>
      </w:r>
      <w:r>
        <w:rPr>
          <w:rFonts w:hint="eastAsia" w:ascii="宋体" w:hAnsi="宋体" w:eastAsia="宋体" w:cs="宋体"/>
          <w:snapToGrid w:val="0"/>
          <w:kern w:val="0"/>
          <w:sz w:val="24"/>
          <w:lang w:val="zh-CN"/>
        </w:rPr>
        <w:t>、预防为主</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和</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管生产必须管安全</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的原则，加强安全生产宣传教育，增强全员安全生产意识，建立健全各项安全生产管理制度，配备专职安全管理人员，有组织有领导地开展安全生产活动。项目经理、工程技术人员、生产管理人员和具体操作人员，必须熟悉和遵守安全生产的各项规定，做到生产与安全工作同时计划、布置、检查、总结和评比。</w:t>
      </w:r>
    </w:p>
    <w:p w14:paraId="163B03DA">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（三）建立</w:t>
      </w:r>
      <w:r>
        <w:rPr>
          <w:rFonts w:hint="eastAsia" w:ascii="宋体" w:hAnsi="宋体" w:eastAsia="宋体" w:cs="宋体"/>
          <w:snapToGrid w:val="0"/>
          <w:kern w:val="0"/>
          <w:sz w:val="24"/>
        </w:rPr>
        <w:t>安全生产</w:t>
      </w:r>
      <w:r>
        <w:rPr>
          <w:rFonts w:hint="eastAsia" w:ascii="宋体" w:hAnsi="宋体" w:eastAsia="宋体" w:cs="宋体"/>
          <w:snapToGrid w:val="0"/>
          <w:kern w:val="0"/>
          <w:sz w:val="24"/>
          <w:lang w:val="zh-CN"/>
        </w:rPr>
        <w:t>保证体系，健全安全生产责任制，从派驻项目的项目经理到生产工人（包括临时雇请的施工人员）及各职能部门都必须有明确的安全责任，项目经理是安全生产的第一责任人。现场设置安全管理机构：应按规定配备足够的专职安全员，专职负责所有的安全和治安保卫工作及预防事故的发生。安全机构人员，有权按有关规定发布指令，并采取保护性措施防止事故发生。</w:t>
      </w:r>
    </w:p>
    <w:p w14:paraId="5841D8CE">
      <w:pPr>
        <w:autoSpaceDE w:val="0"/>
        <w:autoSpaceDN w:val="0"/>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lang w:val="zh-CN"/>
        </w:rPr>
        <w:t>（四）</w:t>
      </w:r>
      <w:r>
        <w:rPr>
          <w:rFonts w:hint="eastAsia" w:ascii="宋体" w:hAnsi="宋体" w:eastAsia="宋体" w:cs="宋体"/>
          <w:snapToGrid w:val="0"/>
          <w:kern w:val="0"/>
          <w:sz w:val="24"/>
        </w:rPr>
        <w:t>有责任采取各种合理的预防措施，防止其员工发生各种违法、违禁、暴力或妨碍治安的行为。</w:t>
      </w:r>
    </w:p>
    <w:p w14:paraId="2EF0878D">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五）参加施工的人员，必须接受安全技术教育，熟知和遵守所在岗位（工种）的各项安全技术操作规程，定期进行安全技术考核。对于从事电气、起重、登高作业、焊接等特种作业的人员，须经过专业培训，获得相关《特种作业人员操作证》。施工现场如出现特种作业人员无证上岗时，项目经理必须承担安全管理责任。</w:t>
      </w:r>
    </w:p>
    <w:p w14:paraId="170EE0E4">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六）对于易燃易爆的材料除应专门妥善保管之外，还应配备足够的消防设施，所有施工人员都应熟悉消防设备的性能和使用方法；乙方不能将任何种类的爆炸物给予、易货或以其他方式转让给任何其他人，或允许、容忍上述同样行为。</w:t>
      </w:r>
    </w:p>
    <w:p w14:paraId="5B62A71B">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（七）操作人员上岗，必须按规定佩带穿戴安全帽等防护用品。项目经理和专职安全员应随时检查劳动防护用品的穿戴情况，不按规定穿戴防护用品的人员不得上岗。</w:t>
      </w:r>
    </w:p>
    <w:p w14:paraId="44270D12">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（八）所有施工机具设备和高处作业的设备均应定期检查，并有安全员的签名记录，保证其经常处于完好状态，不合格的机具、设备和劳动保护用品严禁使用。</w:t>
      </w:r>
    </w:p>
    <w:p w14:paraId="5CA5C181">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（九）施工中采用新技术、新工艺、新设备、新材料，必须制定相应的安全技术措施。施工现场必须按规定有针对性地悬挂安全标志牌。</w:t>
      </w:r>
    </w:p>
    <w:p w14:paraId="3EB9E9B5">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（十）乙方</w:t>
      </w:r>
      <w:r>
        <w:rPr>
          <w:rFonts w:hint="eastAsia" w:ascii="宋体" w:hAnsi="宋体" w:eastAsia="宋体" w:cs="宋体"/>
          <w:snapToGrid w:val="0"/>
          <w:kern w:val="0"/>
          <w:sz w:val="24"/>
        </w:rPr>
        <w:t>必须</w:t>
      </w:r>
      <w:r>
        <w:rPr>
          <w:rFonts w:hint="eastAsia" w:ascii="宋体" w:hAnsi="宋体" w:eastAsia="宋体" w:cs="宋体"/>
          <w:snapToGrid w:val="0"/>
          <w:kern w:val="0"/>
          <w:sz w:val="24"/>
          <w:lang w:val="zh-CN"/>
        </w:rPr>
        <w:t>按照本工程项目特点，制定安全事故应急救援预案；如果发生安全事故，应按照《建设工程安全管理条例》的有关规定上报有关部门，并按照</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四不放过</w:t>
      </w:r>
      <w:r>
        <w:rPr>
          <w:rFonts w:hint="eastAsia" w:ascii="宋体" w:hAnsi="宋体" w:eastAsia="宋体" w:cs="宋体"/>
          <w:snapToGrid w:val="0"/>
          <w:kern w:val="0"/>
          <w:sz w:val="24"/>
        </w:rPr>
        <w:t>”</w:t>
      </w:r>
      <w:r>
        <w:rPr>
          <w:rFonts w:hint="eastAsia" w:ascii="宋体" w:hAnsi="宋体" w:eastAsia="宋体" w:cs="宋体"/>
          <w:snapToGrid w:val="0"/>
          <w:kern w:val="0"/>
          <w:sz w:val="24"/>
          <w:lang w:val="zh-CN"/>
        </w:rPr>
        <w:t>的原则调查处理。</w:t>
      </w:r>
    </w:p>
    <w:p w14:paraId="529DDD88">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（十一）遵守甲方</w:t>
      </w:r>
      <w:r>
        <w:rPr>
          <w:rFonts w:hint="eastAsia" w:ascii="宋体" w:hAnsi="宋体" w:eastAsia="宋体" w:cs="宋体"/>
          <w:snapToGrid w:val="0"/>
          <w:kern w:val="0"/>
          <w:sz w:val="24"/>
        </w:rPr>
        <w:t>工程管理办法及政府、主管部门</w:t>
      </w:r>
      <w:r>
        <w:rPr>
          <w:rFonts w:hint="eastAsia" w:ascii="宋体" w:hAnsi="宋体" w:eastAsia="宋体" w:cs="宋体"/>
          <w:snapToGrid w:val="0"/>
          <w:kern w:val="0"/>
          <w:sz w:val="24"/>
          <w:lang w:val="zh-CN"/>
        </w:rPr>
        <w:t>等相关安全生产管理制度。</w:t>
      </w:r>
    </w:p>
    <w:p w14:paraId="1D025F01">
      <w:pPr>
        <w:autoSpaceDE w:val="0"/>
        <w:autoSpaceDN w:val="0"/>
        <w:adjustRightInd w:val="0"/>
        <w:snapToGrid w:val="0"/>
        <w:spacing w:line="400" w:lineRule="exact"/>
        <w:ind w:firstLine="482" w:firstLineChars="200"/>
        <w:rPr>
          <w:rFonts w:hint="eastAsia" w:ascii="宋体" w:hAnsi="宋体" w:eastAsia="宋体" w:cs="宋体"/>
          <w:b/>
          <w:snapToGrid w:val="0"/>
          <w:kern w:val="0"/>
          <w:sz w:val="24"/>
          <w:lang w:val="zh-CN"/>
        </w:rPr>
      </w:pPr>
      <w:r>
        <w:rPr>
          <w:rFonts w:hint="eastAsia" w:ascii="宋体" w:hAnsi="宋体" w:eastAsia="宋体" w:cs="宋体"/>
          <w:b/>
          <w:snapToGrid w:val="0"/>
          <w:kern w:val="0"/>
          <w:sz w:val="24"/>
          <w:lang w:val="zh-CN"/>
        </w:rPr>
        <w:t>三、违约责任</w:t>
      </w:r>
    </w:p>
    <w:p w14:paraId="022DB616">
      <w:pPr>
        <w:autoSpaceDE w:val="0"/>
        <w:autoSpaceDN w:val="0"/>
        <w:adjustRightInd w:val="0"/>
        <w:snapToGrid w:val="0"/>
        <w:spacing w:line="400" w:lineRule="exact"/>
        <w:ind w:firstLine="480" w:firstLineChars="200"/>
        <w:rPr>
          <w:rFonts w:hint="eastAsia" w:ascii="宋体" w:hAnsi="宋体" w:eastAsia="宋体" w:cs="宋体"/>
          <w:snapToGrid w:val="0"/>
          <w:kern w:val="0"/>
          <w:sz w:val="24"/>
          <w:lang w:val="zh-CN"/>
        </w:rPr>
      </w:pPr>
      <w:r>
        <w:rPr>
          <w:rFonts w:hint="eastAsia" w:ascii="宋体" w:hAnsi="宋体" w:eastAsia="宋体" w:cs="宋体"/>
          <w:snapToGrid w:val="0"/>
          <w:kern w:val="0"/>
          <w:sz w:val="24"/>
          <w:lang w:val="zh-CN"/>
        </w:rPr>
        <w:t>如因甲方或乙方失职违约，将依据《建设工程安全管理条例》、协议书及有关规定追究责任。</w:t>
      </w:r>
    </w:p>
    <w:p w14:paraId="2C1313D9">
      <w:pPr>
        <w:adjustRightInd w:val="0"/>
        <w:snapToGrid w:val="0"/>
        <w:spacing w:line="400" w:lineRule="exact"/>
        <w:ind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lang w:val="zh-CN"/>
        </w:rPr>
        <w:t>本安全生产协议书由双方</w:t>
      </w:r>
      <w:r>
        <w:rPr>
          <w:rFonts w:hint="eastAsia" w:ascii="宋体" w:hAnsi="宋体" w:eastAsia="宋体" w:cs="宋体"/>
          <w:snapToGrid w:val="0"/>
          <w:kern w:val="0"/>
          <w:sz w:val="24"/>
        </w:rPr>
        <w:t>法定代表人（或委托代理人）签字及加盖单位章</w:t>
      </w:r>
      <w:r>
        <w:rPr>
          <w:rFonts w:hint="eastAsia" w:ascii="宋体" w:hAnsi="宋体" w:eastAsia="宋体" w:cs="宋体"/>
          <w:snapToGrid w:val="0"/>
          <w:kern w:val="0"/>
          <w:sz w:val="24"/>
          <w:lang w:val="zh-CN"/>
        </w:rPr>
        <w:t>后生效。工程竣工验收后失效。</w:t>
      </w:r>
    </w:p>
    <w:p w14:paraId="651F2886">
      <w:pPr>
        <w:spacing w:line="440" w:lineRule="exact"/>
        <w:ind w:firstLine="424" w:firstLineChars="202"/>
        <w:rPr>
          <w:rFonts w:hint="eastAsia" w:ascii="宋体" w:hAnsi="宋体" w:eastAsia="宋体"/>
        </w:rPr>
      </w:pPr>
    </w:p>
    <w:p w14:paraId="1A1BBE6E">
      <w:pPr>
        <w:spacing w:line="440" w:lineRule="exact"/>
        <w:ind w:firstLine="424" w:firstLineChars="202"/>
        <w:rPr>
          <w:rFonts w:hint="eastAsia" w:ascii="宋体" w:hAnsi="宋体" w:eastAsia="宋体"/>
        </w:rPr>
      </w:pPr>
    </w:p>
    <w:tbl>
      <w:tblPr>
        <w:tblStyle w:val="62"/>
        <w:tblW w:w="0" w:type="auto"/>
        <w:tblInd w:w="0" w:type="dxa"/>
        <w:tblLayout w:type="autofit"/>
        <w:tblCellMar>
          <w:top w:w="0" w:type="dxa"/>
          <w:left w:w="108" w:type="dxa"/>
          <w:bottom w:w="0" w:type="dxa"/>
          <w:right w:w="108" w:type="dxa"/>
        </w:tblCellMar>
      </w:tblPr>
      <w:tblGrid>
        <w:gridCol w:w="4077"/>
        <w:gridCol w:w="4219"/>
      </w:tblGrid>
      <w:tr w14:paraId="4AD97DF4">
        <w:tblPrEx>
          <w:tblCellMar>
            <w:top w:w="0" w:type="dxa"/>
            <w:left w:w="108" w:type="dxa"/>
            <w:bottom w:w="0" w:type="dxa"/>
            <w:right w:w="108" w:type="dxa"/>
          </w:tblCellMar>
        </w:tblPrEx>
        <w:tc>
          <w:tcPr>
            <w:tcW w:w="4077" w:type="dxa"/>
          </w:tcPr>
          <w:p w14:paraId="6C429DA2">
            <w:pPr>
              <w:rPr>
                <w:rFonts w:hint="eastAsia" w:ascii="宋体" w:hAnsi="宋体" w:eastAsia="宋体"/>
                <w:sz w:val="24"/>
                <w:szCs w:val="28"/>
              </w:rPr>
            </w:pPr>
            <w:r>
              <w:rPr>
                <w:rFonts w:hint="eastAsia" w:ascii="宋体" w:hAnsi="宋体" w:eastAsia="宋体"/>
                <w:sz w:val="24"/>
                <w:szCs w:val="28"/>
              </w:rPr>
              <w:t>甲方</w:t>
            </w:r>
            <w:r>
              <w:rPr>
                <w:rFonts w:ascii="宋体" w:hAnsi="宋体" w:eastAsia="宋体"/>
                <w:sz w:val="24"/>
                <w:szCs w:val="28"/>
              </w:rPr>
              <w:t>：</w:t>
            </w:r>
            <w:r>
              <w:rPr>
                <w:rFonts w:hint="eastAsia" w:ascii="宋体" w:hAnsi="宋体" w:eastAsia="宋体"/>
                <w:sz w:val="24"/>
                <w:szCs w:val="28"/>
              </w:rPr>
              <w:t>广州新中轴建设有限公司</w:t>
            </w:r>
          </w:p>
          <w:p w14:paraId="3A46E54C">
            <w:pPr>
              <w:rPr>
                <w:rFonts w:hint="eastAsia" w:ascii="宋体" w:hAnsi="宋体" w:eastAsia="宋体"/>
                <w:sz w:val="24"/>
                <w:szCs w:val="28"/>
              </w:rPr>
            </w:pPr>
            <w:r>
              <w:rPr>
                <w:rFonts w:ascii="宋体" w:hAnsi="宋体" w:eastAsia="宋体"/>
                <w:sz w:val="24"/>
                <w:szCs w:val="28"/>
              </w:rPr>
              <w:t>（盖章）</w:t>
            </w:r>
          </w:p>
          <w:p w14:paraId="2DB19BA5">
            <w:pPr>
              <w:rPr>
                <w:rFonts w:hint="eastAsia" w:ascii="宋体" w:hAnsi="宋体" w:eastAsia="宋体"/>
                <w:sz w:val="24"/>
                <w:szCs w:val="28"/>
              </w:rPr>
            </w:pPr>
          </w:p>
          <w:p w14:paraId="78C5D612">
            <w:pPr>
              <w:rPr>
                <w:rFonts w:hint="eastAsia" w:ascii="宋体" w:hAnsi="宋体" w:eastAsia="宋体"/>
                <w:sz w:val="24"/>
                <w:szCs w:val="28"/>
              </w:rPr>
            </w:pPr>
          </w:p>
        </w:tc>
        <w:tc>
          <w:tcPr>
            <w:tcW w:w="4219" w:type="dxa"/>
          </w:tcPr>
          <w:p w14:paraId="42D95302">
            <w:pPr>
              <w:rPr>
                <w:rFonts w:hint="eastAsia" w:ascii="宋体" w:hAnsi="宋体" w:eastAsia="宋体"/>
                <w:sz w:val="24"/>
                <w:szCs w:val="28"/>
              </w:rPr>
            </w:pPr>
            <w:r>
              <w:rPr>
                <w:rFonts w:ascii="宋体" w:hAnsi="宋体" w:eastAsia="宋体"/>
                <w:sz w:val="24"/>
                <w:szCs w:val="28"/>
              </w:rPr>
              <w:t>乙方：</w:t>
            </w:r>
            <w:r>
              <w:rPr>
                <w:rFonts w:hint="eastAsia" w:ascii="宋体" w:hAnsi="宋体" w:eastAsia="宋体"/>
                <w:sz w:val="24"/>
                <w:szCs w:val="28"/>
              </w:rPr>
              <w:t>【承包人单位名称】</w:t>
            </w:r>
          </w:p>
          <w:p w14:paraId="74CFC8F2">
            <w:pPr>
              <w:rPr>
                <w:rFonts w:hint="eastAsia" w:ascii="宋体" w:hAnsi="宋体" w:eastAsia="宋体"/>
                <w:sz w:val="24"/>
                <w:szCs w:val="28"/>
              </w:rPr>
            </w:pPr>
            <w:r>
              <w:rPr>
                <w:rFonts w:ascii="宋体" w:hAnsi="宋体" w:eastAsia="宋体"/>
                <w:sz w:val="24"/>
                <w:szCs w:val="28"/>
              </w:rPr>
              <w:t>（盖章）</w:t>
            </w:r>
          </w:p>
          <w:p w14:paraId="596014B4">
            <w:pPr>
              <w:rPr>
                <w:rFonts w:hint="eastAsia" w:ascii="宋体" w:hAnsi="宋体" w:eastAsia="宋体"/>
                <w:sz w:val="24"/>
                <w:szCs w:val="28"/>
              </w:rPr>
            </w:pPr>
          </w:p>
          <w:p w14:paraId="5C24611E">
            <w:pPr>
              <w:rPr>
                <w:rFonts w:hint="eastAsia" w:ascii="宋体" w:hAnsi="宋体" w:eastAsia="宋体"/>
                <w:sz w:val="24"/>
                <w:szCs w:val="28"/>
              </w:rPr>
            </w:pPr>
          </w:p>
        </w:tc>
      </w:tr>
      <w:tr w14:paraId="1078D500">
        <w:tblPrEx>
          <w:tblCellMar>
            <w:top w:w="0" w:type="dxa"/>
            <w:left w:w="108" w:type="dxa"/>
            <w:bottom w:w="0" w:type="dxa"/>
            <w:right w:w="108" w:type="dxa"/>
          </w:tblCellMar>
        </w:tblPrEx>
        <w:tc>
          <w:tcPr>
            <w:tcW w:w="4077" w:type="dxa"/>
          </w:tcPr>
          <w:p w14:paraId="00E24920">
            <w:pPr>
              <w:rPr>
                <w:rFonts w:hint="eastAsia" w:ascii="宋体" w:hAnsi="宋体" w:eastAsia="宋体"/>
                <w:sz w:val="24"/>
                <w:szCs w:val="28"/>
              </w:rPr>
            </w:pPr>
            <w:r>
              <w:rPr>
                <w:rFonts w:hint="eastAsia" w:ascii="宋体" w:hAnsi="宋体" w:eastAsia="宋体"/>
                <w:sz w:val="24"/>
                <w:szCs w:val="28"/>
              </w:rPr>
              <w:t>负责人：</w:t>
            </w:r>
          </w:p>
          <w:p w14:paraId="30B00856">
            <w:pPr>
              <w:rPr>
                <w:rFonts w:hint="eastAsia" w:ascii="宋体" w:hAnsi="宋体" w:eastAsia="宋体"/>
                <w:sz w:val="24"/>
                <w:szCs w:val="28"/>
              </w:rPr>
            </w:pPr>
            <w:r>
              <w:rPr>
                <w:rFonts w:hint="eastAsia" w:ascii="宋体" w:hAnsi="宋体" w:eastAsia="宋体"/>
                <w:sz w:val="24"/>
                <w:szCs w:val="28"/>
              </w:rPr>
              <w:t>（签字）</w:t>
            </w:r>
          </w:p>
          <w:p w14:paraId="68932219">
            <w:pPr>
              <w:rPr>
                <w:rFonts w:hint="eastAsia" w:ascii="宋体" w:hAnsi="宋体" w:eastAsia="宋体"/>
                <w:sz w:val="24"/>
                <w:szCs w:val="28"/>
              </w:rPr>
            </w:pPr>
          </w:p>
        </w:tc>
        <w:tc>
          <w:tcPr>
            <w:tcW w:w="4219" w:type="dxa"/>
          </w:tcPr>
          <w:p w14:paraId="5011064D">
            <w:pPr>
              <w:rPr>
                <w:rFonts w:hint="eastAsia" w:ascii="宋体" w:hAnsi="宋体" w:eastAsia="宋体"/>
                <w:sz w:val="24"/>
                <w:szCs w:val="28"/>
              </w:rPr>
            </w:pPr>
            <w:r>
              <w:rPr>
                <w:rFonts w:hint="eastAsia" w:ascii="宋体" w:hAnsi="宋体" w:eastAsia="宋体"/>
                <w:sz w:val="24"/>
                <w:szCs w:val="28"/>
              </w:rPr>
              <w:t>负责人：</w:t>
            </w:r>
          </w:p>
          <w:p w14:paraId="71D4EB93">
            <w:pPr>
              <w:rPr>
                <w:rFonts w:hint="eastAsia" w:ascii="宋体" w:hAnsi="宋体" w:eastAsia="宋体"/>
                <w:sz w:val="24"/>
                <w:szCs w:val="28"/>
              </w:rPr>
            </w:pPr>
            <w:r>
              <w:rPr>
                <w:rFonts w:hint="eastAsia" w:ascii="宋体" w:hAnsi="宋体" w:eastAsia="宋体"/>
                <w:sz w:val="24"/>
                <w:szCs w:val="28"/>
              </w:rPr>
              <w:t>（签字）</w:t>
            </w:r>
          </w:p>
          <w:p w14:paraId="4A719FB2">
            <w:pPr>
              <w:rPr>
                <w:rFonts w:hint="eastAsia" w:ascii="宋体" w:hAnsi="宋体" w:eastAsia="宋体"/>
                <w:sz w:val="24"/>
                <w:szCs w:val="28"/>
              </w:rPr>
            </w:pPr>
          </w:p>
        </w:tc>
      </w:tr>
    </w:tbl>
    <w:p w14:paraId="0D4062A3">
      <w:pPr>
        <w:ind w:firstLine="424" w:firstLineChars="202"/>
        <w:rPr>
          <w:rFonts w:hint="eastAsia" w:ascii="宋体" w:hAnsi="宋体" w:eastAsia="宋体"/>
        </w:rPr>
      </w:pPr>
    </w:p>
    <w:p w14:paraId="6E944D4F">
      <w:pPr>
        <w:pStyle w:val="17"/>
        <w:spacing w:line="440" w:lineRule="exact"/>
        <w:ind w:firstLine="640"/>
        <w:rPr>
          <w:rFonts w:hint="eastAsia" w:ascii="宋体" w:hAnsi="宋体" w:eastAsia="宋体" w:cs="宋体"/>
          <w:bCs/>
          <w:snapToGrid w:val="0"/>
          <w:kern w:val="0"/>
          <w:sz w:val="32"/>
          <w:szCs w:val="32"/>
        </w:rPr>
      </w:pPr>
    </w:p>
    <w:tbl>
      <w:tblPr>
        <w:tblStyle w:val="62"/>
        <w:tblW w:w="0" w:type="auto"/>
        <w:tblInd w:w="0" w:type="dxa"/>
        <w:tblLayout w:type="autofit"/>
        <w:tblCellMar>
          <w:top w:w="0" w:type="dxa"/>
          <w:left w:w="108" w:type="dxa"/>
          <w:bottom w:w="0" w:type="dxa"/>
          <w:right w:w="108" w:type="dxa"/>
        </w:tblCellMar>
      </w:tblPr>
      <w:tblGrid>
        <w:gridCol w:w="4077"/>
        <w:gridCol w:w="4219"/>
      </w:tblGrid>
      <w:tr w14:paraId="2419320C">
        <w:tc>
          <w:tcPr>
            <w:tcW w:w="4077" w:type="dxa"/>
          </w:tcPr>
          <w:p w14:paraId="5BD88B60">
            <w:pPr>
              <w:rPr>
                <w:rFonts w:hint="eastAsia" w:ascii="宋体" w:hAnsi="宋体" w:eastAsia="宋体"/>
                <w:sz w:val="24"/>
                <w:szCs w:val="28"/>
              </w:rPr>
            </w:pPr>
            <w:r>
              <w:rPr>
                <w:rFonts w:hint="eastAsia" w:ascii="黑体" w:hAnsi="黑体"/>
                <w:sz w:val="24"/>
              </w:rPr>
              <w:t>签署日期：2025年   月   日</w:t>
            </w:r>
          </w:p>
        </w:tc>
        <w:tc>
          <w:tcPr>
            <w:tcW w:w="4219" w:type="dxa"/>
          </w:tcPr>
          <w:p w14:paraId="3BD34D86">
            <w:pPr>
              <w:rPr>
                <w:rFonts w:hint="eastAsia" w:ascii="宋体" w:hAnsi="宋体" w:eastAsia="宋体"/>
                <w:sz w:val="24"/>
                <w:szCs w:val="28"/>
              </w:rPr>
            </w:pPr>
          </w:p>
        </w:tc>
      </w:tr>
      <w:tr w14:paraId="2A473BB1">
        <w:tblPrEx>
          <w:tblCellMar>
            <w:top w:w="0" w:type="dxa"/>
            <w:left w:w="108" w:type="dxa"/>
            <w:bottom w:w="0" w:type="dxa"/>
            <w:right w:w="108" w:type="dxa"/>
          </w:tblCellMar>
        </w:tblPrEx>
        <w:tc>
          <w:tcPr>
            <w:tcW w:w="4077" w:type="dxa"/>
          </w:tcPr>
          <w:p w14:paraId="4FE0CEAD">
            <w:pPr>
              <w:rPr>
                <w:rFonts w:hint="eastAsia" w:ascii="宋体" w:hAnsi="宋体" w:eastAsia="宋体"/>
                <w:sz w:val="24"/>
                <w:szCs w:val="28"/>
              </w:rPr>
            </w:pPr>
          </w:p>
        </w:tc>
        <w:tc>
          <w:tcPr>
            <w:tcW w:w="4219" w:type="dxa"/>
          </w:tcPr>
          <w:p w14:paraId="473DF6B9">
            <w:pPr>
              <w:rPr>
                <w:rFonts w:hint="eastAsia" w:ascii="宋体" w:hAnsi="宋体" w:eastAsia="宋体"/>
                <w:sz w:val="24"/>
                <w:szCs w:val="28"/>
              </w:rPr>
            </w:pPr>
          </w:p>
        </w:tc>
      </w:tr>
    </w:tbl>
    <w:p w14:paraId="5191E78F">
      <w:pPr>
        <w:adjustRightInd w:val="0"/>
        <w:snapToGrid w:val="0"/>
        <w:spacing w:line="360" w:lineRule="auto"/>
        <w:ind w:right="11"/>
        <w:rPr>
          <w:rFonts w:hint="eastAsia" w:ascii="宋体" w:hAnsi="宋体" w:eastAsia="宋体" w:cs="宋体"/>
          <w:snapToGrid w:val="0"/>
          <w:kern w:val="0"/>
          <w:sz w:val="24"/>
        </w:rPr>
      </w:pPr>
    </w:p>
    <w:p w14:paraId="122A7A24">
      <w:pPr>
        <w:adjustRightInd w:val="0"/>
        <w:snapToGrid w:val="0"/>
        <w:spacing w:line="360" w:lineRule="auto"/>
        <w:ind w:right="11"/>
        <w:jc w:val="left"/>
        <w:rPr>
          <w:rFonts w:hint="eastAsia" w:ascii="宋体" w:hAnsi="宋体" w:eastAsia="宋体" w:cs="宋体"/>
          <w:snapToGrid w:val="0"/>
          <w:kern w:val="0"/>
          <w:sz w:val="24"/>
        </w:rPr>
      </w:pPr>
    </w:p>
    <w:p w14:paraId="2E652451">
      <w:pPr>
        <w:adjustRightInd w:val="0"/>
        <w:snapToGrid w:val="0"/>
        <w:spacing w:line="360" w:lineRule="auto"/>
        <w:ind w:right="11"/>
        <w:rPr>
          <w:rFonts w:hint="eastAsia" w:ascii="宋体" w:hAnsi="宋体" w:eastAsia="宋体" w:cs="宋体"/>
          <w:snapToGrid w:val="0"/>
          <w:kern w:val="0"/>
          <w:sz w:val="24"/>
        </w:rPr>
        <w:sectPr>
          <w:pgSz w:w="11906" w:h="16838"/>
          <w:pgMar w:top="1417" w:right="1531" w:bottom="1304" w:left="1531" w:header="851" w:footer="992" w:gutter="0"/>
          <w:cols w:space="720" w:num="1"/>
          <w:docGrid w:linePitch="312" w:charSpace="0"/>
        </w:sectPr>
      </w:pPr>
    </w:p>
    <w:p w14:paraId="73313FDA">
      <w:pPr>
        <w:pStyle w:val="5"/>
        <w:rPr>
          <w:rFonts w:hint="eastAsia" w:ascii="宋体" w:hAnsi="宋体" w:eastAsia="宋体" w:cs="宋体"/>
          <w:bCs/>
        </w:rPr>
      </w:pPr>
      <w:bookmarkStart w:id="1638" w:name="_Toc83220643"/>
      <w:bookmarkStart w:id="1639" w:name="_Toc198803841"/>
      <w:bookmarkStart w:id="1640" w:name="_Toc176268774"/>
      <w:bookmarkStart w:id="1641" w:name="_Toc22381"/>
      <w:r>
        <w:rPr>
          <w:rFonts w:hint="eastAsia" w:ascii="宋体" w:hAnsi="宋体" w:eastAsia="宋体" w:cs="宋体"/>
          <w:bCs/>
        </w:rPr>
        <w:t>附件8：工程质量保修书</w:t>
      </w:r>
      <w:bookmarkEnd w:id="1638"/>
      <w:bookmarkEnd w:id="1639"/>
      <w:bookmarkEnd w:id="1640"/>
      <w:bookmarkEnd w:id="1641"/>
    </w:p>
    <w:bookmarkEnd w:id="2"/>
    <w:bookmarkEnd w:id="3"/>
    <w:bookmarkEnd w:id="4"/>
    <w:bookmarkEnd w:id="5"/>
    <w:bookmarkEnd w:id="6"/>
    <w:bookmarkEnd w:id="7"/>
    <w:bookmarkEnd w:id="1604"/>
    <w:bookmarkEnd w:id="1626"/>
    <w:bookmarkEnd w:id="1627"/>
    <w:bookmarkEnd w:id="1628"/>
    <w:bookmarkEnd w:id="1629"/>
    <w:bookmarkEnd w:id="1630"/>
    <w:p w14:paraId="2101D88B">
      <w:pPr>
        <w:adjustRightInd w:val="0"/>
        <w:snapToGrid w:val="0"/>
        <w:spacing w:line="440" w:lineRule="exact"/>
        <w:ind w:right="11" w:firstLine="480" w:firstLineChars="200"/>
        <w:rPr>
          <w:rFonts w:hint="eastAsia" w:ascii="宋体" w:hAnsi="宋体" w:eastAsia="宋体" w:cs="宋体"/>
          <w:snapToGrid w:val="0"/>
          <w:kern w:val="0"/>
          <w:sz w:val="24"/>
        </w:rPr>
      </w:pPr>
      <w:bookmarkStart w:id="1642" w:name="_Toc68594932"/>
      <w:r>
        <w:rPr>
          <w:rFonts w:hint="eastAsia" w:ascii="宋体" w:hAnsi="宋体" w:eastAsia="宋体" w:cs="宋体"/>
          <w:snapToGrid w:val="0"/>
          <w:kern w:val="0"/>
          <w:sz w:val="24"/>
        </w:rPr>
        <w:t>发包人、承包人根据《中华人民共和国建筑法》、《建设工程质量管理条例》和《房屋建筑工程质量保修办法》，经协商一致，就</w:t>
      </w:r>
      <w:r>
        <w:rPr>
          <w:rFonts w:hint="eastAsia" w:ascii="宋体" w:hAnsi="宋体" w:eastAsia="宋体" w:cs="宋体"/>
          <w:bCs/>
          <w:sz w:val="24"/>
        </w:rPr>
        <w:t>海心沙体验中心项目智能展示工程勘察设计采购施工总承包（EPC）合同</w:t>
      </w:r>
      <w:r>
        <w:rPr>
          <w:rFonts w:hint="eastAsia" w:ascii="宋体" w:hAnsi="宋体" w:eastAsia="宋体" w:cs="宋体"/>
          <w:snapToGrid w:val="0"/>
          <w:kern w:val="0"/>
          <w:sz w:val="24"/>
        </w:rPr>
        <w:t>签订工程质量保修书。</w:t>
      </w:r>
    </w:p>
    <w:p w14:paraId="2E756E1F">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一、工程质量保修范围和内容</w:t>
      </w:r>
    </w:p>
    <w:p w14:paraId="246D3209">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承包人在质量保修期内，按照有关法律、法规、规章的管理规定和双方约定，承担本工程质量保修责任。</w:t>
      </w:r>
    </w:p>
    <w:p w14:paraId="7DED4C03">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质量保修范围包括地基基础工程、主体结构工程，屋面防水工程、有防水要求的—卫生间、房间和外墙面的防渗漏，供热与供冷系统，电气管线、给排水管道设备安装和装修工程，以及双方约定的其他项目。</w:t>
      </w:r>
    </w:p>
    <w:p w14:paraId="49490B74">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二、质量保修期</w:t>
      </w:r>
    </w:p>
    <w:p w14:paraId="68ADC9EE">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双方根据《建设工程质量管理条例》及有关规定，约定本工程的质量保修期如下：</w:t>
      </w:r>
    </w:p>
    <w:p w14:paraId="42BF70F1">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1．地基基础工程和主体结构工程，为设计文件规定的该工程的合理使用年限；</w:t>
      </w:r>
    </w:p>
    <w:p w14:paraId="4B42D5FB">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2．屋面防水工程、有防水要求的卫生间、房间和外墙面的防渗漏，为5年；</w:t>
      </w:r>
    </w:p>
    <w:p w14:paraId="2AB603F4">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3．供热与供冷系统，为2个采暖期、供冷期；</w:t>
      </w:r>
    </w:p>
    <w:p w14:paraId="3BBE03ED">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4．电气管线、给排水管道、设备安装为2年；</w:t>
      </w:r>
    </w:p>
    <w:p w14:paraId="1674C200">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5．装修工程为2年；</w:t>
      </w:r>
    </w:p>
    <w:p w14:paraId="3C758F6E">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6．其他项目的保修期限为2年。</w:t>
      </w:r>
    </w:p>
    <w:p w14:paraId="482E795E">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质量保修期自工程竣工验收合格之日起计算。</w:t>
      </w:r>
    </w:p>
    <w:p w14:paraId="4AAFEFF4">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三、质量保修责任</w:t>
      </w:r>
    </w:p>
    <w:p w14:paraId="52DBC2A3">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1．属于保修范围、内容的项目，承包人应当在接到保修通知之日起7天内派人保修。承包人不在约定期限内派人保修的，发包人可以委托他人修理。</w:t>
      </w:r>
    </w:p>
    <w:p w14:paraId="64803253">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2．发生紧急抢修事故的，承包人在接到事故通知后，应当立即到达事故现场抢修。</w:t>
      </w:r>
    </w:p>
    <w:p w14:paraId="4469606C">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3．对于涉及结构安全的质量问题，应当按照《房屋建筑工程质量保修办法》的规定，立即向当地建设行政主管部门报告，采取安全防范措施；由原设计单位或者具有相应资质等级的设计单位提出保修方案，承包人实施保修。</w:t>
      </w:r>
    </w:p>
    <w:p w14:paraId="327545E7">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4．质量保修完成后，由发包人组织验收。</w:t>
      </w:r>
    </w:p>
    <w:p w14:paraId="3D14B610">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四、保修费用</w:t>
      </w:r>
    </w:p>
    <w:p w14:paraId="33979E57">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保修费用由造成质量缺陷的责任方承担。</w:t>
      </w:r>
    </w:p>
    <w:p w14:paraId="24F6D18A">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五、其他</w:t>
      </w:r>
    </w:p>
    <w:p w14:paraId="091A8174">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双方约定的其他工程质量保修事项：土石方工程、护坡工程、道路改造工程等质量保修期限2年。</w:t>
      </w:r>
    </w:p>
    <w:p w14:paraId="56E37FCA">
      <w:pPr>
        <w:autoSpaceDE w:val="0"/>
        <w:autoSpaceDN w:val="0"/>
        <w:adjustRightInd w:val="0"/>
        <w:snapToGrid w:val="0"/>
        <w:spacing w:line="440" w:lineRule="exact"/>
        <w:ind w:right="11" w:firstLine="461"/>
        <w:rPr>
          <w:rFonts w:hint="eastAsia" w:ascii="宋体" w:hAnsi="宋体" w:eastAsia="宋体" w:cs="宋体"/>
          <w:snapToGrid w:val="0"/>
          <w:kern w:val="0"/>
          <w:sz w:val="24"/>
        </w:rPr>
      </w:pPr>
      <w:r>
        <w:rPr>
          <w:rFonts w:hint="eastAsia" w:ascii="宋体" w:hAnsi="宋体" w:eastAsia="宋体" w:cs="宋体"/>
          <w:snapToGrid w:val="0"/>
          <w:kern w:val="0"/>
          <w:sz w:val="24"/>
        </w:rPr>
        <w:t>缺陷责任</w:t>
      </w:r>
      <w:r>
        <w:rPr>
          <w:rFonts w:hint="eastAsia" w:ascii="宋体" w:hAnsi="宋体" w:eastAsia="宋体" w:cs="宋体"/>
          <w:snapToGrid w:val="0"/>
          <w:kern w:val="0"/>
          <w:sz w:val="24"/>
          <w:lang w:val="zh-CN"/>
        </w:rPr>
        <w:t>期满并取得发包人及监理单位确认后支付</w:t>
      </w:r>
      <w:r>
        <w:rPr>
          <w:rFonts w:hint="eastAsia" w:ascii="宋体" w:hAnsi="宋体" w:eastAsia="宋体" w:cs="宋体"/>
          <w:snapToGrid w:val="0"/>
          <w:kern w:val="0"/>
          <w:sz w:val="24"/>
        </w:rPr>
        <w:t>工程质量保修金的7</w:t>
      </w:r>
      <w:r>
        <w:rPr>
          <w:rFonts w:ascii="宋体" w:hAnsi="宋体" w:eastAsia="宋体" w:cs="宋体"/>
          <w:snapToGrid w:val="0"/>
          <w:kern w:val="0"/>
          <w:sz w:val="24"/>
        </w:rPr>
        <w:t>0</w:t>
      </w:r>
      <w:r>
        <w:rPr>
          <w:rFonts w:hint="eastAsia" w:ascii="宋体" w:hAnsi="宋体" w:eastAsia="宋体" w:cs="宋体"/>
          <w:snapToGrid w:val="0"/>
          <w:kern w:val="0"/>
          <w:sz w:val="24"/>
        </w:rPr>
        <w:t>%，按《建设工程质量管理条例》规定防水工程保修期满并取得发包人及监理单位确认后支付剩余工程质量保修金</w:t>
      </w:r>
      <w:r>
        <w:rPr>
          <w:rFonts w:hint="eastAsia" w:ascii="宋体" w:hAnsi="宋体" w:eastAsia="宋体" w:cs="宋体"/>
          <w:snapToGrid w:val="0"/>
          <w:kern w:val="0"/>
          <w:sz w:val="24"/>
          <w:lang w:val="zh-CN"/>
        </w:rPr>
        <w:t>。</w:t>
      </w:r>
    </w:p>
    <w:p w14:paraId="49CF3F4F">
      <w:pPr>
        <w:adjustRightInd w:val="0"/>
        <w:snapToGrid w:val="0"/>
        <w:spacing w:line="440" w:lineRule="exact"/>
        <w:ind w:right="11" w:firstLine="480" w:firstLineChars="200"/>
        <w:rPr>
          <w:rFonts w:hint="eastAsia" w:ascii="宋体" w:hAnsi="宋体" w:eastAsia="宋体" w:cs="宋体"/>
          <w:snapToGrid w:val="0"/>
          <w:kern w:val="0"/>
          <w:sz w:val="24"/>
        </w:rPr>
      </w:pPr>
      <w:r>
        <w:rPr>
          <w:rFonts w:hint="eastAsia" w:ascii="宋体" w:hAnsi="宋体" w:eastAsia="宋体" w:cs="宋体"/>
          <w:snapToGrid w:val="0"/>
          <w:kern w:val="0"/>
          <w:sz w:val="24"/>
        </w:rPr>
        <w:t>本工程质量保修书，由施工合同发包人、承包人双方在竣工验收前共同签署，作为施工合同附件其有效期限至保修期满。</w:t>
      </w:r>
    </w:p>
    <w:p w14:paraId="0BB8A586">
      <w:pPr>
        <w:spacing w:line="440" w:lineRule="exact"/>
        <w:ind w:firstLine="424" w:firstLineChars="202"/>
        <w:rPr>
          <w:rFonts w:hint="eastAsia" w:ascii="宋体" w:hAnsi="宋体" w:eastAsia="宋体"/>
        </w:rPr>
      </w:pPr>
    </w:p>
    <w:p w14:paraId="722F73E8">
      <w:pPr>
        <w:spacing w:line="440" w:lineRule="exact"/>
        <w:ind w:firstLine="424" w:firstLineChars="202"/>
        <w:rPr>
          <w:rFonts w:hint="eastAsia" w:ascii="宋体" w:hAnsi="宋体" w:eastAsia="宋体"/>
        </w:rPr>
      </w:pPr>
    </w:p>
    <w:tbl>
      <w:tblPr>
        <w:tblStyle w:val="62"/>
        <w:tblW w:w="0" w:type="auto"/>
        <w:tblInd w:w="0" w:type="dxa"/>
        <w:tblLayout w:type="autofit"/>
        <w:tblCellMar>
          <w:top w:w="0" w:type="dxa"/>
          <w:left w:w="108" w:type="dxa"/>
          <w:bottom w:w="0" w:type="dxa"/>
          <w:right w:w="108" w:type="dxa"/>
        </w:tblCellMar>
      </w:tblPr>
      <w:tblGrid>
        <w:gridCol w:w="4077"/>
        <w:gridCol w:w="4219"/>
      </w:tblGrid>
      <w:tr w14:paraId="794B2A88">
        <w:tblPrEx>
          <w:tblCellMar>
            <w:top w:w="0" w:type="dxa"/>
            <w:left w:w="108" w:type="dxa"/>
            <w:bottom w:w="0" w:type="dxa"/>
            <w:right w:w="108" w:type="dxa"/>
          </w:tblCellMar>
        </w:tblPrEx>
        <w:tc>
          <w:tcPr>
            <w:tcW w:w="4077" w:type="dxa"/>
          </w:tcPr>
          <w:p w14:paraId="0BC816AC">
            <w:pPr>
              <w:rPr>
                <w:rFonts w:hint="eastAsia" w:ascii="宋体" w:hAnsi="宋体" w:eastAsia="宋体"/>
                <w:sz w:val="24"/>
                <w:szCs w:val="28"/>
              </w:rPr>
            </w:pPr>
            <w:r>
              <w:rPr>
                <w:rFonts w:hint="eastAsia" w:ascii="宋体" w:hAnsi="宋体" w:eastAsia="宋体"/>
                <w:sz w:val="24"/>
                <w:szCs w:val="28"/>
              </w:rPr>
              <w:t>甲方</w:t>
            </w:r>
            <w:r>
              <w:rPr>
                <w:rFonts w:ascii="宋体" w:hAnsi="宋体" w:eastAsia="宋体"/>
                <w:sz w:val="24"/>
                <w:szCs w:val="28"/>
              </w:rPr>
              <w:t>：</w:t>
            </w:r>
            <w:r>
              <w:rPr>
                <w:rFonts w:hint="eastAsia" w:ascii="宋体" w:hAnsi="宋体" w:eastAsia="宋体"/>
                <w:sz w:val="24"/>
                <w:szCs w:val="28"/>
              </w:rPr>
              <w:t>广州新中轴建设有限公司</w:t>
            </w:r>
          </w:p>
          <w:p w14:paraId="0EEF2F03">
            <w:pPr>
              <w:rPr>
                <w:rFonts w:hint="eastAsia" w:ascii="宋体" w:hAnsi="宋体" w:eastAsia="宋体"/>
                <w:sz w:val="24"/>
                <w:szCs w:val="28"/>
              </w:rPr>
            </w:pPr>
            <w:r>
              <w:rPr>
                <w:rFonts w:ascii="宋体" w:hAnsi="宋体" w:eastAsia="宋体"/>
                <w:sz w:val="24"/>
                <w:szCs w:val="28"/>
              </w:rPr>
              <w:t>（盖章）</w:t>
            </w:r>
          </w:p>
          <w:p w14:paraId="31CEE86F">
            <w:pPr>
              <w:rPr>
                <w:rFonts w:hint="eastAsia" w:ascii="宋体" w:hAnsi="宋体" w:eastAsia="宋体"/>
                <w:sz w:val="24"/>
                <w:szCs w:val="28"/>
              </w:rPr>
            </w:pPr>
          </w:p>
          <w:p w14:paraId="2A36E622">
            <w:pPr>
              <w:rPr>
                <w:rFonts w:hint="eastAsia" w:ascii="宋体" w:hAnsi="宋体" w:eastAsia="宋体"/>
                <w:sz w:val="24"/>
                <w:szCs w:val="28"/>
              </w:rPr>
            </w:pPr>
          </w:p>
        </w:tc>
        <w:tc>
          <w:tcPr>
            <w:tcW w:w="4219" w:type="dxa"/>
          </w:tcPr>
          <w:p w14:paraId="3273E4BC">
            <w:pPr>
              <w:rPr>
                <w:rFonts w:hint="eastAsia" w:ascii="宋体" w:hAnsi="宋体" w:eastAsia="宋体"/>
                <w:sz w:val="24"/>
                <w:szCs w:val="28"/>
              </w:rPr>
            </w:pPr>
            <w:r>
              <w:rPr>
                <w:rFonts w:ascii="宋体" w:hAnsi="宋体" w:eastAsia="宋体"/>
                <w:sz w:val="24"/>
                <w:szCs w:val="28"/>
              </w:rPr>
              <w:t>乙方：</w:t>
            </w:r>
            <w:r>
              <w:rPr>
                <w:rFonts w:hint="eastAsia" w:ascii="宋体" w:hAnsi="宋体" w:eastAsia="宋体"/>
                <w:sz w:val="24"/>
                <w:szCs w:val="28"/>
              </w:rPr>
              <w:t>【承包人单位名称】</w:t>
            </w:r>
          </w:p>
          <w:p w14:paraId="50BD4638">
            <w:pPr>
              <w:rPr>
                <w:rFonts w:hint="eastAsia" w:ascii="宋体" w:hAnsi="宋体" w:eastAsia="宋体"/>
                <w:sz w:val="24"/>
                <w:szCs w:val="28"/>
              </w:rPr>
            </w:pPr>
            <w:r>
              <w:rPr>
                <w:rFonts w:ascii="宋体" w:hAnsi="宋体" w:eastAsia="宋体"/>
                <w:sz w:val="24"/>
                <w:szCs w:val="28"/>
              </w:rPr>
              <w:t>（盖章）</w:t>
            </w:r>
          </w:p>
          <w:p w14:paraId="1C8546CA">
            <w:pPr>
              <w:rPr>
                <w:rFonts w:hint="eastAsia" w:ascii="宋体" w:hAnsi="宋体" w:eastAsia="宋体"/>
                <w:sz w:val="24"/>
                <w:szCs w:val="28"/>
              </w:rPr>
            </w:pPr>
          </w:p>
          <w:p w14:paraId="7AF7EA9C">
            <w:pPr>
              <w:rPr>
                <w:rFonts w:hint="eastAsia" w:ascii="宋体" w:hAnsi="宋体" w:eastAsia="宋体"/>
                <w:sz w:val="24"/>
                <w:szCs w:val="28"/>
              </w:rPr>
            </w:pPr>
          </w:p>
        </w:tc>
      </w:tr>
      <w:tr w14:paraId="409685EA">
        <w:tblPrEx>
          <w:tblCellMar>
            <w:top w:w="0" w:type="dxa"/>
            <w:left w:w="108" w:type="dxa"/>
            <w:bottom w:w="0" w:type="dxa"/>
            <w:right w:w="108" w:type="dxa"/>
          </w:tblCellMar>
        </w:tblPrEx>
        <w:tc>
          <w:tcPr>
            <w:tcW w:w="4077" w:type="dxa"/>
          </w:tcPr>
          <w:p w14:paraId="75377E0B">
            <w:pPr>
              <w:rPr>
                <w:rFonts w:hint="eastAsia" w:ascii="宋体" w:hAnsi="宋体" w:eastAsia="宋体"/>
                <w:sz w:val="24"/>
                <w:szCs w:val="28"/>
              </w:rPr>
            </w:pPr>
            <w:r>
              <w:rPr>
                <w:rFonts w:hint="eastAsia" w:ascii="宋体" w:hAnsi="宋体" w:eastAsia="宋体"/>
                <w:sz w:val="24"/>
                <w:szCs w:val="28"/>
              </w:rPr>
              <w:t>负责人：</w:t>
            </w:r>
          </w:p>
          <w:p w14:paraId="079EAD9E">
            <w:pPr>
              <w:rPr>
                <w:rFonts w:hint="eastAsia" w:ascii="宋体" w:hAnsi="宋体" w:eastAsia="宋体"/>
                <w:sz w:val="24"/>
                <w:szCs w:val="28"/>
              </w:rPr>
            </w:pPr>
            <w:r>
              <w:rPr>
                <w:rFonts w:hint="eastAsia" w:ascii="宋体" w:hAnsi="宋体" w:eastAsia="宋体"/>
                <w:sz w:val="24"/>
                <w:szCs w:val="28"/>
              </w:rPr>
              <w:t>（签字）</w:t>
            </w:r>
          </w:p>
          <w:p w14:paraId="4B921F88">
            <w:pPr>
              <w:rPr>
                <w:rFonts w:hint="eastAsia" w:ascii="宋体" w:hAnsi="宋体" w:eastAsia="宋体"/>
                <w:sz w:val="24"/>
                <w:szCs w:val="28"/>
              </w:rPr>
            </w:pPr>
          </w:p>
        </w:tc>
        <w:tc>
          <w:tcPr>
            <w:tcW w:w="4219" w:type="dxa"/>
          </w:tcPr>
          <w:p w14:paraId="746A3605">
            <w:pPr>
              <w:rPr>
                <w:rFonts w:hint="eastAsia" w:ascii="宋体" w:hAnsi="宋体" w:eastAsia="宋体"/>
                <w:sz w:val="24"/>
                <w:szCs w:val="28"/>
              </w:rPr>
            </w:pPr>
            <w:r>
              <w:rPr>
                <w:rFonts w:hint="eastAsia" w:ascii="宋体" w:hAnsi="宋体" w:eastAsia="宋体"/>
                <w:sz w:val="24"/>
                <w:szCs w:val="28"/>
              </w:rPr>
              <w:t>负责人：</w:t>
            </w:r>
          </w:p>
          <w:p w14:paraId="224BB2AD">
            <w:pPr>
              <w:rPr>
                <w:rFonts w:hint="eastAsia" w:ascii="宋体" w:hAnsi="宋体" w:eastAsia="宋体"/>
                <w:sz w:val="24"/>
                <w:szCs w:val="28"/>
              </w:rPr>
            </w:pPr>
            <w:r>
              <w:rPr>
                <w:rFonts w:hint="eastAsia" w:ascii="宋体" w:hAnsi="宋体" w:eastAsia="宋体"/>
                <w:sz w:val="24"/>
                <w:szCs w:val="28"/>
              </w:rPr>
              <w:t>（签字）</w:t>
            </w:r>
          </w:p>
          <w:p w14:paraId="334E28B0">
            <w:pPr>
              <w:rPr>
                <w:rFonts w:hint="eastAsia" w:ascii="宋体" w:hAnsi="宋体" w:eastAsia="宋体"/>
                <w:sz w:val="24"/>
                <w:szCs w:val="28"/>
              </w:rPr>
            </w:pPr>
          </w:p>
        </w:tc>
      </w:tr>
    </w:tbl>
    <w:p w14:paraId="238C467B">
      <w:pPr>
        <w:ind w:firstLine="424" w:firstLineChars="202"/>
        <w:rPr>
          <w:rFonts w:hint="eastAsia" w:ascii="宋体" w:hAnsi="宋体" w:eastAsia="宋体"/>
        </w:rPr>
      </w:pPr>
    </w:p>
    <w:p w14:paraId="45EC13BF">
      <w:pPr>
        <w:pStyle w:val="17"/>
        <w:spacing w:line="440" w:lineRule="exact"/>
        <w:ind w:firstLine="640"/>
        <w:rPr>
          <w:rFonts w:hint="eastAsia" w:ascii="宋体" w:hAnsi="宋体" w:eastAsia="宋体" w:cs="宋体"/>
          <w:bCs/>
          <w:snapToGrid w:val="0"/>
          <w:kern w:val="0"/>
          <w:sz w:val="32"/>
          <w:szCs w:val="32"/>
        </w:rPr>
      </w:pPr>
    </w:p>
    <w:tbl>
      <w:tblPr>
        <w:tblStyle w:val="62"/>
        <w:tblW w:w="0" w:type="auto"/>
        <w:tblInd w:w="0" w:type="dxa"/>
        <w:tblLayout w:type="autofit"/>
        <w:tblCellMar>
          <w:top w:w="0" w:type="dxa"/>
          <w:left w:w="108" w:type="dxa"/>
          <w:bottom w:w="0" w:type="dxa"/>
          <w:right w:w="108" w:type="dxa"/>
        </w:tblCellMar>
      </w:tblPr>
      <w:tblGrid>
        <w:gridCol w:w="4077"/>
        <w:gridCol w:w="4219"/>
      </w:tblGrid>
      <w:tr w14:paraId="782571F2">
        <w:tc>
          <w:tcPr>
            <w:tcW w:w="4077" w:type="dxa"/>
          </w:tcPr>
          <w:p w14:paraId="3AF61DA9">
            <w:pPr>
              <w:rPr>
                <w:rFonts w:hint="eastAsia" w:ascii="宋体" w:hAnsi="宋体" w:eastAsia="宋体"/>
                <w:sz w:val="24"/>
                <w:szCs w:val="28"/>
              </w:rPr>
            </w:pPr>
            <w:r>
              <w:rPr>
                <w:rFonts w:hint="eastAsia" w:ascii="黑体" w:hAnsi="黑体"/>
                <w:sz w:val="24"/>
              </w:rPr>
              <w:t>签署日期：2025年   月   日</w:t>
            </w:r>
          </w:p>
        </w:tc>
        <w:tc>
          <w:tcPr>
            <w:tcW w:w="4219" w:type="dxa"/>
          </w:tcPr>
          <w:p w14:paraId="676EF018">
            <w:pPr>
              <w:rPr>
                <w:rFonts w:hint="eastAsia" w:ascii="宋体" w:hAnsi="宋体" w:eastAsia="宋体"/>
                <w:sz w:val="24"/>
                <w:szCs w:val="28"/>
              </w:rPr>
            </w:pPr>
          </w:p>
        </w:tc>
      </w:tr>
      <w:tr w14:paraId="5E4DE5EB">
        <w:tblPrEx>
          <w:tblCellMar>
            <w:top w:w="0" w:type="dxa"/>
            <w:left w:w="108" w:type="dxa"/>
            <w:bottom w:w="0" w:type="dxa"/>
            <w:right w:w="108" w:type="dxa"/>
          </w:tblCellMar>
        </w:tblPrEx>
        <w:tc>
          <w:tcPr>
            <w:tcW w:w="4077" w:type="dxa"/>
          </w:tcPr>
          <w:p w14:paraId="0C104D39">
            <w:pPr>
              <w:rPr>
                <w:rFonts w:hint="eastAsia" w:ascii="宋体" w:hAnsi="宋体" w:eastAsia="宋体"/>
                <w:sz w:val="24"/>
                <w:szCs w:val="28"/>
              </w:rPr>
            </w:pPr>
          </w:p>
        </w:tc>
        <w:tc>
          <w:tcPr>
            <w:tcW w:w="4219" w:type="dxa"/>
          </w:tcPr>
          <w:p w14:paraId="28D2417E">
            <w:pPr>
              <w:rPr>
                <w:rFonts w:hint="eastAsia" w:ascii="宋体" w:hAnsi="宋体" w:eastAsia="宋体"/>
                <w:sz w:val="24"/>
                <w:szCs w:val="28"/>
              </w:rPr>
            </w:pPr>
          </w:p>
        </w:tc>
      </w:tr>
    </w:tbl>
    <w:p w14:paraId="70E9322D">
      <w:pPr>
        <w:adjustRightInd w:val="0"/>
        <w:snapToGrid w:val="0"/>
        <w:spacing w:line="360" w:lineRule="auto"/>
        <w:ind w:right="11"/>
        <w:rPr>
          <w:rFonts w:hint="eastAsia" w:ascii="宋体" w:hAnsi="宋体" w:eastAsia="宋体" w:cs="宋体"/>
          <w:snapToGrid w:val="0"/>
          <w:kern w:val="0"/>
          <w:sz w:val="24"/>
        </w:rPr>
      </w:pPr>
    </w:p>
    <w:p w14:paraId="28D6D1F7">
      <w:pPr>
        <w:pStyle w:val="403"/>
        <w:spacing w:line="460" w:lineRule="exact"/>
        <w:rPr>
          <w:rFonts w:hint="eastAsia" w:eastAsia="宋体" w:cs="宋体"/>
        </w:rPr>
      </w:pPr>
    </w:p>
    <w:p w14:paraId="3837C619">
      <w:pPr>
        <w:pStyle w:val="403"/>
        <w:spacing w:line="460" w:lineRule="exact"/>
        <w:rPr>
          <w:rFonts w:hint="eastAsia" w:eastAsia="宋体" w:cs="宋体"/>
        </w:rPr>
        <w:sectPr>
          <w:pgSz w:w="11906" w:h="16838"/>
          <w:pgMar w:top="1417" w:right="1531" w:bottom="1304" w:left="1531" w:header="851" w:footer="992" w:gutter="0"/>
          <w:cols w:space="720" w:num="1"/>
          <w:docGrid w:linePitch="312" w:charSpace="0"/>
        </w:sectPr>
      </w:pPr>
    </w:p>
    <w:p w14:paraId="32B116F0">
      <w:pPr>
        <w:pStyle w:val="5"/>
        <w:rPr>
          <w:rFonts w:hint="eastAsia" w:ascii="宋体" w:hAnsi="宋体" w:eastAsia="宋体" w:cs="宋体"/>
          <w:bCs/>
        </w:rPr>
      </w:pPr>
      <w:bookmarkStart w:id="1643" w:name="_Toc198803842"/>
      <w:bookmarkStart w:id="1644" w:name="_Toc29170"/>
      <w:bookmarkStart w:id="1645" w:name="_Toc83220644"/>
      <w:bookmarkStart w:id="1646" w:name="_Toc176268775"/>
      <w:r>
        <w:rPr>
          <w:rFonts w:hint="eastAsia" w:ascii="宋体" w:hAnsi="宋体" w:eastAsia="宋体" w:cs="宋体"/>
          <w:bCs/>
        </w:rPr>
        <w:t>附件9：投标报价表</w:t>
      </w:r>
      <w:bookmarkEnd w:id="1642"/>
      <w:bookmarkEnd w:id="1643"/>
      <w:bookmarkEnd w:id="1644"/>
      <w:bookmarkEnd w:id="1645"/>
      <w:bookmarkEnd w:id="1646"/>
    </w:p>
    <w:p w14:paraId="312EF702">
      <w:pPr>
        <w:pStyle w:val="403"/>
        <w:spacing w:line="460" w:lineRule="exact"/>
        <w:rPr>
          <w:rFonts w:hint="eastAsia" w:eastAsia="宋体" w:cs="宋体"/>
          <w:snapToGrid w:val="0"/>
        </w:rPr>
      </w:pPr>
    </w:p>
    <w:p w14:paraId="615B0EF7">
      <w:pPr>
        <w:pStyle w:val="403"/>
        <w:spacing w:line="460" w:lineRule="exact"/>
        <w:rPr>
          <w:rFonts w:hint="eastAsia" w:eastAsia="宋体" w:cs="宋体"/>
          <w:snapToGrid w:val="0"/>
        </w:rPr>
      </w:pPr>
    </w:p>
    <w:p w14:paraId="258B7172">
      <w:pPr>
        <w:pStyle w:val="403"/>
        <w:spacing w:line="460" w:lineRule="exact"/>
        <w:rPr>
          <w:rFonts w:hint="eastAsia" w:eastAsia="宋体" w:cs="宋体"/>
          <w:snapToGrid w:val="0"/>
        </w:rPr>
      </w:pPr>
    </w:p>
    <w:p w14:paraId="3865D874">
      <w:pPr>
        <w:pStyle w:val="403"/>
        <w:spacing w:line="460" w:lineRule="exact"/>
        <w:rPr>
          <w:rFonts w:hint="eastAsia" w:eastAsia="宋体" w:cs="宋体"/>
          <w:snapToGrid w:val="0"/>
        </w:rPr>
      </w:pPr>
    </w:p>
    <w:p w14:paraId="1FC8CCCD">
      <w:pPr>
        <w:pStyle w:val="403"/>
        <w:spacing w:line="460" w:lineRule="exact"/>
        <w:rPr>
          <w:rFonts w:hint="eastAsia" w:eastAsia="宋体" w:cs="宋体"/>
          <w:snapToGrid w:val="0"/>
        </w:rPr>
      </w:pPr>
    </w:p>
    <w:p w14:paraId="4DCFB9EF">
      <w:pPr>
        <w:pStyle w:val="403"/>
        <w:spacing w:line="460" w:lineRule="exact"/>
        <w:rPr>
          <w:rFonts w:hint="eastAsia" w:eastAsia="宋体" w:cs="宋体"/>
          <w:snapToGrid w:val="0"/>
        </w:rPr>
      </w:pPr>
    </w:p>
    <w:p w14:paraId="07DD4D7D">
      <w:pPr>
        <w:pStyle w:val="403"/>
        <w:spacing w:line="460" w:lineRule="exact"/>
        <w:rPr>
          <w:rFonts w:hint="eastAsia" w:eastAsia="宋体" w:cs="宋体"/>
          <w:snapToGrid w:val="0"/>
        </w:rPr>
      </w:pPr>
    </w:p>
    <w:p w14:paraId="5AB66999">
      <w:pPr>
        <w:pStyle w:val="403"/>
        <w:spacing w:line="460" w:lineRule="exact"/>
        <w:rPr>
          <w:rFonts w:hint="eastAsia" w:eastAsia="宋体" w:cs="宋体"/>
          <w:snapToGrid w:val="0"/>
        </w:rPr>
      </w:pPr>
    </w:p>
    <w:p w14:paraId="5C489011">
      <w:pPr>
        <w:pStyle w:val="403"/>
        <w:spacing w:line="460" w:lineRule="exact"/>
        <w:rPr>
          <w:rFonts w:hint="eastAsia" w:eastAsia="宋体" w:cs="宋体"/>
          <w:snapToGrid w:val="0"/>
        </w:rPr>
      </w:pPr>
    </w:p>
    <w:p w14:paraId="0C553821">
      <w:pPr>
        <w:pStyle w:val="403"/>
        <w:spacing w:line="460" w:lineRule="exact"/>
        <w:rPr>
          <w:rFonts w:hint="eastAsia" w:eastAsia="宋体" w:cs="宋体"/>
          <w:snapToGrid w:val="0"/>
        </w:rPr>
      </w:pPr>
    </w:p>
    <w:p w14:paraId="7E0F866B">
      <w:pPr>
        <w:pStyle w:val="403"/>
        <w:spacing w:line="460" w:lineRule="exact"/>
        <w:rPr>
          <w:rFonts w:hint="eastAsia" w:eastAsia="宋体" w:cs="宋体"/>
          <w:snapToGrid w:val="0"/>
        </w:rPr>
      </w:pPr>
    </w:p>
    <w:p w14:paraId="5356F6D5">
      <w:pPr>
        <w:pStyle w:val="403"/>
        <w:spacing w:line="460" w:lineRule="exact"/>
        <w:rPr>
          <w:rFonts w:hint="eastAsia" w:eastAsia="宋体" w:cs="宋体"/>
          <w:snapToGrid w:val="0"/>
        </w:rPr>
      </w:pPr>
    </w:p>
    <w:p w14:paraId="6A3E06E9">
      <w:pPr>
        <w:pStyle w:val="403"/>
        <w:spacing w:line="460" w:lineRule="exact"/>
        <w:rPr>
          <w:rFonts w:hint="eastAsia" w:eastAsia="宋体" w:cs="宋体"/>
          <w:snapToGrid w:val="0"/>
        </w:rPr>
      </w:pPr>
    </w:p>
    <w:p w14:paraId="2980C02B">
      <w:pPr>
        <w:pStyle w:val="403"/>
        <w:spacing w:line="460" w:lineRule="exact"/>
        <w:rPr>
          <w:rFonts w:hint="eastAsia" w:eastAsia="宋体" w:cs="宋体"/>
          <w:snapToGrid w:val="0"/>
        </w:rPr>
      </w:pPr>
    </w:p>
    <w:p w14:paraId="0401DA34">
      <w:pPr>
        <w:pStyle w:val="403"/>
        <w:spacing w:line="460" w:lineRule="exact"/>
        <w:rPr>
          <w:rFonts w:hint="eastAsia" w:eastAsia="宋体" w:cs="宋体"/>
          <w:snapToGrid w:val="0"/>
        </w:rPr>
      </w:pPr>
    </w:p>
    <w:p w14:paraId="36FB83B4">
      <w:pPr>
        <w:pStyle w:val="403"/>
        <w:spacing w:line="460" w:lineRule="exact"/>
        <w:rPr>
          <w:rFonts w:hint="eastAsia" w:eastAsia="宋体" w:cs="宋体"/>
          <w:snapToGrid w:val="0"/>
        </w:rPr>
      </w:pPr>
    </w:p>
    <w:p w14:paraId="56170106">
      <w:pPr>
        <w:pStyle w:val="403"/>
        <w:spacing w:line="460" w:lineRule="exact"/>
        <w:rPr>
          <w:rFonts w:hint="eastAsia" w:eastAsia="宋体" w:cs="宋体"/>
          <w:snapToGrid w:val="0"/>
        </w:rPr>
      </w:pPr>
    </w:p>
    <w:p w14:paraId="74E1DFA0">
      <w:pPr>
        <w:pStyle w:val="403"/>
        <w:spacing w:line="460" w:lineRule="exact"/>
        <w:rPr>
          <w:rFonts w:hint="eastAsia" w:eastAsia="宋体" w:cs="宋体"/>
          <w:snapToGrid w:val="0"/>
        </w:rPr>
      </w:pPr>
    </w:p>
    <w:p w14:paraId="13E131E4">
      <w:pPr>
        <w:pStyle w:val="403"/>
        <w:spacing w:line="460" w:lineRule="exact"/>
        <w:rPr>
          <w:rFonts w:hint="eastAsia" w:eastAsia="宋体" w:cs="宋体"/>
          <w:snapToGrid w:val="0"/>
        </w:rPr>
      </w:pPr>
    </w:p>
    <w:p w14:paraId="6F3A86C8">
      <w:pPr>
        <w:pStyle w:val="403"/>
        <w:spacing w:line="460" w:lineRule="exact"/>
        <w:rPr>
          <w:rFonts w:hint="eastAsia" w:eastAsia="宋体" w:cs="宋体"/>
          <w:snapToGrid w:val="0"/>
        </w:rPr>
      </w:pPr>
    </w:p>
    <w:p w14:paraId="5BD68CB6">
      <w:pPr>
        <w:pStyle w:val="403"/>
        <w:spacing w:line="460" w:lineRule="exact"/>
        <w:rPr>
          <w:rFonts w:hint="eastAsia" w:eastAsia="宋体" w:cs="宋体"/>
          <w:snapToGrid w:val="0"/>
        </w:rPr>
      </w:pPr>
    </w:p>
    <w:p w14:paraId="7DA0D303">
      <w:pPr>
        <w:pStyle w:val="403"/>
        <w:spacing w:line="460" w:lineRule="exact"/>
        <w:rPr>
          <w:rFonts w:hint="eastAsia" w:eastAsia="宋体" w:cs="宋体"/>
          <w:snapToGrid w:val="0"/>
        </w:rPr>
      </w:pPr>
    </w:p>
    <w:p w14:paraId="0597D02C">
      <w:pPr>
        <w:pStyle w:val="403"/>
        <w:spacing w:line="460" w:lineRule="exact"/>
        <w:rPr>
          <w:rFonts w:hint="eastAsia" w:eastAsia="宋体" w:cs="宋体"/>
          <w:snapToGrid w:val="0"/>
        </w:rPr>
      </w:pPr>
    </w:p>
    <w:p w14:paraId="14F63BB2">
      <w:pPr>
        <w:pStyle w:val="403"/>
        <w:spacing w:line="460" w:lineRule="exact"/>
        <w:rPr>
          <w:rFonts w:hint="eastAsia" w:eastAsia="宋体" w:cs="宋体"/>
          <w:snapToGrid w:val="0"/>
        </w:rPr>
      </w:pPr>
    </w:p>
    <w:p w14:paraId="598B3C19">
      <w:pPr>
        <w:pStyle w:val="403"/>
        <w:spacing w:line="460" w:lineRule="exact"/>
        <w:rPr>
          <w:rFonts w:hint="eastAsia" w:eastAsia="宋体" w:cs="宋体"/>
          <w:snapToGrid w:val="0"/>
        </w:rPr>
      </w:pPr>
    </w:p>
    <w:p w14:paraId="1C760233">
      <w:pPr>
        <w:pStyle w:val="403"/>
        <w:spacing w:line="460" w:lineRule="exact"/>
        <w:rPr>
          <w:rFonts w:hint="eastAsia" w:eastAsia="宋体" w:cs="宋体"/>
        </w:rPr>
      </w:pPr>
    </w:p>
    <w:p w14:paraId="757F09A8">
      <w:pPr>
        <w:pStyle w:val="403"/>
        <w:spacing w:line="460" w:lineRule="exact"/>
        <w:rPr>
          <w:rFonts w:hint="eastAsia" w:eastAsia="宋体" w:cs="宋体"/>
        </w:rPr>
        <w:sectPr>
          <w:pgSz w:w="11906" w:h="16838"/>
          <w:pgMar w:top="1417" w:right="1531" w:bottom="1304" w:left="1531" w:header="851" w:footer="992" w:gutter="0"/>
          <w:cols w:space="720" w:num="1"/>
          <w:docGrid w:linePitch="312" w:charSpace="0"/>
        </w:sectPr>
      </w:pPr>
      <w:bookmarkStart w:id="1647" w:name="_Toc68594933"/>
    </w:p>
    <w:p w14:paraId="0E63C8F8">
      <w:pPr>
        <w:pStyle w:val="5"/>
        <w:rPr>
          <w:rFonts w:hint="eastAsia" w:ascii="宋体" w:hAnsi="宋体" w:eastAsia="宋体" w:cs="宋体"/>
          <w:bCs/>
        </w:rPr>
      </w:pPr>
      <w:bookmarkStart w:id="1648" w:name="_Toc83220645"/>
      <w:bookmarkStart w:id="1649" w:name="_Toc17097"/>
      <w:bookmarkStart w:id="1650" w:name="_Toc176268776"/>
      <w:bookmarkStart w:id="1651" w:name="_Toc198803843"/>
      <w:r>
        <w:rPr>
          <w:rFonts w:hint="eastAsia" w:ascii="宋体" w:hAnsi="宋体" w:eastAsia="宋体" w:cs="宋体"/>
          <w:bCs/>
        </w:rPr>
        <w:t>附件10：</w:t>
      </w:r>
      <w:bookmarkEnd w:id="1647"/>
      <w:bookmarkEnd w:id="1648"/>
      <w:r>
        <w:rPr>
          <w:rFonts w:hint="eastAsia" w:ascii="宋体" w:hAnsi="宋体" w:eastAsia="宋体" w:cs="宋体"/>
          <w:bCs/>
        </w:rPr>
        <w:t>招标文件的修改、答疑或澄清（如有）</w:t>
      </w:r>
      <w:bookmarkEnd w:id="1649"/>
      <w:bookmarkEnd w:id="1650"/>
      <w:bookmarkEnd w:id="1651"/>
    </w:p>
    <w:p w14:paraId="01599B46">
      <w:pPr>
        <w:pStyle w:val="403"/>
        <w:spacing w:line="460" w:lineRule="exact"/>
        <w:rPr>
          <w:rFonts w:hint="eastAsia" w:eastAsia="宋体" w:cs="宋体"/>
          <w:snapToGrid w:val="0"/>
        </w:rPr>
      </w:pPr>
    </w:p>
    <w:p w14:paraId="20CD8C19">
      <w:pPr>
        <w:pStyle w:val="403"/>
        <w:spacing w:line="460" w:lineRule="exact"/>
        <w:rPr>
          <w:rFonts w:hint="eastAsia" w:eastAsia="宋体" w:cs="宋体"/>
          <w:snapToGrid w:val="0"/>
        </w:rPr>
      </w:pPr>
    </w:p>
    <w:p w14:paraId="330A7C52">
      <w:pPr>
        <w:pStyle w:val="403"/>
        <w:spacing w:line="460" w:lineRule="exact"/>
        <w:rPr>
          <w:rFonts w:hint="eastAsia" w:eastAsia="宋体" w:cs="宋体"/>
          <w:snapToGrid w:val="0"/>
        </w:rPr>
      </w:pPr>
    </w:p>
    <w:p w14:paraId="021040B1">
      <w:pPr>
        <w:pStyle w:val="403"/>
        <w:spacing w:line="460" w:lineRule="exact"/>
        <w:rPr>
          <w:rFonts w:hint="eastAsia" w:eastAsia="宋体" w:cs="宋体"/>
          <w:snapToGrid w:val="0"/>
        </w:rPr>
      </w:pPr>
    </w:p>
    <w:p w14:paraId="1F66B8F0">
      <w:pPr>
        <w:pStyle w:val="403"/>
        <w:spacing w:line="460" w:lineRule="exact"/>
        <w:rPr>
          <w:rFonts w:hint="eastAsia" w:eastAsia="宋体" w:cs="宋体"/>
          <w:snapToGrid w:val="0"/>
        </w:rPr>
      </w:pPr>
    </w:p>
    <w:p w14:paraId="3E86C60C">
      <w:pPr>
        <w:pStyle w:val="403"/>
        <w:spacing w:line="460" w:lineRule="exact"/>
        <w:rPr>
          <w:rFonts w:hint="eastAsia" w:eastAsia="宋体" w:cs="宋体"/>
          <w:snapToGrid w:val="0"/>
        </w:rPr>
      </w:pPr>
    </w:p>
    <w:p w14:paraId="0D58C018">
      <w:pPr>
        <w:pStyle w:val="403"/>
        <w:spacing w:line="460" w:lineRule="exact"/>
        <w:rPr>
          <w:rFonts w:hint="eastAsia" w:eastAsia="宋体" w:cs="宋体"/>
          <w:snapToGrid w:val="0"/>
        </w:rPr>
      </w:pPr>
    </w:p>
    <w:p w14:paraId="278B0880">
      <w:pPr>
        <w:pStyle w:val="403"/>
        <w:spacing w:line="460" w:lineRule="exact"/>
        <w:rPr>
          <w:rFonts w:hint="eastAsia" w:eastAsia="宋体" w:cs="宋体"/>
          <w:snapToGrid w:val="0"/>
        </w:rPr>
      </w:pPr>
    </w:p>
    <w:p w14:paraId="0DB52483">
      <w:pPr>
        <w:pStyle w:val="403"/>
        <w:spacing w:line="460" w:lineRule="exact"/>
        <w:rPr>
          <w:rFonts w:hint="eastAsia" w:eastAsia="宋体" w:cs="宋体"/>
          <w:snapToGrid w:val="0"/>
        </w:rPr>
      </w:pPr>
    </w:p>
    <w:p w14:paraId="4A59F925">
      <w:pPr>
        <w:pStyle w:val="403"/>
        <w:spacing w:line="460" w:lineRule="exact"/>
        <w:rPr>
          <w:rFonts w:hint="eastAsia" w:eastAsia="宋体" w:cs="宋体"/>
          <w:snapToGrid w:val="0"/>
        </w:rPr>
      </w:pPr>
    </w:p>
    <w:p w14:paraId="172D7259">
      <w:pPr>
        <w:pStyle w:val="403"/>
        <w:spacing w:line="460" w:lineRule="exact"/>
        <w:rPr>
          <w:rFonts w:hint="eastAsia" w:eastAsia="宋体" w:cs="宋体"/>
          <w:snapToGrid w:val="0"/>
        </w:rPr>
      </w:pPr>
    </w:p>
    <w:p w14:paraId="4C1601C3">
      <w:pPr>
        <w:pStyle w:val="403"/>
        <w:spacing w:line="460" w:lineRule="exact"/>
        <w:rPr>
          <w:rFonts w:hint="eastAsia" w:eastAsia="宋体" w:cs="宋体"/>
          <w:snapToGrid w:val="0"/>
        </w:rPr>
      </w:pPr>
    </w:p>
    <w:p w14:paraId="18AFDD9D">
      <w:pPr>
        <w:pStyle w:val="403"/>
        <w:spacing w:line="460" w:lineRule="exact"/>
        <w:rPr>
          <w:rFonts w:hint="eastAsia" w:eastAsia="宋体" w:cs="宋体"/>
          <w:snapToGrid w:val="0"/>
        </w:rPr>
      </w:pPr>
    </w:p>
    <w:p w14:paraId="61D12660">
      <w:pPr>
        <w:pStyle w:val="403"/>
        <w:spacing w:line="460" w:lineRule="exact"/>
        <w:rPr>
          <w:rFonts w:hint="eastAsia" w:eastAsia="宋体" w:cs="宋体"/>
          <w:snapToGrid w:val="0"/>
        </w:rPr>
      </w:pPr>
    </w:p>
    <w:p w14:paraId="583B3FC2">
      <w:pPr>
        <w:pStyle w:val="403"/>
        <w:spacing w:line="460" w:lineRule="exact"/>
        <w:rPr>
          <w:rFonts w:hint="eastAsia" w:eastAsia="宋体" w:cs="宋体"/>
          <w:snapToGrid w:val="0"/>
        </w:rPr>
      </w:pPr>
    </w:p>
    <w:p w14:paraId="4FA37515">
      <w:pPr>
        <w:pStyle w:val="403"/>
        <w:spacing w:line="460" w:lineRule="exact"/>
        <w:rPr>
          <w:rFonts w:hint="eastAsia" w:eastAsia="宋体" w:cs="宋体"/>
          <w:snapToGrid w:val="0"/>
        </w:rPr>
      </w:pPr>
    </w:p>
    <w:p w14:paraId="0695CD2A">
      <w:pPr>
        <w:pStyle w:val="403"/>
        <w:spacing w:line="460" w:lineRule="exact"/>
        <w:rPr>
          <w:rFonts w:hint="eastAsia" w:eastAsia="宋体" w:cs="宋体"/>
          <w:snapToGrid w:val="0"/>
        </w:rPr>
      </w:pPr>
    </w:p>
    <w:p w14:paraId="50D2A38E">
      <w:pPr>
        <w:pStyle w:val="403"/>
        <w:spacing w:line="460" w:lineRule="exact"/>
        <w:rPr>
          <w:rFonts w:hint="eastAsia" w:eastAsia="宋体" w:cs="宋体"/>
          <w:snapToGrid w:val="0"/>
        </w:rPr>
      </w:pPr>
    </w:p>
    <w:p w14:paraId="552B8319">
      <w:pPr>
        <w:pStyle w:val="403"/>
        <w:spacing w:line="460" w:lineRule="exact"/>
        <w:rPr>
          <w:rFonts w:hint="eastAsia" w:eastAsia="宋体" w:cs="宋体"/>
          <w:snapToGrid w:val="0"/>
        </w:rPr>
      </w:pPr>
    </w:p>
    <w:p w14:paraId="01A3726F">
      <w:pPr>
        <w:pStyle w:val="403"/>
        <w:spacing w:line="460" w:lineRule="exact"/>
        <w:rPr>
          <w:rFonts w:hint="eastAsia" w:eastAsia="宋体" w:cs="宋体"/>
          <w:snapToGrid w:val="0"/>
        </w:rPr>
      </w:pPr>
    </w:p>
    <w:p w14:paraId="4F29DC6C">
      <w:pPr>
        <w:pStyle w:val="403"/>
        <w:spacing w:line="460" w:lineRule="exact"/>
        <w:rPr>
          <w:rFonts w:hint="eastAsia" w:eastAsia="宋体" w:cs="宋体"/>
          <w:snapToGrid w:val="0"/>
        </w:rPr>
      </w:pPr>
    </w:p>
    <w:p w14:paraId="7DF3767B">
      <w:pPr>
        <w:pStyle w:val="403"/>
        <w:spacing w:line="460" w:lineRule="exact"/>
        <w:rPr>
          <w:rFonts w:hint="eastAsia" w:eastAsia="宋体" w:cs="宋体"/>
          <w:snapToGrid w:val="0"/>
        </w:rPr>
      </w:pPr>
    </w:p>
    <w:p w14:paraId="5E2A5FC6">
      <w:pPr>
        <w:pStyle w:val="403"/>
        <w:spacing w:line="460" w:lineRule="exact"/>
        <w:rPr>
          <w:rFonts w:hint="eastAsia" w:eastAsia="宋体" w:cs="宋体"/>
          <w:snapToGrid w:val="0"/>
        </w:rPr>
      </w:pPr>
    </w:p>
    <w:p w14:paraId="4964A653">
      <w:pPr>
        <w:pStyle w:val="403"/>
        <w:spacing w:line="460" w:lineRule="exact"/>
        <w:rPr>
          <w:rFonts w:hint="eastAsia" w:eastAsia="宋体" w:cs="宋体"/>
          <w:snapToGrid w:val="0"/>
        </w:rPr>
      </w:pPr>
    </w:p>
    <w:p w14:paraId="3AD9C49F">
      <w:pPr>
        <w:pStyle w:val="403"/>
        <w:spacing w:line="460" w:lineRule="exact"/>
        <w:rPr>
          <w:rFonts w:hint="eastAsia" w:eastAsia="宋体" w:cs="宋体"/>
          <w:snapToGrid w:val="0"/>
        </w:rPr>
      </w:pPr>
    </w:p>
    <w:p w14:paraId="2A33C842">
      <w:pPr>
        <w:pStyle w:val="403"/>
        <w:spacing w:line="460" w:lineRule="exact"/>
        <w:rPr>
          <w:rFonts w:hint="eastAsia" w:eastAsia="宋体" w:cs="宋体"/>
        </w:rPr>
      </w:pPr>
    </w:p>
    <w:p w14:paraId="1C07465B">
      <w:pPr>
        <w:pStyle w:val="403"/>
        <w:spacing w:line="460" w:lineRule="exact"/>
        <w:rPr>
          <w:rFonts w:hint="eastAsia" w:eastAsia="宋体" w:cs="宋体"/>
        </w:rPr>
        <w:sectPr>
          <w:pgSz w:w="11906" w:h="16838"/>
          <w:pgMar w:top="1417" w:right="1531" w:bottom="1304" w:left="1531" w:header="851" w:footer="992" w:gutter="0"/>
          <w:cols w:space="720" w:num="1"/>
          <w:docGrid w:linePitch="312" w:charSpace="0"/>
        </w:sectPr>
      </w:pPr>
      <w:bookmarkStart w:id="1652" w:name="_Toc68594934"/>
    </w:p>
    <w:p w14:paraId="436F72AC">
      <w:pPr>
        <w:pStyle w:val="5"/>
        <w:rPr>
          <w:rFonts w:hint="eastAsia" w:ascii="宋体" w:hAnsi="宋体" w:eastAsia="宋体" w:cs="宋体"/>
          <w:bCs/>
        </w:rPr>
      </w:pPr>
      <w:bookmarkStart w:id="1653" w:name="_Toc198803844"/>
      <w:bookmarkStart w:id="1654" w:name="_Toc83220646"/>
      <w:bookmarkStart w:id="1655" w:name="_Toc20543"/>
      <w:bookmarkStart w:id="1656" w:name="_Toc176268777"/>
      <w:r>
        <w:rPr>
          <w:rFonts w:hint="eastAsia" w:ascii="宋体" w:hAnsi="宋体" w:eastAsia="宋体" w:cs="宋体"/>
          <w:bCs/>
        </w:rPr>
        <w:t>附件11：承包人营业执照及资质证书</w:t>
      </w:r>
      <w:bookmarkEnd w:id="1652"/>
      <w:bookmarkEnd w:id="1653"/>
      <w:bookmarkEnd w:id="1654"/>
      <w:bookmarkEnd w:id="1655"/>
      <w:bookmarkEnd w:id="1656"/>
    </w:p>
    <w:p w14:paraId="140B923C">
      <w:pPr>
        <w:pStyle w:val="403"/>
        <w:spacing w:line="460" w:lineRule="exact"/>
        <w:rPr>
          <w:rFonts w:hint="eastAsia" w:eastAsia="宋体" w:cs="宋体"/>
          <w:snapToGrid w:val="0"/>
        </w:rPr>
      </w:pPr>
    </w:p>
    <w:p w14:paraId="2945A249">
      <w:pPr>
        <w:pStyle w:val="403"/>
        <w:spacing w:line="460" w:lineRule="exact"/>
        <w:rPr>
          <w:rFonts w:hint="eastAsia" w:eastAsia="宋体" w:cs="宋体"/>
          <w:snapToGrid w:val="0"/>
        </w:rPr>
      </w:pPr>
    </w:p>
    <w:p w14:paraId="36048F84">
      <w:pPr>
        <w:pStyle w:val="403"/>
        <w:spacing w:line="460" w:lineRule="exact"/>
        <w:rPr>
          <w:rFonts w:hint="eastAsia" w:eastAsia="宋体" w:cs="宋体"/>
          <w:snapToGrid w:val="0"/>
        </w:rPr>
      </w:pPr>
    </w:p>
    <w:p w14:paraId="7A4C8ACE">
      <w:pPr>
        <w:pStyle w:val="403"/>
        <w:spacing w:line="460" w:lineRule="exact"/>
        <w:rPr>
          <w:rFonts w:hint="eastAsia" w:eastAsia="宋体" w:cs="宋体"/>
          <w:snapToGrid w:val="0"/>
        </w:rPr>
      </w:pPr>
    </w:p>
    <w:p w14:paraId="5978A424">
      <w:pPr>
        <w:pStyle w:val="403"/>
        <w:spacing w:line="460" w:lineRule="exact"/>
        <w:rPr>
          <w:rFonts w:hint="eastAsia" w:eastAsia="宋体" w:cs="宋体"/>
          <w:snapToGrid w:val="0"/>
        </w:rPr>
      </w:pPr>
    </w:p>
    <w:p w14:paraId="74090FC1">
      <w:pPr>
        <w:pStyle w:val="403"/>
        <w:spacing w:line="460" w:lineRule="exact"/>
        <w:rPr>
          <w:rFonts w:hint="eastAsia" w:eastAsia="宋体" w:cs="宋体"/>
          <w:snapToGrid w:val="0"/>
        </w:rPr>
      </w:pPr>
    </w:p>
    <w:p w14:paraId="66B97027">
      <w:pPr>
        <w:pStyle w:val="403"/>
        <w:spacing w:line="460" w:lineRule="exact"/>
        <w:rPr>
          <w:rFonts w:hint="eastAsia" w:eastAsia="宋体" w:cs="宋体"/>
          <w:snapToGrid w:val="0"/>
        </w:rPr>
      </w:pPr>
    </w:p>
    <w:p w14:paraId="75B52AC5">
      <w:pPr>
        <w:pStyle w:val="403"/>
        <w:spacing w:line="460" w:lineRule="exact"/>
        <w:rPr>
          <w:rFonts w:hint="eastAsia" w:eastAsia="宋体" w:cs="宋体"/>
          <w:snapToGrid w:val="0"/>
        </w:rPr>
      </w:pPr>
    </w:p>
    <w:p w14:paraId="338EB059">
      <w:pPr>
        <w:pStyle w:val="403"/>
        <w:spacing w:line="460" w:lineRule="exact"/>
        <w:rPr>
          <w:rFonts w:hint="eastAsia" w:eastAsia="宋体" w:cs="宋体"/>
          <w:snapToGrid w:val="0"/>
        </w:rPr>
      </w:pPr>
    </w:p>
    <w:p w14:paraId="7B700C86">
      <w:pPr>
        <w:pStyle w:val="403"/>
        <w:spacing w:line="460" w:lineRule="exact"/>
        <w:rPr>
          <w:rFonts w:hint="eastAsia" w:eastAsia="宋体" w:cs="宋体"/>
          <w:snapToGrid w:val="0"/>
        </w:rPr>
      </w:pPr>
    </w:p>
    <w:p w14:paraId="508E27B5">
      <w:pPr>
        <w:pStyle w:val="403"/>
        <w:spacing w:line="460" w:lineRule="exact"/>
        <w:rPr>
          <w:rFonts w:hint="eastAsia" w:eastAsia="宋体" w:cs="宋体"/>
          <w:snapToGrid w:val="0"/>
        </w:rPr>
      </w:pPr>
    </w:p>
    <w:p w14:paraId="4CE1E418">
      <w:pPr>
        <w:pStyle w:val="403"/>
        <w:spacing w:line="460" w:lineRule="exact"/>
        <w:rPr>
          <w:rFonts w:hint="eastAsia" w:eastAsia="宋体" w:cs="宋体"/>
          <w:snapToGrid w:val="0"/>
        </w:rPr>
      </w:pPr>
    </w:p>
    <w:p w14:paraId="57A93806">
      <w:pPr>
        <w:pStyle w:val="403"/>
        <w:spacing w:line="460" w:lineRule="exact"/>
        <w:rPr>
          <w:rFonts w:hint="eastAsia" w:eastAsia="宋体" w:cs="宋体"/>
          <w:snapToGrid w:val="0"/>
        </w:rPr>
      </w:pPr>
    </w:p>
    <w:p w14:paraId="2D6892C2">
      <w:pPr>
        <w:pStyle w:val="403"/>
        <w:spacing w:line="460" w:lineRule="exact"/>
        <w:rPr>
          <w:rFonts w:hint="eastAsia" w:eastAsia="宋体" w:cs="宋体"/>
          <w:snapToGrid w:val="0"/>
        </w:rPr>
      </w:pPr>
    </w:p>
    <w:p w14:paraId="751B52FE">
      <w:pPr>
        <w:pStyle w:val="403"/>
        <w:spacing w:line="460" w:lineRule="exact"/>
        <w:rPr>
          <w:rFonts w:hint="eastAsia" w:eastAsia="宋体" w:cs="宋体"/>
          <w:snapToGrid w:val="0"/>
        </w:rPr>
      </w:pPr>
    </w:p>
    <w:p w14:paraId="7AD2BB94">
      <w:pPr>
        <w:pStyle w:val="403"/>
        <w:spacing w:line="460" w:lineRule="exact"/>
        <w:rPr>
          <w:rFonts w:hint="eastAsia" w:eastAsia="宋体" w:cs="宋体"/>
          <w:snapToGrid w:val="0"/>
        </w:rPr>
      </w:pPr>
    </w:p>
    <w:p w14:paraId="1E9F09A2">
      <w:pPr>
        <w:pStyle w:val="403"/>
        <w:spacing w:line="460" w:lineRule="exact"/>
        <w:rPr>
          <w:rFonts w:hint="eastAsia" w:eastAsia="宋体" w:cs="宋体"/>
          <w:snapToGrid w:val="0"/>
        </w:rPr>
      </w:pPr>
    </w:p>
    <w:p w14:paraId="40043A05">
      <w:pPr>
        <w:pStyle w:val="403"/>
        <w:spacing w:line="460" w:lineRule="exact"/>
        <w:rPr>
          <w:rFonts w:hint="eastAsia" w:eastAsia="宋体" w:cs="宋体"/>
          <w:snapToGrid w:val="0"/>
        </w:rPr>
      </w:pPr>
    </w:p>
    <w:p w14:paraId="5C0BD648">
      <w:pPr>
        <w:pStyle w:val="403"/>
        <w:spacing w:line="460" w:lineRule="exact"/>
        <w:rPr>
          <w:rFonts w:hint="eastAsia" w:eastAsia="宋体" w:cs="宋体"/>
          <w:snapToGrid w:val="0"/>
        </w:rPr>
      </w:pPr>
    </w:p>
    <w:p w14:paraId="3C5FFF91">
      <w:pPr>
        <w:pStyle w:val="403"/>
        <w:spacing w:line="460" w:lineRule="exact"/>
        <w:rPr>
          <w:rFonts w:hint="eastAsia" w:eastAsia="宋体" w:cs="宋体"/>
          <w:snapToGrid w:val="0"/>
        </w:rPr>
      </w:pPr>
    </w:p>
    <w:p w14:paraId="65771A17">
      <w:pPr>
        <w:pStyle w:val="403"/>
        <w:spacing w:line="460" w:lineRule="exact"/>
        <w:rPr>
          <w:rFonts w:hint="eastAsia" w:eastAsia="宋体" w:cs="宋体"/>
          <w:snapToGrid w:val="0"/>
        </w:rPr>
      </w:pPr>
    </w:p>
    <w:p w14:paraId="0CAABEBF">
      <w:pPr>
        <w:pStyle w:val="403"/>
        <w:spacing w:line="460" w:lineRule="exact"/>
        <w:rPr>
          <w:rFonts w:hint="eastAsia" w:eastAsia="宋体" w:cs="宋体"/>
          <w:snapToGrid w:val="0"/>
        </w:rPr>
      </w:pPr>
    </w:p>
    <w:p w14:paraId="2E3E6F91">
      <w:pPr>
        <w:pStyle w:val="403"/>
        <w:spacing w:line="460" w:lineRule="exact"/>
        <w:rPr>
          <w:rFonts w:hint="eastAsia" w:eastAsia="宋体" w:cs="宋体"/>
          <w:snapToGrid w:val="0"/>
        </w:rPr>
      </w:pPr>
    </w:p>
    <w:p w14:paraId="110451BA">
      <w:pPr>
        <w:pStyle w:val="403"/>
        <w:spacing w:line="460" w:lineRule="exact"/>
        <w:rPr>
          <w:rFonts w:hint="eastAsia" w:eastAsia="宋体" w:cs="宋体"/>
          <w:snapToGrid w:val="0"/>
        </w:rPr>
      </w:pPr>
    </w:p>
    <w:p w14:paraId="7A9BABB4">
      <w:pPr>
        <w:pStyle w:val="403"/>
        <w:spacing w:line="460" w:lineRule="exact"/>
        <w:rPr>
          <w:rFonts w:hint="eastAsia" w:eastAsia="宋体" w:cs="宋体"/>
          <w:snapToGrid w:val="0"/>
        </w:rPr>
      </w:pPr>
    </w:p>
    <w:p w14:paraId="7FF7EA8D">
      <w:pPr>
        <w:pStyle w:val="403"/>
        <w:spacing w:line="460" w:lineRule="exact"/>
        <w:rPr>
          <w:rFonts w:hint="eastAsia" w:eastAsia="宋体" w:cs="宋体"/>
          <w:snapToGrid w:val="0"/>
        </w:rPr>
      </w:pPr>
    </w:p>
    <w:p w14:paraId="30AEDC0F">
      <w:pPr>
        <w:pStyle w:val="403"/>
        <w:spacing w:line="460" w:lineRule="exact"/>
        <w:rPr>
          <w:rFonts w:hint="eastAsia" w:eastAsia="宋体" w:cs="宋体"/>
          <w:snapToGrid w:val="0"/>
        </w:rPr>
      </w:pPr>
    </w:p>
    <w:p w14:paraId="7F13DEB5">
      <w:pPr>
        <w:pStyle w:val="403"/>
        <w:spacing w:line="460" w:lineRule="exact"/>
        <w:rPr>
          <w:rFonts w:hint="eastAsia" w:eastAsia="宋体" w:cs="宋体"/>
          <w:snapToGrid w:val="0"/>
        </w:rPr>
        <w:sectPr>
          <w:pgSz w:w="11906" w:h="16838"/>
          <w:pgMar w:top="1417" w:right="1531" w:bottom="1304" w:left="1531" w:header="851" w:footer="992" w:gutter="0"/>
          <w:cols w:space="720" w:num="1"/>
          <w:docGrid w:linePitch="312" w:charSpace="0"/>
        </w:sectPr>
      </w:pPr>
    </w:p>
    <w:p w14:paraId="02519815">
      <w:pPr>
        <w:pStyle w:val="5"/>
        <w:rPr>
          <w:rFonts w:hint="eastAsia" w:ascii="宋体" w:hAnsi="宋体" w:eastAsia="宋体" w:cs="宋体"/>
          <w:bCs/>
        </w:rPr>
      </w:pPr>
      <w:bookmarkStart w:id="1657" w:name="_Toc83220648"/>
      <w:bookmarkStart w:id="1658" w:name="_Toc198803845"/>
      <w:bookmarkStart w:id="1659" w:name="_Toc17498"/>
      <w:bookmarkStart w:id="1660" w:name="_Toc176268779"/>
      <w:r>
        <w:rPr>
          <w:rFonts w:hint="eastAsia" w:ascii="宋体" w:hAnsi="宋体" w:eastAsia="宋体" w:cs="宋体"/>
          <w:bCs/>
        </w:rPr>
        <w:t>附件12：广州新中轴建设有限公司勘察设计服务管理评价办法（修订）</w:t>
      </w:r>
      <w:bookmarkEnd w:id="1657"/>
      <w:bookmarkEnd w:id="1658"/>
      <w:bookmarkEnd w:id="1659"/>
      <w:bookmarkEnd w:id="1660"/>
    </w:p>
    <w:p w14:paraId="315C993B">
      <w:pPr>
        <w:spacing w:line="360" w:lineRule="auto"/>
        <w:jc w:val="center"/>
        <w:rPr>
          <w:rFonts w:hint="eastAsia" w:ascii="宋体" w:hAnsi="宋体" w:eastAsia="宋体"/>
          <w:b/>
          <w:sz w:val="28"/>
          <w:szCs w:val="28"/>
        </w:rPr>
      </w:pPr>
      <w:r>
        <w:rPr>
          <w:rFonts w:hint="eastAsia" w:ascii="宋体" w:hAnsi="宋体" w:eastAsia="宋体"/>
          <w:b/>
          <w:sz w:val="28"/>
          <w:szCs w:val="28"/>
        </w:rPr>
        <w:t xml:space="preserve">第一章 </w:t>
      </w:r>
      <w:r>
        <w:rPr>
          <w:rFonts w:ascii="宋体" w:hAnsi="宋体" w:eastAsia="宋体"/>
          <w:b/>
          <w:sz w:val="28"/>
          <w:szCs w:val="28"/>
        </w:rPr>
        <w:t xml:space="preserve"> </w:t>
      </w:r>
      <w:r>
        <w:rPr>
          <w:rFonts w:hint="eastAsia" w:ascii="宋体" w:hAnsi="宋体" w:eastAsia="宋体"/>
          <w:b/>
          <w:sz w:val="28"/>
          <w:szCs w:val="28"/>
        </w:rPr>
        <w:t>总则</w:t>
      </w:r>
    </w:p>
    <w:p w14:paraId="4DF51A5E">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第一条</w:t>
      </w:r>
      <w:r>
        <w:rPr>
          <w:rFonts w:ascii="宋体" w:hAnsi="宋体" w:eastAsia="宋体"/>
          <w:sz w:val="28"/>
          <w:szCs w:val="28"/>
        </w:rPr>
        <w:t xml:space="preserve"> </w:t>
      </w:r>
      <w:r>
        <w:rPr>
          <w:rFonts w:hint="eastAsia" w:ascii="宋体" w:hAnsi="宋体" w:eastAsia="宋体"/>
          <w:sz w:val="28"/>
          <w:szCs w:val="28"/>
        </w:rPr>
        <w:t>为提高本公司建设项目勘察设计服务水平和勘察设计质量，加强对承接建设项目设计任务的工程勘察设计单位的管理，根据《中华人民共和国建筑法》和《建设工程勘察设计管理条例》、《建设工程质量管理条例》及相关合同，结合本公司实际，对原《广州新中轴建设有限公司勘察设计服务管理考核办法（试行）》进行修订。</w:t>
      </w:r>
    </w:p>
    <w:p w14:paraId="7CE6F936">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第二条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勘察设计单位除按相关法律、法规、部门规章和工程设计技术规范、规定及标准执行，对勘察设计质量负责，还需执行本办法，减少因勘察、设计失误造成的变更，满足项目对投资控制、设计周期的要求，为项目提供高水平设计服务，提升设计质量、精细化水平、合理化水平。</w:t>
      </w:r>
    </w:p>
    <w:p w14:paraId="7328D1EA">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第三条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按勘察设计合同、行业规范及本办法对服务单位进行评价，将按相关规定进行处罚，并将评价结果纳入勘察设计单位服务质量清单内，为今后选择服务单位提供参考。</w:t>
      </w:r>
    </w:p>
    <w:p w14:paraId="69DC4891">
      <w:pPr>
        <w:tabs>
          <w:tab w:val="left" w:pos="0"/>
          <w:tab w:val="left" w:pos="1800"/>
        </w:tabs>
        <w:spacing w:line="360" w:lineRule="auto"/>
        <w:ind w:firstLine="560" w:firstLineChars="200"/>
        <w:rPr>
          <w:rFonts w:hint="eastAsia" w:ascii="宋体" w:hAnsi="宋体" w:eastAsia="宋体"/>
          <w:sz w:val="28"/>
          <w:szCs w:val="28"/>
        </w:rPr>
      </w:pPr>
    </w:p>
    <w:p w14:paraId="4BFB01C9">
      <w:pPr>
        <w:spacing w:line="360" w:lineRule="auto"/>
        <w:jc w:val="center"/>
        <w:rPr>
          <w:rFonts w:hint="eastAsia" w:ascii="宋体" w:hAnsi="宋体" w:eastAsia="宋体"/>
          <w:b/>
          <w:sz w:val="28"/>
          <w:szCs w:val="28"/>
        </w:rPr>
      </w:pPr>
      <w:r>
        <w:rPr>
          <w:rFonts w:hint="eastAsia" w:ascii="宋体" w:hAnsi="宋体" w:eastAsia="宋体"/>
          <w:b/>
          <w:sz w:val="28"/>
          <w:szCs w:val="28"/>
        </w:rPr>
        <w:t xml:space="preserve">第二章 </w:t>
      </w:r>
      <w:r>
        <w:rPr>
          <w:rFonts w:ascii="宋体" w:hAnsi="宋体" w:eastAsia="宋体"/>
          <w:b/>
          <w:sz w:val="28"/>
          <w:szCs w:val="28"/>
        </w:rPr>
        <w:t xml:space="preserve"> </w:t>
      </w:r>
      <w:r>
        <w:rPr>
          <w:rFonts w:hint="eastAsia" w:ascii="宋体" w:hAnsi="宋体" w:eastAsia="宋体"/>
          <w:b/>
          <w:sz w:val="28"/>
          <w:szCs w:val="28"/>
        </w:rPr>
        <w:t>适用范围</w:t>
      </w:r>
    </w:p>
    <w:p w14:paraId="6066CDFD">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第四条</w:t>
      </w:r>
      <w:r>
        <w:rPr>
          <w:rFonts w:ascii="宋体" w:hAnsi="宋体" w:eastAsia="宋体"/>
          <w:sz w:val="28"/>
          <w:szCs w:val="28"/>
        </w:rPr>
        <w:t xml:space="preserve">  </w:t>
      </w:r>
      <w:r>
        <w:rPr>
          <w:rFonts w:hint="eastAsia" w:ascii="宋体" w:hAnsi="宋体" w:eastAsia="宋体"/>
          <w:sz w:val="28"/>
          <w:szCs w:val="28"/>
        </w:rPr>
        <w:t>本办法适用于我司负责组织实施的建设项目，下属企业（含控股企业）、托管企业可参照执行。</w:t>
      </w:r>
    </w:p>
    <w:p w14:paraId="0E1D0B1D">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第五条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评价</w:t>
      </w:r>
      <w:r>
        <w:rPr>
          <w:rFonts w:ascii="宋体" w:hAnsi="宋体" w:eastAsia="宋体"/>
          <w:sz w:val="28"/>
          <w:szCs w:val="28"/>
        </w:rPr>
        <w:t>周期按项目的阶段</w:t>
      </w:r>
      <w:r>
        <w:rPr>
          <w:rFonts w:hint="eastAsia" w:ascii="宋体" w:hAnsi="宋体" w:eastAsia="宋体"/>
          <w:sz w:val="28"/>
          <w:szCs w:val="28"/>
        </w:rPr>
        <w:t>及</w:t>
      </w:r>
      <w:r>
        <w:rPr>
          <w:rFonts w:ascii="宋体" w:hAnsi="宋体" w:eastAsia="宋体"/>
          <w:sz w:val="28"/>
          <w:szCs w:val="28"/>
        </w:rPr>
        <w:t>年度进行</w:t>
      </w:r>
      <w:r>
        <w:rPr>
          <w:rFonts w:hint="eastAsia" w:ascii="宋体" w:hAnsi="宋体" w:eastAsia="宋体"/>
          <w:sz w:val="28"/>
          <w:szCs w:val="28"/>
        </w:rPr>
        <w:t>。</w:t>
      </w:r>
    </w:p>
    <w:p w14:paraId="07B5A349">
      <w:pPr>
        <w:tabs>
          <w:tab w:val="left" w:pos="0"/>
          <w:tab w:val="left" w:pos="1800"/>
        </w:tabs>
        <w:spacing w:line="360" w:lineRule="auto"/>
        <w:ind w:firstLine="560" w:firstLineChars="200"/>
        <w:rPr>
          <w:rFonts w:hint="eastAsia" w:ascii="宋体" w:hAnsi="宋体" w:eastAsia="宋体"/>
          <w:sz w:val="28"/>
          <w:szCs w:val="28"/>
        </w:rPr>
      </w:pPr>
    </w:p>
    <w:p w14:paraId="2E5A8B64">
      <w:pPr>
        <w:spacing w:line="360" w:lineRule="auto"/>
        <w:jc w:val="center"/>
        <w:rPr>
          <w:rFonts w:hint="eastAsia" w:ascii="宋体" w:hAnsi="宋体" w:eastAsia="宋体"/>
          <w:b/>
          <w:sz w:val="28"/>
          <w:szCs w:val="28"/>
        </w:rPr>
      </w:pPr>
      <w:r>
        <w:rPr>
          <w:rFonts w:hint="eastAsia" w:ascii="宋体" w:hAnsi="宋体" w:eastAsia="宋体"/>
          <w:b/>
          <w:sz w:val="28"/>
          <w:szCs w:val="28"/>
        </w:rPr>
        <w:t>第三章</w:t>
      </w:r>
      <w:r>
        <w:rPr>
          <w:rFonts w:ascii="宋体" w:hAnsi="宋体" w:eastAsia="宋体"/>
          <w:b/>
          <w:sz w:val="28"/>
          <w:szCs w:val="28"/>
        </w:rPr>
        <w:t xml:space="preserve">  </w:t>
      </w:r>
      <w:r>
        <w:rPr>
          <w:rFonts w:hint="eastAsia" w:ascii="宋体" w:hAnsi="宋体" w:eastAsia="宋体"/>
          <w:b/>
          <w:sz w:val="28"/>
          <w:szCs w:val="28"/>
        </w:rPr>
        <w:t>评价内容</w:t>
      </w:r>
    </w:p>
    <w:p w14:paraId="5749041B">
      <w:pPr>
        <w:tabs>
          <w:tab w:val="left" w:pos="0"/>
          <w:tab w:val="left" w:pos="1800"/>
        </w:tabs>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第六条</w:t>
      </w:r>
      <w:r>
        <w:rPr>
          <w:rFonts w:ascii="宋体" w:hAnsi="宋体" w:eastAsia="宋体"/>
          <w:b/>
          <w:bCs/>
          <w:sz w:val="28"/>
          <w:szCs w:val="28"/>
        </w:rPr>
        <w:t xml:space="preserve">  </w:t>
      </w:r>
      <w:r>
        <w:rPr>
          <w:rFonts w:hint="eastAsia" w:ascii="宋体" w:hAnsi="宋体" w:eastAsia="宋体"/>
          <w:sz w:val="28"/>
          <w:szCs w:val="28"/>
        </w:rPr>
        <w:t>根据各阶段的设计质量、设计进度、造价控制、配合度、团队能力、现场服务质量、服务费用、资料及信息准确度八个维度，结合负面事件发生情况，按对应评价标准对勘察设计单位进行评价（详附件）。</w:t>
      </w:r>
    </w:p>
    <w:p w14:paraId="12C1B202">
      <w:pPr>
        <w:spacing w:line="360" w:lineRule="auto"/>
        <w:ind w:firstLine="560" w:firstLineChars="200"/>
        <w:rPr>
          <w:rFonts w:hint="eastAsia" w:ascii="宋体" w:hAnsi="宋体" w:eastAsia="宋体"/>
          <w:sz w:val="28"/>
          <w:szCs w:val="28"/>
        </w:rPr>
      </w:pPr>
    </w:p>
    <w:p w14:paraId="74BF7A64">
      <w:pPr>
        <w:spacing w:line="360" w:lineRule="auto"/>
        <w:jc w:val="center"/>
        <w:rPr>
          <w:rFonts w:hint="eastAsia" w:ascii="宋体" w:hAnsi="宋体" w:eastAsia="宋体"/>
          <w:b/>
          <w:sz w:val="28"/>
          <w:szCs w:val="28"/>
        </w:rPr>
      </w:pPr>
      <w:r>
        <w:rPr>
          <w:rFonts w:hint="eastAsia" w:ascii="宋体" w:hAnsi="宋体" w:eastAsia="宋体"/>
          <w:b/>
          <w:sz w:val="28"/>
          <w:szCs w:val="28"/>
        </w:rPr>
        <w:t xml:space="preserve">第四章 </w:t>
      </w:r>
      <w:r>
        <w:rPr>
          <w:rFonts w:ascii="宋体" w:hAnsi="宋体" w:eastAsia="宋体"/>
          <w:b/>
          <w:sz w:val="28"/>
          <w:szCs w:val="28"/>
        </w:rPr>
        <w:t xml:space="preserve"> </w:t>
      </w:r>
      <w:r>
        <w:rPr>
          <w:rFonts w:hint="eastAsia" w:ascii="宋体" w:hAnsi="宋体" w:eastAsia="宋体"/>
          <w:b/>
          <w:sz w:val="28"/>
          <w:szCs w:val="28"/>
        </w:rPr>
        <w:t>评价办法</w:t>
      </w:r>
    </w:p>
    <w:p w14:paraId="6B35F87C">
      <w:pPr>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第七条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评价形式</w:t>
      </w:r>
    </w:p>
    <w:p w14:paraId="13050B8B">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（一）针对勘察设计单位参与服务项目的阶段，由主责部门、配合部门主要经办人员对勘察设计服务单位进行综合评价，评价结果经部门领导审核后，由总工室加权汇总，公司领导批准后予以公布及备案。</w:t>
      </w:r>
    </w:p>
    <w:p w14:paraId="59C57A0C">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（二）阶段划分及各部门权重：</w:t>
      </w:r>
    </w:p>
    <w:p w14:paraId="2CAE97B4">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1.前期和方案设计阶段：主责部门占7</w:t>
      </w:r>
      <w:r>
        <w:rPr>
          <w:rFonts w:ascii="宋体" w:hAnsi="宋体" w:eastAsia="宋体"/>
          <w:sz w:val="28"/>
          <w:szCs w:val="28"/>
        </w:rPr>
        <w:t>0%，</w:t>
      </w:r>
      <w:r>
        <w:rPr>
          <w:rFonts w:hint="eastAsia" w:ascii="宋体" w:hAnsi="宋体" w:eastAsia="宋体"/>
          <w:sz w:val="28"/>
          <w:szCs w:val="28"/>
        </w:rPr>
        <w:t>配合</w:t>
      </w:r>
      <w:r>
        <w:rPr>
          <w:rFonts w:ascii="宋体" w:hAnsi="宋体" w:eastAsia="宋体"/>
          <w:sz w:val="28"/>
          <w:szCs w:val="28"/>
        </w:rPr>
        <w:t>部门</w:t>
      </w:r>
      <w:r>
        <w:rPr>
          <w:rFonts w:hint="eastAsia" w:ascii="宋体" w:hAnsi="宋体" w:eastAsia="宋体"/>
          <w:sz w:val="28"/>
          <w:szCs w:val="28"/>
        </w:rPr>
        <w:t>3</w:t>
      </w:r>
      <w:r>
        <w:rPr>
          <w:rFonts w:ascii="宋体" w:hAnsi="宋体" w:eastAsia="宋体"/>
          <w:sz w:val="28"/>
          <w:szCs w:val="28"/>
        </w:rPr>
        <w:t>0%</w:t>
      </w:r>
      <w:r>
        <w:rPr>
          <w:rFonts w:hint="eastAsia" w:ascii="宋体" w:hAnsi="宋体" w:eastAsia="宋体"/>
          <w:sz w:val="28"/>
          <w:szCs w:val="28"/>
        </w:rPr>
        <w:t>。</w:t>
      </w:r>
    </w:p>
    <w:p w14:paraId="52B1448B">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2.初步设计阶段：主责部门55</w:t>
      </w:r>
      <w:r>
        <w:rPr>
          <w:rFonts w:ascii="宋体" w:hAnsi="宋体" w:eastAsia="宋体"/>
          <w:sz w:val="28"/>
          <w:szCs w:val="28"/>
        </w:rPr>
        <w:t>%，</w:t>
      </w:r>
      <w:r>
        <w:rPr>
          <w:rFonts w:hint="eastAsia" w:ascii="宋体" w:hAnsi="宋体" w:eastAsia="宋体"/>
          <w:sz w:val="28"/>
          <w:szCs w:val="28"/>
        </w:rPr>
        <w:t>配合</w:t>
      </w:r>
      <w:r>
        <w:rPr>
          <w:rFonts w:ascii="宋体" w:hAnsi="宋体" w:eastAsia="宋体"/>
          <w:sz w:val="28"/>
          <w:szCs w:val="28"/>
        </w:rPr>
        <w:t>部门</w:t>
      </w:r>
      <w:r>
        <w:rPr>
          <w:rFonts w:hint="eastAsia" w:ascii="宋体" w:hAnsi="宋体" w:eastAsia="宋体"/>
          <w:sz w:val="28"/>
          <w:szCs w:val="28"/>
        </w:rPr>
        <w:t>45</w:t>
      </w:r>
      <w:r>
        <w:rPr>
          <w:rFonts w:ascii="宋体" w:hAnsi="宋体" w:eastAsia="宋体"/>
          <w:sz w:val="28"/>
          <w:szCs w:val="28"/>
        </w:rPr>
        <w:t>%</w:t>
      </w:r>
      <w:r>
        <w:rPr>
          <w:rFonts w:hint="eastAsia" w:ascii="宋体" w:hAnsi="宋体" w:eastAsia="宋体"/>
          <w:sz w:val="28"/>
          <w:szCs w:val="28"/>
        </w:rPr>
        <w:t>。</w:t>
      </w:r>
    </w:p>
    <w:p w14:paraId="3F490C22">
      <w:pPr>
        <w:spacing w:line="360" w:lineRule="auto"/>
        <w:ind w:firstLine="560" w:firstLineChars="200"/>
        <w:rPr>
          <w:rFonts w:hint="eastAsia" w:ascii="宋体" w:hAnsi="宋体" w:eastAsia="宋体"/>
          <w:sz w:val="28"/>
          <w:szCs w:val="28"/>
        </w:rPr>
      </w:pPr>
      <w:r>
        <w:rPr>
          <w:rFonts w:ascii="宋体" w:hAnsi="宋体" w:eastAsia="宋体"/>
          <w:sz w:val="28"/>
          <w:szCs w:val="28"/>
        </w:rPr>
        <w:t>3.</w:t>
      </w:r>
      <w:r>
        <w:rPr>
          <w:rFonts w:hint="eastAsia" w:ascii="宋体" w:hAnsi="宋体" w:eastAsia="宋体"/>
          <w:sz w:val="28"/>
          <w:szCs w:val="28"/>
        </w:rPr>
        <w:t>施工图设计阶段：主责部门6</w:t>
      </w:r>
      <w:r>
        <w:rPr>
          <w:rFonts w:ascii="宋体" w:hAnsi="宋体" w:eastAsia="宋体"/>
          <w:sz w:val="28"/>
          <w:szCs w:val="28"/>
        </w:rPr>
        <w:t>0%，</w:t>
      </w:r>
      <w:r>
        <w:rPr>
          <w:rFonts w:hint="eastAsia" w:ascii="宋体" w:hAnsi="宋体" w:eastAsia="宋体"/>
          <w:sz w:val="28"/>
          <w:szCs w:val="28"/>
        </w:rPr>
        <w:t>配合</w:t>
      </w:r>
      <w:r>
        <w:rPr>
          <w:rFonts w:ascii="宋体" w:hAnsi="宋体" w:eastAsia="宋体"/>
          <w:sz w:val="28"/>
          <w:szCs w:val="28"/>
        </w:rPr>
        <w:t>部门</w:t>
      </w:r>
      <w:r>
        <w:rPr>
          <w:rFonts w:hint="eastAsia" w:ascii="宋体" w:hAnsi="宋体" w:eastAsia="宋体"/>
          <w:sz w:val="28"/>
          <w:szCs w:val="28"/>
        </w:rPr>
        <w:t>4</w:t>
      </w:r>
      <w:r>
        <w:rPr>
          <w:rFonts w:ascii="宋体" w:hAnsi="宋体" w:eastAsia="宋体"/>
          <w:sz w:val="28"/>
          <w:szCs w:val="28"/>
        </w:rPr>
        <w:t>0%</w:t>
      </w:r>
      <w:r>
        <w:rPr>
          <w:rFonts w:hint="eastAsia" w:ascii="宋体" w:hAnsi="宋体" w:eastAsia="宋体"/>
          <w:sz w:val="28"/>
          <w:szCs w:val="28"/>
        </w:rPr>
        <w:t>。</w:t>
      </w:r>
    </w:p>
    <w:p w14:paraId="32F9A72C">
      <w:pPr>
        <w:spacing w:line="360" w:lineRule="auto"/>
        <w:ind w:firstLine="560" w:firstLineChars="200"/>
        <w:rPr>
          <w:rFonts w:hint="eastAsia" w:ascii="宋体" w:hAnsi="宋体" w:eastAsia="宋体"/>
          <w:sz w:val="28"/>
          <w:szCs w:val="28"/>
        </w:rPr>
      </w:pPr>
      <w:r>
        <w:rPr>
          <w:rFonts w:ascii="宋体" w:hAnsi="宋体" w:eastAsia="宋体"/>
          <w:sz w:val="28"/>
          <w:szCs w:val="28"/>
        </w:rPr>
        <w:t>4</w:t>
      </w:r>
      <w:r>
        <w:rPr>
          <w:rFonts w:hint="eastAsia" w:ascii="宋体" w:hAnsi="宋体" w:eastAsia="宋体"/>
          <w:sz w:val="28"/>
          <w:szCs w:val="28"/>
        </w:rPr>
        <w:t>.施工和竣工验收阶段：主责部门占7</w:t>
      </w:r>
      <w:r>
        <w:rPr>
          <w:rFonts w:ascii="宋体" w:hAnsi="宋体" w:eastAsia="宋体"/>
          <w:sz w:val="28"/>
          <w:szCs w:val="28"/>
        </w:rPr>
        <w:t>0%，</w:t>
      </w:r>
      <w:r>
        <w:rPr>
          <w:rFonts w:hint="eastAsia" w:ascii="宋体" w:hAnsi="宋体" w:eastAsia="宋体"/>
          <w:sz w:val="28"/>
          <w:szCs w:val="28"/>
        </w:rPr>
        <w:t>配合</w:t>
      </w:r>
      <w:r>
        <w:rPr>
          <w:rFonts w:ascii="宋体" w:hAnsi="宋体" w:eastAsia="宋体"/>
          <w:sz w:val="28"/>
          <w:szCs w:val="28"/>
        </w:rPr>
        <w:t>部门</w:t>
      </w:r>
      <w:r>
        <w:rPr>
          <w:rFonts w:hint="eastAsia" w:ascii="宋体" w:hAnsi="宋体" w:eastAsia="宋体"/>
          <w:sz w:val="28"/>
          <w:szCs w:val="28"/>
        </w:rPr>
        <w:t>3</w:t>
      </w:r>
      <w:r>
        <w:rPr>
          <w:rFonts w:ascii="宋体" w:hAnsi="宋体" w:eastAsia="宋体"/>
          <w:sz w:val="28"/>
          <w:szCs w:val="28"/>
        </w:rPr>
        <w:t>0%</w:t>
      </w:r>
      <w:r>
        <w:rPr>
          <w:rFonts w:hint="eastAsia" w:ascii="宋体" w:hAnsi="宋体" w:eastAsia="宋体"/>
          <w:sz w:val="28"/>
          <w:szCs w:val="28"/>
        </w:rPr>
        <w:t>。</w:t>
      </w:r>
    </w:p>
    <w:p w14:paraId="3AC683E8">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三）勘察设计单位在工作过程中，如出现对设计效果、造价、施工周期等形成较大影响的问题，由主责管理部门3天内以书面形式反馈给设计单位，并抄送其他相关管理部门，要求相关勘察设计单位在一周内给予回复,并作为评价扣分依据，具体如下：</w:t>
      </w:r>
    </w:p>
    <w:p w14:paraId="2B102989">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1.“提醒”性质的书面通知，每发生一次扣</w:t>
      </w:r>
      <w:r>
        <w:rPr>
          <w:rFonts w:ascii="宋体" w:hAnsi="宋体" w:eastAsia="宋体"/>
          <w:sz w:val="28"/>
          <w:szCs w:val="28"/>
        </w:rPr>
        <w:t>5</w:t>
      </w:r>
      <w:r>
        <w:rPr>
          <w:rFonts w:hint="eastAsia" w:ascii="宋体" w:hAnsi="宋体" w:eastAsia="宋体"/>
          <w:sz w:val="28"/>
          <w:szCs w:val="28"/>
        </w:rPr>
        <w:t>分。</w:t>
      </w:r>
    </w:p>
    <w:p w14:paraId="161C1D55">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2.“督办”性质的书面通知，每发生一次扣</w:t>
      </w:r>
      <w:r>
        <w:rPr>
          <w:rFonts w:ascii="宋体" w:hAnsi="宋体" w:eastAsia="宋体"/>
          <w:sz w:val="28"/>
          <w:szCs w:val="28"/>
        </w:rPr>
        <w:t>8</w:t>
      </w:r>
      <w:r>
        <w:rPr>
          <w:rFonts w:hint="eastAsia" w:ascii="宋体" w:hAnsi="宋体" w:eastAsia="宋体"/>
          <w:sz w:val="28"/>
          <w:szCs w:val="28"/>
        </w:rPr>
        <w:t>分</w:t>
      </w:r>
    </w:p>
    <w:p w14:paraId="526E4DE2">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3.“警告”性质的书面通知，每发生一次扣</w:t>
      </w:r>
      <w:r>
        <w:rPr>
          <w:rFonts w:ascii="宋体" w:hAnsi="宋体" w:eastAsia="宋体"/>
          <w:sz w:val="28"/>
          <w:szCs w:val="28"/>
        </w:rPr>
        <w:t>10</w:t>
      </w:r>
      <w:r>
        <w:rPr>
          <w:rFonts w:hint="eastAsia" w:ascii="宋体" w:hAnsi="宋体" w:eastAsia="宋体"/>
          <w:sz w:val="28"/>
          <w:szCs w:val="28"/>
        </w:rPr>
        <w:t>分。</w:t>
      </w:r>
    </w:p>
    <w:p w14:paraId="28FC3214">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4.“一般违约”性质的书面通知，每发生一次扣</w:t>
      </w:r>
      <w:r>
        <w:rPr>
          <w:rFonts w:ascii="宋体" w:hAnsi="宋体" w:eastAsia="宋体"/>
          <w:sz w:val="28"/>
          <w:szCs w:val="28"/>
        </w:rPr>
        <w:t>15</w:t>
      </w:r>
      <w:r>
        <w:rPr>
          <w:rFonts w:hint="eastAsia" w:ascii="宋体" w:hAnsi="宋体" w:eastAsia="宋体"/>
          <w:sz w:val="28"/>
          <w:szCs w:val="28"/>
        </w:rPr>
        <w:t>分。</w:t>
      </w:r>
    </w:p>
    <w:p w14:paraId="58D233F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5.“严重违约”性质的书面通知，每发生一次扣</w:t>
      </w:r>
      <w:r>
        <w:rPr>
          <w:rFonts w:ascii="宋体" w:hAnsi="宋体" w:eastAsia="宋体"/>
          <w:sz w:val="28"/>
          <w:szCs w:val="28"/>
        </w:rPr>
        <w:t>2</w:t>
      </w:r>
      <w:r>
        <w:rPr>
          <w:rFonts w:hint="eastAsia" w:ascii="宋体" w:hAnsi="宋体" w:eastAsia="宋体"/>
          <w:sz w:val="28"/>
          <w:szCs w:val="28"/>
        </w:rPr>
        <w:t>5分。</w:t>
      </w:r>
    </w:p>
    <w:p w14:paraId="25FB19D7">
      <w:pPr>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第八条</w:t>
      </w:r>
      <w:r>
        <w:rPr>
          <w:rFonts w:hint="eastAsia" w:ascii="宋体" w:hAnsi="宋体" w:eastAsia="宋体"/>
          <w:sz w:val="28"/>
          <w:szCs w:val="28"/>
        </w:rPr>
        <w:t xml:space="preserve"> </w:t>
      </w:r>
      <w:r>
        <w:rPr>
          <w:rFonts w:ascii="宋体" w:hAnsi="宋体" w:eastAsia="宋体"/>
          <w:sz w:val="28"/>
          <w:szCs w:val="28"/>
        </w:rPr>
        <w:t xml:space="preserve"> </w:t>
      </w:r>
      <w:r>
        <w:rPr>
          <w:rFonts w:hint="eastAsia" w:ascii="宋体" w:hAnsi="宋体" w:eastAsia="宋体"/>
          <w:sz w:val="28"/>
          <w:szCs w:val="28"/>
        </w:rPr>
        <w:t>评价等级</w:t>
      </w:r>
    </w:p>
    <w:p w14:paraId="27658D76">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评价结果根据评分，分为优秀、良好、合格和不合格四个等级。总分100分，80分以上为优秀，71~80分为良好，60~70分为合格，60分以下为不合格。</w:t>
      </w:r>
    </w:p>
    <w:p w14:paraId="0BBE18DA">
      <w:pPr>
        <w:spacing w:line="360" w:lineRule="auto"/>
        <w:ind w:firstLine="560" w:firstLineChars="200"/>
        <w:rPr>
          <w:rFonts w:hint="eastAsia" w:ascii="宋体" w:hAnsi="宋体" w:eastAsia="宋体"/>
          <w:sz w:val="28"/>
          <w:szCs w:val="28"/>
        </w:rPr>
      </w:pPr>
    </w:p>
    <w:p w14:paraId="6A22387E">
      <w:pPr>
        <w:spacing w:line="360" w:lineRule="auto"/>
        <w:jc w:val="center"/>
        <w:rPr>
          <w:rFonts w:hint="eastAsia" w:ascii="宋体" w:hAnsi="宋体" w:eastAsia="宋体"/>
          <w:sz w:val="28"/>
          <w:szCs w:val="28"/>
        </w:rPr>
      </w:pPr>
      <w:r>
        <w:rPr>
          <w:rFonts w:hint="eastAsia" w:ascii="宋体" w:hAnsi="宋体" w:eastAsia="宋体"/>
          <w:b/>
          <w:sz w:val="28"/>
          <w:szCs w:val="28"/>
        </w:rPr>
        <w:t xml:space="preserve">第五章 </w:t>
      </w:r>
      <w:r>
        <w:rPr>
          <w:rFonts w:ascii="宋体" w:hAnsi="宋体" w:eastAsia="宋体"/>
          <w:b/>
          <w:sz w:val="28"/>
          <w:szCs w:val="28"/>
        </w:rPr>
        <w:t xml:space="preserve"> </w:t>
      </w:r>
      <w:r>
        <w:rPr>
          <w:rFonts w:hint="eastAsia" w:ascii="宋体" w:hAnsi="宋体" w:eastAsia="宋体"/>
          <w:b/>
          <w:sz w:val="28"/>
          <w:szCs w:val="28"/>
        </w:rPr>
        <w:t>评价结果的应用</w:t>
      </w:r>
    </w:p>
    <w:p w14:paraId="66D35621">
      <w:pPr>
        <w:pStyle w:val="460"/>
        <w:spacing w:line="360" w:lineRule="auto"/>
        <w:ind w:left="640" w:firstLine="0" w:firstLineChars="0"/>
        <w:rPr>
          <w:rFonts w:hint="eastAsia" w:ascii="宋体" w:hAnsi="宋体" w:eastAsia="宋体"/>
          <w:sz w:val="28"/>
          <w:szCs w:val="28"/>
        </w:rPr>
      </w:pPr>
      <w:r>
        <w:rPr>
          <w:rFonts w:hint="eastAsia" w:ascii="宋体" w:hAnsi="宋体" w:eastAsia="宋体"/>
          <w:b/>
          <w:bCs/>
          <w:sz w:val="28"/>
          <w:szCs w:val="28"/>
        </w:rPr>
        <w:t>第九条</w:t>
      </w:r>
      <w:r>
        <w:rPr>
          <w:rFonts w:hint="eastAsia" w:ascii="宋体" w:hAnsi="宋体" w:eastAsia="宋体"/>
          <w:sz w:val="28"/>
          <w:szCs w:val="28"/>
        </w:rPr>
        <w:t xml:space="preserve">  评价结果应用及奖惩措施</w:t>
      </w:r>
    </w:p>
    <w:p w14:paraId="5BFCB743">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（一）我司将与城投集团旗下各单位共享评价结果，按期将勘察设计服务评价结果通报给城投集团及相关的下属公司。</w:t>
      </w:r>
    </w:p>
    <w:p w14:paraId="5AEF33E7">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（二）评价结果纳入我司勘察设计单位服务质量清单中，为今后择优选择设计服务单位和设计费优质优价提供依据。</w:t>
      </w:r>
    </w:p>
    <w:p w14:paraId="757F64A0">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（三）对于评价结果为优秀的勘察设计单位，将授予嘉奖函。</w:t>
      </w:r>
    </w:p>
    <w:p w14:paraId="578ADD3F">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（四）对于评价结果为良好的勘察设计单位，口头提醒进行服务改进。</w:t>
      </w:r>
    </w:p>
    <w:p w14:paraId="633796B1">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（五）对于评价结果为合格的勘察设计单位，发工作联系单或函件敦促改进。</w:t>
      </w:r>
    </w:p>
    <w:p w14:paraId="15E33FA0">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（六）对于评价结果为不合格的勘察设计单位，</w:t>
      </w:r>
      <w:r>
        <w:rPr>
          <w:rFonts w:hint="eastAsia" w:ascii="宋体" w:hAnsi="宋体" w:eastAsia="宋体" w:cs="仿宋"/>
          <w:bCs/>
          <w:sz w:val="28"/>
          <w:szCs w:val="28"/>
        </w:rPr>
        <w:t>发问题整改函件，约谈公司法人，列入评价清单黑名单，并按相关合同条款进行处理</w:t>
      </w:r>
      <w:r>
        <w:rPr>
          <w:rFonts w:hint="eastAsia" w:ascii="宋体" w:hAnsi="宋体" w:eastAsia="宋体"/>
          <w:sz w:val="28"/>
          <w:szCs w:val="28"/>
        </w:rPr>
        <w:t>。</w:t>
      </w:r>
    </w:p>
    <w:p w14:paraId="143AE627">
      <w:pPr>
        <w:spacing w:line="360" w:lineRule="auto"/>
        <w:ind w:firstLine="560" w:firstLineChars="200"/>
        <w:rPr>
          <w:rFonts w:hint="eastAsia" w:ascii="宋体" w:hAnsi="宋体" w:eastAsia="宋体"/>
          <w:sz w:val="28"/>
          <w:szCs w:val="28"/>
        </w:rPr>
      </w:pPr>
    </w:p>
    <w:p w14:paraId="3DF07C49">
      <w:pPr>
        <w:spacing w:line="360" w:lineRule="auto"/>
        <w:jc w:val="center"/>
        <w:rPr>
          <w:rFonts w:hint="eastAsia" w:ascii="宋体" w:hAnsi="宋体" w:eastAsia="宋体"/>
          <w:b/>
          <w:sz w:val="28"/>
          <w:szCs w:val="28"/>
        </w:rPr>
      </w:pPr>
      <w:r>
        <w:rPr>
          <w:rFonts w:hint="eastAsia" w:ascii="宋体" w:hAnsi="宋体" w:eastAsia="宋体"/>
          <w:b/>
          <w:sz w:val="28"/>
          <w:szCs w:val="28"/>
        </w:rPr>
        <w:t>第六章</w:t>
      </w:r>
      <w:r>
        <w:rPr>
          <w:rFonts w:ascii="宋体" w:hAnsi="宋体" w:eastAsia="宋体"/>
          <w:b/>
          <w:sz w:val="28"/>
          <w:szCs w:val="28"/>
        </w:rPr>
        <w:t xml:space="preserve">  </w:t>
      </w:r>
      <w:r>
        <w:rPr>
          <w:rFonts w:hint="eastAsia" w:ascii="宋体" w:hAnsi="宋体" w:eastAsia="宋体"/>
          <w:b/>
          <w:sz w:val="28"/>
          <w:szCs w:val="28"/>
        </w:rPr>
        <w:t>附则</w:t>
      </w:r>
    </w:p>
    <w:p w14:paraId="658DB8AD">
      <w:pPr>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第十条</w:t>
      </w:r>
      <w:r>
        <w:rPr>
          <w:rFonts w:ascii="宋体" w:hAnsi="宋体" w:eastAsia="宋体"/>
          <w:b/>
          <w:bCs/>
          <w:sz w:val="28"/>
          <w:szCs w:val="28"/>
        </w:rPr>
        <w:t xml:space="preserve">  </w:t>
      </w:r>
      <w:r>
        <w:rPr>
          <w:rFonts w:hint="eastAsia" w:ascii="宋体" w:hAnsi="宋体" w:eastAsia="宋体"/>
          <w:sz w:val="28"/>
          <w:szCs w:val="28"/>
        </w:rPr>
        <w:t>本办法解释权在广州新中轴建设有限公司。</w:t>
      </w:r>
    </w:p>
    <w:p w14:paraId="5F8721F8">
      <w:pPr>
        <w:spacing w:line="360" w:lineRule="auto"/>
        <w:ind w:firstLine="562" w:firstLineChars="200"/>
        <w:rPr>
          <w:rFonts w:hint="eastAsia" w:ascii="宋体" w:hAnsi="宋体" w:eastAsia="宋体"/>
          <w:sz w:val="28"/>
          <w:szCs w:val="28"/>
        </w:rPr>
      </w:pPr>
      <w:r>
        <w:rPr>
          <w:rFonts w:hint="eastAsia" w:ascii="宋体" w:hAnsi="宋体" w:eastAsia="宋体"/>
          <w:b/>
          <w:bCs/>
          <w:sz w:val="28"/>
          <w:szCs w:val="28"/>
        </w:rPr>
        <w:t>第十一条</w:t>
      </w:r>
      <w:r>
        <w:rPr>
          <w:rFonts w:ascii="宋体" w:hAnsi="宋体" w:eastAsia="宋体"/>
          <w:b/>
          <w:bCs/>
          <w:sz w:val="28"/>
          <w:szCs w:val="28"/>
        </w:rPr>
        <w:t xml:space="preserve">  </w:t>
      </w:r>
      <w:r>
        <w:rPr>
          <w:rFonts w:hint="eastAsia" w:ascii="宋体" w:hAnsi="宋体" w:eastAsia="宋体"/>
          <w:sz w:val="28"/>
          <w:szCs w:val="28"/>
        </w:rPr>
        <w:t>本办法自印发之日起试行。</w:t>
      </w:r>
    </w:p>
    <w:p w14:paraId="72B6F28D">
      <w:pPr>
        <w:spacing w:line="360" w:lineRule="auto"/>
        <w:ind w:firstLine="560" w:firstLineChars="200"/>
        <w:rPr>
          <w:rFonts w:hint="eastAsia" w:ascii="宋体" w:hAnsi="宋体" w:eastAsia="宋体"/>
          <w:sz w:val="28"/>
          <w:szCs w:val="28"/>
        </w:rPr>
      </w:pPr>
    </w:p>
    <w:p w14:paraId="59EAD573">
      <w:pPr>
        <w:spacing w:line="360" w:lineRule="auto"/>
        <w:ind w:firstLine="560" w:firstLineChars="200"/>
        <w:rPr>
          <w:rFonts w:hint="eastAsia" w:ascii="宋体" w:hAnsi="宋体" w:eastAsia="宋体"/>
          <w:sz w:val="28"/>
          <w:szCs w:val="28"/>
        </w:rPr>
      </w:pPr>
      <w:r>
        <w:rPr>
          <w:rFonts w:hint="eastAsia" w:ascii="宋体" w:hAnsi="宋体" w:eastAsia="宋体"/>
          <w:sz w:val="28"/>
          <w:szCs w:val="28"/>
        </w:rPr>
        <w:t>附件：1.勘察设计单位评分汇总表</w:t>
      </w:r>
    </w:p>
    <w:p w14:paraId="6DD9DED0">
      <w:pPr>
        <w:tabs>
          <w:tab w:val="left" w:pos="312"/>
        </w:tabs>
        <w:spacing w:line="360" w:lineRule="auto"/>
        <w:ind w:left="1600"/>
        <w:rPr>
          <w:rFonts w:hint="eastAsia" w:ascii="宋体" w:hAnsi="宋体" w:eastAsia="宋体"/>
          <w:sz w:val="28"/>
          <w:szCs w:val="28"/>
        </w:rPr>
      </w:pPr>
      <w:r>
        <w:rPr>
          <w:rFonts w:hint="eastAsia" w:ascii="宋体" w:hAnsi="宋体" w:eastAsia="宋体"/>
          <w:sz w:val="28"/>
          <w:szCs w:val="28"/>
        </w:rPr>
        <w:t>2.勘察设计单位评分表</w:t>
      </w:r>
    </w:p>
    <w:p w14:paraId="6A8005F0">
      <w:pPr>
        <w:snapToGrid w:val="0"/>
        <w:spacing w:line="560" w:lineRule="exact"/>
        <w:rPr>
          <w:rFonts w:hint="eastAsia" w:ascii="宋体" w:hAnsi="宋体" w:eastAsia="宋体" w:cs="仿宋"/>
          <w:sz w:val="28"/>
          <w:szCs w:val="28"/>
        </w:rPr>
      </w:pPr>
      <w:r>
        <w:rPr>
          <w:rFonts w:ascii="宋体" w:hAnsi="宋体" w:eastAsia="宋体" w:cs="仿宋"/>
          <w:sz w:val="28"/>
          <w:szCs w:val="28"/>
        </w:rPr>
        <w:br w:type="page"/>
      </w:r>
    </w:p>
    <w:p w14:paraId="60FB7741">
      <w:pPr>
        <w:snapToGrid w:val="0"/>
        <w:spacing w:line="560" w:lineRule="exact"/>
        <w:rPr>
          <w:rFonts w:hint="eastAsia" w:ascii="宋体" w:hAnsi="宋体" w:eastAsia="宋体" w:cs="仿宋"/>
          <w:sz w:val="28"/>
          <w:szCs w:val="28"/>
        </w:rPr>
      </w:pPr>
      <w:r>
        <w:rPr>
          <w:rFonts w:ascii="宋体" w:hAnsi="宋体" w:eastAsia="宋体"/>
        </w:rPr>
        <w:drawing>
          <wp:anchor distT="0" distB="0" distL="114300" distR="114300" simplePos="0" relativeHeight="251660288" behindDoc="1" locked="0" layoutInCell="1" allowOverlap="1">
            <wp:simplePos x="0" y="0"/>
            <wp:positionH relativeFrom="column">
              <wp:posOffset>204470</wp:posOffset>
            </wp:positionH>
            <wp:positionV relativeFrom="paragraph">
              <wp:posOffset>95885</wp:posOffset>
            </wp:positionV>
            <wp:extent cx="4847590" cy="7533640"/>
            <wp:effectExtent l="0" t="0" r="0" b="0"/>
            <wp:wrapNone/>
            <wp:docPr id="1758917657" name="图片 3" descr="图片包含 日程表&#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8917657" name="图片 3" descr="图片包含 日程表&#10;&#10;描述已自动生成"/>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a:xfrm>
                      <a:off x="0" y="0"/>
                      <a:ext cx="4847590" cy="7533640"/>
                    </a:xfrm>
                    <a:prstGeom prst="rect">
                      <a:avLst/>
                    </a:prstGeom>
                    <a:noFill/>
                    <a:ln>
                      <a:noFill/>
                    </a:ln>
                  </pic:spPr>
                </pic:pic>
              </a:graphicData>
            </a:graphic>
          </wp:anchor>
        </w:drawing>
      </w:r>
    </w:p>
    <w:p w14:paraId="779C23D8">
      <w:pPr>
        <w:snapToGrid w:val="0"/>
        <w:spacing w:line="560" w:lineRule="exact"/>
        <w:rPr>
          <w:rFonts w:hint="eastAsia" w:ascii="宋体" w:hAnsi="宋体" w:eastAsia="宋体" w:cs="仿宋"/>
          <w:sz w:val="28"/>
          <w:szCs w:val="28"/>
        </w:rPr>
      </w:pPr>
    </w:p>
    <w:p w14:paraId="0CD331C5">
      <w:pPr>
        <w:snapToGrid w:val="0"/>
        <w:spacing w:line="560" w:lineRule="exact"/>
        <w:rPr>
          <w:rFonts w:hint="eastAsia" w:ascii="宋体" w:hAnsi="宋体" w:eastAsia="宋体" w:cs="仿宋"/>
          <w:sz w:val="28"/>
          <w:szCs w:val="28"/>
        </w:rPr>
      </w:pPr>
    </w:p>
    <w:p w14:paraId="0AA8A55E">
      <w:pPr>
        <w:snapToGrid w:val="0"/>
        <w:spacing w:line="560" w:lineRule="exact"/>
        <w:rPr>
          <w:rFonts w:hint="eastAsia" w:ascii="宋体" w:hAnsi="宋体" w:eastAsia="宋体" w:cs="仿宋"/>
          <w:sz w:val="28"/>
          <w:szCs w:val="28"/>
        </w:rPr>
      </w:pPr>
    </w:p>
    <w:p w14:paraId="31011438">
      <w:pPr>
        <w:pStyle w:val="25"/>
        <w:rPr>
          <w:rFonts w:eastAsia="宋体"/>
        </w:rPr>
      </w:pPr>
    </w:p>
    <w:p w14:paraId="588D936A">
      <w:pPr>
        <w:pStyle w:val="25"/>
        <w:rPr>
          <w:rFonts w:eastAsia="宋体"/>
        </w:rPr>
      </w:pPr>
    </w:p>
    <w:p w14:paraId="4C0E1DED">
      <w:pPr>
        <w:pStyle w:val="25"/>
        <w:rPr>
          <w:rFonts w:eastAsia="宋体"/>
        </w:rPr>
      </w:pPr>
    </w:p>
    <w:p w14:paraId="7A9BE617">
      <w:pPr>
        <w:pStyle w:val="25"/>
        <w:rPr>
          <w:rFonts w:eastAsia="宋体"/>
        </w:rPr>
      </w:pPr>
    </w:p>
    <w:p w14:paraId="05F14B1C">
      <w:pPr>
        <w:pStyle w:val="25"/>
        <w:rPr>
          <w:rFonts w:eastAsia="宋体"/>
        </w:rPr>
      </w:pPr>
    </w:p>
    <w:p w14:paraId="46D167D6">
      <w:pPr>
        <w:pStyle w:val="25"/>
        <w:rPr>
          <w:rFonts w:eastAsia="宋体"/>
        </w:rPr>
      </w:pPr>
    </w:p>
    <w:p w14:paraId="6B8E9E2C">
      <w:pPr>
        <w:pStyle w:val="25"/>
        <w:rPr>
          <w:rFonts w:eastAsia="宋体"/>
        </w:rPr>
      </w:pPr>
    </w:p>
    <w:p w14:paraId="134F03B3">
      <w:pPr>
        <w:pStyle w:val="25"/>
        <w:rPr>
          <w:rFonts w:eastAsia="宋体"/>
        </w:rPr>
      </w:pPr>
    </w:p>
    <w:p w14:paraId="215507C0">
      <w:pPr>
        <w:pStyle w:val="25"/>
        <w:rPr>
          <w:rFonts w:eastAsia="宋体"/>
        </w:rPr>
      </w:pPr>
    </w:p>
    <w:p w14:paraId="4F91E427">
      <w:pPr>
        <w:pStyle w:val="25"/>
        <w:rPr>
          <w:rFonts w:eastAsia="宋体"/>
        </w:rPr>
      </w:pPr>
    </w:p>
    <w:p w14:paraId="59CD7A26">
      <w:pPr>
        <w:snapToGrid w:val="0"/>
        <w:spacing w:line="560" w:lineRule="exact"/>
        <w:rPr>
          <w:rFonts w:hint="eastAsia" w:ascii="宋体" w:hAnsi="宋体" w:eastAsia="宋体" w:cs="仿宋"/>
          <w:sz w:val="28"/>
          <w:szCs w:val="28"/>
        </w:rPr>
      </w:pPr>
    </w:p>
    <w:p w14:paraId="07ED419E">
      <w:pPr>
        <w:snapToGrid w:val="0"/>
        <w:spacing w:line="560" w:lineRule="exact"/>
        <w:rPr>
          <w:rFonts w:hint="eastAsia" w:ascii="宋体" w:hAnsi="宋体" w:eastAsia="宋体" w:cs="仿宋"/>
          <w:sz w:val="28"/>
          <w:szCs w:val="28"/>
        </w:rPr>
      </w:pPr>
    </w:p>
    <w:p w14:paraId="3E54D944">
      <w:pPr>
        <w:snapToGrid w:val="0"/>
        <w:spacing w:line="560" w:lineRule="exact"/>
        <w:rPr>
          <w:rFonts w:hint="eastAsia" w:ascii="宋体" w:hAnsi="宋体" w:eastAsia="宋体" w:cs="仿宋"/>
          <w:sz w:val="28"/>
          <w:szCs w:val="28"/>
        </w:rPr>
      </w:pPr>
    </w:p>
    <w:p w14:paraId="61023E4E">
      <w:pPr>
        <w:snapToGrid w:val="0"/>
        <w:spacing w:line="560" w:lineRule="exact"/>
        <w:rPr>
          <w:rFonts w:hint="eastAsia" w:ascii="宋体" w:hAnsi="宋体" w:eastAsia="宋体" w:cs="仿宋"/>
          <w:sz w:val="28"/>
          <w:szCs w:val="28"/>
        </w:rPr>
      </w:pPr>
    </w:p>
    <w:p w14:paraId="04C20DAA">
      <w:pPr>
        <w:snapToGrid w:val="0"/>
        <w:spacing w:line="560" w:lineRule="exact"/>
        <w:rPr>
          <w:rFonts w:hint="eastAsia" w:ascii="宋体" w:hAnsi="宋体" w:eastAsia="宋体" w:cs="仿宋"/>
          <w:sz w:val="28"/>
          <w:szCs w:val="28"/>
        </w:rPr>
      </w:pPr>
    </w:p>
    <w:p w14:paraId="6207CB92">
      <w:pPr>
        <w:snapToGrid w:val="0"/>
        <w:spacing w:line="560" w:lineRule="exact"/>
        <w:rPr>
          <w:rFonts w:hint="eastAsia" w:ascii="宋体" w:hAnsi="宋体" w:eastAsia="宋体" w:cs="仿宋"/>
          <w:sz w:val="28"/>
          <w:szCs w:val="28"/>
        </w:rPr>
      </w:pPr>
    </w:p>
    <w:p w14:paraId="1B34AFAB">
      <w:pPr>
        <w:snapToGrid w:val="0"/>
        <w:spacing w:line="560" w:lineRule="exact"/>
        <w:rPr>
          <w:rFonts w:hint="eastAsia" w:ascii="宋体" w:hAnsi="宋体" w:eastAsia="宋体" w:cs="仿宋"/>
          <w:sz w:val="28"/>
          <w:szCs w:val="28"/>
        </w:rPr>
      </w:pPr>
    </w:p>
    <w:p w14:paraId="122D9104">
      <w:pPr>
        <w:snapToGrid w:val="0"/>
        <w:spacing w:line="560" w:lineRule="exact"/>
        <w:rPr>
          <w:rFonts w:hint="eastAsia" w:ascii="宋体" w:hAnsi="宋体" w:eastAsia="宋体" w:cs="仿宋"/>
          <w:sz w:val="28"/>
          <w:szCs w:val="28"/>
        </w:rPr>
      </w:pPr>
    </w:p>
    <w:p w14:paraId="2AD9629D">
      <w:pPr>
        <w:snapToGrid w:val="0"/>
        <w:spacing w:line="560" w:lineRule="exact"/>
        <w:rPr>
          <w:rFonts w:hint="eastAsia" w:ascii="宋体" w:hAnsi="宋体" w:eastAsia="宋体" w:cs="仿宋"/>
          <w:sz w:val="28"/>
          <w:szCs w:val="28"/>
        </w:rPr>
      </w:pPr>
    </w:p>
    <w:p w14:paraId="3D18CED0">
      <w:pPr>
        <w:snapToGrid w:val="0"/>
        <w:spacing w:line="560" w:lineRule="exact"/>
        <w:rPr>
          <w:rFonts w:hint="eastAsia" w:ascii="宋体" w:hAnsi="宋体" w:eastAsia="宋体" w:cs="仿宋"/>
          <w:sz w:val="28"/>
          <w:szCs w:val="28"/>
        </w:rPr>
      </w:pPr>
    </w:p>
    <w:p w14:paraId="6F4DDBDA">
      <w:pPr>
        <w:snapToGrid w:val="0"/>
        <w:spacing w:line="560" w:lineRule="exact"/>
        <w:rPr>
          <w:rFonts w:hint="eastAsia" w:ascii="宋体" w:hAnsi="宋体" w:eastAsia="宋体" w:cs="仿宋"/>
          <w:sz w:val="28"/>
          <w:szCs w:val="28"/>
        </w:rPr>
      </w:pPr>
    </w:p>
    <w:p w14:paraId="0F2CFDD8">
      <w:pPr>
        <w:pStyle w:val="25"/>
        <w:rPr>
          <w:rFonts w:eastAsia="宋体"/>
        </w:rPr>
      </w:pPr>
    </w:p>
    <w:p w14:paraId="1007BCD9">
      <w:pPr>
        <w:pStyle w:val="25"/>
        <w:rPr>
          <w:rFonts w:eastAsia="宋体"/>
        </w:rPr>
      </w:pPr>
      <w:r>
        <w:rPr>
          <w:rFonts w:eastAsia="宋体"/>
        </w:rPr>
        <w:br w:type="page"/>
      </w:r>
    </w:p>
    <w:p w14:paraId="6960196C">
      <w:pPr>
        <w:pStyle w:val="25"/>
        <w:rPr>
          <w:rFonts w:eastAsia="宋体"/>
        </w:rPr>
      </w:pPr>
    </w:p>
    <w:p w14:paraId="77D35B22">
      <w:pPr>
        <w:pStyle w:val="25"/>
        <w:rPr>
          <w:rFonts w:eastAsia="宋体"/>
        </w:rPr>
      </w:pPr>
    </w:p>
    <w:p w14:paraId="4FFA1557">
      <w:pPr>
        <w:pStyle w:val="25"/>
        <w:rPr>
          <w:rFonts w:eastAsia="宋体"/>
        </w:rPr>
      </w:pPr>
    </w:p>
    <w:p w14:paraId="7ECB7F64">
      <w:pPr>
        <w:pStyle w:val="25"/>
        <w:rPr>
          <w:rFonts w:eastAsia="宋体"/>
        </w:rPr>
      </w:pPr>
      <w:r>
        <w:rPr>
          <w:rFonts w:eastAsia="宋体"/>
        </w:rPr>
        <w:drawing>
          <wp:anchor distT="0" distB="0" distL="114300" distR="114300" simplePos="0" relativeHeight="251661312" behindDoc="1" locked="0" layoutInCell="1" allowOverlap="1">
            <wp:simplePos x="0" y="0"/>
            <wp:positionH relativeFrom="column">
              <wp:posOffset>0</wp:posOffset>
            </wp:positionH>
            <wp:positionV relativeFrom="paragraph">
              <wp:posOffset>0</wp:posOffset>
            </wp:positionV>
            <wp:extent cx="5274310" cy="6689725"/>
            <wp:effectExtent l="0" t="0" r="2540" b="0"/>
            <wp:wrapNone/>
            <wp:docPr id="1027726865" name="图片 2" descr="表格&#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7726865" name="图片 2" descr="表格&#10;&#10;描述已自动生成"/>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a:xfrm>
                      <a:off x="0" y="0"/>
                      <a:ext cx="5274310" cy="6689725"/>
                    </a:xfrm>
                    <a:prstGeom prst="rect">
                      <a:avLst/>
                    </a:prstGeom>
                    <a:noFill/>
                    <a:ln>
                      <a:noFill/>
                    </a:ln>
                  </pic:spPr>
                </pic:pic>
              </a:graphicData>
            </a:graphic>
          </wp:anchor>
        </w:drawing>
      </w:r>
    </w:p>
    <w:p w14:paraId="6E28195B">
      <w:pPr>
        <w:pStyle w:val="25"/>
        <w:rPr>
          <w:rFonts w:eastAsia="宋体"/>
        </w:rPr>
      </w:pPr>
    </w:p>
    <w:p w14:paraId="67CE185C">
      <w:pPr>
        <w:pStyle w:val="25"/>
        <w:rPr>
          <w:rFonts w:eastAsia="宋体"/>
        </w:rPr>
      </w:pPr>
    </w:p>
    <w:p w14:paraId="43F07649">
      <w:pPr>
        <w:pStyle w:val="25"/>
        <w:rPr>
          <w:rFonts w:eastAsia="宋体"/>
        </w:rPr>
      </w:pPr>
    </w:p>
    <w:p w14:paraId="5E4A4B91">
      <w:pPr>
        <w:pStyle w:val="25"/>
        <w:rPr>
          <w:rFonts w:eastAsia="宋体"/>
        </w:rPr>
      </w:pPr>
    </w:p>
    <w:p w14:paraId="43F905ED">
      <w:pPr>
        <w:pStyle w:val="25"/>
        <w:rPr>
          <w:rFonts w:eastAsia="宋体"/>
        </w:rPr>
      </w:pPr>
    </w:p>
    <w:p w14:paraId="2B059B0D">
      <w:pPr>
        <w:pStyle w:val="25"/>
        <w:rPr>
          <w:rFonts w:eastAsia="宋体"/>
        </w:rPr>
      </w:pPr>
    </w:p>
    <w:p w14:paraId="09C13DF0">
      <w:pPr>
        <w:pStyle w:val="25"/>
        <w:rPr>
          <w:rFonts w:eastAsia="宋体"/>
        </w:rPr>
      </w:pPr>
    </w:p>
    <w:p w14:paraId="4E1F8470">
      <w:pPr>
        <w:pStyle w:val="25"/>
        <w:rPr>
          <w:rFonts w:eastAsia="宋体"/>
        </w:rPr>
      </w:pPr>
    </w:p>
    <w:p w14:paraId="665DEC04">
      <w:pPr>
        <w:pStyle w:val="25"/>
        <w:rPr>
          <w:rFonts w:eastAsia="宋体"/>
        </w:rPr>
      </w:pPr>
    </w:p>
    <w:p w14:paraId="374B2839">
      <w:pPr>
        <w:pStyle w:val="25"/>
        <w:rPr>
          <w:rFonts w:eastAsia="宋体"/>
        </w:rPr>
      </w:pPr>
    </w:p>
    <w:p w14:paraId="5EA01762">
      <w:pPr>
        <w:pStyle w:val="25"/>
        <w:rPr>
          <w:rFonts w:eastAsia="宋体"/>
        </w:rPr>
      </w:pPr>
    </w:p>
    <w:p w14:paraId="538143CC">
      <w:pPr>
        <w:pStyle w:val="25"/>
        <w:rPr>
          <w:rFonts w:eastAsia="宋体"/>
        </w:rPr>
      </w:pPr>
    </w:p>
    <w:p w14:paraId="06617681">
      <w:pPr>
        <w:pStyle w:val="25"/>
        <w:rPr>
          <w:rFonts w:eastAsia="宋体"/>
        </w:rPr>
      </w:pPr>
    </w:p>
    <w:p w14:paraId="28045447">
      <w:pPr>
        <w:pStyle w:val="25"/>
        <w:rPr>
          <w:rFonts w:eastAsia="宋体"/>
        </w:rPr>
      </w:pPr>
    </w:p>
    <w:p w14:paraId="31311B1C">
      <w:pPr>
        <w:pStyle w:val="25"/>
        <w:rPr>
          <w:rFonts w:eastAsia="宋体"/>
        </w:rPr>
      </w:pPr>
    </w:p>
    <w:p w14:paraId="017AE5CE">
      <w:pPr>
        <w:pStyle w:val="25"/>
        <w:rPr>
          <w:rFonts w:eastAsia="宋体"/>
        </w:rPr>
      </w:pPr>
    </w:p>
    <w:p w14:paraId="4420AF90">
      <w:pPr>
        <w:pStyle w:val="25"/>
        <w:rPr>
          <w:rFonts w:eastAsia="宋体"/>
        </w:rPr>
      </w:pPr>
    </w:p>
    <w:p w14:paraId="452A6128">
      <w:pPr>
        <w:pStyle w:val="25"/>
        <w:rPr>
          <w:rFonts w:eastAsia="宋体"/>
        </w:rPr>
      </w:pPr>
    </w:p>
    <w:p w14:paraId="644E11AC">
      <w:pPr>
        <w:pStyle w:val="25"/>
        <w:rPr>
          <w:rFonts w:eastAsia="宋体"/>
        </w:rPr>
      </w:pPr>
    </w:p>
    <w:p w14:paraId="2196CFD3">
      <w:pPr>
        <w:pStyle w:val="25"/>
        <w:rPr>
          <w:rFonts w:eastAsia="宋体"/>
        </w:rPr>
      </w:pPr>
    </w:p>
    <w:p w14:paraId="7A97B7B7">
      <w:pPr>
        <w:pStyle w:val="25"/>
        <w:rPr>
          <w:rFonts w:eastAsia="宋体"/>
        </w:rPr>
      </w:pPr>
    </w:p>
    <w:p w14:paraId="1F374B35">
      <w:pPr>
        <w:pStyle w:val="25"/>
        <w:rPr>
          <w:rFonts w:eastAsia="宋体"/>
        </w:rPr>
      </w:pPr>
    </w:p>
    <w:p w14:paraId="711A7F2D">
      <w:pPr>
        <w:pStyle w:val="25"/>
        <w:rPr>
          <w:rFonts w:eastAsia="宋体"/>
        </w:rPr>
      </w:pPr>
    </w:p>
    <w:p w14:paraId="7B8683B8">
      <w:pPr>
        <w:pStyle w:val="25"/>
        <w:rPr>
          <w:rFonts w:eastAsia="宋体"/>
        </w:rPr>
      </w:pPr>
    </w:p>
    <w:p w14:paraId="7F0D075B">
      <w:pPr>
        <w:pStyle w:val="25"/>
        <w:rPr>
          <w:rFonts w:eastAsia="宋体"/>
        </w:rPr>
      </w:pPr>
    </w:p>
    <w:p w14:paraId="44D2E1AC">
      <w:pPr>
        <w:pStyle w:val="25"/>
        <w:rPr>
          <w:rFonts w:eastAsia="宋体"/>
        </w:rPr>
      </w:pPr>
    </w:p>
    <w:p w14:paraId="2C2A0176">
      <w:pPr>
        <w:pStyle w:val="25"/>
        <w:rPr>
          <w:rFonts w:eastAsia="宋体"/>
        </w:rPr>
      </w:pPr>
    </w:p>
    <w:p w14:paraId="3D199C8A">
      <w:pPr>
        <w:pStyle w:val="25"/>
        <w:rPr>
          <w:rFonts w:eastAsia="宋体"/>
        </w:rPr>
      </w:pPr>
    </w:p>
    <w:p w14:paraId="1E34479D">
      <w:pPr>
        <w:pStyle w:val="25"/>
        <w:rPr>
          <w:rFonts w:eastAsia="宋体"/>
        </w:rPr>
      </w:pPr>
      <w:r>
        <w:rPr>
          <w:rFonts w:eastAsia="宋体"/>
        </w:rPr>
        <w:br w:type="page"/>
      </w:r>
    </w:p>
    <w:p w14:paraId="5777B1C8">
      <w:pPr>
        <w:pStyle w:val="25"/>
        <w:rPr>
          <w:rFonts w:eastAsia="宋体"/>
        </w:rPr>
      </w:pPr>
    </w:p>
    <w:p w14:paraId="76AA22F8">
      <w:pPr>
        <w:pStyle w:val="25"/>
        <w:rPr>
          <w:rFonts w:eastAsia="宋体"/>
        </w:rPr>
      </w:pPr>
    </w:p>
    <w:p w14:paraId="067887F9">
      <w:pPr>
        <w:pStyle w:val="25"/>
        <w:rPr>
          <w:rFonts w:eastAsia="宋体"/>
        </w:rPr>
      </w:pPr>
    </w:p>
    <w:p w14:paraId="2631AC4C">
      <w:pPr>
        <w:pStyle w:val="25"/>
        <w:rPr>
          <w:rFonts w:eastAsia="宋体"/>
        </w:rPr>
      </w:pPr>
      <w:r>
        <w:rPr>
          <w:rFonts w:eastAsia="宋体"/>
        </w:rPr>
        <w:drawing>
          <wp:anchor distT="0" distB="0" distL="114300" distR="114300" simplePos="0" relativeHeight="251662336" behindDoc="1" locked="0" layoutInCell="1" allowOverlap="1">
            <wp:simplePos x="0" y="0"/>
            <wp:positionH relativeFrom="column">
              <wp:posOffset>21590</wp:posOffset>
            </wp:positionH>
            <wp:positionV relativeFrom="paragraph">
              <wp:posOffset>76835</wp:posOffset>
            </wp:positionV>
            <wp:extent cx="5274310" cy="4477385"/>
            <wp:effectExtent l="0" t="0" r="2540" b="0"/>
            <wp:wrapNone/>
            <wp:docPr id="17519744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5197442" name="图片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a:xfrm>
                      <a:off x="0" y="0"/>
                      <a:ext cx="5274310" cy="4477385"/>
                    </a:xfrm>
                    <a:prstGeom prst="rect">
                      <a:avLst/>
                    </a:prstGeom>
                    <a:noFill/>
                    <a:ln>
                      <a:noFill/>
                    </a:ln>
                  </pic:spPr>
                </pic:pic>
              </a:graphicData>
            </a:graphic>
          </wp:anchor>
        </w:drawing>
      </w:r>
    </w:p>
    <w:p w14:paraId="5ED32CC0">
      <w:pPr>
        <w:pStyle w:val="25"/>
        <w:rPr>
          <w:rFonts w:eastAsia="宋体"/>
        </w:rPr>
      </w:pPr>
    </w:p>
    <w:p w14:paraId="6B715F5E">
      <w:pPr>
        <w:pStyle w:val="25"/>
        <w:rPr>
          <w:rFonts w:eastAsia="宋体"/>
        </w:rPr>
      </w:pPr>
    </w:p>
    <w:p w14:paraId="51E3EE58">
      <w:pPr>
        <w:pStyle w:val="25"/>
        <w:rPr>
          <w:rFonts w:eastAsia="宋体"/>
        </w:rPr>
      </w:pPr>
    </w:p>
    <w:p w14:paraId="01F0E79B">
      <w:pPr>
        <w:pStyle w:val="25"/>
        <w:rPr>
          <w:rFonts w:eastAsia="宋体"/>
        </w:rPr>
      </w:pPr>
    </w:p>
    <w:p w14:paraId="752DCAE3">
      <w:pPr>
        <w:pStyle w:val="25"/>
        <w:rPr>
          <w:rFonts w:eastAsia="宋体"/>
        </w:rPr>
      </w:pPr>
    </w:p>
    <w:p w14:paraId="08DC2BA8">
      <w:pPr>
        <w:pStyle w:val="25"/>
        <w:rPr>
          <w:rFonts w:eastAsia="宋体"/>
        </w:rPr>
      </w:pPr>
    </w:p>
    <w:p w14:paraId="2C57E8D6">
      <w:pPr>
        <w:pStyle w:val="25"/>
        <w:rPr>
          <w:rFonts w:eastAsia="宋体"/>
        </w:rPr>
      </w:pPr>
    </w:p>
    <w:p w14:paraId="7102C9C8">
      <w:pPr>
        <w:pStyle w:val="25"/>
        <w:rPr>
          <w:rFonts w:eastAsia="宋体"/>
        </w:rPr>
      </w:pPr>
    </w:p>
    <w:p w14:paraId="3FED60A1">
      <w:pPr>
        <w:pStyle w:val="25"/>
        <w:rPr>
          <w:rFonts w:eastAsia="宋体"/>
        </w:rPr>
      </w:pPr>
    </w:p>
    <w:p w14:paraId="6CF9E56F">
      <w:pPr>
        <w:pStyle w:val="25"/>
        <w:rPr>
          <w:rFonts w:eastAsia="宋体"/>
        </w:rPr>
      </w:pPr>
    </w:p>
    <w:p w14:paraId="1E741EAC">
      <w:pPr>
        <w:pStyle w:val="25"/>
        <w:rPr>
          <w:rFonts w:eastAsia="宋体"/>
        </w:rPr>
      </w:pPr>
    </w:p>
    <w:p w14:paraId="211C0D8D">
      <w:pPr>
        <w:pStyle w:val="25"/>
        <w:rPr>
          <w:rFonts w:eastAsia="宋体"/>
        </w:rPr>
      </w:pPr>
    </w:p>
    <w:p w14:paraId="24219303">
      <w:pPr>
        <w:pStyle w:val="25"/>
        <w:rPr>
          <w:rFonts w:eastAsia="宋体"/>
        </w:rPr>
      </w:pPr>
    </w:p>
    <w:p w14:paraId="23C8827C">
      <w:pPr>
        <w:pStyle w:val="25"/>
        <w:rPr>
          <w:rFonts w:eastAsia="宋体"/>
        </w:rPr>
      </w:pPr>
    </w:p>
    <w:p w14:paraId="19CC1F34">
      <w:pPr>
        <w:pStyle w:val="25"/>
        <w:rPr>
          <w:rFonts w:eastAsia="宋体"/>
        </w:rPr>
      </w:pPr>
    </w:p>
    <w:p w14:paraId="4EEDD77E">
      <w:pPr>
        <w:pStyle w:val="25"/>
        <w:rPr>
          <w:rFonts w:eastAsia="宋体"/>
        </w:rPr>
      </w:pPr>
    </w:p>
    <w:p w14:paraId="06AEE2D5">
      <w:pPr>
        <w:snapToGrid w:val="0"/>
        <w:spacing w:line="560" w:lineRule="exact"/>
        <w:rPr>
          <w:rFonts w:hint="eastAsia" w:ascii="宋体" w:hAnsi="宋体" w:eastAsia="宋体"/>
          <w:b/>
          <w:sz w:val="28"/>
          <w:szCs w:val="28"/>
        </w:rPr>
      </w:pPr>
    </w:p>
    <w:p w14:paraId="61A79DAF">
      <w:pPr>
        <w:snapToGrid w:val="0"/>
        <w:spacing w:line="560" w:lineRule="exact"/>
        <w:rPr>
          <w:rFonts w:hint="eastAsia" w:ascii="宋体" w:hAnsi="宋体" w:eastAsia="宋体"/>
          <w:b/>
          <w:sz w:val="28"/>
          <w:szCs w:val="28"/>
        </w:rPr>
      </w:pPr>
    </w:p>
    <w:p w14:paraId="10E4DFDC">
      <w:pPr>
        <w:pStyle w:val="25"/>
        <w:rPr>
          <w:rFonts w:eastAsia="宋体"/>
          <w:szCs w:val="24"/>
        </w:rPr>
      </w:pPr>
    </w:p>
    <w:p w14:paraId="28942E9C">
      <w:pPr>
        <w:spacing w:line="440" w:lineRule="exact"/>
        <w:rPr>
          <w:rFonts w:hint="eastAsia" w:ascii="宋体" w:hAnsi="宋体" w:eastAsia="宋体"/>
          <w:b/>
        </w:rPr>
      </w:pPr>
    </w:p>
    <w:p w14:paraId="7D47194A">
      <w:pPr>
        <w:spacing w:line="440" w:lineRule="exact"/>
        <w:rPr>
          <w:rFonts w:hint="eastAsia" w:ascii="宋体" w:hAnsi="宋体"/>
          <w:b/>
        </w:rPr>
      </w:pPr>
    </w:p>
    <w:sectPr>
      <w:pgSz w:w="11906" w:h="16838"/>
      <w:pgMar w:top="1417" w:right="1531" w:bottom="1304" w:left="1531" w:header="851" w:footer="992" w:gutter="0"/>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Menlo">
    <w:altName w:val="Times New Roman"/>
    <w:panose1 w:val="00000000000000000000"/>
    <w:charset w:val="00"/>
    <w:family w:val="auto"/>
    <w:pitch w:val="default"/>
    <w:sig w:usb0="00000000" w:usb1="00000000" w:usb2="00000000" w:usb3="00000000" w:csb0="00040001" w:csb1="00000000"/>
  </w:font>
  <w:font w:name="MS Mincho">
    <w:altName w:val="Yu Gothic UI"/>
    <w:panose1 w:val="02020609040205080304"/>
    <w:charset w:val="80"/>
    <w:family w:val="modern"/>
    <w:pitch w:val="default"/>
    <w:sig w:usb0="00000000" w:usb1="00000000" w:usb2="08000012" w:usb3="00000000" w:csb0="0002009F" w:csb1="00000000"/>
  </w:font>
  <w:font w:name="Yu Gothic UI">
    <w:panose1 w:val="020B0500000000000000"/>
    <w:charset w:val="80"/>
    <w:family w:val="auto"/>
    <w:pitch w:val="default"/>
    <w:sig w:usb0="E00002FF" w:usb1="2AC7FDFF" w:usb2="00000016" w:usb3="00000000" w:csb0="2002009F" w:csb1="00000000"/>
  </w:font>
  <w:font w:name="MingLiU">
    <w:altName w:val="PMingLiU-ExtB"/>
    <w:panose1 w:val="02010609000101010101"/>
    <w:charset w:val="88"/>
    <w:family w:val="moder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华文细黑">
    <w:panose1 w:val="02010600040101010101"/>
    <w:charset w:val="86"/>
    <w:family w:val="auto"/>
    <w:pitch w:val="default"/>
    <w:sig w:usb0="00000287" w:usb1="080F0000" w:usb2="00000000" w:usb3="00000000" w:csb0="0004009F" w:csb1="DFD70000"/>
  </w:font>
  <w:font w:name="Arial Unicode MS">
    <w:altName w:val="宋体"/>
    <w:panose1 w:val="020B0604020202020204"/>
    <w:charset w:val="86"/>
    <w:family w:val="swiss"/>
    <w:pitch w:val="default"/>
    <w:sig w:usb0="00000000" w:usb1="00000000" w:usb2="0000003F" w:usb3="00000000" w:csb0="003F01FF" w:csb1="00000000"/>
  </w:font>
  <w:font w:name="幼圆">
    <w:panose1 w:val="0201050906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Verdana">
    <w:panose1 w:val="020B0604030504040204"/>
    <w:charset w:val="00"/>
    <w:family w:val="swiss"/>
    <w:pitch w:val="default"/>
    <w:sig w:usb0="A00006FF" w:usb1="4000205B" w:usb2="00000010" w:usb3="00000000" w:csb0="2000019F" w:csb1="00000000"/>
  </w:font>
  <w:font w:name="CG Times (W1)">
    <w:altName w:val="Times New Roman"/>
    <w:panose1 w:val="00000000000000000000"/>
    <w:charset w:val="00"/>
    <w:family w:val="roman"/>
    <w:pitch w:val="default"/>
    <w:sig w:usb0="00000000" w:usb1="00000000" w:usb2="00000000" w:usb3="00000000" w:csb0="00000001" w:csb1="00000000"/>
  </w:font>
  <w:font w:name="Calisto MT">
    <w:altName w:val="Segoe Print"/>
    <w:panose1 w:val="02040603050505030304"/>
    <w:charset w:val="00"/>
    <w:family w:val="roman"/>
    <w:pitch w:val="default"/>
    <w:sig w:usb0="00000000" w:usb1="00000000" w:usb2="00000000" w:usb3="00000000" w:csb0="20000001" w:csb1="00000000"/>
  </w:font>
  <w:font w:name="DejaVu Sans">
    <w:altName w:val="Times New Roman"/>
    <w:panose1 w:val="00000000000000000000"/>
    <w:charset w:val="00"/>
    <w:family w:val="roman"/>
    <w:pitch w:val="default"/>
    <w:sig w:usb0="00000000" w:usb1="00000000" w:usb2="00000000" w:usb3="00000000" w:csb0="00040001" w:csb1="00000000"/>
  </w:font>
  <w:font w:name="Tahoma">
    <w:panose1 w:val="020B0604030504040204"/>
    <w:charset w:val="00"/>
    <w:family w:val="swiss"/>
    <w:pitch w:val="default"/>
    <w:sig w:usb0="E1002EFF" w:usb1="C000605B" w:usb2="00000029" w:usb3="00000000" w:csb0="200101FF" w:csb1="20280000"/>
  </w:font>
  <w:font w:name="MS UI Gothic">
    <w:panose1 w:val="020B0600070205080204"/>
    <w:charset w:val="80"/>
    <w:family w:val="swiss"/>
    <w:pitch w:val="default"/>
    <w:sig w:usb0="E00002FF" w:usb1="6AC7FDFB" w:usb2="08000012" w:usb3="00000000" w:csb0="4002009F" w:csb1="DFD70000"/>
  </w:font>
  <w:font w:name="仿宋体">
    <w:altName w:val="仿宋"/>
    <w:panose1 w:val="00000000000000000000"/>
    <w:charset w:val="00"/>
    <w:family w:val="auto"/>
    <w:pitch w:val="default"/>
    <w:sig w:usb0="00000000" w:usb1="00000000" w:usb2="00000000"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03274844"/>
    </w:sdtPr>
    <w:sdtContent>
      <w:p w14:paraId="48B0C85E">
        <w:pPr>
          <w:pStyle w:val="38"/>
          <w:jc w:val="center"/>
        </w:pPr>
        <w:r>
          <w:fldChar w:fldCharType="begin"/>
        </w:r>
        <w:r>
          <w:instrText xml:space="preserve">PAGE   \* MERGEFORMAT</w:instrText>
        </w:r>
        <w:r>
          <w:fldChar w:fldCharType="separate"/>
        </w:r>
        <w:r>
          <w:rPr>
            <w:lang w:val="zh-CN"/>
          </w:rPr>
          <w:t>2</w:t>
        </w:r>
        <w: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D3CF91">
    <w:pPr>
      <w:pStyle w:val="38"/>
      <w:framePr w:wrap="around" w:vAnchor="text" w:hAnchor="margin" w:xAlign="center" w:y="1"/>
      <w:rPr>
        <w:rStyle w:val="67"/>
      </w:rPr>
    </w:pPr>
    <w:r>
      <w:fldChar w:fldCharType="begin"/>
    </w:r>
    <w:r>
      <w:rPr>
        <w:rStyle w:val="67"/>
      </w:rPr>
      <w:instrText xml:space="preserve">PAGE  </w:instrText>
    </w:r>
    <w:r>
      <w:fldChar w:fldCharType="separate"/>
    </w:r>
    <w:r>
      <w:rPr>
        <w:rStyle w:val="67"/>
      </w:rPr>
      <w:t>2</w:t>
    </w:r>
    <w:r>
      <w:fldChar w:fldCharType="end"/>
    </w:r>
  </w:p>
  <w:p w14:paraId="0151E818">
    <w:pPr>
      <w:pStyle w:val="38"/>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98019265"/>
    </w:sdtPr>
    <w:sdtContent>
      <w:p w14:paraId="421155D5">
        <w:pPr>
          <w:pStyle w:val="38"/>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6011A1">
    <w:pPr>
      <w:pStyle w:val="38"/>
      <w:jc w:val="center"/>
    </w:pPr>
    <w:r>
      <w:fldChar w:fldCharType="begin"/>
    </w:r>
    <w:r>
      <w:instrText xml:space="preserve">PAGE   \* MERGEFORMAT</w:instrText>
    </w:r>
    <w:r>
      <w:fldChar w:fldCharType="separate"/>
    </w:r>
    <w:r>
      <w:rPr>
        <w:lang w:val="zh-CN"/>
      </w:rPr>
      <w:t>2</w:t>
    </w:r>
    <w:r>
      <w:fldChar w:fldCharType="end"/>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2A1F71">
    <w:pPr>
      <w:pStyle w:val="38"/>
    </w:pPr>
    <w:r>
      <mc:AlternateContent>
        <mc:Choice Requires="wps">
          <w:drawing>
            <wp:anchor distT="0" distB="0" distL="114300" distR="114300" simplePos="0" relativeHeight="251659264" behindDoc="0" locked="0" layoutInCell="1" allowOverlap="1">
              <wp:simplePos x="0" y="0"/>
              <wp:positionH relativeFrom="margin">
                <wp:posOffset>2717165</wp:posOffset>
              </wp:positionH>
              <wp:positionV relativeFrom="paragraph">
                <wp:posOffset>67945</wp:posOffset>
              </wp:positionV>
              <wp:extent cx="666750" cy="142875"/>
              <wp:effectExtent l="0" t="0" r="0" b="9525"/>
              <wp:wrapNone/>
              <wp:docPr id="1755213879" name="文本框 11"/>
              <wp:cNvGraphicFramePr/>
              <a:graphic xmlns:a="http://schemas.openxmlformats.org/drawingml/2006/main">
                <a:graphicData uri="http://schemas.microsoft.com/office/word/2010/wordprocessingShape">
                  <wps:wsp>
                    <wps:cNvSpPr txBox="1">
                      <a:spLocks noChangeArrowheads="1"/>
                    </wps:cNvSpPr>
                    <wps:spPr bwMode="auto">
                      <a:xfrm>
                        <a:off x="0" y="0"/>
                        <a:ext cx="666750" cy="142875"/>
                      </a:xfrm>
                      <a:prstGeom prst="rect">
                        <a:avLst/>
                      </a:prstGeom>
                      <a:noFill/>
                      <a:ln>
                        <a:noFill/>
                      </a:ln>
                    </wps:spPr>
                    <wps:txbx>
                      <w:txbxContent>
                        <w:p w14:paraId="7E295DC8">
                          <w:pPr>
                            <w:pStyle w:val="38"/>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wps:txbx>
                    <wps:bodyPr rot="0" vert="horz" wrap="square" lIns="0" tIns="0" rIns="0" bIns="0" anchor="t" anchorCtr="0" upright="1">
                      <a:noAutofit/>
                    </wps:bodyPr>
                  </wps:wsp>
                </a:graphicData>
              </a:graphic>
            </wp:anchor>
          </w:drawing>
        </mc:Choice>
        <mc:Fallback>
          <w:pict>
            <v:shape id="文本框 11" o:spid="_x0000_s1026" o:spt="202" type="#_x0000_t202" style="position:absolute;left:0pt;margin-left:213.95pt;margin-top:5.35pt;height:11.25pt;width:52.5pt;mso-position-horizontal-relative:margin;z-index:251659264;mso-width-relative:page;mso-height-relative:page;" filled="f" stroked="f" coordsize="21600,21600" o:gfxdata="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tabcG9gAAAAJAQAADwAAAAAA&#10;AAABACAAAAAiAAAAZHJzL2Rvd25yZXYueG1sUEsBAhQAFAAAAAgAh07iQM/pBPoTAgAADgQAAA4A&#10;AAAAAAAAAQAgAAAAJwEAAGRycy9lMm9Eb2MueG1sUEsFBgAAAAAGAAYAWQEAAKwFAAAAAA==&#10;">
              <v:fill on="f" focussize="0,0"/>
              <v:stroke on="f"/>
              <v:imagedata o:title=""/>
              <o:lock v:ext="edit" aspectratio="f"/>
              <v:textbox inset="0mm,0mm,0mm,0mm">
                <w:txbxContent>
                  <w:p w14:paraId="7E295DC8">
                    <w:pPr>
                      <w:pStyle w:val="38"/>
                    </w:pPr>
                    <w:r>
                      <w:rPr>
                        <w:rFonts w:hint="eastAsia"/>
                      </w:rPr>
                      <w:fldChar w:fldCharType="begin"/>
                    </w:r>
                    <w:r>
                      <w:rPr>
                        <w:rFonts w:hint="eastAsia"/>
                      </w:rPr>
                      <w:instrText xml:space="preserve"> PAGE  \* MERGEFORMAT </w:instrText>
                    </w:r>
                    <w:r>
                      <w:rPr>
                        <w:rFonts w:hint="eastAsia"/>
                      </w:rPr>
                      <w:fldChar w:fldCharType="separate"/>
                    </w:r>
                    <w:r>
                      <w:t>5</w:t>
                    </w:r>
                    <w:r>
                      <w:rPr>
                        <w:rFonts w:hint="eastAsia"/>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E516EB">
    <w:pPr>
      <w:pStyle w:val="38"/>
      <w:framePr w:wrap="around" w:vAnchor="text" w:hAnchor="margin" w:xAlign="center" w:y="1"/>
      <w:rPr>
        <w:rStyle w:val="67"/>
      </w:rPr>
    </w:pPr>
    <w:r>
      <w:fldChar w:fldCharType="begin"/>
    </w:r>
    <w:r>
      <w:rPr>
        <w:rStyle w:val="67"/>
      </w:rPr>
      <w:instrText xml:space="preserve">PAGE  </w:instrText>
    </w:r>
    <w:r>
      <w:fldChar w:fldCharType="separate"/>
    </w:r>
    <w:r>
      <w:rPr>
        <w:rStyle w:val="67"/>
      </w:rPr>
      <w:t>109</w:t>
    </w:r>
    <w:r>
      <w:fldChar w:fldCharType="end"/>
    </w:r>
  </w:p>
  <w:p w14:paraId="54ABFA4D">
    <w:pPr>
      <w:pStyle w:val="3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8EE4C3">
    <w:pPr>
      <w:pStyle w:val="39"/>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YmFmYTM2YTM5MGE4NTcyMjAwODllOWFhMGUzMDgwMjgifQ=="/>
  </w:docVars>
  <w:rsids>
    <w:rsidRoot w:val="00E028F7"/>
    <w:rsid w:val="000009F8"/>
    <w:rsid w:val="00000A95"/>
    <w:rsid w:val="00001185"/>
    <w:rsid w:val="00001E64"/>
    <w:rsid w:val="00003150"/>
    <w:rsid w:val="0000395A"/>
    <w:rsid w:val="00004002"/>
    <w:rsid w:val="00004599"/>
    <w:rsid w:val="0001316B"/>
    <w:rsid w:val="00014C31"/>
    <w:rsid w:val="00017EFB"/>
    <w:rsid w:val="0002160C"/>
    <w:rsid w:val="00022827"/>
    <w:rsid w:val="00022BC0"/>
    <w:rsid w:val="00023111"/>
    <w:rsid w:val="00023F5E"/>
    <w:rsid w:val="000240DB"/>
    <w:rsid w:val="00025535"/>
    <w:rsid w:val="00026C30"/>
    <w:rsid w:val="00027874"/>
    <w:rsid w:val="0002791E"/>
    <w:rsid w:val="000317F1"/>
    <w:rsid w:val="000319D7"/>
    <w:rsid w:val="00031F83"/>
    <w:rsid w:val="00033ECC"/>
    <w:rsid w:val="00034A20"/>
    <w:rsid w:val="00034B39"/>
    <w:rsid w:val="000350AC"/>
    <w:rsid w:val="000352BB"/>
    <w:rsid w:val="00036329"/>
    <w:rsid w:val="000376BC"/>
    <w:rsid w:val="00040428"/>
    <w:rsid w:val="00040BD7"/>
    <w:rsid w:val="00042420"/>
    <w:rsid w:val="00043988"/>
    <w:rsid w:val="00044BC1"/>
    <w:rsid w:val="00045AA7"/>
    <w:rsid w:val="00045EB9"/>
    <w:rsid w:val="000463CA"/>
    <w:rsid w:val="0004708B"/>
    <w:rsid w:val="000504AD"/>
    <w:rsid w:val="00053438"/>
    <w:rsid w:val="0005429E"/>
    <w:rsid w:val="00054383"/>
    <w:rsid w:val="00057064"/>
    <w:rsid w:val="000572A3"/>
    <w:rsid w:val="00057A94"/>
    <w:rsid w:val="0006122D"/>
    <w:rsid w:val="00062108"/>
    <w:rsid w:val="00062BE7"/>
    <w:rsid w:val="00063AF3"/>
    <w:rsid w:val="00063BC2"/>
    <w:rsid w:val="0006467B"/>
    <w:rsid w:val="00064FA7"/>
    <w:rsid w:val="00065F7E"/>
    <w:rsid w:val="0006604F"/>
    <w:rsid w:val="000713AA"/>
    <w:rsid w:val="00072737"/>
    <w:rsid w:val="0007425B"/>
    <w:rsid w:val="00074AA5"/>
    <w:rsid w:val="0008105B"/>
    <w:rsid w:val="00081323"/>
    <w:rsid w:val="00081454"/>
    <w:rsid w:val="00081955"/>
    <w:rsid w:val="00081E3C"/>
    <w:rsid w:val="00081EC3"/>
    <w:rsid w:val="00081EC8"/>
    <w:rsid w:val="000828E8"/>
    <w:rsid w:val="00083432"/>
    <w:rsid w:val="00083F7B"/>
    <w:rsid w:val="00085B6F"/>
    <w:rsid w:val="000867A6"/>
    <w:rsid w:val="00090B46"/>
    <w:rsid w:val="00090E75"/>
    <w:rsid w:val="00092535"/>
    <w:rsid w:val="00092C0E"/>
    <w:rsid w:val="00093213"/>
    <w:rsid w:val="00093AFD"/>
    <w:rsid w:val="000948CE"/>
    <w:rsid w:val="00095F5A"/>
    <w:rsid w:val="0009648A"/>
    <w:rsid w:val="000A0AE5"/>
    <w:rsid w:val="000A0B60"/>
    <w:rsid w:val="000A17E4"/>
    <w:rsid w:val="000A2015"/>
    <w:rsid w:val="000A2278"/>
    <w:rsid w:val="000A2F64"/>
    <w:rsid w:val="000A33AF"/>
    <w:rsid w:val="000A3700"/>
    <w:rsid w:val="000A51AA"/>
    <w:rsid w:val="000A521E"/>
    <w:rsid w:val="000A5A75"/>
    <w:rsid w:val="000A6457"/>
    <w:rsid w:val="000A7ED6"/>
    <w:rsid w:val="000B0087"/>
    <w:rsid w:val="000B0A1D"/>
    <w:rsid w:val="000B286C"/>
    <w:rsid w:val="000B2999"/>
    <w:rsid w:val="000B2C52"/>
    <w:rsid w:val="000B5697"/>
    <w:rsid w:val="000B6DCD"/>
    <w:rsid w:val="000B6E51"/>
    <w:rsid w:val="000C2099"/>
    <w:rsid w:val="000C22F2"/>
    <w:rsid w:val="000C3A1E"/>
    <w:rsid w:val="000C4E9F"/>
    <w:rsid w:val="000C5E8C"/>
    <w:rsid w:val="000C5F5B"/>
    <w:rsid w:val="000C68DB"/>
    <w:rsid w:val="000C785C"/>
    <w:rsid w:val="000D01C9"/>
    <w:rsid w:val="000D06AF"/>
    <w:rsid w:val="000D0D68"/>
    <w:rsid w:val="000D0D9D"/>
    <w:rsid w:val="000D15DF"/>
    <w:rsid w:val="000D1956"/>
    <w:rsid w:val="000D1A9F"/>
    <w:rsid w:val="000D2855"/>
    <w:rsid w:val="000D311C"/>
    <w:rsid w:val="000D4531"/>
    <w:rsid w:val="000D46C5"/>
    <w:rsid w:val="000D5897"/>
    <w:rsid w:val="000D6072"/>
    <w:rsid w:val="000D624B"/>
    <w:rsid w:val="000D64BB"/>
    <w:rsid w:val="000D6863"/>
    <w:rsid w:val="000D771B"/>
    <w:rsid w:val="000D778D"/>
    <w:rsid w:val="000D781A"/>
    <w:rsid w:val="000E0CAE"/>
    <w:rsid w:val="000E11F2"/>
    <w:rsid w:val="000E2723"/>
    <w:rsid w:val="000E433E"/>
    <w:rsid w:val="000F02B5"/>
    <w:rsid w:val="000F0326"/>
    <w:rsid w:val="000F06C0"/>
    <w:rsid w:val="000F07FD"/>
    <w:rsid w:val="000F0D88"/>
    <w:rsid w:val="000F125F"/>
    <w:rsid w:val="000F153A"/>
    <w:rsid w:val="000F5222"/>
    <w:rsid w:val="000F5451"/>
    <w:rsid w:val="000F6249"/>
    <w:rsid w:val="000F6C56"/>
    <w:rsid w:val="000F6E74"/>
    <w:rsid w:val="000F7049"/>
    <w:rsid w:val="000F77DE"/>
    <w:rsid w:val="000F7829"/>
    <w:rsid w:val="00100324"/>
    <w:rsid w:val="00101446"/>
    <w:rsid w:val="00101C30"/>
    <w:rsid w:val="001058F7"/>
    <w:rsid w:val="00105A1D"/>
    <w:rsid w:val="00106A62"/>
    <w:rsid w:val="00107CDF"/>
    <w:rsid w:val="00107D56"/>
    <w:rsid w:val="00110FC7"/>
    <w:rsid w:val="00113616"/>
    <w:rsid w:val="00114026"/>
    <w:rsid w:val="00114167"/>
    <w:rsid w:val="00114EDC"/>
    <w:rsid w:val="00115133"/>
    <w:rsid w:val="00115FD4"/>
    <w:rsid w:val="001160A2"/>
    <w:rsid w:val="00116634"/>
    <w:rsid w:val="00116781"/>
    <w:rsid w:val="001168F6"/>
    <w:rsid w:val="00116B64"/>
    <w:rsid w:val="00116B84"/>
    <w:rsid w:val="00117070"/>
    <w:rsid w:val="001205F5"/>
    <w:rsid w:val="00121B50"/>
    <w:rsid w:val="00122C03"/>
    <w:rsid w:val="001232DB"/>
    <w:rsid w:val="001252B9"/>
    <w:rsid w:val="001262D4"/>
    <w:rsid w:val="001265F5"/>
    <w:rsid w:val="001273DF"/>
    <w:rsid w:val="00127E03"/>
    <w:rsid w:val="001320A0"/>
    <w:rsid w:val="00133DB5"/>
    <w:rsid w:val="001358EA"/>
    <w:rsid w:val="00135DC3"/>
    <w:rsid w:val="00137E17"/>
    <w:rsid w:val="001416F2"/>
    <w:rsid w:val="00142407"/>
    <w:rsid w:val="0014323F"/>
    <w:rsid w:val="00143630"/>
    <w:rsid w:val="00144C78"/>
    <w:rsid w:val="00145C27"/>
    <w:rsid w:val="00146E05"/>
    <w:rsid w:val="001500CD"/>
    <w:rsid w:val="0015105B"/>
    <w:rsid w:val="001518A5"/>
    <w:rsid w:val="00151A23"/>
    <w:rsid w:val="00152980"/>
    <w:rsid w:val="001529D9"/>
    <w:rsid w:val="00153609"/>
    <w:rsid w:val="00154AD6"/>
    <w:rsid w:val="00154BC1"/>
    <w:rsid w:val="00154F14"/>
    <w:rsid w:val="00156EC0"/>
    <w:rsid w:val="00160D4D"/>
    <w:rsid w:val="00161424"/>
    <w:rsid w:val="001618F8"/>
    <w:rsid w:val="00161B4C"/>
    <w:rsid w:val="00161D24"/>
    <w:rsid w:val="00163DF8"/>
    <w:rsid w:val="001643EC"/>
    <w:rsid w:val="001653BB"/>
    <w:rsid w:val="00165EA0"/>
    <w:rsid w:val="00166960"/>
    <w:rsid w:val="001678C4"/>
    <w:rsid w:val="001703A6"/>
    <w:rsid w:val="001706BD"/>
    <w:rsid w:val="00171E10"/>
    <w:rsid w:val="00172176"/>
    <w:rsid w:val="00172D5F"/>
    <w:rsid w:val="00173731"/>
    <w:rsid w:val="00173801"/>
    <w:rsid w:val="00174A02"/>
    <w:rsid w:val="00175003"/>
    <w:rsid w:val="00175091"/>
    <w:rsid w:val="00176702"/>
    <w:rsid w:val="001810A6"/>
    <w:rsid w:val="00183C5B"/>
    <w:rsid w:val="00184180"/>
    <w:rsid w:val="001852F0"/>
    <w:rsid w:val="001857AB"/>
    <w:rsid w:val="00185849"/>
    <w:rsid w:val="001868DE"/>
    <w:rsid w:val="001902C0"/>
    <w:rsid w:val="00190692"/>
    <w:rsid w:val="00190D80"/>
    <w:rsid w:val="0019149C"/>
    <w:rsid w:val="001914E1"/>
    <w:rsid w:val="001920B5"/>
    <w:rsid w:val="00192104"/>
    <w:rsid w:val="0019223B"/>
    <w:rsid w:val="001949B3"/>
    <w:rsid w:val="00194BD5"/>
    <w:rsid w:val="001953BE"/>
    <w:rsid w:val="00195441"/>
    <w:rsid w:val="001954B0"/>
    <w:rsid w:val="00195E41"/>
    <w:rsid w:val="0019651A"/>
    <w:rsid w:val="00196FA3"/>
    <w:rsid w:val="001978ED"/>
    <w:rsid w:val="001A0903"/>
    <w:rsid w:val="001A14A8"/>
    <w:rsid w:val="001A22BB"/>
    <w:rsid w:val="001A294C"/>
    <w:rsid w:val="001A2F07"/>
    <w:rsid w:val="001A43F2"/>
    <w:rsid w:val="001A45CD"/>
    <w:rsid w:val="001A48F4"/>
    <w:rsid w:val="001A5493"/>
    <w:rsid w:val="001B03C9"/>
    <w:rsid w:val="001B045D"/>
    <w:rsid w:val="001B4E77"/>
    <w:rsid w:val="001B5BEF"/>
    <w:rsid w:val="001C00B7"/>
    <w:rsid w:val="001C0D4B"/>
    <w:rsid w:val="001C2260"/>
    <w:rsid w:val="001C2DAC"/>
    <w:rsid w:val="001C4EE1"/>
    <w:rsid w:val="001C5B70"/>
    <w:rsid w:val="001C5FE2"/>
    <w:rsid w:val="001C68B5"/>
    <w:rsid w:val="001C704F"/>
    <w:rsid w:val="001C7FF8"/>
    <w:rsid w:val="001D0F3C"/>
    <w:rsid w:val="001D148E"/>
    <w:rsid w:val="001D24D3"/>
    <w:rsid w:val="001D51BA"/>
    <w:rsid w:val="001E0174"/>
    <w:rsid w:val="001E3BF0"/>
    <w:rsid w:val="001E4590"/>
    <w:rsid w:val="001E50CF"/>
    <w:rsid w:val="001E51D2"/>
    <w:rsid w:val="001E520E"/>
    <w:rsid w:val="001E6C00"/>
    <w:rsid w:val="001E6F13"/>
    <w:rsid w:val="001E7D53"/>
    <w:rsid w:val="001F0B04"/>
    <w:rsid w:val="001F0D45"/>
    <w:rsid w:val="001F1EBB"/>
    <w:rsid w:val="001F4AB3"/>
    <w:rsid w:val="001F77D6"/>
    <w:rsid w:val="001F7A2F"/>
    <w:rsid w:val="00200C47"/>
    <w:rsid w:val="00203CB1"/>
    <w:rsid w:val="002042BC"/>
    <w:rsid w:val="002047B4"/>
    <w:rsid w:val="00205327"/>
    <w:rsid w:val="00206204"/>
    <w:rsid w:val="0020647F"/>
    <w:rsid w:val="00206E27"/>
    <w:rsid w:val="00206F06"/>
    <w:rsid w:val="00207574"/>
    <w:rsid w:val="002113CE"/>
    <w:rsid w:val="002123BD"/>
    <w:rsid w:val="0021267C"/>
    <w:rsid w:val="002127B3"/>
    <w:rsid w:val="00212B77"/>
    <w:rsid w:val="00214DA1"/>
    <w:rsid w:val="00214DCC"/>
    <w:rsid w:val="00215552"/>
    <w:rsid w:val="002165F0"/>
    <w:rsid w:val="0021715C"/>
    <w:rsid w:val="002179DA"/>
    <w:rsid w:val="002201B4"/>
    <w:rsid w:val="0022075E"/>
    <w:rsid w:val="0022114D"/>
    <w:rsid w:val="00221C1A"/>
    <w:rsid w:val="00222842"/>
    <w:rsid w:val="002230EF"/>
    <w:rsid w:val="00223AB7"/>
    <w:rsid w:val="00223F54"/>
    <w:rsid w:val="002253F0"/>
    <w:rsid w:val="00226183"/>
    <w:rsid w:val="0022716E"/>
    <w:rsid w:val="0022768F"/>
    <w:rsid w:val="00230E73"/>
    <w:rsid w:val="00231572"/>
    <w:rsid w:val="00231ED2"/>
    <w:rsid w:val="00232483"/>
    <w:rsid w:val="00232DD0"/>
    <w:rsid w:val="002331EF"/>
    <w:rsid w:val="002332C2"/>
    <w:rsid w:val="00233B12"/>
    <w:rsid w:val="00233F1C"/>
    <w:rsid w:val="00234376"/>
    <w:rsid w:val="00235898"/>
    <w:rsid w:val="0023650A"/>
    <w:rsid w:val="0023708B"/>
    <w:rsid w:val="00240B84"/>
    <w:rsid w:val="00240F77"/>
    <w:rsid w:val="0024111F"/>
    <w:rsid w:val="00241FAF"/>
    <w:rsid w:val="002428A1"/>
    <w:rsid w:val="00245009"/>
    <w:rsid w:val="00245C23"/>
    <w:rsid w:val="00245E9B"/>
    <w:rsid w:val="00246226"/>
    <w:rsid w:val="00246EA6"/>
    <w:rsid w:val="0025062C"/>
    <w:rsid w:val="0025083A"/>
    <w:rsid w:val="00252DB2"/>
    <w:rsid w:val="00254F4C"/>
    <w:rsid w:val="00255382"/>
    <w:rsid w:val="002556E8"/>
    <w:rsid w:val="002574EC"/>
    <w:rsid w:val="00260B90"/>
    <w:rsid w:val="00260DBE"/>
    <w:rsid w:val="00262834"/>
    <w:rsid w:val="002631E2"/>
    <w:rsid w:val="00264E60"/>
    <w:rsid w:val="00265219"/>
    <w:rsid w:val="0026573C"/>
    <w:rsid w:val="00265BDD"/>
    <w:rsid w:val="00266780"/>
    <w:rsid w:val="0026747C"/>
    <w:rsid w:val="00267995"/>
    <w:rsid w:val="002701D4"/>
    <w:rsid w:val="002705C8"/>
    <w:rsid w:val="00271F88"/>
    <w:rsid w:val="00272402"/>
    <w:rsid w:val="00273751"/>
    <w:rsid w:val="0027409C"/>
    <w:rsid w:val="0027569C"/>
    <w:rsid w:val="002762F1"/>
    <w:rsid w:val="00276BFD"/>
    <w:rsid w:val="00280CE6"/>
    <w:rsid w:val="00280E98"/>
    <w:rsid w:val="00281158"/>
    <w:rsid w:val="0028194B"/>
    <w:rsid w:val="00282FAB"/>
    <w:rsid w:val="002845E6"/>
    <w:rsid w:val="00286B8D"/>
    <w:rsid w:val="00287604"/>
    <w:rsid w:val="00287BDE"/>
    <w:rsid w:val="0029052F"/>
    <w:rsid w:val="0029118F"/>
    <w:rsid w:val="002911BA"/>
    <w:rsid w:val="0029362C"/>
    <w:rsid w:val="00293AEB"/>
    <w:rsid w:val="00293D7C"/>
    <w:rsid w:val="002944A7"/>
    <w:rsid w:val="00294870"/>
    <w:rsid w:val="00294F16"/>
    <w:rsid w:val="00295A48"/>
    <w:rsid w:val="002A0FF3"/>
    <w:rsid w:val="002A114C"/>
    <w:rsid w:val="002A1911"/>
    <w:rsid w:val="002A1CA0"/>
    <w:rsid w:val="002A22DE"/>
    <w:rsid w:val="002A2816"/>
    <w:rsid w:val="002A3982"/>
    <w:rsid w:val="002A3A6D"/>
    <w:rsid w:val="002A3AE2"/>
    <w:rsid w:val="002A4AB8"/>
    <w:rsid w:val="002B006B"/>
    <w:rsid w:val="002B0965"/>
    <w:rsid w:val="002B2D0F"/>
    <w:rsid w:val="002B3BFF"/>
    <w:rsid w:val="002B406C"/>
    <w:rsid w:val="002B4FC6"/>
    <w:rsid w:val="002B5F71"/>
    <w:rsid w:val="002B6026"/>
    <w:rsid w:val="002B7121"/>
    <w:rsid w:val="002C0C14"/>
    <w:rsid w:val="002C1547"/>
    <w:rsid w:val="002C177A"/>
    <w:rsid w:val="002C2A35"/>
    <w:rsid w:val="002C2CCC"/>
    <w:rsid w:val="002C2CDA"/>
    <w:rsid w:val="002C2E0F"/>
    <w:rsid w:val="002C3C07"/>
    <w:rsid w:val="002C5D81"/>
    <w:rsid w:val="002C7880"/>
    <w:rsid w:val="002D027D"/>
    <w:rsid w:val="002D2D8B"/>
    <w:rsid w:val="002D308E"/>
    <w:rsid w:val="002D39C3"/>
    <w:rsid w:val="002D62C2"/>
    <w:rsid w:val="002D66C7"/>
    <w:rsid w:val="002D67DA"/>
    <w:rsid w:val="002D6B2B"/>
    <w:rsid w:val="002E0858"/>
    <w:rsid w:val="002E134D"/>
    <w:rsid w:val="002E1814"/>
    <w:rsid w:val="002E21AC"/>
    <w:rsid w:val="002E2C4A"/>
    <w:rsid w:val="002E2F02"/>
    <w:rsid w:val="002E319B"/>
    <w:rsid w:val="002E3BE5"/>
    <w:rsid w:val="002E477F"/>
    <w:rsid w:val="002E49E3"/>
    <w:rsid w:val="002E52DD"/>
    <w:rsid w:val="002E6424"/>
    <w:rsid w:val="002E68ED"/>
    <w:rsid w:val="002E778E"/>
    <w:rsid w:val="002E7B0C"/>
    <w:rsid w:val="002E7EB1"/>
    <w:rsid w:val="002F0225"/>
    <w:rsid w:val="002F0FDF"/>
    <w:rsid w:val="002F1210"/>
    <w:rsid w:val="002F200D"/>
    <w:rsid w:val="002F22F2"/>
    <w:rsid w:val="002F29D0"/>
    <w:rsid w:val="002F2C03"/>
    <w:rsid w:val="002F2F70"/>
    <w:rsid w:val="002F3C6D"/>
    <w:rsid w:val="002F4ED7"/>
    <w:rsid w:val="002F55AD"/>
    <w:rsid w:val="002F58F8"/>
    <w:rsid w:val="002F6E56"/>
    <w:rsid w:val="002F6F5E"/>
    <w:rsid w:val="002F7A43"/>
    <w:rsid w:val="002F7F16"/>
    <w:rsid w:val="0030035C"/>
    <w:rsid w:val="003015F2"/>
    <w:rsid w:val="00303655"/>
    <w:rsid w:val="003065FF"/>
    <w:rsid w:val="00307064"/>
    <w:rsid w:val="00307323"/>
    <w:rsid w:val="00310445"/>
    <w:rsid w:val="00310A2A"/>
    <w:rsid w:val="0031102A"/>
    <w:rsid w:val="003124E5"/>
    <w:rsid w:val="00312DD0"/>
    <w:rsid w:val="00314A27"/>
    <w:rsid w:val="00315480"/>
    <w:rsid w:val="00316F9B"/>
    <w:rsid w:val="0031778A"/>
    <w:rsid w:val="003177F8"/>
    <w:rsid w:val="0031790E"/>
    <w:rsid w:val="00317F60"/>
    <w:rsid w:val="00320937"/>
    <w:rsid w:val="00320EA4"/>
    <w:rsid w:val="00320FD2"/>
    <w:rsid w:val="003216FF"/>
    <w:rsid w:val="00321DBD"/>
    <w:rsid w:val="003231F0"/>
    <w:rsid w:val="00325622"/>
    <w:rsid w:val="00330391"/>
    <w:rsid w:val="003305D2"/>
    <w:rsid w:val="00330836"/>
    <w:rsid w:val="00330D57"/>
    <w:rsid w:val="0033471E"/>
    <w:rsid w:val="0033534C"/>
    <w:rsid w:val="003354CE"/>
    <w:rsid w:val="0033579B"/>
    <w:rsid w:val="00336306"/>
    <w:rsid w:val="00336507"/>
    <w:rsid w:val="00336FD5"/>
    <w:rsid w:val="003372F0"/>
    <w:rsid w:val="00337CC0"/>
    <w:rsid w:val="00341210"/>
    <w:rsid w:val="003421D7"/>
    <w:rsid w:val="00342D67"/>
    <w:rsid w:val="00345640"/>
    <w:rsid w:val="00346AC8"/>
    <w:rsid w:val="00346CEF"/>
    <w:rsid w:val="00347B27"/>
    <w:rsid w:val="00347DB3"/>
    <w:rsid w:val="00350B81"/>
    <w:rsid w:val="00350B8D"/>
    <w:rsid w:val="00350BB2"/>
    <w:rsid w:val="00351521"/>
    <w:rsid w:val="003532E6"/>
    <w:rsid w:val="003540F4"/>
    <w:rsid w:val="003543BC"/>
    <w:rsid w:val="00354B85"/>
    <w:rsid w:val="00356463"/>
    <w:rsid w:val="003565C6"/>
    <w:rsid w:val="00356DB7"/>
    <w:rsid w:val="003574A7"/>
    <w:rsid w:val="00360367"/>
    <w:rsid w:val="00360560"/>
    <w:rsid w:val="00360578"/>
    <w:rsid w:val="00361417"/>
    <w:rsid w:val="003618F5"/>
    <w:rsid w:val="00362051"/>
    <w:rsid w:val="0036386B"/>
    <w:rsid w:val="0036418C"/>
    <w:rsid w:val="0036424E"/>
    <w:rsid w:val="003644A3"/>
    <w:rsid w:val="0036508B"/>
    <w:rsid w:val="003651CE"/>
    <w:rsid w:val="003673EB"/>
    <w:rsid w:val="00370264"/>
    <w:rsid w:val="00370CB5"/>
    <w:rsid w:val="00371008"/>
    <w:rsid w:val="003711EE"/>
    <w:rsid w:val="00372D68"/>
    <w:rsid w:val="00374665"/>
    <w:rsid w:val="003755F9"/>
    <w:rsid w:val="003764D4"/>
    <w:rsid w:val="003766D8"/>
    <w:rsid w:val="00376DC0"/>
    <w:rsid w:val="0037717C"/>
    <w:rsid w:val="00377E80"/>
    <w:rsid w:val="00380079"/>
    <w:rsid w:val="003802CE"/>
    <w:rsid w:val="00380438"/>
    <w:rsid w:val="003810A0"/>
    <w:rsid w:val="00381200"/>
    <w:rsid w:val="003814A7"/>
    <w:rsid w:val="00381763"/>
    <w:rsid w:val="003828F0"/>
    <w:rsid w:val="00382CBE"/>
    <w:rsid w:val="00382F48"/>
    <w:rsid w:val="00383592"/>
    <w:rsid w:val="00383D36"/>
    <w:rsid w:val="003857BD"/>
    <w:rsid w:val="00390A2A"/>
    <w:rsid w:val="00390DE1"/>
    <w:rsid w:val="0039176C"/>
    <w:rsid w:val="0039221A"/>
    <w:rsid w:val="00392984"/>
    <w:rsid w:val="00392CF2"/>
    <w:rsid w:val="003940FA"/>
    <w:rsid w:val="003942BF"/>
    <w:rsid w:val="00395165"/>
    <w:rsid w:val="00395ADA"/>
    <w:rsid w:val="00396404"/>
    <w:rsid w:val="003968F1"/>
    <w:rsid w:val="0039750A"/>
    <w:rsid w:val="0039766A"/>
    <w:rsid w:val="00397CB2"/>
    <w:rsid w:val="00397DB1"/>
    <w:rsid w:val="003A192F"/>
    <w:rsid w:val="003A33DE"/>
    <w:rsid w:val="003A4946"/>
    <w:rsid w:val="003A5897"/>
    <w:rsid w:val="003A6211"/>
    <w:rsid w:val="003A654A"/>
    <w:rsid w:val="003B01C9"/>
    <w:rsid w:val="003B063C"/>
    <w:rsid w:val="003B0A42"/>
    <w:rsid w:val="003B0BD1"/>
    <w:rsid w:val="003B1A89"/>
    <w:rsid w:val="003B3782"/>
    <w:rsid w:val="003B39EA"/>
    <w:rsid w:val="003B48B9"/>
    <w:rsid w:val="003B6423"/>
    <w:rsid w:val="003B780D"/>
    <w:rsid w:val="003B7885"/>
    <w:rsid w:val="003B7AD7"/>
    <w:rsid w:val="003C0E22"/>
    <w:rsid w:val="003C1077"/>
    <w:rsid w:val="003C12C1"/>
    <w:rsid w:val="003C27AB"/>
    <w:rsid w:val="003C2DB1"/>
    <w:rsid w:val="003C34B1"/>
    <w:rsid w:val="003C3737"/>
    <w:rsid w:val="003C4B4D"/>
    <w:rsid w:val="003C4E88"/>
    <w:rsid w:val="003C54F6"/>
    <w:rsid w:val="003C6253"/>
    <w:rsid w:val="003C7DA9"/>
    <w:rsid w:val="003D076F"/>
    <w:rsid w:val="003D11CC"/>
    <w:rsid w:val="003D13D8"/>
    <w:rsid w:val="003D1AF6"/>
    <w:rsid w:val="003D1B30"/>
    <w:rsid w:val="003D27B4"/>
    <w:rsid w:val="003D2958"/>
    <w:rsid w:val="003D2B01"/>
    <w:rsid w:val="003D36EF"/>
    <w:rsid w:val="003D37D1"/>
    <w:rsid w:val="003D3BDE"/>
    <w:rsid w:val="003D40E7"/>
    <w:rsid w:val="003D4743"/>
    <w:rsid w:val="003D57D3"/>
    <w:rsid w:val="003D67F8"/>
    <w:rsid w:val="003D68BE"/>
    <w:rsid w:val="003D6D6F"/>
    <w:rsid w:val="003E0164"/>
    <w:rsid w:val="003E05A2"/>
    <w:rsid w:val="003E0CEA"/>
    <w:rsid w:val="003E106F"/>
    <w:rsid w:val="003E12F9"/>
    <w:rsid w:val="003E262C"/>
    <w:rsid w:val="003E4754"/>
    <w:rsid w:val="003E4C14"/>
    <w:rsid w:val="003E5697"/>
    <w:rsid w:val="003E5C57"/>
    <w:rsid w:val="003E653D"/>
    <w:rsid w:val="003E72E9"/>
    <w:rsid w:val="003F00FE"/>
    <w:rsid w:val="003F094E"/>
    <w:rsid w:val="003F117F"/>
    <w:rsid w:val="003F1F16"/>
    <w:rsid w:val="003F3B79"/>
    <w:rsid w:val="003F4139"/>
    <w:rsid w:val="003F41EC"/>
    <w:rsid w:val="003F5712"/>
    <w:rsid w:val="003F5C46"/>
    <w:rsid w:val="003F786C"/>
    <w:rsid w:val="003F7AE4"/>
    <w:rsid w:val="004001B7"/>
    <w:rsid w:val="00401233"/>
    <w:rsid w:val="00401CF4"/>
    <w:rsid w:val="00401DAD"/>
    <w:rsid w:val="004026B4"/>
    <w:rsid w:val="0040332C"/>
    <w:rsid w:val="00403462"/>
    <w:rsid w:val="004037DA"/>
    <w:rsid w:val="004037DC"/>
    <w:rsid w:val="00404720"/>
    <w:rsid w:val="0040508B"/>
    <w:rsid w:val="00405669"/>
    <w:rsid w:val="004057A2"/>
    <w:rsid w:val="00410539"/>
    <w:rsid w:val="00410FD8"/>
    <w:rsid w:val="00411487"/>
    <w:rsid w:val="00412DF4"/>
    <w:rsid w:val="00412DFC"/>
    <w:rsid w:val="00413FDD"/>
    <w:rsid w:val="00415884"/>
    <w:rsid w:val="00415BC7"/>
    <w:rsid w:val="00415D89"/>
    <w:rsid w:val="004206E3"/>
    <w:rsid w:val="00421142"/>
    <w:rsid w:val="0042259C"/>
    <w:rsid w:val="00422F7C"/>
    <w:rsid w:val="00424F8F"/>
    <w:rsid w:val="004274ED"/>
    <w:rsid w:val="004307A7"/>
    <w:rsid w:val="00430A5F"/>
    <w:rsid w:val="0043100B"/>
    <w:rsid w:val="004315A6"/>
    <w:rsid w:val="00431785"/>
    <w:rsid w:val="004326E5"/>
    <w:rsid w:val="0043376B"/>
    <w:rsid w:val="004342D6"/>
    <w:rsid w:val="00434B9E"/>
    <w:rsid w:val="00434C8C"/>
    <w:rsid w:val="00437429"/>
    <w:rsid w:val="004412D8"/>
    <w:rsid w:val="0044231C"/>
    <w:rsid w:val="0044430A"/>
    <w:rsid w:val="00446B98"/>
    <w:rsid w:val="00447A1B"/>
    <w:rsid w:val="00450078"/>
    <w:rsid w:val="00450A7C"/>
    <w:rsid w:val="0045330F"/>
    <w:rsid w:val="0045491B"/>
    <w:rsid w:val="00454A96"/>
    <w:rsid w:val="00454F07"/>
    <w:rsid w:val="00454F6A"/>
    <w:rsid w:val="00455144"/>
    <w:rsid w:val="00456946"/>
    <w:rsid w:val="0046028D"/>
    <w:rsid w:val="00460D7D"/>
    <w:rsid w:val="00461206"/>
    <w:rsid w:val="004618C1"/>
    <w:rsid w:val="004628B6"/>
    <w:rsid w:val="00462937"/>
    <w:rsid w:val="0046641A"/>
    <w:rsid w:val="0046689E"/>
    <w:rsid w:val="00467D54"/>
    <w:rsid w:val="004705B8"/>
    <w:rsid w:val="00471066"/>
    <w:rsid w:val="00471831"/>
    <w:rsid w:val="00472221"/>
    <w:rsid w:val="00472B6F"/>
    <w:rsid w:val="00474048"/>
    <w:rsid w:val="00474234"/>
    <w:rsid w:val="00474645"/>
    <w:rsid w:val="004749C1"/>
    <w:rsid w:val="0047512E"/>
    <w:rsid w:val="00475FFE"/>
    <w:rsid w:val="00476269"/>
    <w:rsid w:val="00477EBE"/>
    <w:rsid w:val="004812CB"/>
    <w:rsid w:val="004815B6"/>
    <w:rsid w:val="004831F4"/>
    <w:rsid w:val="004842D2"/>
    <w:rsid w:val="00484F76"/>
    <w:rsid w:val="00485600"/>
    <w:rsid w:val="0048715F"/>
    <w:rsid w:val="0048741B"/>
    <w:rsid w:val="00490C64"/>
    <w:rsid w:val="004914F9"/>
    <w:rsid w:val="00491ED5"/>
    <w:rsid w:val="0049326A"/>
    <w:rsid w:val="00493518"/>
    <w:rsid w:val="004944A1"/>
    <w:rsid w:val="004948F7"/>
    <w:rsid w:val="00494B90"/>
    <w:rsid w:val="00495C14"/>
    <w:rsid w:val="00496FD3"/>
    <w:rsid w:val="00497CBE"/>
    <w:rsid w:val="00497F8D"/>
    <w:rsid w:val="004A1DB3"/>
    <w:rsid w:val="004A1E94"/>
    <w:rsid w:val="004A220F"/>
    <w:rsid w:val="004A3AE3"/>
    <w:rsid w:val="004A3E3C"/>
    <w:rsid w:val="004A418E"/>
    <w:rsid w:val="004A5205"/>
    <w:rsid w:val="004A5573"/>
    <w:rsid w:val="004A5721"/>
    <w:rsid w:val="004A575C"/>
    <w:rsid w:val="004A6560"/>
    <w:rsid w:val="004B0A2A"/>
    <w:rsid w:val="004B4438"/>
    <w:rsid w:val="004B4880"/>
    <w:rsid w:val="004B6F7F"/>
    <w:rsid w:val="004C0796"/>
    <w:rsid w:val="004C0F50"/>
    <w:rsid w:val="004C15D5"/>
    <w:rsid w:val="004C34C4"/>
    <w:rsid w:val="004C3926"/>
    <w:rsid w:val="004C46F5"/>
    <w:rsid w:val="004C4722"/>
    <w:rsid w:val="004C4C33"/>
    <w:rsid w:val="004C55EC"/>
    <w:rsid w:val="004C58B2"/>
    <w:rsid w:val="004D0533"/>
    <w:rsid w:val="004D2974"/>
    <w:rsid w:val="004D3AB6"/>
    <w:rsid w:val="004D50DE"/>
    <w:rsid w:val="004E0C36"/>
    <w:rsid w:val="004E0DE5"/>
    <w:rsid w:val="004E19A9"/>
    <w:rsid w:val="004E61C0"/>
    <w:rsid w:val="004E68D7"/>
    <w:rsid w:val="004E6BAA"/>
    <w:rsid w:val="004F0041"/>
    <w:rsid w:val="004F07B9"/>
    <w:rsid w:val="004F1A14"/>
    <w:rsid w:val="004F2779"/>
    <w:rsid w:val="004F30B3"/>
    <w:rsid w:val="004F502E"/>
    <w:rsid w:val="004F6D68"/>
    <w:rsid w:val="004F7628"/>
    <w:rsid w:val="00503804"/>
    <w:rsid w:val="005064AC"/>
    <w:rsid w:val="005071B1"/>
    <w:rsid w:val="0051031A"/>
    <w:rsid w:val="00510E94"/>
    <w:rsid w:val="005118B2"/>
    <w:rsid w:val="00512AE9"/>
    <w:rsid w:val="00513814"/>
    <w:rsid w:val="00513E70"/>
    <w:rsid w:val="00514469"/>
    <w:rsid w:val="00514BCF"/>
    <w:rsid w:val="00514E81"/>
    <w:rsid w:val="0051533D"/>
    <w:rsid w:val="00517BC3"/>
    <w:rsid w:val="00520032"/>
    <w:rsid w:val="00520B46"/>
    <w:rsid w:val="00520D30"/>
    <w:rsid w:val="00521E9B"/>
    <w:rsid w:val="00522577"/>
    <w:rsid w:val="00522613"/>
    <w:rsid w:val="00523BCC"/>
    <w:rsid w:val="00523CE7"/>
    <w:rsid w:val="00524FC7"/>
    <w:rsid w:val="00527387"/>
    <w:rsid w:val="00527712"/>
    <w:rsid w:val="0052786C"/>
    <w:rsid w:val="00527973"/>
    <w:rsid w:val="005324F4"/>
    <w:rsid w:val="0053397A"/>
    <w:rsid w:val="00534579"/>
    <w:rsid w:val="0053458F"/>
    <w:rsid w:val="00534716"/>
    <w:rsid w:val="00535784"/>
    <w:rsid w:val="00535BEC"/>
    <w:rsid w:val="00535D9E"/>
    <w:rsid w:val="00535E04"/>
    <w:rsid w:val="00536C6C"/>
    <w:rsid w:val="005371C0"/>
    <w:rsid w:val="005377BD"/>
    <w:rsid w:val="00543BD0"/>
    <w:rsid w:val="00545111"/>
    <w:rsid w:val="00545F9F"/>
    <w:rsid w:val="0054667A"/>
    <w:rsid w:val="00546D92"/>
    <w:rsid w:val="0055018D"/>
    <w:rsid w:val="00550B9B"/>
    <w:rsid w:val="0055166D"/>
    <w:rsid w:val="005521D2"/>
    <w:rsid w:val="0055267B"/>
    <w:rsid w:val="00552B61"/>
    <w:rsid w:val="00552BB0"/>
    <w:rsid w:val="00555C8B"/>
    <w:rsid w:val="00557589"/>
    <w:rsid w:val="0055786C"/>
    <w:rsid w:val="005601E7"/>
    <w:rsid w:val="0056064F"/>
    <w:rsid w:val="0056138A"/>
    <w:rsid w:val="00561905"/>
    <w:rsid w:val="00561B4F"/>
    <w:rsid w:val="005621FF"/>
    <w:rsid w:val="00562512"/>
    <w:rsid w:val="00562B57"/>
    <w:rsid w:val="005631B0"/>
    <w:rsid w:val="0056419C"/>
    <w:rsid w:val="00564F67"/>
    <w:rsid w:val="005663D5"/>
    <w:rsid w:val="00567EFF"/>
    <w:rsid w:val="005711DD"/>
    <w:rsid w:val="00571D63"/>
    <w:rsid w:val="005737FA"/>
    <w:rsid w:val="0057490D"/>
    <w:rsid w:val="0057686E"/>
    <w:rsid w:val="005771E5"/>
    <w:rsid w:val="00581848"/>
    <w:rsid w:val="00581B71"/>
    <w:rsid w:val="00582F35"/>
    <w:rsid w:val="00583B14"/>
    <w:rsid w:val="00584474"/>
    <w:rsid w:val="00584491"/>
    <w:rsid w:val="00584C0B"/>
    <w:rsid w:val="00585615"/>
    <w:rsid w:val="00585A7E"/>
    <w:rsid w:val="00585B30"/>
    <w:rsid w:val="00586625"/>
    <w:rsid w:val="00586717"/>
    <w:rsid w:val="00586C53"/>
    <w:rsid w:val="0058740F"/>
    <w:rsid w:val="005912EF"/>
    <w:rsid w:val="00591E0D"/>
    <w:rsid w:val="00593756"/>
    <w:rsid w:val="00594869"/>
    <w:rsid w:val="005977D3"/>
    <w:rsid w:val="005A00D7"/>
    <w:rsid w:val="005A05C2"/>
    <w:rsid w:val="005A09A9"/>
    <w:rsid w:val="005A5A2D"/>
    <w:rsid w:val="005A604A"/>
    <w:rsid w:val="005A6F7C"/>
    <w:rsid w:val="005B0CA4"/>
    <w:rsid w:val="005B0E01"/>
    <w:rsid w:val="005B1158"/>
    <w:rsid w:val="005B1C06"/>
    <w:rsid w:val="005B1D1C"/>
    <w:rsid w:val="005B3065"/>
    <w:rsid w:val="005B3670"/>
    <w:rsid w:val="005B63E3"/>
    <w:rsid w:val="005B6470"/>
    <w:rsid w:val="005B6859"/>
    <w:rsid w:val="005B6BAB"/>
    <w:rsid w:val="005B7BF6"/>
    <w:rsid w:val="005C340C"/>
    <w:rsid w:val="005C4A0C"/>
    <w:rsid w:val="005C4A6B"/>
    <w:rsid w:val="005C58DE"/>
    <w:rsid w:val="005C65A8"/>
    <w:rsid w:val="005C66C5"/>
    <w:rsid w:val="005C66E2"/>
    <w:rsid w:val="005C6BA6"/>
    <w:rsid w:val="005C6CFC"/>
    <w:rsid w:val="005C73C6"/>
    <w:rsid w:val="005D01AF"/>
    <w:rsid w:val="005D128F"/>
    <w:rsid w:val="005D167D"/>
    <w:rsid w:val="005D2499"/>
    <w:rsid w:val="005D3A18"/>
    <w:rsid w:val="005D57CA"/>
    <w:rsid w:val="005D59F4"/>
    <w:rsid w:val="005E07E0"/>
    <w:rsid w:val="005E2277"/>
    <w:rsid w:val="005E2C62"/>
    <w:rsid w:val="005E3246"/>
    <w:rsid w:val="005E32ED"/>
    <w:rsid w:val="005E3B3E"/>
    <w:rsid w:val="005E435B"/>
    <w:rsid w:val="005E45EA"/>
    <w:rsid w:val="005E47A7"/>
    <w:rsid w:val="005E49E8"/>
    <w:rsid w:val="005E7BB0"/>
    <w:rsid w:val="005F0417"/>
    <w:rsid w:val="005F0E39"/>
    <w:rsid w:val="005F10DA"/>
    <w:rsid w:val="005F1C58"/>
    <w:rsid w:val="005F236D"/>
    <w:rsid w:val="005F4BC7"/>
    <w:rsid w:val="00602E04"/>
    <w:rsid w:val="0060431F"/>
    <w:rsid w:val="006053FC"/>
    <w:rsid w:val="0060553F"/>
    <w:rsid w:val="006060FF"/>
    <w:rsid w:val="0060651A"/>
    <w:rsid w:val="00606F0A"/>
    <w:rsid w:val="006071E3"/>
    <w:rsid w:val="0060721C"/>
    <w:rsid w:val="00607355"/>
    <w:rsid w:val="006074FF"/>
    <w:rsid w:val="0060765F"/>
    <w:rsid w:val="006104AC"/>
    <w:rsid w:val="006111B4"/>
    <w:rsid w:val="00612AE6"/>
    <w:rsid w:val="00613A09"/>
    <w:rsid w:val="00613EAA"/>
    <w:rsid w:val="00613F29"/>
    <w:rsid w:val="00617DAA"/>
    <w:rsid w:val="00617E3F"/>
    <w:rsid w:val="00620151"/>
    <w:rsid w:val="006206CF"/>
    <w:rsid w:val="006209B5"/>
    <w:rsid w:val="00620B2D"/>
    <w:rsid w:val="00621A42"/>
    <w:rsid w:val="00621F3D"/>
    <w:rsid w:val="00621FEC"/>
    <w:rsid w:val="00622387"/>
    <w:rsid w:val="006233F6"/>
    <w:rsid w:val="00623BB8"/>
    <w:rsid w:val="00623CBA"/>
    <w:rsid w:val="00623E02"/>
    <w:rsid w:val="00624AF4"/>
    <w:rsid w:val="00624C03"/>
    <w:rsid w:val="006260E5"/>
    <w:rsid w:val="00626A5B"/>
    <w:rsid w:val="00630105"/>
    <w:rsid w:val="00631650"/>
    <w:rsid w:val="00631D1E"/>
    <w:rsid w:val="00631D58"/>
    <w:rsid w:val="0063249E"/>
    <w:rsid w:val="00632B78"/>
    <w:rsid w:val="00633A23"/>
    <w:rsid w:val="00633C36"/>
    <w:rsid w:val="00633E1A"/>
    <w:rsid w:val="00634454"/>
    <w:rsid w:val="00634C8C"/>
    <w:rsid w:val="006350D4"/>
    <w:rsid w:val="00637D75"/>
    <w:rsid w:val="00641843"/>
    <w:rsid w:val="0064198B"/>
    <w:rsid w:val="006423D3"/>
    <w:rsid w:val="006445CF"/>
    <w:rsid w:val="006448DE"/>
    <w:rsid w:val="006462C9"/>
    <w:rsid w:val="00646356"/>
    <w:rsid w:val="00646560"/>
    <w:rsid w:val="00646E28"/>
    <w:rsid w:val="0064745F"/>
    <w:rsid w:val="006511CB"/>
    <w:rsid w:val="00652585"/>
    <w:rsid w:val="00652D97"/>
    <w:rsid w:val="00652F51"/>
    <w:rsid w:val="00653603"/>
    <w:rsid w:val="00654446"/>
    <w:rsid w:val="006546B1"/>
    <w:rsid w:val="00654DF0"/>
    <w:rsid w:val="00654F45"/>
    <w:rsid w:val="00657DFF"/>
    <w:rsid w:val="00660064"/>
    <w:rsid w:val="0066020C"/>
    <w:rsid w:val="00660E83"/>
    <w:rsid w:val="0066272A"/>
    <w:rsid w:val="006627B5"/>
    <w:rsid w:val="006635AE"/>
    <w:rsid w:val="00663B7F"/>
    <w:rsid w:val="006643AE"/>
    <w:rsid w:val="006647CB"/>
    <w:rsid w:val="00664A62"/>
    <w:rsid w:val="006654DB"/>
    <w:rsid w:val="00665EDE"/>
    <w:rsid w:val="00666FF9"/>
    <w:rsid w:val="00667D77"/>
    <w:rsid w:val="00670952"/>
    <w:rsid w:val="00670D0F"/>
    <w:rsid w:val="00671209"/>
    <w:rsid w:val="00672590"/>
    <w:rsid w:val="006727C5"/>
    <w:rsid w:val="00672F1D"/>
    <w:rsid w:val="006737FD"/>
    <w:rsid w:val="0067457B"/>
    <w:rsid w:val="00674EEC"/>
    <w:rsid w:val="00674F35"/>
    <w:rsid w:val="00675214"/>
    <w:rsid w:val="006770E7"/>
    <w:rsid w:val="00677CDB"/>
    <w:rsid w:val="00680236"/>
    <w:rsid w:val="006807C3"/>
    <w:rsid w:val="00680FE7"/>
    <w:rsid w:val="00681794"/>
    <w:rsid w:val="00681E91"/>
    <w:rsid w:val="0068317E"/>
    <w:rsid w:val="006836F2"/>
    <w:rsid w:val="00683D3F"/>
    <w:rsid w:val="0068436A"/>
    <w:rsid w:val="00686297"/>
    <w:rsid w:val="00686AE8"/>
    <w:rsid w:val="00687D56"/>
    <w:rsid w:val="00687FED"/>
    <w:rsid w:val="006907FB"/>
    <w:rsid w:val="00690F5D"/>
    <w:rsid w:val="0069123B"/>
    <w:rsid w:val="00692B1A"/>
    <w:rsid w:val="006930C4"/>
    <w:rsid w:val="006958E1"/>
    <w:rsid w:val="00695E2A"/>
    <w:rsid w:val="00696088"/>
    <w:rsid w:val="006A039D"/>
    <w:rsid w:val="006A0E9D"/>
    <w:rsid w:val="006A261B"/>
    <w:rsid w:val="006A2B0B"/>
    <w:rsid w:val="006A3267"/>
    <w:rsid w:val="006A3C8E"/>
    <w:rsid w:val="006A560C"/>
    <w:rsid w:val="006A5C27"/>
    <w:rsid w:val="006A5E30"/>
    <w:rsid w:val="006A61F3"/>
    <w:rsid w:val="006A658D"/>
    <w:rsid w:val="006A6F0A"/>
    <w:rsid w:val="006B2E32"/>
    <w:rsid w:val="006B4BC9"/>
    <w:rsid w:val="006B4CB8"/>
    <w:rsid w:val="006B4DE0"/>
    <w:rsid w:val="006B4E6F"/>
    <w:rsid w:val="006B5945"/>
    <w:rsid w:val="006B6D24"/>
    <w:rsid w:val="006B7EA4"/>
    <w:rsid w:val="006C1996"/>
    <w:rsid w:val="006C4889"/>
    <w:rsid w:val="006C490F"/>
    <w:rsid w:val="006C7142"/>
    <w:rsid w:val="006C7286"/>
    <w:rsid w:val="006C7480"/>
    <w:rsid w:val="006D1391"/>
    <w:rsid w:val="006D1A55"/>
    <w:rsid w:val="006D1AA5"/>
    <w:rsid w:val="006D29C6"/>
    <w:rsid w:val="006D4AAA"/>
    <w:rsid w:val="006D5A69"/>
    <w:rsid w:val="006D5BA0"/>
    <w:rsid w:val="006D6E51"/>
    <w:rsid w:val="006D7EB8"/>
    <w:rsid w:val="006E07F8"/>
    <w:rsid w:val="006E184C"/>
    <w:rsid w:val="006E2910"/>
    <w:rsid w:val="006E2D37"/>
    <w:rsid w:val="006E2EEC"/>
    <w:rsid w:val="006E4040"/>
    <w:rsid w:val="006E4BF4"/>
    <w:rsid w:val="006E4EA0"/>
    <w:rsid w:val="006E5347"/>
    <w:rsid w:val="006E57A2"/>
    <w:rsid w:val="006E738B"/>
    <w:rsid w:val="006E77C3"/>
    <w:rsid w:val="006F0862"/>
    <w:rsid w:val="006F2120"/>
    <w:rsid w:val="006F257D"/>
    <w:rsid w:val="006F27A2"/>
    <w:rsid w:val="006F33FB"/>
    <w:rsid w:val="006F3784"/>
    <w:rsid w:val="006F399F"/>
    <w:rsid w:val="006F4753"/>
    <w:rsid w:val="006F5608"/>
    <w:rsid w:val="006F6F75"/>
    <w:rsid w:val="00702F91"/>
    <w:rsid w:val="007038AD"/>
    <w:rsid w:val="00703A3D"/>
    <w:rsid w:val="00703B87"/>
    <w:rsid w:val="00704A48"/>
    <w:rsid w:val="00704B94"/>
    <w:rsid w:val="00704F0B"/>
    <w:rsid w:val="00707282"/>
    <w:rsid w:val="00707C9E"/>
    <w:rsid w:val="00710A70"/>
    <w:rsid w:val="00711561"/>
    <w:rsid w:val="00711B8D"/>
    <w:rsid w:val="00712E19"/>
    <w:rsid w:val="0071307D"/>
    <w:rsid w:val="00713FCC"/>
    <w:rsid w:val="0071437A"/>
    <w:rsid w:val="007147CF"/>
    <w:rsid w:val="00714BE2"/>
    <w:rsid w:val="0071720E"/>
    <w:rsid w:val="007175FB"/>
    <w:rsid w:val="00717E4A"/>
    <w:rsid w:val="00721D8A"/>
    <w:rsid w:val="00722091"/>
    <w:rsid w:val="00724AC7"/>
    <w:rsid w:val="00724E38"/>
    <w:rsid w:val="00725D43"/>
    <w:rsid w:val="00726633"/>
    <w:rsid w:val="00726A74"/>
    <w:rsid w:val="00726B2C"/>
    <w:rsid w:val="0073029C"/>
    <w:rsid w:val="007311BE"/>
    <w:rsid w:val="00731CAA"/>
    <w:rsid w:val="00732803"/>
    <w:rsid w:val="00732FC5"/>
    <w:rsid w:val="00733DB0"/>
    <w:rsid w:val="00733F19"/>
    <w:rsid w:val="00734BE0"/>
    <w:rsid w:val="00734E5D"/>
    <w:rsid w:val="00734F7E"/>
    <w:rsid w:val="00735545"/>
    <w:rsid w:val="00737450"/>
    <w:rsid w:val="007425A2"/>
    <w:rsid w:val="007434FA"/>
    <w:rsid w:val="00743562"/>
    <w:rsid w:val="00744C7E"/>
    <w:rsid w:val="00747892"/>
    <w:rsid w:val="007510EB"/>
    <w:rsid w:val="007528B2"/>
    <w:rsid w:val="00752AFB"/>
    <w:rsid w:val="00753426"/>
    <w:rsid w:val="00753B0E"/>
    <w:rsid w:val="0075406A"/>
    <w:rsid w:val="0075520B"/>
    <w:rsid w:val="007555D2"/>
    <w:rsid w:val="007601D6"/>
    <w:rsid w:val="00761F49"/>
    <w:rsid w:val="007620E8"/>
    <w:rsid w:val="00762F22"/>
    <w:rsid w:val="0076309B"/>
    <w:rsid w:val="0076361C"/>
    <w:rsid w:val="00765F6D"/>
    <w:rsid w:val="007661EE"/>
    <w:rsid w:val="007662EF"/>
    <w:rsid w:val="00766D8E"/>
    <w:rsid w:val="00766F61"/>
    <w:rsid w:val="00770361"/>
    <w:rsid w:val="007707AA"/>
    <w:rsid w:val="00770A6E"/>
    <w:rsid w:val="00771551"/>
    <w:rsid w:val="00771CAD"/>
    <w:rsid w:val="00772896"/>
    <w:rsid w:val="007742CE"/>
    <w:rsid w:val="007768D0"/>
    <w:rsid w:val="00777E0F"/>
    <w:rsid w:val="00780326"/>
    <w:rsid w:val="00780C21"/>
    <w:rsid w:val="007827F5"/>
    <w:rsid w:val="007831D0"/>
    <w:rsid w:val="00784585"/>
    <w:rsid w:val="007861F3"/>
    <w:rsid w:val="0078766B"/>
    <w:rsid w:val="00793220"/>
    <w:rsid w:val="00793A62"/>
    <w:rsid w:val="00795510"/>
    <w:rsid w:val="00795629"/>
    <w:rsid w:val="007958DD"/>
    <w:rsid w:val="00796B86"/>
    <w:rsid w:val="007972CA"/>
    <w:rsid w:val="007976C9"/>
    <w:rsid w:val="007A0194"/>
    <w:rsid w:val="007A1603"/>
    <w:rsid w:val="007A2824"/>
    <w:rsid w:val="007A39BF"/>
    <w:rsid w:val="007A48B1"/>
    <w:rsid w:val="007A562B"/>
    <w:rsid w:val="007A6034"/>
    <w:rsid w:val="007A7921"/>
    <w:rsid w:val="007A7B58"/>
    <w:rsid w:val="007A7C30"/>
    <w:rsid w:val="007B06D7"/>
    <w:rsid w:val="007B14B9"/>
    <w:rsid w:val="007B2E80"/>
    <w:rsid w:val="007B3DD1"/>
    <w:rsid w:val="007B41F9"/>
    <w:rsid w:val="007B4289"/>
    <w:rsid w:val="007B5847"/>
    <w:rsid w:val="007B6F63"/>
    <w:rsid w:val="007B78F5"/>
    <w:rsid w:val="007C0787"/>
    <w:rsid w:val="007C0B20"/>
    <w:rsid w:val="007C37E4"/>
    <w:rsid w:val="007C3CAD"/>
    <w:rsid w:val="007C40C0"/>
    <w:rsid w:val="007C4887"/>
    <w:rsid w:val="007C4E00"/>
    <w:rsid w:val="007C5EF2"/>
    <w:rsid w:val="007C5F01"/>
    <w:rsid w:val="007D0645"/>
    <w:rsid w:val="007D06C7"/>
    <w:rsid w:val="007D0F80"/>
    <w:rsid w:val="007D2380"/>
    <w:rsid w:val="007D3652"/>
    <w:rsid w:val="007D43EF"/>
    <w:rsid w:val="007D499F"/>
    <w:rsid w:val="007D56FF"/>
    <w:rsid w:val="007D6297"/>
    <w:rsid w:val="007D7325"/>
    <w:rsid w:val="007E0A93"/>
    <w:rsid w:val="007E0EE3"/>
    <w:rsid w:val="007E10F8"/>
    <w:rsid w:val="007E18FF"/>
    <w:rsid w:val="007E3655"/>
    <w:rsid w:val="007E3DAA"/>
    <w:rsid w:val="007E5487"/>
    <w:rsid w:val="007E7BE6"/>
    <w:rsid w:val="007E7F0A"/>
    <w:rsid w:val="007F033B"/>
    <w:rsid w:val="007F0A4B"/>
    <w:rsid w:val="007F21CA"/>
    <w:rsid w:val="007F2A6F"/>
    <w:rsid w:val="007F2FF0"/>
    <w:rsid w:val="007F5509"/>
    <w:rsid w:val="007F551D"/>
    <w:rsid w:val="007F5DF8"/>
    <w:rsid w:val="007F6CF9"/>
    <w:rsid w:val="007F6FFF"/>
    <w:rsid w:val="007F73E6"/>
    <w:rsid w:val="007F7E19"/>
    <w:rsid w:val="00800AC4"/>
    <w:rsid w:val="00801160"/>
    <w:rsid w:val="0080133F"/>
    <w:rsid w:val="00802BFA"/>
    <w:rsid w:val="00803953"/>
    <w:rsid w:val="0080421C"/>
    <w:rsid w:val="00804529"/>
    <w:rsid w:val="00804587"/>
    <w:rsid w:val="00811A54"/>
    <w:rsid w:val="00813B31"/>
    <w:rsid w:val="008141D4"/>
    <w:rsid w:val="00814412"/>
    <w:rsid w:val="00814F4C"/>
    <w:rsid w:val="008154C4"/>
    <w:rsid w:val="008165B7"/>
    <w:rsid w:val="00821FC3"/>
    <w:rsid w:val="008225D0"/>
    <w:rsid w:val="00822690"/>
    <w:rsid w:val="00822954"/>
    <w:rsid w:val="0082391E"/>
    <w:rsid w:val="00824352"/>
    <w:rsid w:val="00826B3C"/>
    <w:rsid w:val="0082788F"/>
    <w:rsid w:val="0083098D"/>
    <w:rsid w:val="008310D5"/>
    <w:rsid w:val="008312CB"/>
    <w:rsid w:val="00831BB2"/>
    <w:rsid w:val="0083361E"/>
    <w:rsid w:val="0083383C"/>
    <w:rsid w:val="00835FF2"/>
    <w:rsid w:val="00836D76"/>
    <w:rsid w:val="00836E7C"/>
    <w:rsid w:val="00836F29"/>
    <w:rsid w:val="0083744F"/>
    <w:rsid w:val="00837615"/>
    <w:rsid w:val="008378F0"/>
    <w:rsid w:val="00837DB1"/>
    <w:rsid w:val="00837E6F"/>
    <w:rsid w:val="00841042"/>
    <w:rsid w:val="0084114B"/>
    <w:rsid w:val="00841BE0"/>
    <w:rsid w:val="00841D77"/>
    <w:rsid w:val="00842A63"/>
    <w:rsid w:val="00843610"/>
    <w:rsid w:val="00843E57"/>
    <w:rsid w:val="00844489"/>
    <w:rsid w:val="00845188"/>
    <w:rsid w:val="0084582E"/>
    <w:rsid w:val="0084665D"/>
    <w:rsid w:val="008470D3"/>
    <w:rsid w:val="0084726B"/>
    <w:rsid w:val="00847949"/>
    <w:rsid w:val="00850D40"/>
    <w:rsid w:val="008510E7"/>
    <w:rsid w:val="0085361B"/>
    <w:rsid w:val="008539B2"/>
    <w:rsid w:val="00853A1D"/>
    <w:rsid w:val="00854362"/>
    <w:rsid w:val="00855834"/>
    <w:rsid w:val="00856156"/>
    <w:rsid w:val="008575D7"/>
    <w:rsid w:val="0086072E"/>
    <w:rsid w:val="00861389"/>
    <w:rsid w:val="008624C9"/>
    <w:rsid w:val="0086262C"/>
    <w:rsid w:val="00862C01"/>
    <w:rsid w:val="0086577E"/>
    <w:rsid w:val="00866FE8"/>
    <w:rsid w:val="008673A2"/>
    <w:rsid w:val="008678FF"/>
    <w:rsid w:val="00871C7B"/>
    <w:rsid w:val="00871FAD"/>
    <w:rsid w:val="008729AA"/>
    <w:rsid w:val="0087413B"/>
    <w:rsid w:val="008766B9"/>
    <w:rsid w:val="00876D2D"/>
    <w:rsid w:val="0087725D"/>
    <w:rsid w:val="00881C83"/>
    <w:rsid w:val="00882A18"/>
    <w:rsid w:val="0088334C"/>
    <w:rsid w:val="00884499"/>
    <w:rsid w:val="00886C78"/>
    <w:rsid w:val="00887213"/>
    <w:rsid w:val="008904D4"/>
    <w:rsid w:val="008905B7"/>
    <w:rsid w:val="00891F3E"/>
    <w:rsid w:val="00894742"/>
    <w:rsid w:val="008948BF"/>
    <w:rsid w:val="00894AAE"/>
    <w:rsid w:val="00894E8F"/>
    <w:rsid w:val="008955C4"/>
    <w:rsid w:val="008970F7"/>
    <w:rsid w:val="0089731D"/>
    <w:rsid w:val="0089792A"/>
    <w:rsid w:val="008A00B3"/>
    <w:rsid w:val="008A0B1A"/>
    <w:rsid w:val="008A0C62"/>
    <w:rsid w:val="008A21CA"/>
    <w:rsid w:val="008A233B"/>
    <w:rsid w:val="008A259A"/>
    <w:rsid w:val="008A2726"/>
    <w:rsid w:val="008A2E42"/>
    <w:rsid w:val="008A3208"/>
    <w:rsid w:val="008A4C7B"/>
    <w:rsid w:val="008A6A22"/>
    <w:rsid w:val="008A7CD5"/>
    <w:rsid w:val="008B110F"/>
    <w:rsid w:val="008B1257"/>
    <w:rsid w:val="008B1969"/>
    <w:rsid w:val="008B1E2E"/>
    <w:rsid w:val="008B209F"/>
    <w:rsid w:val="008B2739"/>
    <w:rsid w:val="008B297E"/>
    <w:rsid w:val="008B366D"/>
    <w:rsid w:val="008B4378"/>
    <w:rsid w:val="008C0392"/>
    <w:rsid w:val="008C103E"/>
    <w:rsid w:val="008C1662"/>
    <w:rsid w:val="008C16B7"/>
    <w:rsid w:val="008C189A"/>
    <w:rsid w:val="008C2ECB"/>
    <w:rsid w:val="008C427B"/>
    <w:rsid w:val="008C42B9"/>
    <w:rsid w:val="008C4A4A"/>
    <w:rsid w:val="008C4E5F"/>
    <w:rsid w:val="008C52BF"/>
    <w:rsid w:val="008C7471"/>
    <w:rsid w:val="008C7AE9"/>
    <w:rsid w:val="008C7DA9"/>
    <w:rsid w:val="008D0002"/>
    <w:rsid w:val="008D0939"/>
    <w:rsid w:val="008D1149"/>
    <w:rsid w:val="008D17FE"/>
    <w:rsid w:val="008D191D"/>
    <w:rsid w:val="008D2278"/>
    <w:rsid w:val="008D2322"/>
    <w:rsid w:val="008D3060"/>
    <w:rsid w:val="008D39D9"/>
    <w:rsid w:val="008D3B41"/>
    <w:rsid w:val="008D3B46"/>
    <w:rsid w:val="008D3DB4"/>
    <w:rsid w:val="008D4335"/>
    <w:rsid w:val="008D4FF0"/>
    <w:rsid w:val="008D5167"/>
    <w:rsid w:val="008D522C"/>
    <w:rsid w:val="008D58E4"/>
    <w:rsid w:val="008D5E42"/>
    <w:rsid w:val="008D6097"/>
    <w:rsid w:val="008D7AA2"/>
    <w:rsid w:val="008E099C"/>
    <w:rsid w:val="008E1569"/>
    <w:rsid w:val="008E1C1A"/>
    <w:rsid w:val="008E2202"/>
    <w:rsid w:val="008E25C8"/>
    <w:rsid w:val="008E3E6F"/>
    <w:rsid w:val="008E4680"/>
    <w:rsid w:val="008E47F6"/>
    <w:rsid w:val="008E6C82"/>
    <w:rsid w:val="008F0FEB"/>
    <w:rsid w:val="008F1504"/>
    <w:rsid w:val="008F1736"/>
    <w:rsid w:val="008F2303"/>
    <w:rsid w:val="008F2C95"/>
    <w:rsid w:val="008F3A02"/>
    <w:rsid w:val="008F66B5"/>
    <w:rsid w:val="008F7030"/>
    <w:rsid w:val="008F756D"/>
    <w:rsid w:val="008F78FA"/>
    <w:rsid w:val="0090043D"/>
    <w:rsid w:val="009004AE"/>
    <w:rsid w:val="00900589"/>
    <w:rsid w:val="009020D1"/>
    <w:rsid w:val="00903190"/>
    <w:rsid w:val="00904493"/>
    <w:rsid w:val="00904986"/>
    <w:rsid w:val="00905DF5"/>
    <w:rsid w:val="00906ADF"/>
    <w:rsid w:val="009073AE"/>
    <w:rsid w:val="009074B2"/>
    <w:rsid w:val="0091034C"/>
    <w:rsid w:val="009114EF"/>
    <w:rsid w:val="00912AC8"/>
    <w:rsid w:val="00912BDE"/>
    <w:rsid w:val="00912E4E"/>
    <w:rsid w:val="00913B81"/>
    <w:rsid w:val="00914C64"/>
    <w:rsid w:val="00914D7D"/>
    <w:rsid w:val="009152DB"/>
    <w:rsid w:val="0091720E"/>
    <w:rsid w:val="00920886"/>
    <w:rsid w:val="00920EC7"/>
    <w:rsid w:val="009214B5"/>
    <w:rsid w:val="009217C8"/>
    <w:rsid w:val="00922093"/>
    <w:rsid w:val="00922CE4"/>
    <w:rsid w:val="00922D62"/>
    <w:rsid w:val="0092493B"/>
    <w:rsid w:val="00924DF0"/>
    <w:rsid w:val="0092728B"/>
    <w:rsid w:val="00930620"/>
    <w:rsid w:val="009307D4"/>
    <w:rsid w:val="009309AC"/>
    <w:rsid w:val="00931DCA"/>
    <w:rsid w:val="00935189"/>
    <w:rsid w:val="0093558E"/>
    <w:rsid w:val="00935ED3"/>
    <w:rsid w:val="009367B1"/>
    <w:rsid w:val="00940080"/>
    <w:rsid w:val="009403FB"/>
    <w:rsid w:val="009412DA"/>
    <w:rsid w:val="00941425"/>
    <w:rsid w:val="00941C8E"/>
    <w:rsid w:val="00942042"/>
    <w:rsid w:val="00944F54"/>
    <w:rsid w:val="00947D56"/>
    <w:rsid w:val="0095095B"/>
    <w:rsid w:val="0095135F"/>
    <w:rsid w:val="00951953"/>
    <w:rsid w:val="00954DF3"/>
    <w:rsid w:val="00954E0F"/>
    <w:rsid w:val="00955383"/>
    <w:rsid w:val="0096016C"/>
    <w:rsid w:val="0096029B"/>
    <w:rsid w:val="00961325"/>
    <w:rsid w:val="00962717"/>
    <w:rsid w:val="00963F1F"/>
    <w:rsid w:val="00964AD4"/>
    <w:rsid w:val="00964BF6"/>
    <w:rsid w:val="00964D52"/>
    <w:rsid w:val="0096524D"/>
    <w:rsid w:val="009666B7"/>
    <w:rsid w:val="00966FD2"/>
    <w:rsid w:val="0096714C"/>
    <w:rsid w:val="009711FD"/>
    <w:rsid w:val="0097152D"/>
    <w:rsid w:val="00971EF6"/>
    <w:rsid w:val="00971FA6"/>
    <w:rsid w:val="00972419"/>
    <w:rsid w:val="009730BD"/>
    <w:rsid w:val="0097339A"/>
    <w:rsid w:val="0097351B"/>
    <w:rsid w:val="00973CEB"/>
    <w:rsid w:val="00973F41"/>
    <w:rsid w:val="009742CC"/>
    <w:rsid w:val="00975B72"/>
    <w:rsid w:val="00975BA7"/>
    <w:rsid w:val="009777FD"/>
    <w:rsid w:val="00977A15"/>
    <w:rsid w:val="009808D2"/>
    <w:rsid w:val="009822B9"/>
    <w:rsid w:val="00983D68"/>
    <w:rsid w:val="009843EA"/>
    <w:rsid w:val="00984E9E"/>
    <w:rsid w:val="00986777"/>
    <w:rsid w:val="00987D4D"/>
    <w:rsid w:val="0099125B"/>
    <w:rsid w:val="00991337"/>
    <w:rsid w:val="0099172D"/>
    <w:rsid w:val="00991D0E"/>
    <w:rsid w:val="00992A2D"/>
    <w:rsid w:val="00995248"/>
    <w:rsid w:val="00995697"/>
    <w:rsid w:val="009956DD"/>
    <w:rsid w:val="00996216"/>
    <w:rsid w:val="00997A4E"/>
    <w:rsid w:val="009A5667"/>
    <w:rsid w:val="009A62CC"/>
    <w:rsid w:val="009B08DF"/>
    <w:rsid w:val="009B1059"/>
    <w:rsid w:val="009B45A4"/>
    <w:rsid w:val="009B619B"/>
    <w:rsid w:val="009C01FD"/>
    <w:rsid w:val="009C0E15"/>
    <w:rsid w:val="009C101A"/>
    <w:rsid w:val="009C288E"/>
    <w:rsid w:val="009C31C9"/>
    <w:rsid w:val="009C48F1"/>
    <w:rsid w:val="009C57B0"/>
    <w:rsid w:val="009C5A66"/>
    <w:rsid w:val="009C5AD9"/>
    <w:rsid w:val="009C6A21"/>
    <w:rsid w:val="009C6BD5"/>
    <w:rsid w:val="009D0586"/>
    <w:rsid w:val="009D0F1A"/>
    <w:rsid w:val="009D17F0"/>
    <w:rsid w:val="009D186D"/>
    <w:rsid w:val="009D1E6A"/>
    <w:rsid w:val="009D25B1"/>
    <w:rsid w:val="009D44BD"/>
    <w:rsid w:val="009D45B6"/>
    <w:rsid w:val="009D4B5F"/>
    <w:rsid w:val="009D4EB2"/>
    <w:rsid w:val="009D73B0"/>
    <w:rsid w:val="009E27A8"/>
    <w:rsid w:val="009E76A4"/>
    <w:rsid w:val="009F1336"/>
    <w:rsid w:val="009F133C"/>
    <w:rsid w:val="009F2A12"/>
    <w:rsid w:val="009F344E"/>
    <w:rsid w:val="009F3EF8"/>
    <w:rsid w:val="009F46C7"/>
    <w:rsid w:val="009F4B8E"/>
    <w:rsid w:val="009F4D20"/>
    <w:rsid w:val="009F510F"/>
    <w:rsid w:val="009F5557"/>
    <w:rsid w:val="009F5B4C"/>
    <w:rsid w:val="009F5BD4"/>
    <w:rsid w:val="009F5BF3"/>
    <w:rsid w:val="009F5ED1"/>
    <w:rsid w:val="009F60C4"/>
    <w:rsid w:val="009F638C"/>
    <w:rsid w:val="009F6CFC"/>
    <w:rsid w:val="00A010C9"/>
    <w:rsid w:val="00A02F9F"/>
    <w:rsid w:val="00A0304B"/>
    <w:rsid w:val="00A03063"/>
    <w:rsid w:val="00A04074"/>
    <w:rsid w:val="00A05439"/>
    <w:rsid w:val="00A05778"/>
    <w:rsid w:val="00A05C87"/>
    <w:rsid w:val="00A07A5B"/>
    <w:rsid w:val="00A07CAB"/>
    <w:rsid w:val="00A13576"/>
    <w:rsid w:val="00A1377B"/>
    <w:rsid w:val="00A1384D"/>
    <w:rsid w:val="00A13DDB"/>
    <w:rsid w:val="00A14125"/>
    <w:rsid w:val="00A1495A"/>
    <w:rsid w:val="00A14F2A"/>
    <w:rsid w:val="00A151FB"/>
    <w:rsid w:val="00A160E5"/>
    <w:rsid w:val="00A17846"/>
    <w:rsid w:val="00A2076B"/>
    <w:rsid w:val="00A20EA9"/>
    <w:rsid w:val="00A21514"/>
    <w:rsid w:val="00A21BB7"/>
    <w:rsid w:val="00A248BC"/>
    <w:rsid w:val="00A255C8"/>
    <w:rsid w:val="00A25FFB"/>
    <w:rsid w:val="00A26752"/>
    <w:rsid w:val="00A26823"/>
    <w:rsid w:val="00A26A86"/>
    <w:rsid w:val="00A27C31"/>
    <w:rsid w:val="00A27D55"/>
    <w:rsid w:val="00A30E30"/>
    <w:rsid w:val="00A30EEA"/>
    <w:rsid w:val="00A31A3F"/>
    <w:rsid w:val="00A31BFD"/>
    <w:rsid w:val="00A329A9"/>
    <w:rsid w:val="00A337E1"/>
    <w:rsid w:val="00A33C0E"/>
    <w:rsid w:val="00A33C71"/>
    <w:rsid w:val="00A37656"/>
    <w:rsid w:val="00A37721"/>
    <w:rsid w:val="00A40C0D"/>
    <w:rsid w:val="00A42D5A"/>
    <w:rsid w:val="00A454AB"/>
    <w:rsid w:val="00A4663B"/>
    <w:rsid w:val="00A46FA1"/>
    <w:rsid w:val="00A47780"/>
    <w:rsid w:val="00A47D06"/>
    <w:rsid w:val="00A50E93"/>
    <w:rsid w:val="00A51CDA"/>
    <w:rsid w:val="00A52D2C"/>
    <w:rsid w:val="00A536C6"/>
    <w:rsid w:val="00A53DE1"/>
    <w:rsid w:val="00A54283"/>
    <w:rsid w:val="00A549CE"/>
    <w:rsid w:val="00A55372"/>
    <w:rsid w:val="00A55A48"/>
    <w:rsid w:val="00A55F08"/>
    <w:rsid w:val="00A56400"/>
    <w:rsid w:val="00A57574"/>
    <w:rsid w:val="00A57EF8"/>
    <w:rsid w:val="00A6117A"/>
    <w:rsid w:val="00A6134D"/>
    <w:rsid w:val="00A616BA"/>
    <w:rsid w:val="00A61B67"/>
    <w:rsid w:val="00A61B8F"/>
    <w:rsid w:val="00A62615"/>
    <w:rsid w:val="00A6281B"/>
    <w:rsid w:val="00A62ED2"/>
    <w:rsid w:val="00A641FF"/>
    <w:rsid w:val="00A64BB3"/>
    <w:rsid w:val="00A67421"/>
    <w:rsid w:val="00A67DC3"/>
    <w:rsid w:val="00A7158A"/>
    <w:rsid w:val="00A71918"/>
    <w:rsid w:val="00A737B6"/>
    <w:rsid w:val="00A74033"/>
    <w:rsid w:val="00A749D1"/>
    <w:rsid w:val="00A75465"/>
    <w:rsid w:val="00A76470"/>
    <w:rsid w:val="00A80661"/>
    <w:rsid w:val="00A8135D"/>
    <w:rsid w:val="00A8147F"/>
    <w:rsid w:val="00A81C23"/>
    <w:rsid w:val="00A822B2"/>
    <w:rsid w:val="00A83391"/>
    <w:rsid w:val="00A83BE4"/>
    <w:rsid w:val="00A84B3A"/>
    <w:rsid w:val="00A85027"/>
    <w:rsid w:val="00A85D8B"/>
    <w:rsid w:val="00A86774"/>
    <w:rsid w:val="00A86C7D"/>
    <w:rsid w:val="00A86E75"/>
    <w:rsid w:val="00A9031E"/>
    <w:rsid w:val="00A92AE7"/>
    <w:rsid w:val="00A92C35"/>
    <w:rsid w:val="00A947A7"/>
    <w:rsid w:val="00A94CC3"/>
    <w:rsid w:val="00A95B6E"/>
    <w:rsid w:val="00A962B2"/>
    <w:rsid w:val="00A969E2"/>
    <w:rsid w:val="00A96B3C"/>
    <w:rsid w:val="00AA08A5"/>
    <w:rsid w:val="00AA09E7"/>
    <w:rsid w:val="00AA237B"/>
    <w:rsid w:val="00AA28C9"/>
    <w:rsid w:val="00AA2920"/>
    <w:rsid w:val="00AA2E43"/>
    <w:rsid w:val="00AA3268"/>
    <w:rsid w:val="00AA4C24"/>
    <w:rsid w:val="00AA589E"/>
    <w:rsid w:val="00AA6384"/>
    <w:rsid w:val="00AA76C3"/>
    <w:rsid w:val="00AA76C9"/>
    <w:rsid w:val="00AB169D"/>
    <w:rsid w:val="00AB25F0"/>
    <w:rsid w:val="00AB3D43"/>
    <w:rsid w:val="00AB4353"/>
    <w:rsid w:val="00AB4CBB"/>
    <w:rsid w:val="00AB5EB9"/>
    <w:rsid w:val="00AB6C41"/>
    <w:rsid w:val="00AC05E1"/>
    <w:rsid w:val="00AC0EB3"/>
    <w:rsid w:val="00AC154D"/>
    <w:rsid w:val="00AC16FC"/>
    <w:rsid w:val="00AC21E1"/>
    <w:rsid w:val="00AC270A"/>
    <w:rsid w:val="00AC3148"/>
    <w:rsid w:val="00AC3552"/>
    <w:rsid w:val="00AC4693"/>
    <w:rsid w:val="00AC4E88"/>
    <w:rsid w:val="00AC4F11"/>
    <w:rsid w:val="00AC5BCD"/>
    <w:rsid w:val="00AC5EA0"/>
    <w:rsid w:val="00AC6783"/>
    <w:rsid w:val="00AC6AD0"/>
    <w:rsid w:val="00AC73D4"/>
    <w:rsid w:val="00AC743B"/>
    <w:rsid w:val="00AD0604"/>
    <w:rsid w:val="00AD0EC0"/>
    <w:rsid w:val="00AD5CD8"/>
    <w:rsid w:val="00AD6F70"/>
    <w:rsid w:val="00AE04CE"/>
    <w:rsid w:val="00AE2429"/>
    <w:rsid w:val="00AE3973"/>
    <w:rsid w:val="00AE4FC2"/>
    <w:rsid w:val="00AE5A48"/>
    <w:rsid w:val="00AE6DA1"/>
    <w:rsid w:val="00AE72E6"/>
    <w:rsid w:val="00AE7458"/>
    <w:rsid w:val="00AE7980"/>
    <w:rsid w:val="00AF010F"/>
    <w:rsid w:val="00AF07B9"/>
    <w:rsid w:val="00AF0CC7"/>
    <w:rsid w:val="00AF10EE"/>
    <w:rsid w:val="00AF2E80"/>
    <w:rsid w:val="00AF3E15"/>
    <w:rsid w:val="00AF549B"/>
    <w:rsid w:val="00AF5DC7"/>
    <w:rsid w:val="00AF6B5C"/>
    <w:rsid w:val="00AF6F7B"/>
    <w:rsid w:val="00B00B91"/>
    <w:rsid w:val="00B00FD4"/>
    <w:rsid w:val="00B01181"/>
    <w:rsid w:val="00B0144B"/>
    <w:rsid w:val="00B0193C"/>
    <w:rsid w:val="00B0349C"/>
    <w:rsid w:val="00B04913"/>
    <w:rsid w:val="00B057B0"/>
    <w:rsid w:val="00B061D8"/>
    <w:rsid w:val="00B065AC"/>
    <w:rsid w:val="00B06618"/>
    <w:rsid w:val="00B06DD7"/>
    <w:rsid w:val="00B1107A"/>
    <w:rsid w:val="00B12947"/>
    <w:rsid w:val="00B13DFB"/>
    <w:rsid w:val="00B145C9"/>
    <w:rsid w:val="00B14D65"/>
    <w:rsid w:val="00B163C7"/>
    <w:rsid w:val="00B16D94"/>
    <w:rsid w:val="00B17279"/>
    <w:rsid w:val="00B17C9A"/>
    <w:rsid w:val="00B2080E"/>
    <w:rsid w:val="00B20BF6"/>
    <w:rsid w:val="00B211CA"/>
    <w:rsid w:val="00B21284"/>
    <w:rsid w:val="00B21ADA"/>
    <w:rsid w:val="00B21ADD"/>
    <w:rsid w:val="00B22750"/>
    <w:rsid w:val="00B229D8"/>
    <w:rsid w:val="00B258AE"/>
    <w:rsid w:val="00B25B74"/>
    <w:rsid w:val="00B25C2B"/>
    <w:rsid w:val="00B25EE3"/>
    <w:rsid w:val="00B2682F"/>
    <w:rsid w:val="00B302A1"/>
    <w:rsid w:val="00B3062E"/>
    <w:rsid w:val="00B31456"/>
    <w:rsid w:val="00B31A5B"/>
    <w:rsid w:val="00B32B88"/>
    <w:rsid w:val="00B32F7F"/>
    <w:rsid w:val="00B33236"/>
    <w:rsid w:val="00B3529F"/>
    <w:rsid w:val="00B36384"/>
    <w:rsid w:val="00B371FC"/>
    <w:rsid w:val="00B4337C"/>
    <w:rsid w:val="00B43FB0"/>
    <w:rsid w:val="00B447F2"/>
    <w:rsid w:val="00B46245"/>
    <w:rsid w:val="00B46372"/>
    <w:rsid w:val="00B470FC"/>
    <w:rsid w:val="00B4763E"/>
    <w:rsid w:val="00B51F88"/>
    <w:rsid w:val="00B53287"/>
    <w:rsid w:val="00B5402C"/>
    <w:rsid w:val="00B54643"/>
    <w:rsid w:val="00B54939"/>
    <w:rsid w:val="00B55322"/>
    <w:rsid w:val="00B57294"/>
    <w:rsid w:val="00B5767E"/>
    <w:rsid w:val="00B602E9"/>
    <w:rsid w:val="00B60921"/>
    <w:rsid w:val="00B60B9D"/>
    <w:rsid w:val="00B612F6"/>
    <w:rsid w:val="00B6131D"/>
    <w:rsid w:val="00B61A5C"/>
    <w:rsid w:val="00B62380"/>
    <w:rsid w:val="00B62F19"/>
    <w:rsid w:val="00B63182"/>
    <w:rsid w:val="00B63309"/>
    <w:rsid w:val="00B637DA"/>
    <w:rsid w:val="00B6393E"/>
    <w:rsid w:val="00B640D6"/>
    <w:rsid w:val="00B660FD"/>
    <w:rsid w:val="00B66866"/>
    <w:rsid w:val="00B70418"/>
    <w:rsid w:val="00B70B5B"/>
    <w:rsid w:val="00B74C6C"/>
    <w:rsid w:val="00B80A7B"/>
    <w:rsid w:val="00B810D1"/>
    <w:rsid w:val="00B832ED"/>
    <w:rsid w:val="00B8344D"/>
    <w:rsid w:val="00B840C1"/>
    <w:rsid w:val="00B84473"/>
    <w:rsid w:val="00B848F7"/>
    <w:rsid w:val="00B85083"/>
    <w:rsid w:val="00B860C5"/>
    <w:rsid w:val="00B86310"/>
    <w:rsid w:val="00B86744"/>
    <w:rsid w:val="00B86B6F"/>
    <w:rsid w:val="00B86F87"/>
    <w:rsid w:val="00B878FD"/>
    <w:rsid w:val="00B91A19"/>
    <w:rsid w:val="00B91AB5"/>
    <w:rsid w:val="00B9633F"/>
    <w:rsid w:val="00B9715F"/>
    <w:rsid w:val="00B97AC5"/>
    <w:rsid w:val="00B97FBD"/>
    <w:rsid w:val="00BA1240"/>
    <w:rsid w:val="00BA1D70"/>
    <w:rsid w:val="00BA2B5E"/>
    <w:rsid w:val="00BA45B9"/>
    <w:rsid w:val="00BA618B"/>
    <w:rsid w:val="00BA7395"/>
    <w:rsid w:val="00BB00FC"/>
    <w:rsid w:val="00BB01AB"/>
    <w:rsid w:val="00BB073B"/>
    <w:rsid w:val="00BB0E5C"/>
    <w:rsid w:val="00BB11E7"/>
    <w:rsid w:val="00BB4658"/>
    <w:rsid w:val="00BB58B1"/>
    <w:rsid w:val="00BC0846"/>
    <w:rsid w:val="00BC0DF5"/>
    <w:rsid w:val="00BC15A1"/>
    <w:rsid w:val="00BC19A5"/>
    <w:rsid w:val="00BC31D7"/>
    <w:rsid w:val="00BC5119"/>
    <w:rsid w:val="00BC5AA9"/>
    <w:rsid w:val="00BC65EA"/>
    <w:rsid w:val="00BD154D"/>
    <w:rsid w:val="00BD1B48"/>
    <w:rsid w:val="00BD31C2"/>
    <w:rsid w:val="00BD36A8"/>
    <w:rsid w:val="00BD4317"/>
    <w:rsid w:val="00BD5324"/>
    <w:rsid w:val="00BD6EE2"/>
    <w:rsid w:val="00BE04CE"/>
    <w:rsid w:val="00BE1484"/>
    <w:rsid w:val="00BE1829"/>
    <w:rsid w:val="00BE19DF"/>
    <w:rsid w:val="00BE3411"/>
    <w:rsid w:val="00BE364A"/>
    <w:rsid w:val="00BE3C50"/>
    <w:rsid w:val="00BE455A"/>
    <w:rsid w:val="00BE4B34"/>
    <w:rsid w:val="00BE4EA0"/>
    <w:rsid w:val="00BE6903"/>
    <w:rsid w:val="00BE76EB"/>
    <w:rsid w:val="00BF011A"/>
    <w:rsid w:val="00BF132A"/>
    <w:rsid w:val="00BF20BE"/>
    <w:rsid w:val="00BF22E6"/>
    <w:rsid w:val="00BF2CCF"/>
    <w:rsid w:val="00BF2F05"/>
    <w:rsid w:val="00BF49E8"/>
    <w:rsid w:val="00BF4A17"/>
    <w:rsid w:val="00BF4E57"/>
    <w:rsid w:val="00BF763D"/>
    <w:rsid w:val="00BF7644"/>
    <w:rsid w:val="00BF77D5"/>
    <w:rsid w:val="00C012F0"/>
    <w:rsid w:val="00C01D6B"/>
    <w:rsid w:val="00C01EBC"/>
    <w:rsid w:val="00C03A75"/>
    <w:rsid w:val="00C06246"/>
    <w:rsid w:val="00C07F32"/>
    <w:rsid w:val="00C10936"/>
    <w:rsid w:val="00C11895"/>
    <w:rsid w:val="00C12334"/>
    <w:rsid w:val="00C12BD1"/>
    <w:rsid w:val="00C12E7E"/>
    <w:rsid w:val="00C1339F"/>
    <w:rsid w:val="00C13AD3"/>
    <w:rsid w:val="00C149A7"/>
    <w:rsid w:val="00C169F1"/>
    <w:rsid w:val="00C208F8"/>
    <w:rsid w:val="00C20920"/>
    <w:rsid w:val="00C20BEA"/>
    <w:rsid w:val="00C22A10"/>
    <w:rsid w:val="00C22EAB"/>
    <w:rsid w:val="00C25C3D"/>
    <w:rsid w:val="00C2603B"/>
    <w:rsid w:val="00C26489"/>
    <w:rsid w:val="00C26AEB"/>
    <w:rsid w:val="00C275CC"/>
    <w:rsid w:val="00C27990"/>
    <w:rsid w:val="00C301F8"/>
    <w:rsid w:val="00C305A6"/>
    <w:rsid w:val="00C305DE"/>
    <w:rsid w:val="00C30DF5"/>
    <w:rsid w:val="00C31584"/>
    <w:rsid w:val="00C325CB"/>
    <w:rsid w:val="00C32F13"/>
    <w:rsid w:val="00C33550"/>
    <w:rsid w:val="00C335CE"/>
    <w:rsid w:val="00C34236"/>
    <w:rsid w:val="00C35473"/>
    <w:rsid w:val="00C36D4A"/>
    <w:rsid w:val="00C40164"/>
    <w:rsid w:val="00C401A3"/>
    <w:rsid w:val="00C40DB7"/>
    <w:rsid w:val="00C42C97"/>
    <w:rsid w:val="00C432E6"/>
    <w:rsid w:val="00C4442B"/>
    <w:rsid w:val="00C45B2E"/>
    <w:rsid w:val="00C45DA4"/>
    <w:rsid w:val="00C475D5"/>
    <w:rsid w:val="00C5063A"/>
    <w:rsid w:val="00C513AE"/>
    <w:rsid w:val="00C521FB"/>
    <w:rsid w:val="00C5273C"/>
    <w:rsid w:val="00C54C86"/>
    <w:rsid w:val="00C55079"/>
    <w:rsid w:val="00C56CE8"/>
    <w:rsid w:val="00C56DE4"/>
    <w:rsid w:val="00C5745A"/>
    <w:rsid w:val="00C61202"/>
    <w:rsid w:val="00C61AA6"/>
    <w:rsid w:val="00C61AD6"/>
    <w:rsid w:val="00C61DBE"/>
    <w:rsid w:val="00C63500"/>
    <w:rsid w:val="00C64717"/>
    <w:rsid w:val="00C663E0"/>
    <w:rsid w:val="00C66BBE"/>
    <w:rsid w:val="00C71870"/>
    <w:rsid w:val="00C719FF"/>
    <w:rsid w:val="00C71E16"/>
    <w:rsid w:val="00C71E2F"/>
    <w:rsid w:val="00C72406"/>
    <w:rsid w:val="00C74534"/>
    <w:rsid w:val="00C75377"/>
    <w:rsid w:val="00C75766"/>
    <w:rsid w:val="00C76CA4"/>
    <w:rsid w:val="00C80BF7"/>
    <w:rsid w:val="00C80C67"/>
    <w:rsid w:val="00C80D25"/>
    <w:rsid w:val="00C8194D"/>
    <w:rsid w:val="00C82773"/>
    <w:rsid w:val="00C82A4F"/>
    <w:rsid w:val="00C8363B"/>
    <w:rsid w:val="00C878BB"/>
    <w:rsid w:val="00C8799B"/>
    <w:rsid w:val="00C90772"/>
    <w:rsid w:val="00C90A60"/>
    <w:rsid w:val="00C9114B"/>
    <w:rsid w:val="00C916EA"/>
    <w:rsid w:val="00C91C82"/>
    <w:rsid w:val="00C929C9"/>
    <w:rsid w:val="00C93B10"/>
    <w:rsid w:val="00C93C75"/>
    <w:rsid w:val="00C9423B"/>
    <w:rsid w:val="00C94910"/>
    <w:rsid w:val="00CA0CD9"/>
    <w:rsid w:val="00CA1314"/>
    <w:rsid w:val="00CA1D71"/>
    <w:rsid w:val="00CA27EF"/>
    <w:rsid w:val="00CA2CF4"/>
    <w:rsid w:val="00CA4007"/>
    <w:rsid w:val="00CA43FE"/>
    <w:rsid w:val="00CA585A"/>
    <w:rsid w:val="00CA6EB4"/>
    <w:rsid w:val="00CA78B5"/>
    <w:rsid w:val="00CB010F"/>
    <w:rsid w:val="00CB2269"/>
    <w:rsid w:val="00CB291A"/>
    <w:rsid w:val="00CB2ABA"/>
    <w:rsid w:val="00CB3190"/>
    <w:rsid w:val="00CB35C1"/>
    <w:rsid w:val="00CB58F7"/>
    <w:rsid w:val="00CB5CC4"/>
    <w:rsid w:val="00CB5FD1"/>
    <w:rsid w:val="00CB66C8"/>
    <w:rsid w:val="00CB6B84"/>
    <w:rsid w:val="00CB7373"/>
    <w:rsid w:val="00CC03C3"/>
    <w:rsid w:val="00CC06B3"/>
    <w:rsid w:val="00CC0766"/>
    <w:rsid w:val="00CC2FFC"/>
    <w:rsid w:val="00CC3788"/>
    <w:rsid w:val="00CC37F7"/>
    <w:rsid w:val="00CC3AB2"/>
    <w:rsid w:val="00CC3ACD"/>
    <w:rsid w:val="00CC3D27"/>
    <w:rsid w:val="00CC5DCC"/>
    <w:rsid w:val="00CC5DEF"/>
    <w:rsid w:val="00CC6CD2"/>
    <w:rsid w:val="00CC6F73"/>
    <w:rsid w:val="00CC74E5"/>
    <w:rsid w:val="00CD077F"/>
    <w:rsid w:val="00CD10FA"/>
    <w:rsid w:val="00CD3F22"/>
    <w:rsid w:val="00CD3F5F"/>
    <w:rsid w:val="00CD3FBA"/>
    <w:rsid w:val="00CD65C1"/>
    <w:rsid w:val="00CD678F"/>
    <w:rsid w:val="00CD713E"/>
    <w:rsid w:val="00CD7929"/>
    <w:rsid w:val="00CD7AA9"/>
    <w:rsid w:val="00CE08E9"/>
    <w:rsid w:val="00CE0FB7"/>
    <w:rsid w:val="00CE242E"/>
    <w:rsid w:val="00CE2F76"/>
    <w:rsid w:val="00CE3005"/>
    <w:rsid w:val="00CE319D"/>
    <w:rsid w:val="00CE35B2"/>
    <w:rsid w:val="00CE362C"/>
    <w:rsid w:val="00CE3950"/>
    <w:rsid w:val="00CE3D57"/>
    <w:rsid w:val="00CE401A"/>
    <w:rsid w:val="00CE5E55"/>
    <w:rsid w:val="00CE5F07"/>
    <w:rsid w:val="00CE60EB"/>
    <w:rsid w:val="00CE6DE9"/>
    <w:rsid w:val="00CE6E5A"/>
    <w:rsid w:val="00CF08D6"/>
    <w:rsid w:val="00CF092A"/>
    <w:rsid w:val="00CF2A8B"/>
    <w:rsid w:val="00CF2F6F"/>
    <w:rsid w:val="00CF3911"/>
    <w:rsid w:val="00CF4C3E"/>
    <w:rsid w:val="00CF4D4B"/>
    <w:rsid w:val="00CF627C"/>
    <w:rsid w:val="00CF63E6"/>
    <w:rsid w:val="00D01916"/>
    <w:rsid w:val="00D02F01"/>
    <w:rsid w:val="00D03D61"/>
    <w:rsid w:val="00D05402"/>
    <w:rsid w:val="00D06352"/>
    <w:rsid w:val="00D0684E"/>
    <w:rsid w:val="00D07005"/>
    <w:rsid w:val="00D07C67"/>
    <w:rsid w:val="00D10EAB"/>
    <w:rsid w:val="00D112CA"/>
    <w:rsid w:val="00D1190F"/>
    <w:rsid w:val="00D12531"/>
    <w:rsid w:val="00D1266B"/>
    <w:rsid w:val="00D1647F"/>
    <w:rsid w:val="00D17240"/>
    <w:rsid w:val="00D17640"/>
    <w:rsid w:val="00D17D8D"/>
    <w:rsid w:val="00D22751"/>
    <w:rsid w:val="00D242D1"/>
    <w:rsid w:val="00D242E4"/>
    <w:rsid w:val="00D247AC"/>
    <w:rsid w:val="00D25FF4"/>
    <w:rsid w:val="00D267FB"/>
    <w:rsid w:val="00D31937"/>
    <w:rsid w:val="00D31BB6"/>
    <w:rsid w:val="00D3243F"/>
    <w:rsid w:val="00D32AB9"/>
    <w:rsid w:val="00D33759"/>
    <w:rsid w:val="00D33878"/>
    <w:rsid w:val="00D33FA8"/>
    <w:rsid w:val="00D353D2"/>
    <w:rsid w:val="00D3560A"/>
    <w:rsid w:val="00D361B6"/>
    <w:rsid w:val="00D36675"/>
    <w:rsid w:val="00D3679C"/>
    <w:rsid w:val="00D42DD8"/>
    <w:rsid w:val="00D43724"/>
    <w:rsid w:val="00D43968"/>
    <w:rsid w:val="00D43F47"/>
    <w:rsid w:val="00D4537A"/>
    <w:rsid w:val="00D456E6"/>
    <w:rsid w:val="00D4572A"/>
    <w:rsid w:val="00D45C1E"/>
    <w:rsid w:val="00D462DD"/>
    <w:rsid w:val="00D47624"/>
    <w:rsid w:val="00D477B8"/>
    <w:rsid w:val="00D503A2"/>
    <w:rsid w:val="00D525E6"/>
    <w:rsid w:val="00D526B7"/>
    <w:rsid w:val="00D52E49"/>
    <w:rsid w:val="00D53411"/>
    <w:rsid w:val="00D552C6"/>
    <w:rsid w:val="00D55AED"/>
    <w:rsid w:val="00D56129"/>
    <w:rsid w:val="00D578F1"/>
    <w:rsid w:val="00D60BD9"/>
    <w:rsid w:val="00D6131F"/>
    <w:rsid w:val="00D61D7B"/>
    <w:rsid w:val="00D63619"/>
    <w:rsid w:val="00D66475"/>
    <w:rsid w:val="00D67BD4"/>
    <w:rsid w:val="00D713E2"/>
    <w:rsid w:val="00D72913"/>
    <w:rsid w:val="00D72F22"/>
    <w:rsid w:val="00D74338"/>
    <w:rsid w:val="00D74ED7"/>
    <w:rsid w:val="00D74F00"/>
    <w:rsid w:val="00D76298"/>
    <w:rsid w:val="00D8091B"/>
    <w:rsid w:val="00D8096A"/>
    <w:rsid w:val="00D80B19"/>
    <w:rsid w:val="00D82406"/>
    <w:rsid w:val="00D82E3E"/>
    <w:rsid w:val="00D82EA1"/>
    <w:rsid w:val="00D82EE4"/>
    <w:rsid w:val="00D8302C"/>
    <w:rsid w:val="00D83F44"/>
    <w:rsid w:val="00D8456A"/>
    <w:rsid w:val="00D85185"/>
    <w:rsid w:val="00D867D3"/>
    <w:rsid w:val="00D8720D"/>
    <w:rsid w:val="00D87A31"/>
    <w:rsid w:val="00D9051D"/>
    <w:rsid w:val="00D9074F"/>
    <w:rsid w:val="00D90BEE"/>
    <w:rsid w:val="00D931C5"/>
    <w:rsid w:val="00D940FE"/>
    <w:rsid w:val="00D9463F"/>
    <w:rsid w:val="00D978A4"/>
    <w:rsid w:val="00D97C46"/>
    <w:rsid w:val="00DA0660"/>
    <w:rsid w:val="00DA1515"/>
    <w:rsid w:val="00DA38B9"/>
    <w:rsid w:val="00DA390B"/>
    <w:rsid w:val="00DA4C0D"/>
    <w:rsid w:val="00DA6FF7"/>
    <w:rsid w:val="00DB0CB4"/>
    <w:rsid w:val="00DB5AF9"/>
    <w:rsid w:val="00DB6C95"/>
    <w:rsid w:val="00DB6D05"/>
    <w:rsid w:val="00DB6D7D"/>
    <w:rsid w:val="00DB762F"/>
    <w:rsid w:val="00DB7B3D"/>
    <w:rsid w:val="00DC2102"/>
    <w:rsid w:val="00DC28C5"/>
    <w:rsid w:val="00DC4238"/>
    <w:rsid w:val="00DC4328"/>
    <w:rsid w:val="00DC4BFB"/>
    <w:rsid w:val="00DC5880"/>
    <w:rsid w:val="00DC6584"/>
    <w:rsid w:val="00DC6ADB"/>
    <w:rsid w:val="00DC6C76"/>
    <w:rsid w:val="00DC6CC4"/>
    <w:rsid w:val="00DC7A29"/>
    <w:rsid w:val="00DD0767"/>
    <w:rsid w:val="00DD1424"/>
    <w:rsid w:val="00DD1529"/>
    <w:rsid w:val="00DD1EF6"/>
    <w:rsid w:val="00DD2181"/>
    <w:rsid w:val="00DD3AA8"/>
    <w:rsid w:val="00DD522B"/>
    <w:rsid w:val="00DD66CB"/>
    <w:rsid w:val="00DD6BD7"/>
    <w:rsid w:val="00DD72F8"/>
    <w:rsid w:val="00DD734F"/>
    <w:rsid w:val="00DE08E5"/>
    <w:rsid w:val="00DE0C36"/>
    <w:rsid w:val="00DE129B"/>
    <w:rsid w:val="00DE1740"/>
    <w:rsid w:val="00DE1C9B"/>
    <w:rsid w:val="00DE2140"/>
    <w:rsid w:val="00DE2369"/>
    <w:rsid w:val="00DE2CB1"/>
    <w:rsid w:val="00DE3435"/>
    <w:rsid w:val="00DE3EDF"/>
    <w:rsid w:val="00DE3F17"/>
    <w:rsid w:val="00DE44DD"/>
    <w:rsid w:val="00DE48E1"/>
    <w:rsid w:val="00DE4FF2"/>
    <w:rsid w:val="00DE56FC"/>
    <w:rsid w:val="00DE6A18"/>
    <w:rsid w:val="00DE6EAB"/>
    <w:rsid w:val="00DF00AD"/>
    <w:rsid w:val="00DF00BE"/>
    <w:rsid w:val="00DF079C"/>
    <w:rsid w:val="00DF0C5C"/>
    <w:rsid w:val="00DF0C85"/>
    <w:rsid w:val="00DF11B0"/>
    <w:rsid w:val="00DF1E5A"/>
    <w:rsid w:val="00DF48D7"/>
    <w:rsid w:val="00DF524E"/>
    <w:rsid w:val="00DF5B01"/>
    <w:rsid w:val="00DF7BF0"/>
    <w:rsid w:val="00DF7C72"/>
    <w:rsid w:val="00E00162"/>
    <w:rsid w:val="00E00497"/>
    <w:rsid w:val="00E00779"/>
    <w:rsid w:val="00E0201E"/>
    <w:rsid w:val="00E0231C"/>
    <w:rsid w:val="00E028F7"/>
    <w:rsid w:val="00E02DF6"/>
    <w:rsid w:val="00E02E53"/>
    <w:rsid w:val="00E032F7"/>
    <w:rsid w:val="00E034B8"/>
    <w:rsid w:val="00E0372B"/>
    <w:rsid w:val="00E04B66"/>
    <w:rsid w:val="00E04F6C"/>
    <w:rsid w:val="00E06110"/>
    <w:rsid w:val="00E0649E"/>
    <w:rsid w:val="00E064A3"/>
    <w:rsid w:val="00E067BB"/>
    <w:rsid w:val="00E06AB8"/>
    <w:rsid w:val="00E1012B"/>
    <w:rsid w:val="00E10591"/>
    <w:rsid w:val="00E105F0"/>
    <w:rsid w:val="00E10FBA"/>
    <w:rsid w:val="00E11281"/>
    <w:rsid w:val="00E11AA9"/>
    <w:rsid w:val="00E131CE"/>
    <w:rsid w:val="00E1333B"/>
    <w:rsid w:val="00E14DE0"/>
    <w:rsid w:val="00E15630"/>
    <w:rsid w:val="00E15B42"/>
    <w:rsid w:val="00E16E83"/>
    <w:rsid w:val="00E208B4"/>
    <w:rsid w:val="00E20A5F"/>
    <w:rsid w:val="00E20F73"/>
    <w:rsid w:val="00E21857"/>
    <w:rsid w:val="00E221B9"/>
    <w:rsid w:val="00E22DA4"/>
    <w:rsid w:val="00E2348E"/>
    <w:rsid w:val="00E248BB"/>
    <w:rsid w:val="00E2544F"/>
    <w:rsid w:val="00E25591"/>
    <w:rsid w:val="00E26896"/>
    <w:rsid w:val="00E273D7"/>
    <w:rsid w:val="00E27651"/>
    <w:rsid w:val="00E27EF7"/>
    <w:rsid w:val="00E30254"/>
    <w:rsid w:val="00E30288"/>
    <w:rsid w:val="00E30C14"/>
    <w:rsid w:val="00E3283E"/>
    <w:rsid w:val="00E32CB8"/>
    <w:rsid w:val="00E33712"/>
    <w:rsid w:val="00E33C53"/>
    <w:rsid w:val="00E33D93"/>
    <w:rsid w:val="00E34AAB"/>
    <w:rsid w:val="00E35E70"/>
    <w:rsid w:val="00E3714A"/>
    <w:rsid w:val="00E37D37"/>
    <w:rsid w:val="00E40171"/>
    <w:rsid w:val="00E40CCD"/>
    <w:rsid w:val="00E40E78"/>
    <w:rsid w:val="00E411BF"/>
    <w:rsid w:val="00E41C19"/>
    <w:rsid w:val="00E42DDC"/>
    <w:rsid w:val="00E43694"/>
    <w:rsid w:val="00E43FB9"/>
    <w:rsid w:val="00E44096"/>
    <w:rsid w:val="00E446F4"/>
    <w:rsid w:val="00E449B0"/>
    <w:rsid w:val="00E46321"/>
    <w:rsid w:val="00E501BB"/>
    <w:rsid w:val="00E537F2"/>
    <w:rsid w:val="00E539C4"/>
    <w:rsid w:val="00E53C24"/>
    <w:rsid w:val="00E549AF"/>
    <w:rsid w:val="00E5561C"/>
    <w:rsid w:val="00E55B08"/>
    <w:rsid w:val="00E55BC4"/>
    <w:rsid w:val="00E5613B"/>
    <w:rsid w:val="00E60FF2"/>
    <w:rsid w:val="00E62203"/>
    <w:rsid w:val="00E62491"/>
    <w:rsid w:val="00E62C46"/>
    <w:rsid w:val="00E640D5"/>
    <w:rsid w:val="00E653EF"/>
    <w:rsid w:val="00E65BA2"/>
    <w:rsid w:val="00E663CE"/>
    <w:rsid w:val="00E66CE7"/>
    <w:rsid w:val="00E66DB4"/>
    <w:rsid w:val="00E67C5E"/>
    <w:rsid w:val="00E70E55"/>
    <w:rsid w:val="00E72B30"/>
    <w:rsid w:val="00E72E5D"/>
    <w:rsid w:val="00E73669"/>
    <w:rsid w:val="00E75306"/>
    <w:rsid w:val="00E75D0B"/>
    <w:rsid w:val="00E75E78"/>
    <w:rsid w:val="00E76D27"/>
    <w:rsid w:val="00E776DC"/>
    <w:rsid w:val="00E80078"/>
    <w:rsid w:val="00E80FAC"/>
    <w:rsid w:val="00E81063"/>
    <w:rsid w:val="00E84D8D"/>
    <w:rsid w:val="00E85BC2"/>
    <w:rsid w:val="00E86017"/>
    <w:rsid w:val="00E86F0D"/>
    <w:rsid w:val="00E86F75"/>
    <w:rsid w:val="00E91A5E"/>
    <w:rsid w:val="00E93067"/>
    <w:rsid w:val="00E931E3"/>
    <w:rsid w:val="00E940D1"/>
    <w:rsid w:val="00EA1ADB"/>
    <w:rsid w:val="00EA37CB"/>
    <w:rsid w:val="00EA43CA"/>
    <w:rsid w:val="00EA4841"/>
    <w:rsid w:val="00EA5FDD"/>
    <w:rsid w:val="00EA6EEA"/>
    <w:rsid w:val="00EB069C"/>
    <w:rsid w:val="00EB1252"/>
    <w:rsid w:val="00EB1620"/>
    <w:rsid w:val="00EB2DFE"/>
    <w:rsid w:val="00EB321B"/>
    <w:rsid w:val="00EB395E"/>
    <w:rsid w:val="00EB3A02"/>
    <w:rsid w:val="00EB5099"/>
    <w:rsid w:val="00EB53B3"/>
    <w:rsid w:val="00EB5CF4"/>
    <w:rsid w:val="00EC01A8"/>
    <w:rsid w:val="00EC056F"/>
    <w:rsid w:val="00EC12D7"/>
    <w:rsid w:val="00EC274E"/>
    <w:rsid w:val="00EC2BA6"/>
    <w:rsid w:val="00EC2BF1"/>
    <w:rsid w:val="00EC3D66"/>
    <w:rsid w:val="00EC54B3"/>
    <w:rsid w:val="00EC604D"/>
    <w:rsid w:val="00EC6120"/>
    <w:rsid w:val="00EC6DE7"/>
    <w:rsid w:val="00EC712D"/>
    <w:rsid w:val="00ED08A5"/>
    <w:rsid w:val="00ED0B93"/>
    <w:rsid w:val="00ED2A7F"/>
    <w:rsid w:val="00ED3746"/>
    <w:rsid w:val="00ED3E83"/>
    <w:rsid w:val="00ED4AA2"/>
    <w:rsid w:val="00ED4C14"/>
    <w:rsid w:val="00ED55D0"/>
    <w:rsid w:val="00ED6659"/>
    <w:rsid w:val="00ED6C71"/>
    <w:rsid w:val="00ED75B5"/>
    <w:rsid w:val="00ED7E67"/>
    <w:rsid w:val="00EE1ADC"/>
    <w:rsid w:val="00EE24BA"/>
    <w:rsid w:val="00EE269E"/>
    <w:rsid w:val="00EE3521"/>
    <w:rsid w:val="00EE3935"/>
    <w:rsid w:val="00EE56B9"/>
    <w:rsid w:val="00EE7565"/>
    <w:rsid w:val="00EF104D"/>
    <w:rsid w:val="00EF129E"/>
    <w:rsid w:val="00EF15E5"/>
    <w:rsid w:val="00EF1D33"/>
    <w:rsid w:val="00EF3A59"/>
    <w:rsid w:val="00EF3BE7"/>
    <w:rsid w:val="00EF4673"/>
    <w:rsid w:val="00EF47CA"/>
    <w:rsid w:val="00EF53C0"/>
    <w:rsid w:val="00EF64BD"/>
    <w:rsid w:val="00EF670A"/>
    <w:rsid w:val="00EF71B2"/>
    <w:rsid w:val="00F011BF"/>
    <w:rsid w:val="00F01ABE"/>
    <w:rsid w:val="00F0288D"/>
    <w:rsid w:val="00F02E1F"/>
    <w:rsid w:val="00F0350C"/>
    <w:rsid w:val="00F045AA"/>
    <w:rsid w:val="00F0472D"/>
    <w:rsid w:val="00F04D82"/>
    <w:rsid w:val="00F05FE5"/>
    <w:rsid w:val="00F06872"/>
    <w:rsid w:val="00F073C5"/>
    <w:rsid w:val="00F077C1"/>
    <w:rsid w:val="00F10AB9"/>
    <w:rsid w:val="00F11A2D"/>
    <w:rsid w:val="00F11E13"/>
    <w:rsid w:val="00F12173"/>
    <w:rsid w:val="00F12AED"/>
    <w:rsid w:val="00F137C5"/>
    <w:rsid w:val="00F15A6F"/>
    <w:rsid w:val="00F15FDB"/>
    <w:rsid w:val="00F16049"/>
    <w:rsid w:val="00F16A3B"/>
    <w:rsid w:val="00F20485"/>
    <w:rsid w:val="00F21E45"/>
    <w:rsid w:val="00F22883"/>
    <w:rsid w:val="00F23488"/>
    <w:rsid w:val="00F23969"/>
    <w:rsid w:val="00F23EC4"/>
    <w:rsid w:val="00F25576"/>
    <w:rsid w:val="00F25956"/>
    <w:rsid w:val="00F25E57"/>
    <w:rsid w:val="00F262F4"/>
    <w:rsid w:val="00F2690E"/>
    <w:rsid w:val="00F3072C"/>
    <w:rsid w:val="00F31402"/>
    <w:rsid w:val="00F31A93"/>
    <w:rsid w:val="00F330F7"/>
    <w:rsid w:val="00F33468"/>
    <w:rsid w:val="00F346A1"/>
    <w:rsid w:val="00F34CF6"/>
    <w:rsid w:val="00F34D1A"/>
    <w:rsid w:val="00F34DC8"/>
    <w:rsid w:val="00F3559D"/>
    <w:rsid w:val="00F367F4"/>
    <w:rsid w:val="00F37FC4"/>
    <w:rsid w:val="00F401B8"/>
    <w:rsid w:val="00F4168D"/>
    <w:rsid w:val="00F41EEF"/>
    <w:rsid w:val="00F4233A"/>
    <w:rsid w:val="00F4245E"/>
    <w:rsid w:val="00F42D4A"/>
    <w:rsid w:val="00F42D8A"/>
    <w:rsid w:val="00F4311D"/>
    <w:rsid w:val="00F44799"/>
    <w:rsid w:val="00F4534E"/>
    <w:rsid w:val="00F45B2B"/>
    <w:rsid w:val="00F4648C"/>
    <w:rsid w:val="00F47015"/>
    <w:rsid w:val="00F4757D"/>
    <w:rsid w:val="00F47A58"/>
    <w:rsid w:val="00F50105"/>
    <w:rsid w:val="00F50E61"/>
    <w:rsid w:val="00F51094"/>
    <w:rsid w:val="00F519B5"/>
    <w:rsid w:val="00F52DDD"/>
    <w:rsid w:val="00F535C3"/>
    <w:rsid w:val="00F544EF"/>
    <w:rsid w:val="00F54AA0"/>
    <w:rsid w:val="00F54C5D"/>
    <w:rsid w:val="00F563B1"/>
    <w:rsid w:val="00F56A50"/>
    <w:rsid w:val="00F600FB"/>
    <w:rsid w:val="00F601BB"/>
    <w:rsid w:val="00F60236"/>
    <w:rsid w:val="00F60CAA"/>
    <w:rsid w:val="00F61679"/>
    <w:rsid w:val="00F616BC"/>
    <w:rsid w:val="00F6186E"/>
    <w:rsid w:val="00F618BD"/>
    <w:rsid w:val="00F61F8B"/>
    <w:rsid w:val="00F62DD8"/>
    <w:rsid w:val="00F63156"/>
    <w:rsid w:val="00F63470"/>
    <w:rsid w:val="00F65838"/>
    <w:rsid w:val="00F66978"/>
    <w:rsid w:val="00F6768C"/>
    <w:rsid w:val="00F67A58"/>
    <w:rsid w:val="00F70EB0"/>
    <w:rsid w:val="00F72239"/>
    <w:rsid w:val="00F72502"/>
    <w:rsid w:val="00F72EB3"/>
    <w:rsid w:val="00F72EF7"/>
    <w:rsid w:val="00F73268"/>
    <w:rsid w:val="00F73D10"/>
    <w:rsid w:val="00F7446A"/>
    <w:rsid w:val="00F746AA"/>
    <w:rsid w:val="00F747D9"/>
    <w:rsid w:val="00F74D93"/>
    <w:rsid w:val="00F755E3"/>
    <w:rsid w:val="00F75600"/>
    <w:rsid w:val="00F769A3"/>
    <w:rsid w:val="00F77F9B"/>
    <w:rsid w:val="00F8062D"/>
    <w:rsid w:val="00F82859"/>
    <w:rsid w:val="00F84AF3"/>
    <w:rsid w:val="00F85B5F"/>
    <w:rsid w:val="00F8699C"/>
    <w:rsid w:val="00F869C9"/>
    <w:rsid w:val="00F86E56"/>
    <w:rsid w:val="00F876FA"/>
    <w:rsid w:val="00F922AB"/>
    <w:rsid w:val="00F9231C"/>
    <w:rsid w:val="00F92F9F"/>
    <w:rsid w:val="00F94888"/>
    <w:rsid w:val="00F956E8"/>
    <w:rsid w:val="00F96497"/>
    <w:rsid w:val="00F972ED"/>
    <w:rsid w:val="00F97B28"/>
    <w:rsid w:val="00F97D53"/>
    <w:rsid w:val="00FA05EB"/>
    <w:rsid w:val="00FA136F"/>
    <w:rsid w:val="00FA3C1B"/>
    <w:rsid w:val="00FA3CE0"/>
    <w:rsid w:val="00FA3CEC"/>
    <w:rsid w:val="00FA4C3C"/>
    <w:rsid w:val="00FA5F9B"/>
    <w:rsid w:val="00FA613F"/>
    <w:rsid w:val="00FA6266"/>
    <w:rsid w:val="00FA6A44"/>
    <w:rsid w:val="00FA6B3F"/>
    <w:rsid w:val="00FA6B50"/>
    <w:rsid w:val="00FA6B83"/>
    <w:rsid w:val="00FB0378"/>
    <w:rsid w:val="00FB03B8"/>
    <w:rsid w:val="00FB04F4"/>
    <w:rsid w:val="00FB38E6"/>
    <w:rsid w:val="00FB3E34"/>
    <w:rsid w:val="00FB50BF"/>
    <w:rsid w:val="00FB57F7"/>
    <w:rsid w:val="00FC2806"/>
    <w:rsid w:val="00FC2F24"/>
    <w:rsid w:val="00FC3666"/>
    <w:rsid w:val="00FC3772"/>
    <w:rsid w:val="00FC416E"/>
    <w:rsid w:val="00FC6AB3"/>
    <w:rsid w:val="00FC6FFF"/>
    <w:rsid w:val="00FC7953"/>
    <w:rsid w:val="00FC7E5D"/>
    <w:rsid w:val="00FD02C7"/>
    <w:rsid w:val="00FD0AF4"/>
    <w:rsid w:val="00FD1B2E"/>
    <w:rsid w:val="00FD1D05"/>
    <w:rsid w:val="00FD225F"/>
    <w:rsid w:val="00FD3087"/>
    <w:rsid w:val="00FD4456"/>
    <w:rsid w:val="00FD4C6F"/>
    <w:rsid w:val="00FD5A0E"/>
    <w:rsid w:val="00FD72ED"/>
    <w:rsid w:val="00FD786E"/>
    <w:rsid w:val="00FE1622"/>
    <w:rsid w:val="00FE1A96"/>
    <w:rsid w:val="00FE2FA8"/>
    <w:rsid w:val="00FE4D51"/>
    <w:rsid w:val="00FE5253"/>
    <w:rsid w:val="00FE56BA"/>
    <w:rsid w:val="00FE707C"/>
    <w:rsid w:val="00FE75C7"/>
    <w:rsid w:val="00FF028B"/>
    <w:rsid w:val="00FF1231"/>
    <w:rsid w:val="00FF2C58"/>
    <w:rsid w:val="00FF2DEC"/>
    <w:rsid w:val="00FF2FB8"/>
    <w:rsid w:val="00FF4502"/>
    <w:rsid w:val="00FF48B5"/>
    <w:rsid w:val="00FF5471"/>
    <w:rsid w:val="00FF5E6B"/>
    <w:rsid w:val="00FF62E6"/>
    <w:rsid w:val="00FF6840"/>
    <w:rsid w:val="00FF69DE"/>
    <w:rsid w:val="00FF71E7"/>
    <w:rsid w:val="00FF7685"/>
    <w:rsid w:val="010A4296"/>
    <w:rsid w:val="01801089"/>
    <w:rsid w:val="01934780"/>
    <w:rsid w:val="01F114B2"/>
    <w:rsid w:val="02050E32"/>
    <w:rsid w:val="022D2B29"/>
    <w:rsid w:val="022F2CE8"/>
    <w:rsid w:val="02A341FE"/>
    <w:rsid w:val="030314E1"/>
    <w:rsid w:val="03310634"/>
    <w:rsid w:val="0347296D"/>
    <w:rsid w:val="03694CE8"/>
    <w:rsid w:val="038E446B"/>
    <w:rsid w:val="03E21163"/>
    <w:rsid w:val="04017685"/>
    <w:rsid w:val="044C0C16"/>
    <w:rsid w:val="04901FFE"/>
    <w:rsid w:val="04B57D24"/>
    <w:rsid w:val="04BB4F89"/>
    <w:rsid w:val="04D65374"/>
    <w:rsid w:val="054C0F0F"/>
    <w:rsid w:val="055F4D52"/>
    <w:rsid w:val="05762876"/>
    <w:rsid w:val="05910239"/>
    <w:rsid w:val="05C61DB8"/>
    <w:rsid w:val="05D33CC8"/>
    <w:rsid w:val="05FE615E"/>
    <w:rsid w:val="06337208"/>
    <w:rsid w:val="06852487"/>
    <w:rsid w:val="06A4187D"/>
    <w:rsid w:val="06C0028B"/>
    <w:rsid w:val="06F21AED"/>
    <w:rsid w:val="071E0F8F"/>
    <w:rsid w:val="07570675"/>
    <w:rsid w:val="07804018"/>
    <w:rsid w:val="07A9433F"/>
    <w:rsid w:val="07BC33B9"/>
    <w:rsid w:val="07C6657F"/>
    <w:rsid w:val="07C90B61"/>
    <w:rsid w:val="081148B7"/>
    <w:rsid w:val="082A2C14"/>
    <w:rsid w:val="084A3E72"/>
    <w:rsid w:val="08766BA9"/>
    <w:rsid w:val="088630A8"/>
    <w:rsid w:val="08A162D5"/>
    <w:rsid w:val="08B729F0"/>
    <w:rsid w:val="091F58FB"/>
    <w:rsid w:val="094524CC"/>
    <w:rsid w:val="095E369B"/>
    <w:rsid w:val="09A32194"/>
    <w:rsid w:val="09C23160"/>
    <w:rsid w:val="0A3F616C"/>
    <w:rsid w:val="0A417B14"/>
    <w:rsid w:val="0A57690E"/>
    <w:rsid w:val="0A692EE2"/>
    <w:rsid w:val="0A6F5DFD"/>
    <w:rsid w:val="0C08083E"/>
    <w:rsid w:val="0C346B5F"/>
    <w:rsid w:val="0C6F55A5"/>
    <w:rsid w:val="0C8055BC"/>
    <w:rsid w:val="0C8A3A6C"/>
    <w:rsid w:val="0C91119E"/>
    <w:rsid w:val="0C9C3341"/>
    <w:rsid w:val="0CAB4146"/>
    <w:rsid w:val="0D1E6594"/>
    <w:rsid w:val="0D482402"/>
    <w:rsid w:val="0D4C5951"/>
    <w:rsid w:val="0DA94174"/>
    <w:rsid w:val="0DCD78E7"/>
    <w:rsid w:val="0DF523BC"/>
    <w:rsid w:val="0E5D23C6"/>
    <w:rsid w:val="0E8331B0"/>
    <w:rsid w:val="0EBA4DE5"/>
    <w:rsid w:val="0F25005A"/>
    <w:rsid w:val="0F516FE9"/>
    <w:rsid w:val="0FE567C1"/>
    <w:rsid w:val="10CA779C"/>
    <w:rsid w:val="10DE68B8"/>
    <w:rsid w:val="10EB0F6C"/>
    <w:rsid w:val="10F82500"/>
    <w:rsid w:val="12317503"/>
    <w:rsid w:val="128A21AA"/>
    <w:rsid w:val="130156A4"/>
    <w:rsid w:val="134722A7"/>
    <w:rsid w:val="13A54F2B"/>
    <w:rsid w:val="13C9073C"/>
    <w:rsid w:val="13F846A6"/>
    <w:rsid w:val="14090F84"/>
    <w:rsid w:val="140B3FE7"/>
    <w:rsid w:val="1428040D"/>
    <w:rsid w:val="14422C90"/>
    <w:rsid w:val="149F7436"/>
    <w:rsid w:val="14CA62B3"/>
    <w:rsid w:val="155C386A"/>
    <w:rsid w:val="158417ED"/>
    <w:rsid w:val="161D3591"/>
    <w:rsid w:val="1675479B"/>
    <w:rsid w:val="167F5152"/>
    <w:rsid w:val="168D1DD4"/>
    <w:rsid w:val="16D74CB7"/>
    <w:rsid w:val="172F3285"/>
    <w:rsid w:val="173E635F"/>
    <w:rsid w:val="176736A3"/>
    <w:rsid w:val="178E2C66"/>
    <w:rsid w:val="17AB3239"/>
    <w:rsid w:val="17D67EB6"/>
    <w:rsid w:val="17E96ABD"/>
    <w:rsid w:val="17F124E3"/>
    <w:rsid w:val="180764A9"/>
    <w:rsid w:val="182908EE"/>
    <w:rsid w:val="186A555C"/>
    <w:rsid w:val="18BD7D63"/>
    <w:rsid w:val="18C65941"/>
    <w:rsid w:val="18CC6CFF"/>
    <w:rsid w:val="18D80B80"/>
    <w:rsid w:val="18F759EF"/>
    <w:rsid w:val="18FA0FBB"/>
    <w:rsid w:val="19B11C7B"/>
    <w:rsid w:val="19D65B8F"/>
    <w:rsid w:val="1A060991"/>
    <w:rsid w:val="1A4947CA"/>
    <w:rsid w:val="1A7D46B1"/>
    <w:rsid w:val="1A9400E9"/>
    <w:rsid w:val="1AEE104F"/>
    <w:rsid w:val="1AF0181B"/>
    <w:rsid w:val="1B5F6217"/>
    <w:rsid w:val="1B6304EE"/>
    <w:rsid w:val="1B857A0C"/>
    <w:rsid w:val="1C3878A2"/>
    <w:rsid w:val="1C3F3472"/>
    <w:rsid w:val="1C7F0BD4"/>
    <w:rsid w:val="1CD73C95"/>
    <w:rsid w:val="1CEE7A7C"/>
    <w:rsid w:val="1D0C7EEC"/>
    <w:rsid w:val="1DEC5EE0"/>
    <w:rsid w:val="1DEE3A4E"/>
    <w:rsid w:val="1E635F26"/>
    <w:rsid w:val="1E6E4153"/>
    <w:rsid w:val="1F0F676B"/>
    <w:rsid w:val="1F63358C"/>
    <w:rsid w:val="1F661D71"/>
    <w:rsid w:val="1F6C5C18"/>
    <w:rsid w:val="1F906739"/>
    <w:rsid w:val="1FBC437F"/>
    <w:rsid w:val="20286EFB"/>
    <w:rsid w:val="20621F6A"/>
    <w:rsid w:val="20D52267"/>
    <w:rsid w:val="21214F04"/>
    <w:rsid w:val="21406CC5"/>
    <w:rsid w:val="21653C30"/>
    <w:rsid w:val="21746486"/>
    <w:rsid w:val="21B26A29"/>
    <w:rsid w:val="21BA796C"/>
    <w:rsid w:val="21C734F2"/>
    <w:rsid w:val="21DE7774"/>
    <w:rsid w:val="21EF1AB7"/>
    <w:rsid w:val="22633E61"/>
    <w:rsid w:val="22821A2E"/>
    <w:rsid w:val="22A90044"/>
    <w:rsid w:val="22D31710"/>
    <w:rsid w:val="233D6B3B"/>
    <w:rsid w:val="24263A04"/>
    <w:rsid w:val="247559AF"/>
    <w:rsid w:val="24A72E26"/>
    <w:rsid w:val="259B0F2D"/>
    <w:rsid w:val="25A41C57"/>
    <w:rsid w:val="25C40CD5"/>
    <w:rsid w:val="26457873"/>
    <w:rsid w:val="26594BFA"/>
    <w:rsid w:val="2664168A"/>
    <w:rsid w:val="26B31462"/>
    <w:rsid w:val="27546431"/>
    <w:rsid w:val="27A8326C"/>
    <w:rsid w:val="27F402CE"/>
    <w:rsid w:val="27F60843"/>
    <w:rsid w:val="280E24C6"/>
    <w:rsid w:val="285978C6"/>
    <w:rsid w:val="288371AA"/>
    <w:rsid w:val="28963B31"/>
    <w:rsid w:val="29F66E9C"/>
    <w:rsid w:val="2A0D0CC4"/>
    <w:rsid w:val="2A2F3B77"/>
    <w:rsid w:val="2A76671C"/>
    <w:rsid w:val="2A7C2F1B"/>
    <w:rsid w:val="2ABE3907"/>
    <w:rsid w:val="2ACB1537"/>
    <w:rsid w:val="2ACD2201"/>
    <w:rsid w:val="2B1157DF"/>
    <w:rsid w:val="2B591CE7"/>
    <w:rsid w:val="2B73319F"/>
    <w:rsid w:val="2BE644FA"/>
    <w:rsid w:val="2C145367"/>
    <w:rsid w:val="2C9C00E8"/>
    <w:rsid w:val="2CB756E1"/>
    <w:rsid w:val="2CBD14D7"/>
    <w:rsid w:val="2CDE1042"/>
    <w:rsid w:val="2E7A444E"/>
    <w:rsid w:val="2E8F059D"/>
    <w:rsid w:val="2E910B1B"/>
    <w:rsid w:val="2E9F484D"/>
    <w:rsid w:val="2ECD0D12"/>
    <w:rsid w:val="2ED92645"/>
    <w:rsid w:val="2EF97D19"/>
    <w:rsid w:val="2F3E0A48"/>
    <w:rsid w:val="2F8F2D66"/>
    <w:rsid w:val="2FA91B84"/>
    <w:rsid w:val="2FB559DE"/>
    <w:rsid w:val="2FF70DEE"/>
    <w:rsid w:val="30087486"/>
    <w:rsid w:val="304A1C33"/>
    <w:rsid w:val="30590093"/>
    <w:rsid w:val="30835D5B"/>
    <w:rsid w:val="3086171E"/>
    <w:rsid w:val="30A4436C"/>
    <w:rsid w:val="30AA34E4"/>
    <w:rsid w:val="30DD172E"/>
    <w:rsid w:val="30EA2A97"/>
    <w:rsid w:val="310E567C"/>
    <w:rsid w:val="31A00D70"/>
    <w:rsid w:val="31C964AA"/>
    <w:rsid w:val="31F868EB"/>
    <w:rsid w:val="326D42F9"/>
    <w:rsid w:val="32E669A9"/>
    <w:rsid w:val="32F9163D"/>
    <w:rsid w:val="32FE389F"/>
    <w:rsid w:val="336A6E0F"/>
    <w:rsid w:val="33B63FF4"/>
    <w:rsid w:val="33BA1D7C"/>
    <w:rsid w:val="33D34CC4"/>
    <w:rsid w:val="33D51D5B"/>
    <w:rsid w:val="353C05EA"/>
    <w:rsid w:val="36034887"/>
    <w:rsid w:val="363B41C8"/>
    <w:rsid w:val="36DB4E56"/>
    <w:rsid w:val="3700570C"/>
    <w:rsid w:val="377247E0"/>
    <w:rsid w:val="37EB2263"/>
    <w:rsid w:val="37EE61A7"/>
    <w:rsid w:val="384C6C4A"/>
    <w:rsid w:val="38784E98"/>
    <w:rsid w:val="38D74D83"/>
    <w:rsid w:val="390F64AB"/>
    <w:rsid w:val="391F123D"/>
    <w:rsid w:val="39251070"/>
    <w:rsid w:val="395613DC"/>
    <w:rsid w:val="3A000D3C"/>
    <w:rsid w:val="3A2B6F44"/>
    <w:rsid w:val="3A533183"/>
    <w:rsid w:val="3A7141B6"/>
    <w:rsid w:val="3A74333E"/>
    <w:rsid w:val="3ACC1E5B"/>
    <w:rsid w:val="3B616CCC"/>
    <w:rsid w:val="3B844B5E"/>
    <w:rsid w:val="3BA5470D"/>
    <w:rsid w:val="3C4E1849"/>
    <w:rsid w:val="3CAA3689"/>
    <w:rsid w:val="3CAD0D0D"/>
    <w:rsid w:val="3DA95FC0"/>
    <w:rsid w:val="3E0508F7"/>
    <w:rsid w:val="3E4A249A"/>
    <w:rsid w:val="3EDB32E2"/>
    <w:rsid w:val="3F8716B2"/>
    <w:rsid w:val="3FD268CC"/>
    <w:rsid w:val="3FD80270"/>
    <w:rsid w:val="3FFE4E6A"/>
    <w:rsid w:val="40292C3D"/>
    <w:rsid w:val="403D0215"/>
    <w:rsid w:val="40C62D78"/>
    <w:rsid w:val="40D32569"/>
    <w:rsid w:val="41146357"/>
    <w:rsid w:val="41A42C70"/>
    <w:rsid w:val="41B82AEA"/>
    <w:rsid w:val="41C72A84"/>
    <w:rsid w:val="41E20259"/>
    <w:rsid w:val="42012B90"/>
    <w:rsid w:val="421557BE"/>
    <w:rsid w:val="42615523"/>
    <w:rsid w:val="42A143F6"/>
    <w:rsid w:val="4302313A"/>
    <w:rsid w:val="43466F66"/>
    <w:rsid w:val="436973A5"/>
    <w:rsid w:val="43C31F9B"/>
    <w:rsid w:val="43F14D5A"/>
    <w:rsid w:val="44AA1B41"/>
    <w:rsid w:val="44AE0BF1"/>
    <w:rsid w:val="44D65739"/>
    <w:rsid w:val="450E3AAC"/>
    <w:rsid w:val="454B0C0F"/>
    <w:rsid w:val="456E5DBD"/>
    <w:rsid w:val="457A1019"/>
    <w:rsid w:val="457B1A80"/>
    <w:rsid w:val="458C604B"/>
    <w:rsid w:val="459C023B"/>
    <w:rsid w:val="459E2BFC"/>
    <w:rsid w:val="45DF5F71"/>
    <w:rsid w:val="46707FCF"/>
    <w:rsid w:val="46AC1BCF"/>
    <w:rsid w:val="475662A7"/>
    <w:rsid w:val="475D024C"/>
    <w:rsid w:val="47687346"/>
    <w:rsid w:val="47A54B51"/>
    <w:rsid w:val="47EB7F17"/>
    <w:rsid w:val="47F46BC7"/>
    <w:rsid w:val="481700D5"/>
    <w:rsid w:val="485A2CF2"/>
    <w:rsid w:val="48925EE8"/>
    <w:rsid w:val="48A13823"/>
    <w:rsid w:val="48BF756E"/>
    <w:rsid w:val="48FE0247"/>
    <w:rsid w:val="490D6F34"/>
    <w:rsid w:val="49437E06"/>
    <w:rsid w:val="49630E35"/>
    <w:rsid w:val="49872C0C"/>
    <w:rsid w:val="49DA7E54"/>
    <w:rsid w:val="4A2D202B"/>
    <w:rsid w:val="4AA469B1"/>
    <w:rsid w:val="4AA944E8"/>
    <w:rsid w:val="4AC94967"/>
    <w:rsid w:val="4B10340A"/>
    <w:rsid w:val="4B7B5592"/>
    <w:rsid w:val="4C0F15A4"/>
    <w:rsid w:val="4C471B6B"/>
    <w:rsid w:val="4C4B55F2"/>
    <w:rsid w:val="4C51283A"/>
    <w:rsid w:val="4CA61EC2"/>
    <w:rsid w:val="4CB338E3"/>
    <w:rsid w:val="4D0A16B4"/>
    <w:rsid w:val="4DA279C5"/>
    <w:rsid w:val="4E604A75"/>
    <w:rsid w:val="4E6F6466"/>
    <w:rsid w:val="4E711440"/>
    <w:rsid w:val="4E826D15"/>
    <w:rsid w:val="4EEB0D78"/>
    <w:rsid w:val="4F196072"/>
    <w:rsid w:val="4FAC2A13"/>
    <w:rsid w:val="4FE806B2"/>
    <w:rsid w:val="502849E4"/>
    <w:rsid w:val="5034209C"/>
    <w:rsid w:val="51071719"/>
    <w:rsid w:val="51083FF6"/>
    <w:rsid w:val="519D4F09"/>
    <w:rsid w:val="51A70164"/>
    <w:rsid w:val="5218720A"/>
    <w:rsid w:val="527C6058"/>
    <w:rsid w:val="527E3F53"/>
    <w:rsid w:val="53F33DFC"/>
    <w:rsid w:val="54637CAE"/>
    <w:rsid w:val="549459BA"/>
    <w:rsid w:val="54F669A1"/>
    <w:rsid w:val="55546EF7"/>
    <w:rsid w:val="557065BE"/>
    <w:rsid w:val="55CE57AC"/>
    <w:rsid w:val="55EA462A"/>
    <w:rsid w:val="56146714"/>
    <w:rsid w:val="565B55F8"/>
    <w:rsid w:val="57C37D2C"/>
    <w:rsid w:val="582242F2"/>
    <w:rsid w:val="58594009"/>
    <w:rsid w:val="58D04AE7"/>
    <w:rsid w:val="590F6FED"/>
    <w:rsid w:val="5915074C"/>
    <w:rsid w:val="59631965"/>
    <w:rsid w:val="59BC2041"/>
    <w:rsid w:val="59CB6A71"/>
    <w:rsid w:val="59EF5441"/>
    <w:rsid w:val="59F50A95"/>
    <w:rsid w:val="59FE5639"/>
    <w:rsid w:val="5A634D31"/>
    <w:rsid w:val="5A956D77"/>
    <w:rsid w:val="5A977FB2"/>
    <w:rsid w:val="5A9E1FFE"/>
    <w:rsid w:val="5AA47987"/>
    <w:rsid w:val="5AE00C03"/>
    <w:rsid w:val="5B26726A"/>
    <w:rsid w:val="5B6969DE"/>
    <w:rsid w:val="5B9A4053"/>
    <w:rsid w:val="5B9C576D"/>
    <w:rsid w:val="5BD51E1B"/>
    <w:rsid w:val="5BE9166C"/>
    <w:rsid w:val="5C0E3B5D"/>
    <w:rsid w:val="5C4D246E"/>
    <w:rsid w:val="5C58107B"/>
    <w:rsid w:val="5CA879AE"/>
    <w:rsid w:val="5CD825E6"/>
    <w:rsid w:val="5D32070B"/>
    <w:rsid w:val="5D585DDF"/>
    <w:rsid w:val="5DA41E70"/>
    <w:rsid w:val="5DBD68B1"/>
    <w:rsid w:val="5DD1786F"/>
    <w:rsid w:val="5E222DC2"/>
    <w:rsid w:val="5E8128CE"/>
    <w:rsid w:val="5E9C4D73"/>
    <w:rsid w:val="5EB94577"/>
    <w:rsid w:val="5ED719AD"/>
    <w:rsid w:val="5ED93768"/>
    <w:rsid w:val="5EE138B5"/>
    <w:rsid w:val="5F011ECE"/>
    <w:rsid w:val="5F101560"/>
    <w:rsid w:val="5F6E4742"/>
    <w:rsid w:val="5FCD58FA"/>
    <w:rsid w:val="604D58DF"/>
    <w:rsid w:val="60E966BB"/>
    <w:rsid w:val="61456192"/>
    <w:rsid w:val="616C2714"/>
    <w:rsid w:val="61753792"/>
    <w:rsid w:val="6185692E"/>
    <w:rsid w:val="61B60B4C"/>
    <w:rsid w:val="62016CC9"/>
    <w:rsid w:val="622E4B00"/>
    <w:rsid w:val="62531F13"/>
    <w:rsid w:val="62537515"/>
    <w:rsid w:val="625513D2"/>
    <w:rsid w:val="62750D97"/>
    <w:rsid w:val="629A312D"/>
    <w:rsid w:val="630C3B9F"/>
    <w:rsid w:val="630F1AED"/>
    <w:rsid w:val="633F4355"/>
    <w:rsid w:val="642F1040"/>
    <w:rsid w:val="6457322E"/>
    <w:rsid w:val="64775CE1"/>
    <w:rsid w:val="64AE6E2A"/>
    <w:rsid w:val="65143D9E"/>
    <w:rsid w:val="65A17F37"/>
    <w:rsid w:val="65C25BED"/>
    <w:rsid w:val="65C77A9C"/>
    <w:rsid w:val="65DF1E70"/>
    <w:rsid w:val="65EA5AD8"/>
    <w:rsid w:val="65F32392"/>
    <w:rsid w:val="65F71A54"/>
    <w:rsid w:val="6656030A"/>
    <w:rsid w:val="665C40F7"/>
    <w:rsid w:val="666B3A13"/>
    <w:rsid w:val="66C81775"/>
    <w:rsid w:val="675C2991"/>
    <w:rsid w:val="67657D3C"/>
    <w:rsid w:val="67680725"/>
    <w:rsid w:val="676D0872"/>
    <w:rsid w:val="67DD6742"/>
    <w:rsid w:val="68082FFE"/>
    <w:rsid w:val="68683ABD"/>
    <w:rsid w:val="686C06F1"/>
    <w:rsid w:val="68C54D4A"/>
    <w:rsid w:val="68E51AAC"/>
    <w:rsid w:val="694A5A73"/>
    <w:rsid w:val="69930272"/>
    <w:rsid w:val="69AC1D70"/>
    <w:rsid w:val="69C064CB"/>
    <w:rsid w:val="6A1B5CDB"/>
    <w:rsid w:val="6AB862F2"/>
    <w:rsid w:val="6B3509EA"/>
    <w:rsid w:val="6BA94088"/>
    <w:rsid w:val="6BC917A0"/>
    <w:rsid w:val="6BFF5BFF"/>
    <w:rsid w:val="6C2B7957"/>
    <w:rsid w:val="6C6C0DF7"/>
    <w:rsid w:val="6CD1197E"/>
    <w:rsid w:val="6D032BDC"/>
    <w:rsid w:val="6D5A617D"/>
    <w:rsid w:val="6E040DD3"/>
    <w:rsid w:val="6E936D20"/>
    <w:rsid w:val="6EAC31B5"/>
    <w:rsid w:val="6EB5235D"/>
    <w:rsid w:val="6F214CBC"/>
    <w:rsid w:val="6F33400A"/>
    <w:rsid w:val="6F70721B"/>
    <w:rsid w:val="6F8E0A03"/>
    <w:rsid w:val="6FB74CA1"/>
    <w:rsid w:val="6FF56E7C"/>
    <w:rsid w:val="701030D0"/>
    <w:rsid w:val="703D386D"/>
    <w:rsid w:val="704716DB"/>
    <w:rsid w:val="705A56A8"/>
    <w:rsid w:val="70D67E9B"/>
    <w:rsid w:val="70F132A7"/>
    <w:rsid w:val="7106333C"/>
    <w:rsid w:val="718F1A90"/>
    <w:rsid w:val="71E92B37"/>
    <w:rsid w:val="722A5FB4"/>
    <w:rsid w:val="727B78C9"/>
    <w:rsid w:val="72970802"/>
    <w:rsid w:val="72A6599C"/>
    <w:rsid w:val="72BE15B4"/>
    <w:rsid w:val="72D85BC6"/>
    <w:rsid w:val="73163B14"/>
    <w:rsid w:val="732E2D56"/>
    <w:rsid w:val="74574405"/>
    <w:rsid w:val="74A57892"/>
    <w:rsid w:val="74D851CE"/>
    <w:rsid w:val="750E78C0"/>
    <w:rsid w:val="752F7D07"/>
    <w:rsid w:val="7552767D"/>
    <w:rsid w:val="7572075F"/>
    <w:rsid w:val="75AF6FDF"/>
    <w:rsid w:val="75BA62A6"/>
    <w:rsid w:val="760043B1"/>
    <w:rsid w:val="765E2164"/>
    <w:rsid w:val="766B6FF1"/>
    <w:rsid w:val="76762026"/>
    <w:rsid w:val="76AE4C7B"/>
    <w:rsid w:val="775036E9"/>
    <w:rsid w:val="776A217B"/>
    <w:rsid w:val="776D5176"/>
    <w:rsid w:val="77C30FA8"/>
    <w:rsid w:val="77CC755D"/>
    <w:rsid w:val="77E14E03"/>
    <w:rsid w:val="77EA4CD9"/>
    <w:rsid w:val="77EE466B"/>
    <w:rsid w:val="781939B0"/>
    <w:rsid w:val="789316AC"/>
    <w:rsid w:val="790D733E"/>
    <w:rsid w:val="79191A0B"/>
    <w:rsid w:val="79322B56"/>
    <w:rsid w:val="79476DE8"/>
    <w:rsid w:val="79F35371"/>
    <w:rsid w:val="7B05789E"/>
    <w:rsid w:val="7B2B1D2B"/>
    <w:rsid w:val="7B8942A3"/>
    <w:rsid w:val="7C3516F7"/>
    <w:rsid w:val="7C5A2BCE"/>
    <w:rsid w:val="7C5B18B7"/>
    <w:rsid w:val="7C600B58"/>
    <w:rsid w:val="7CBB76D8"/>
    <w:rsid w:val="7CDD0E14"/>
    <w:rsid w:val="7D1D6217"/>
    <w:rsid w:val="7D58168A"/>
    <w:rsid w:val="7D5F7D2D"/>
    <w:rsid w:val="7D6E3CA2"/>
    <w:rsid w:val="7DBB3BAF"/>
    <w:rsid w:val="7DC53D1B"/>
    <w:rsid w:val="7E4915E1"/>
    <w:rsid w:val="7E5848F3"/>
    <w:rsid w:val="7E7959CD"/>
    <w:rsid w:val="7EB40586"/>
    <w:rsid w:val="7EC80DC3"/>
    <w:rsid w:val="7EE12CFA"/>
    <w:rsid w:val="7F3366EF"/>
    <w:rsid w:val="7F49654A"/>
    <w:rsid w:val="7F4B4A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黑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nhideWhenUsed="0" w:uiPriority="0" w:semiHidden="0" w:name="caption"/>
    <w:lsdException w:qFormat="1" w:uiPriority="0" w:semiHidden="0" w:name="table of figures"/>
    <w:lsdException w:unhideWhenUsed="0" w:uiPriority="0" w:semiHidden="0" w:name="envelope address"/>
    <w:lsdException w:qFormat="1" w:unhideWhenUsed="0" w:uiPriority="0" w:semiHidden="0" w:name="envelope return"/>
    <w:lsdException w:qFormat="1"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99" w:semiHidden="0" w:name="endnote text"/>
    <w:lsdException w:unhideWhenUsed="0" w:uiPriority="0" w:semiHidden="0" w:name="table of authorities"/>
    <w:lsdException w:qFormat="1" w:unhideWhenUsed="0" w:uiPriority="0" w:semiHidden="0" w:name="macro"/>
    <w:lsdException w:qFormat="1" w:unhideWhenUsed="0" w:uiPriority="0" w:semiHidden="0" w:name="toa heading"/>
    <w:lsdException w:qFormat="1" w:uiPriority="0" w:semiHidden="0" w:name="List"/>
    <w:lsdException w:qFormat="1" w:uiPriority="0" w:semiHidden="0" w:name="List Bullet"/>
    <w:lsdException w:qFormat="1" w:uiPriority="0" w:semiHidden="0" w:name="List Number"/>
    <w:lsdException w:qFormat="1" w:uiPriority="0" w:semiHidden="0" w:name="List 2"/>
    <w:lsdException w:qFormat="1" w:uiPriority="0" w:semiHidden="0" w:name="List 3"/>
    <w:lsdException w:qFormat="1" w:uiPriority="0" w:semiHidden="0" w:name="List 4"/>
    <w:lsdException w:qFormat="1" w:uiPriority="0" w:semiHidden="0" w:name="List 5"/>
    <w:lsdException w:qFormat="1" w:uiPriority="0" w:semiHidden="0" w:name="List Bullet 2"/>
    <w:lsdException w:qFormat="1" w:uiPriority="0" w:semiHidden="0" w:name="List Bullet 3"/>
    <w:lsdException w:qFormat="1" w:uiPriority="0" w:semiHidden="0" w:name="List Bullet 4"/>
    <w:lsdException w:unhideWhenUsed="0" w:uiPriority="0" w:semiHidden="0" w:name="List Bullet 5"/>
    <w:lsdException w:qFormat="1"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qFormat="1" w:unhideWhenUsed="0" w:uiPriority="0" w:semiHidden="0" w:name="Signature"/>
    <w:lsdException w:uiPriority="1" w:name="Default Paragraph Font"/>
    <w:lsdException w:qFormat="1" w:unhideWhenUsed="0" w:uiPriority="99"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99" w:semiHidden="0" w:name="Body Text 2"/>
    <w:lsdException w:qFormat="1" w:unhideWhenUsed="0" w:uiPriority="99" w:semiHidden="0" w:name="Body Text 3"/>
    <w:lsdException w:qFormat="1" w:unhideWhenUsed="0" w:uiPriority="99" w:semiHidden="0" w:name="Body Text Indent 2"/>
    <w:lsdException w:qFormat="1" w:unhideWhenUsed="0" w:uiPriority="99"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qFormat="1" w:unhideWhenUsed="0" w:uiPriority="0" w:semiHidden="0" w:name="HTML Code"/>
    <w:lsdException w:qFormat="1" w:unhideWhenUsed="0" w:uiPriority="0" w:semiHidden="0" w:name="HTML Definition"/>
    <w:lsdException w:qFormat="1" w:unhideWhenUsed="0" w:uiPriority="0" w:semiHidden="0" w:name="HTML Keyboard"/>
    <w:lsdException w:qFormat="1" w:unhideWhenUsed="0" w:uiPriority="0" w:semiHidden="0" w:name="HTML Preformatted"/>
    <w:lsdException w:qFormat="1"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99"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黑体" w:cs="Times New Roman"/>
      <w:kern w:val="2"/>
      <w:sz w:val="21"/>
      <w:szCs w:val="24"/>
      <w:lang w:val="en-US" w:eastAsia="zh-CN" w:bidi="ar-SA"/>
    </w:rPr>
  </w:style>
  <w:style w:type="paragraph" w:styleId="4">
    <w:name w:val="heading 1"/>
    <w:basedOn w:val="1"/>
    <w:next w:val="1"/>
    <w:link w:val="270"/>
    <w:qFormat/>
    <w:uiPriority w:val="0"/>
    <w:pPr>
      <w:keepNext/>
      <w:keepLines/>
      <w:spacing w:before="340" w:after="330" w:line="576" w:lineRule="auto"/>
      <w:outlineLvl w:val="0"/>
    </w:pPr>
    <w:rPr>
      <w:rFonts w:hint="eastAsia" w:ascii="宋体" w:hAnsi="宋体"/>
      <w:b/>
      <w:kern w:val="44"/>
      <w:sz w:val="44"/>
      <w:szCs w:val="44"/>
    </w:rPr>
  </w:style>
  <w:style w:type="paragraph" w:styleId="5">
    <w:name w:val="heading 2"/>
    <w:basedOn w:val="1"/>
    <w:next w:val="1"/>
    <w:link w:val="136"/>
    <w:qFormat/>
    <w:uiPriority w:val="0"/>
    <w:pPr>
      <w:keepNext/>
      <w:keepLines/>
      <w:spacing w:before="260" w:after="260" w:line="412" w:lineRule="auto"/>
      <w:outlineLvl w:val="1"/>
    </w:pPr>
    <w:rPr>
      <w:rFonts w:ascii="Arial" w:hAnsi="Arial"/>
      <w:b/>
      <w:kern w:val="0"/>
      <w:sz w:val="32"/>
      <w:szCs w:val="32"/>
    </w:rPr>
  </w:style>
  <w:style w:type="paragraph" w:styleId="6">
    <w:name w:val="heading 3"/>
    <w:basedOn w:val="1"/>
    <w:next w:val="1"/>
    <w:link w:val="108"/>
    <w:qFormat/>
    <w:uiPriority w:val="0"/>
    <w:pPr>
      <w:keepNext/>
      <w:keepLines/>
      <w:spacing w:before="260" w:after="260" w:line="412" w:lineRule="auto"/>
      <w:ind w:firstLine="137" w:firstLineChars="49"/>
      <w:outlineLvl w:val="2"/>
    </w:pPr>
    <w:rPr>
      <w:rFonts w:hint="eastAsia" w:ascii="黑体" w:hAnsi="宋体"/>
      <w:bCs/>
      <w:kern w:val="0"/>
      <w:sz w:val="28"/>
      <w:szCs w:val="28"/>
    </w:rPr>
  </w:style>
  <w:style w:type="paragraph" w:styleId="2">
    <w:name w:val="heading 4"/>
    <w:basedOn w:val="1"/>
    <w:next w:val="1"/>
    <w:link w:val="233"/>
    <w:qFormat/>
    <w:uiPriority w:val="0"/>
    <w:pPr>
      <w:keepNext/>
      <w:keepLines/>
      <w:spacing w:before="280" w:after="290" w:line="372" w:lineRule="auto"/>
      <w:outlineLvl w:val="3"/>
    </w:pPr>
    <w:rPr>
      <w:rFonts w:ascii="Arial" w:hAnsi="Arial"/>
      <w:b/>
      <w:kern w:val="0"/>
      <w:sz w:val="28"/>
      <w:szCs w:val="28"/>
    </w:rPr>
  </w:style>
  <w:style w:type="paragraph" w:styleId="7">
    <w:name w:val="heading 5"/>
    <w:basedOn w:val="1"/>
    <w:next w:val="1"/>
    <w:link w:val="106"/>
    <w:qFormat/>
    <w:uiPriority w:val="0"/>
    <w:pPr>
      <w:keepNext/>
      <w:keepLines/>
      <w:spacing w:before="280" w:after="290" w:line="372" w:lineRule="auto"/>
      <w:outlineLvl w:val="4"/>
    </w:pPr>
    <w:rPr>
      <w:rFonts w:ascii="Arial" w:hAnsi="Arial"/>
      <w:b/>
      <w:color w:val="000000"/>
      <w:kern w:val="0"/>
      <w:sz w:val="24"/>
    </w:rPr>
  </w:style>
  <w:style w:type="paragraph" w:styleId="8">
    <w:name w:val="heading 6"/>
    <w:basedOn w:val="1"/>
    <w:next w:val="1"/>
    <w:link w:val="147"/>
    <w:qFormat/>
    <w:uiPriority w:val="0"/>
    <w:pPr>
      <w:keepNext/>
      <w:keepLines/>
      <w:spacing w:before="240" w:after="64" w:line="317" w:lineRule="auto"/>
      <w:outlineLvl w:val="5"/>
    </w:pPr>
    <w:rPr>
      <w:rFonts w:ascii="Arial" w:hAnsi="Arial"/>
      <w:b/>
      <w:kern w:val="0"/>
      <w:sz w:val="24"/>
    </w:rPr>
  </w:style>
  <w:style w:type="paragraph" w:styleId="9">
    <w:name w:val="heading 7"/>
    <w:basedOn w:val="1"/>
    <w:next w:val="1"/>
    <w:link w:val="171"/>
    <w:qFormat/>
    <w:uiPriority w:val="0"/>
    <w:pPr>
      <w:keepNext/>
      <w:keepLines/>
      <w:spacing w:before="240" w:after="64" w:line="317" w:lineRule="auto"/>
      <w:outlineLvl w:val="6"/>
    </w:pPr>
    <w:rPr>
      <w:rFonts w:hint="eastAsia" w:ascii="宋体" w:hAnsi="宋体"/>
      <w:b/>
      <w:kern w:val="0"/>
      <w:sz w:val="24"/>
    </w:rPr>
  </w:style>
  <w:style w:type="paragraph" w:styleId="10">
    <w:name w:val="heading 8"/>
    <w:basedOn w:val="1"/>
    <w:next w:val="1"/>
    <w:link w:val="151"/>
    <w:qFormat/>
    <w:uiPriority w:val="0"/>
    <w:pPr>
      <w:keepNext/>
      <w:keepLines/>
      <w:spacing w:before="240" w:after="64" w:line="317" w:lineRule="auto"/>
      <w:outlineLvl w:val="7"/>
    </w:pPr>
    <w:rPr>
      <w:rFonts w:ascii="Arial" w:hAnsi="Arial"/>
      <w:kern w:val="0"/>
      <w:sz w:val="24"/>
    </w:rPr>
  </w:style>
  <w:style w:type="paragraph" w:styleId="11">
    <w:name w:val="heading 9"/>
    <w:basedOn w:val="1"/>
    <w:next w:val="1"/>
    <w:link w:val="207"/>
    <w:qFormat/>
    <w:uiPriority w:val="0"/>
    <w:pPr>
      <w:keepNext/>
      <w:keepLines/>
      <w:spacing w:before="240" w:after="64" w:line="317" w:lineRule="auto"/>
      <w:outlineLvl w:val="8"/>
    </w:pPr>
    <w:rPr>
      <w:rFonts w:ascii="Arial" w:hAnsi="Arial"/>
      <w:kern w:val="0"/>
      <w:sz w:val="20"/>
      <w:szCs w:val="21"/>
    </w:rPr>
  </w:style>
  <w:style w:type="character" w:default="1" w:styleId="64">
    <w:name w:val="Default Paragraph Font"/>
    <w:semiHidden/>
    <w:unhideWhenUsed/>
    <w:uiPriority w:val="1"/>
  </w:style>
  <w:style w:type="table" w:default="1" w:styleId="62">
    <w:name w:val="Normal Table"/>
    <w:semiHidden/>
    <w:unhideWhenUsed/>
    <w:uiPriority w:val="99"/>
    <w:tblPr>
      <w:tblCellMar>
        <w:top w:w="0" w:type="dxa"/>
        <w:left w:w="108" w:type="dxa"/>
        <w:bottom w:w="0" w:type="dxa"/>
        <w:right w:w="108" w:type="dxa"/>
      </w:tblCellMar>
    </w:tblPr>
  </w:style>
  <w:style w:type="paragraph" w:styleId="3">
    <w:name w:val="macro"/>
    <w:link w:val="247"/>
    <w:qFormat/>
    <w:uiPriority w:val="0"/>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eastAsia="黑体" w:cs="Times New Roman"/>
      <w:kern w:val="2"/>
      <w:sz w:val="24"/>
      <w:lang w:val="en-US" w:eastAsia="zh-CN" w:bidi="ar-SA"/>
    </w:rPr>
  </w:style>
  <w:style w:type="paragraph" w:styleId="12">
    <w:name w:val="List 3"/>
    <w:basedOn w:val="1"/>
    <w:unhideWhenUsed/>
    <w:qFormat/>
    <w:uiPriority w:val="0"/>
    <w:pPr>
      <w:adjustRightInd w:val="0"/>
      <w:spacing w:line="312" w:lineRule="atLeast"/>
      <w:ind w:left="100" w:leftChars="400" w:hanging="200" w:hangingChars="200"/>
    </w:pPr>
    <w:rPr>
      <w:kern w:val="0"/>
      <w:szCs w:val="20"/>
    </w:rPr>
  </w:style>
  <w:style w:type="paragraph" w:styleId="13">
    <w:name w:val="toc 7"/>
    <w:basedOn w:val="1"/>
    <w:next w:val="1"/>
    <w:qFormat/>
    <w:uiPriority w:val="39"/>
    <w:pPr>
      <w:ind w:left="1260"/>
      <w:jc w:val="left"/>
    </w:pPr>
    <w:rPr>
      <w:sz w:val="18"/>
      <w:szCs w:val="18"/>
    </w:rPr>
  </w:style>
  <w:style w:type="paragraph" w:styleId="14">
    <w:name w:val="List Number 2"/>
    <w:basedOn w:val="1"/>
    <w:qFormat/>
    <w:uiPriority w:val="0"/>
    <w:pPr>
      <w:tabs>
        <w:tab w:val="left" w:pos="960"/>
      </w:tabs>
      <w:ind w:left="960" w:hanging="465"/>
    </w:pPr>
    <w:rPr>
      <w:szCs w:val="20"/>
    </w:rPr>
  </w:style>
  <w:style w:type="paragraph" w:styleId="15">
    <w:name w:val="List Bullet 4"/>
    <w:basedOn w:val="1"/>
    <w:unhideWhenUsed/>
    <w:qFormat/>
    <w:uiPriority w:val="0"/>
    <w:pPr>
      <w:tabs>
        <w:tab w:val="left" w:pos="1620"/>
      </w:tabs>
    </w:pPr>
    <w:rPr>
      <w:szCs w:val="20"/>
    </w:rPr>
  </w:style>
  <w:style w:type="paragraph" w:styleId="16">
    <w:name w:val="List Number"/>
    <w:basedOn w:val="1"/>
    <w:unhideWhenUsed/>
    <w:qFormat/>
    <w:uiPriority w:val="0"/>
    <w:pPr>
      <w:adjustRightInd w:val="0"/>
      <w:spacing w:line="360" w:lineRule="auto"/>
      <w:ind w:left="850" w:hanging="425"/>
    </w:pPr>
    <w:rPr>
      <w:color w:val="000000"/>
      <w:kern w:val="0"/>
      <w:szCs w:val="20"/>
    </w:rPr>
  </w:style>
  <w:style w:type="paragraph" w:styleId="17">
    <w:name w:val="Normal Indent"/>
    <w:basedOn w:val="1"/>
    <w:link w:val="114"/>
    <w:qFormat/>
    <w:uiPriority w:val="0"/>
    <w:pPr>
      <w:ind w:firstLine="420" w:firstLineChars="200"/>
    </w:pPr>
  </w:style>
  <w:style w:type="paragraph" w:styleId="18">
    <w:name w:val="caption"/>
    <w:basedOn w:val="1"/>
    <w:next w:val="1"/>
    <w:qFormat/>
    <w:uiPriority w:val="0"/>
    <w:pPr>
      <w:adjustRightInd w:val="0"/>
      <w:spacing w:line="312" w:lineRule="atLeast"/>
    </w:pPr>
    <w:rPr>
      <w:rFonts w:ascii="Arial" w:hAnsi="Arial" w:cs="Arial"/>
      <w:kern w:val="0"/>
      <w:sz w:val="20"/>
      <w:szCs w:val="20"/>
    </w:rPr>
  </w:style>
  <w:style w:type="paragraph" w:styleId="19">
    <w:name w:val="List Bullet"/>
    <w:basedOn w:val="1"/>
    <w:unhideWhenUsed/>
    <w:qFormat/>
    <w:uiPriority w:val="0"/>
    <w:pPr>
      <w:ind w:left="567" w:hanging="279"/>
    </w:pPr>
  </w:style>
  <w:style w:type="paragraph" w:styleId="20">
    <w:name w:val="Document Map"/>
    <w:basedOn w:val="1"/>
    <w:link w:val="265"/>
    <w:qFormat/>
    <w:uiPriority w:val="0"/>
    <w:pPr>
      <w:shd w:val="clear" w:color="auto" w:fill="000080"/>
    </w:pPr>
    <w:rPr>
      <w:kern w:val="0"/>
      <w:sz w:val="20"/>
    </w:rPr>
  </w:style>
  <w:style w:type="paragraph" w:styleId="21">
    <w:name w:val="toa heading"/>
    <w:basedOn w:val="1"/>
    <w:next w:val="1"/>
    <w:qFormat/>
    <w:uiPriority w:val="0"/>
    <w:pPr>
      <w:autoSpaceDE w:val="0"/>
      <w:autoSpaceDN w:val="0"/>
      <w:adjustRightInd w:val="0"/>
      <w:snapToGrid w:val="0"/>
      <w:spacing w:before="120" w:line="360" w:lineRule="auto"/>
    </w:pPr>
    <w:rPr>
      <w:rFonts w:ascii="Arial" w:hAnsi="Arial"/>
      <w:snapToGrid w:val="0"/>
      <w:color w:val="000000"/>
      <w:kern w:val="0"/>
      <w:szCs w:val="20"/>
    </w:rPr>
  </w:style>
  <w:style w:type="paragraph" w:styleId="22">
    <w:name w:val="annotation text"/>
    <w:basedOn w:val="1"/>
    <w:link w:val="269"/>
    <w:qFormat/>
    <w:uiPriority w:val="0"/>
    <w:pPr>
      <w:jc w:val="left"/>
    </w:pPr>
    <w:rPr>
      <w:kern w:val="0"/>
      <w:sz w:val="20"/>
    </w:rPr>
  </w:style>
  <w:style w:type="paragraph" w:styleId="23">
    <w:name w:val="Body Text 3"/>
    <w:basedOn w:val="1"/>
    <w:link w:val="96"/>
    <w:qFormat/>
    <w:uiPriority w:val="99"/>
    <w:rPr>
      <w:rFonts w:hint="eastAsia" w:ascii="宋体" w:hAnsi="宋体"/>
      <w:kern w:val="0"/>
      <w:sz w:val="24"/>
      <w:szCs w:val="20"/>
    </w:rPr>
  </w:style>
  <w:style w:type="paragraph" w:styleId="24">
    <w:name w:val="List Bullet 3"/>
    <w:basedOn w:val="1"/>
    <w:unhideWhenUsed/>
    <w:qFormat/>
    <w:uiPriority w:val="0"/>
    <w:pPr>
      <w:tabs>
        <w:tab w:val="left" w:pos="1200"/>
      </w:tabs>
    </w:pPr>
    <w:rPr>
      <w:szCs w:val="20"/>
    </w:rPr>
  </w:style>
  <w:style w:type="paragraph" w:styleId="25">
    <w:name w:val="Body Text"/>
    <w:basedOn w:val="1"/>
    <w:link w:val="259"/>
    <w:qFormat/>
    <w:uiPriority w:val="99"/>
    <w:pPr>
      <w:spacing w:after="120"/>
    </w:pPr>
    <w:rPr>
      <w:rFonts w:hint="eastAsia" w:ascii="宋体" w:hAnsi="宋体"/>
      <w:szCs w:val="22"/>
    </w:rPr>
  </w:style>
  <w:style w:type="paragraph" w:styleId="26">
    <w:name w:val="Body Text Indent"/>
    <w:basedOn w:val="1"/>
    <w:next w:val="27"/>
    <w:link w:val="221"/>
    <w:qFormat/>
    <w:uiPriority w:val="99"/>
    <w:pPr>
      <w:spacing w:after="120"/>
      <w:ind w:left="420" w:leftChars="200"/>
    </w:pPr>
    <w:rPr>
      <w:rFonts w:hint="eastAsia" w:ascii="宋体" w:hAnsi="宋体"/>
      <w:szCs w:val="22"/>
    </w:rPr>
  </w:style>
  <w:style w:type="paragraph" w:styleId="27">
    <w:name w:val="envelope return"/>
    <w:basedOn w:val="1"/>
    <w:qFormat/>
    <w:uiPriority w:val="0"/>
    <w:pPr>
      <w:snapToGrid w:val="0"/>
    </w:pPr>
    <w:rPr>
      <w:rFonts w:ascii="Arial" w:hAnsi="Arial" w:eastAsia="宋体"/>
    </w:rPr>
  </w:style>
  <w:style w:type="paragraph" w:styleId="28">
    <w:name w:val="List 2"/>
    <w:basedOn w:val="1"/>
    <w:unhideWhenUsed/>
    <w:qFormat/>
    <w:uiPriority w:val="0"/>
    <w:pPr>
      <w:ind w:left="100" w:leftChars="200" w:hanging="200" w:hangingChars="200"/>
    </w:pPr>
    <w:rPr>
      <w:rFonts w:eastAsia="楷体_GB2312"/>
      <w:szCs w:val="20"/>
    </w:rPr>
  </w:style>
  <w:style w:type="paragraph" w:styleId="29">
    <w:name w:val="List Bullet 2"/>
    <w:basedOn w:val="19"/>
    <w:unhideWhenUsed/>
    <w:qFormat/>
    <w:uiPriority w:val="0"/>
    <w:pPr>
      <w:widowControl/>
      <w:tabs>
        <w:tab w:val="left" w:pos="1350"/>
      </w:tabs>
      <w:spacing w:after="220" w:line="220" w:lineRule="atLeast"/>
      <w:ind w:left="2160" w:right="720" w:hanging="870"/>
      <w:jc w:val="left"/>
    </w:pPr>
    <w:rPr>
      <w:kern w:val="0"/>
      <w:szCs w:val="20"/>
    </w:rPr>
  </w:style>
  <w:style w:type="paragraph" w:styleId="30">
    <w:name w:val="toc 5"/>
    <w:basedOn w:val="1"/>
    <w:next w:val="1"/>
    <w:qFormat/>
    <w:uiPriority w:val="39"/>
    <w:pPr>
      <w:ind w:left="840"/>
      <w:jc w:val="left"/>
    </w:pPr>
    <w:rPr>
      <w:sz w:val="18"/>
      <w:szCs w:val="18"/>
    </w:rPr>
  </w:style>
  <w:style w:type="paragraph" w:styleId="31">
    <w:name w:val="toc 3"/>
    <w:basedOn w:val="1"/>
    <w:next w:val="1"/>
    <w:qFormat/>
    <w:uiPriority w:val="39"/>
    <w:pPr>
      <w:ind w:left="840" w:leftChars="400"/>
    </w:pPr>
  </w:style>
  <w:style w:type="paragraph" w:styleId="32">
    <w:name w:val="Plain Text"/>
    <w:basedOn w:val="1"/>
    <w:link w:val="209"/>
    <w:qFormat/>
    <w:uiPriority w:val="0"/>
    <w:rPr>
      <w:rFonts w:hint="eastAsia" w:ascii="宋体" w:hAnsi="Courier New"/>
      <w:kern w:val="0"/>
      <w:sz w:val="20"/>
      <w:szCs w:val="20"/>
    </w:rPr>
  </w:style>
  <w:style w:type="paragraph" w:styleId="33">
    <w:name w:val="toc 8"/>
    <w:basedOn w:val="1"/>
    <w:next w:val="1"/>
    <w:qFormat/>
    <w:uiPriority w:val="39"/>
    <w:pPr>
      <w:ind w:left="1470"/>
      <w:jc w:val="left"/>
    </w:pPr>
    <w:rPr>
      <w:sz w:val="18"/>
      <w:szCs w:val="18"/>
    </w:rPr>
  </w:style>
  <w:style w:type="paragraph" w:styleId="34">
    <w:name w:val="Date"/>
    <w:basedOn w:val="1"/>
    <w:next w:val="1"/>
    <w:link w:val="116"/>
    <w:qFormat/>
    <w:uiPriority w:val="99"/>
    <w:pPr>
      <w:ind w:left="100" w:leftChars="2500"/>
    </w:pPr>
    <w:rPr>
      <w:kern w:val="0"/>
      <w:sz w:val="24"/>
      <w:szCs w:val="20"/>
    </w:rPr>
  </w:style>
  <w:style w:type="paragraph" w:styleId="35">
    <w:name w:val="Body Text Indent 2"/>
    <w:basedOn w:val="1"/>
    <w:link w:val="245"/>
    <w:qFormat/>
    <w:uiPriority w:val="99"/>
    <w:pPr>
      <w:spacing w:after="120" w:line="480" w:lineRule="auto"/>
      <w:ind w:left="420" w:leftChars="200"/>
    </w:pPr>
    <w:rPr>
      <w:kern w:val="0"/>
      <w:sz w:val="20"/>
    </w:rPr>
  </w:style>
  <w:style w:type="paragraph" w:styleId="36">
    <w:name w:val="endnote text"/>
    <w:basedOn w:val="1"/>
    <w:link w:val="127"/>
    <w:qFormat/>
    <w:uiPriority w:val="99"/>
    <w:pPr>
      <w:snapToGrid w:val="0"/>
      <w:jc w:val="left"/>
    </w:pPr>
    <w:rPr>
      <w:kern w:val="0"/>
      <w:sz w:val="20"/>
      <w:szCs w:val="20"/>
    </w:rPr>
  </w:style>
  <w:style w:type="paragraph" w:styleId="37">
    <w:name w:val="Balloon Text"/>
    <w:basedOn w:val="1"/>
    <w:link w:val="205"/>
    <w:qFormat/>
    <w:uiPriority w:val="99"/>
    <w:rPr>
      <w:kern w:val="0"/>
      <w:sz w:val="18"/>
      <w:szCs w:val="18"/>
    </w:rPr>
  </w:style>
  <w:style w:type="paragraph" w:styleId="38">
    <w:name w:val="footer"/>
    <w:basedOn w:val="1"/>
    <w:link w:val="191"/>
    <w:qFormat/>
    <w:uiPriority w:val="99"/>
    <w:pPr>
      <w:tabs>
        <w:tab w:val="center" w:pos="4153"/>
        <w:tab w:val="right" w:pos="8306"/>
      </w:tabs>
      <w:snapToGrid w:val="0"/>
      <w:jc w:val="left"/>
    </w:pPr>
    <w:rPr>
      <w:kern w:val="0"/>
      <w:sz w:val="18"/>
      <w:szCs w:val="18"/>
    </w:rPr>
  </w:style>
  <w:style w:type="paragraph" w:styleId="39">
    <w:name w:val="header"/>
    <w:basedOn w:val="1"/>
    <w:link w:val="236"/>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kern w:val="0"/>
      <w:sz w:val="18"/>
      <w:szCs w:val="18"/>
    </w:rPr>
  </w:style>
  <w:style w:type="paragraph" w:styleId="40">
    <w:name w:val="Signature"/>
    <w:basedOn w:val="1"/>
    <w:link w:val="244"/>
    <w:qFormat/>
    <w:uiPriority w:val="0"/>
    <w:pPr>
      <w:ind w:left="100" w:leftChars="2100"/>
    </w:pPr>
    <w:rPr>
      <w:rFonts w:hint="eastAsia" w:ascii="楷体_GB2312" w:eastAsia="楷体_GB2312"/>
      <w:szCs w:val="20"/>
    </w:rPr>
  </w:style>
  <w:style w:type="paragraph" w:styleId="41">
    <w:name w:val="toc 1"/>
    <w:basedOn w:val="1"/>
    <w:next w:val="1"/>
    <w:qFormat/>
    <w:uiPriority w:val="39"/>
    <w:pPr>
      <w:spacing w:before="120" w:after="120"/>
      <w:jc w:val="left"/>
    </w:pPr>
    <w:rPr>
      <w:rFonts w:eastAsia="宋体"/>
      <w:b/>
      <w:caps/>
      <w:sz w:val="20"/>
      <w:szCs w:val="20"/>
    </w:rPr>
  </w:style>
  <w:style w:type="paragraph" w:styleId="42">
    <w:name w:val="toc 4"/>
    <w:basedOn w:val="1"/>
    <w:next w:val="1"/>
    <w:qFormat/>
    <w:uiPriority w:val="39"/>
    <w:pPr>
      <w:ind w:left="630"/>
      <w:jc w:val="left"/>
    </w:pPr>
    <w:rPr>
      <w:sz w:val="18"/>
      <w:szCs w:val="18"/>
    </w:rPr>
  </w:style>
  <w:style w:type="paragraph" w:styleId="43">
    <w:name w:val="index heading"/>
    <w:basedOn w:val="1"/>
    <w:next w:val="44"/>
    <w:qFormat/>
    <w:uiPriority w:val="0"/>
  </w:style>
  <w:style w:type="paragraph" w:styleId="44">
    <w:name w:val="index 1"/>
    <w:basedOn w:val="1"/>
    <w:next w:val="1"/>
    <w:qFormat/>
    <w:uiPriority w:val="0"/>
    <w:pPr>
      <w:spacing w:line="220" w:lineRule="exact"/>
      <w:jc w:val="center"/>
    </w:pPr>
    <w:rPr>
      <w:rFonts w:ascii="仿宋_GB2312" w:eastAsia="仿宋_GB2312"/>
      <w:szCs w:val="21"/>
    </w:rPr>
  </w:style>
  <w:style w:type="paragraph" w:styleId="45">
    <w:name w:val="Subtitle"/>
    <w:basedOn w:val="1"/>
    <w:link w:val="125"/>
    <w:qFormat/>
    <w:uiPriority w:val="0"/>
    <w:pPr>
      <w:spacing w:before="240" w:after="60" w:line="312" w:lineRule="auto"/>
      <w:jc w:val="center"/>
      <w:outlineLvl w:val="1"/>
    </w:pPr>
    <w:rPr>
      <w:rFonts w:ascii="Cambria" w:hAnsi="Cambria" w:eastAsia="Cambria"/>
      <w:i/>
      <w:color w:val="4F81BD"/>
      <w:spacing w:val="15"/>
      <w:sz w:val="24"/>
      <w:szCs w:val="20"/>
    </w:rPr>
  </w:style>
  <w:style w:type="paragraph" w:styleId="46">
    <w:name w:val="List"/>
    <w:basedOn w:val="25"/>
    <w:unhideWhenUsed/>
    <w:qFormat/>
    <w:uiPriority w:val="0"/>
    <w:pPr>
      <w:suppressAutoHyphens/>
      <w:spacing w:after="0"/>
    </w:pPr>
    <w:rPr>
      <w:rFonts w:hint="default" w:ascii="Times New Roman" w:hAnsi="Times New Roman"/>
      <w:kern w:val="0"/>
      <w:sz w:val="24"/>
      <w:szCs w:val="20"/>
      <w:lang w:eastAsia="ar-SA"/>
    </w:rPr>
  </w:style>
  <w:style w:type="paragraph" w:styleId="47">
    <w:name w:val="footnote text"/>
    <w:basedOn w:val="1"/>
    <w:link w:val="183"/>
    <w:qFormat/>
    <w:uiPriority w:val="0"/>
    <w:pPr>
      <w:snapToGrid w:val="0"/>
      <w:jc w:val="left"/>
    </w:pPr>
    <w:rPr>
      <w:sz w:val="18"/>
      <w:szCs w:val="20"/>
    </w:rPr>
  </w:style>
  <w:style w:type="paragraph" w:styleId="48">
    <w:name w:val="toc 6"/>
    <w:basedOn w:val="1"/>
    <w:next w:val="1"/>
    <w:qFormat/>
    <w:uiPriority w:val="39"/>
    <w:pPr>
      <w:ind w:left="1050"/>
      <w:jc w:val="left"/>
    </w:pPr>
    <w:rPr>
      <w:sz w:val="18"/>
      <w:szCs w:val="18"/>
    </w:rPr>
  </w:style>
  <w:style w:type="paragraph" w:styleId="49">
    <w:name w:val="List 5"/>
    <w:basedOn w:val="1"/>
    <w:unhideWhenUsed/>
    <w:qFormat/>
    <w:uiPriority w:val="0"/>
    <w:pPr>
      <w:adjustRightInd w:val="0"/>
      <w:spacing w:line="312" w:lineRule="atLeast"/>
      <w:ind w:left="100" w:leftChars="800" w:hanging="200" w:hangingChars="200"/>
    </w:pPr>
    <w:rPr>
      <w:kern w:val="0"/>
      <w:szCs w:val="20"/>
    </w:rPr>
  </w:style>
  <w:style w:type="paragraph" w:styleId="50">
    <w:name w:val="Body Text Indent 3"/>
    <w:basedOn w:val="1"/>
    <w:link w:val="224"/>
    <w:qFormat/>
    <w:uiPriority w:val="99"/>
    <w:pPr>
      <w:spacing w:after="120"/>
      <w:ind w:left="420" w:leftChars="200"/>
    </w:pPr>
    <w:rPr>
      <w:kern w:val="0"/>
      <w:sz w:val="16"/>
      <w:szCs w:val="16"/>
    </w:rPr>
  </w:style>
  <w:style w:type="paragraph" w:styleId="51">
    <w:name w:val="table of figures"/>
    <w:basedOn w:val="1"/>
    <w:next w:val="1"/>
    <w:unhideWhenUsed/>
    <w:qFormat/>
    <w:uiPriority w:val="0"/>
    <w:pPr>
      <w:ind w:left="400" w:leftChars="200" w:hanging="200" w:hangingChars="200"/>
    </w:pPr>
    <w:rPr>
      <w:sz w:val="28"/>
    </w:rPr>
  </w:style>
  <w:style w:type="paragraph" w:styleId="52">
    <w:name w:val="toc 2"/>
    <w:basedOn w:val="1"/>
    <w:next w:val="1"/>
    <w:qFormat/>
    <w:uiPriority w:val="39"/>
    <w:pPr>
      <w:ind w:left="420" w:leftChars="200"/>
    </w:pPr>
  </w:style>
  <w:style w:type="paragraph" w:styleId="53">
    <w:name w:val="toc 9"/>
    <w:basedOn w:val="1"/>
    <w:next w:val="1"/>
    <w:qFormat/>
    <w:uiPriority w:val="39"/>
    <w:pPr>
      <w:ind w:left="1680"/>
      <w:jc w:val="left"/>
    </w:pPr>
    <w:rPr>
      <w:sz w:val="18"/>
      <w:szCs w:val="18"/>
    </w:rPr>
  </w:style>
  <w:style w:type="paragraph" w:styleId="54">
    <w:name w:val="Body Text 2"/>
    <w:basedOn w:val="1"/>
    <w:link w:val="122"/>
    <w:qFormat/>
    <w:uiPriority w:val="99"/>
    <w:pPr>
      <w:spacing w:after="120" w:line="480" w:lineRule="auto"/>
    </w:pPr>
    <w:rPr>
      <w:kern w:val="0"/>
      <w:sz w:val="20"/>
    </w:rPr>
  </w:style>
  <w:style w:type="paragraph" w:styleId="55">
    <w:name w:val="List 4"/>
    <w:basedOn w:val="1"/>
    <w:unhideWhenUsed/>
    <w:qFormat/>
    <w:uiPriority w:val="0"/>
    <w:pPr>
      <w:adjustRightInd w:val="0"/>
      <w:spacing w:line="312" w:lineRule="atLeast"/>
      <w:ind w:left="100" w:leftChars="600" w:hanging="200" w:hangingChars="200"/>
    </w:pPr>
    <w:rPr>
      <w:kern w:val="0"/>
      <w:szCs w:val="20"/>
    </w:rPr>
  </w:style>
  <w:style w:type="paragraph" w:styleId="56">
    <w:name w:val="HTML Preformatted"/>
    <w:basedOn w:val="1"/>
    <w:link w:val="238"/>
    <w:qFormat/>
    <w:uiPriority w:val="0"/>
    <w:rPr>
      <w:rFonts w:ascii="Courier New" w:hAnsi="Courier New"/>
      <w:kern w:val="0"/>
      <w:sz w:val="20"/>
      <w:szCs w:val="20"/>
    </w:rPr>
  </w:style>
  <w:style w:type="paragraph" w:styleId="57">
    <w:name w:val="Normal (Web)"/>
    <w:basedOn w:val="1"/>
    <w:qFormat/>
    <w:uiPriority w:val="99"/>
    <w:rPr>
      <w:sz w:val="24"/>
    </w:rPr>
  </w:style>
  <w:style w:type="paragraph" w:styleId="58">
    <w:name w:val="Title"/>
    <w:basedOn w:val="1"/>
    <w:link w:val="251"/>
    <w:qFormat/>
    <w:uiPriority w:val="10"/>
    <w:pPr>
      <w:spacing w:before="240" w:after="60"/>
      <w:jc w:val="center"/>
      <w:outlineLvl w:val="0"/>
    </w:pPr>
    <w:rPr>
      <w:rFonts w:ascii="Arial" w:hAnsi="Arial"/>
      <w:b/>
      <w:kern w:val="0"/>
      <w:sz w:val="32"/>
      <w:szCs w:val="20"/>
    </w:rPr>
  </w:style>
  <w:style w:type="paragraph" w:styleId="59">
    <w:name w:val="annotation subject"/>
    <w:basedOn w:val="22"/>
    <w:next w:val="22"/>
    <w:link w:val="159"/>
    <w:qFormat/>
    <w:uiPriority w:val="0"/>
    <w:rPr>
      <w:b/>
    </w:rPr>
  </w:style>
  <w:style w:type="paragraph" w:styleId="60">
    <w:name w:val="Body Text First Indent"/>
    <w:basedOn w:val="1"/>
    <w:link w:val="239"/>
    <w:qFormat/>
    <w:uiPriority w:val="0"/>
    <w:pPr>
      <w:spacing w:line="312" w:lineRule="auto"/>
      <w:ind w:firstLine="420"/>
    </w:pPr>
    <w:rPr>
      <w:rFonts w:hint="eastAsia" w:ascii="宋体" w:hAnsi="宋体"/>
      <w:kern w:val="0"/>
      <w:sz w:val="20"/>
    </w:rPr>
  </w:style>
  <w:style w:type="paragraph" w:styleId="61">
    <w:name w:val="Body Text First Indent 2"/>
    <w:basedOn w:val="26"/>
    <w:link w:val="105"/>
    <w:qFormat/>
    <w:uiPriority w:val="0"/>
    <w:pPr>
      <w:ind w:firstLine="420" w:firstLineChars="200"/>
    </w:pPr>
    <w:rPr>
      <w:rFonts w:hint="default" w:ascii="Times New Roman" w:hAnsi="Times New Roman"/>
      <w:szCs w:val="24"/>
    </w:rPr>
  </w:style>
  <w:style w:type="table" w:styleId="63">
    <w:name w:val="Table Grid"/>
    <w:basedOn w:val="62"/>
    <w:qFormat/>
    <w:uiPriority w:val="59"/>
    <w:rPr>
      <w:rFonts w:ascii="Calibri" w:hAnsi="Calibri" w:cs="Calibr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65">
    <w:name w:val="Strong"/>
    <w:qFormat/>
    <w:uiPriority w:val="0"/>
    <w:rPr>
      <w:b/>
      <w:bCs/>
    </w:rPr>
  </w:style>
  <w:style w:type="character" w:styleId="66">
    <w:name w:val="endnote reference"/>
    <w:qFormat/>
    <w:uiPriority w:val="0"/>
    <w:rPr>
      <w:vertAlign w:val="superscript"/>
    </w:rPr>
  </w:style>
  <w:style w:type="character" w:styleId="67">
    <w:name w:val="page number"/>
    <w:qFormat/>
    <w:uiPriority w:val="0"/>
  </w:style>
  <w:style w:type="character" w:styleId="68">
    <w:name w:val="FollowedHyperlink"/>
    <w:qFormat/>
    <w:uiPriority w:val="0"/>
    <w:rPr>
      <w:color w:val="6D6D6D"/>
      <w:u w:val="single"/>
    </w:rPr>
  </w:style>
  <w:style w:type="character" w:styleId="69">
    <w:name w:val="Emphasis"/>
    <w:qFormat/>
    <w:uiPriority w:val="0"/>
    <w:rPr>
      <w:rFonts w:hint="eastAsia" w:ascii="宋体" w:hAnsi="宋体" w:eastAsia="宋体" w:cs="宋体"/>
      <w:color w:val="CC0000"/>
      <w:kern w:val="2"/>
      <w:sz w:val="24"/>
      <w:szCs w:val="24"/>
      <w:lang w:val="en-US" w:eastAsia="zh-CN" w:bidi="ar"/>
    </w:rPr>
  </w:style>
  <w:style w:type="character" w:styleId="70">
    <w:name w:val="HTML Definition"/>
    <w:qFormat/>
    <w:uiPriority w:val="0"/>
    <w:rPr>
      <w:i/>
    </w:rPr>
  </w:style>
  <w:style w:type="character" w:styleId="71">
    <w:name w:val="Hyperlink"/>
    <w:qFormat/>
    <w:uiPriority w:val="99"/>
    <w:rPr>
      <w:color w:val="6D6D6D"/>
      <w:u w:val="single"/>
    </w:rPr>
  </w:style>
  <w:style w:type="character" w:styleId="72">
    <w:name w:val="HTML Code"/>
    <w:qFormat/>
    <w:uiPriority w:val="0"/>
    <w:rPr>
      <w:rFonts w:hint="default" w:ascii="Menlo" w:hAnsi="Menlo" w:eastAsia="Menlo" w:cs="Menlo"/>
      <w:color w:val="C7254E"/>
      <w:sz w:val="21"/>
      <w:szCs w:val="21"/>
      <w:bdr w:val="single" w:color="E1E1E1" w:sz="6" w:space="0"/>
      <w:shd w:val="clear" w:color="auto" w:fill="F9F2F4"/>
    </w:rPr>
  </w:style>
  <w:style w:type="character" w:styleId="73">
    <w:name w:val="annotation reference"/>
    <w:qFormat/>
    <w:uiPriority w:val="99"/>
    <w:rPr>
      <w:sz w:val="21"/>
      <w:szCs w:val="21"/>
    </w:rPr>
  </w:style>
  <w:style w:type="character" w:styleId="74">
    <w:name w:val="footnote reference"/>
    <w:qFormat/>
    <w:uiPriority w:val="0"/>
    <w:rPr>
      <w:vertAlign w:val="superscript"/>
    </w:rPr>
  </w:style>
  <w:style w:type="character" w:styleId="75">
    <w:name w:val="HTML Keyboard"/>
    <w:qFormat/>
    <w:uiPriority w:val="0"/>
    <w:rPr>
      <w:rFonts w:hint="default" w:ascii="Menlo" w:hAnsi="Menlo" w:eastAsia="Menlo" w:cs="Menlo"/>
      <w:color w:val="FFFFFF"/>
      <w:sz w:val="21"/>
      <w:szCs w:val="21"/>
      <w:shd w:val="clear" w:color="auto" w:fill="333333"/>
    </w:rPr>
  </w:style>
  <w:style w:type="character" w:styleId="76">
    <w:name w:val="HTML Sample"/>
    <w:qFormat/>
    <w:uiPriority w:val="0"/>
    <w:rPr>
      <w:rFonts w:hint="default" w:ascii="Menlo" w:hAnsi="Menlo" w:eastAsia="Menlo" w:cs="Menlo"/>
      <w:sz w:val="21"/>
      <w:szCs w:val="21"/>
    </w:rPr>
  </w:style>
  <w:style w:type="character" w:customStyle="1" w:styleId="77">
    <w:name w:val="项目符号1 Char Char"/>
    <w:link w:val="78"/>
    <w:qFormat/>
    <w:locked/>
    <w:uiPriority w:val="0"/>
    <w:rPr>
      <w:rFonts w:ascii="宋体" w:hAnsi="宋体"/>
      <w:sz w:val="26"/>
    </w:rPr>
  </w:style>
  <w:style w:type="paragraph" w:customStyle="1" w:styleId="78">
    <w:name w:val="项目符号1"/>
    <w:basedOn w:val="1"/>
    <w:next w:val="1"/>
    <w:link w:val="77"/>
    <w:qFormat/>
    <w:uiPriority w:val="0"/>
    <w:pPr>
      <w:tabs>
        <w:tab w:val="left" w:pos="420"/>
      </w:tabs>
      <w:adjustRightInd w:val="0"/>
      <w:snapToGrid w:val="0"/>
      <w:spacing w:line="360" w:lineRule="auto"/>
      <w:ind w:left="839" w:hanging="419"/>
    </w:pPr>
    <w:rPr>
      <w:rFonts w:ascii="宋体" w:hAnsi="宋体"/>
      <w:kern w:val="0"/>
      <w:sz w:val="26"/>
      <w:szCs w:val="20"/>
    </w:rPr>
  </w:style>
  <w:style w:type="character" w:customStyle="1" w:styleId="79">
    <w:name w:val="标题 #3 + MS Mincho"/>
    <w:qFormat/>
    <w:uiPriority w:val="0"/>
    <w:rPr>
      <w:rFonts w:hint="eastAsia" w:ascii="MS Mincho" w:hAnsi="MS Mincho" w:eastAsia="MS Mincho" w:cs="MS Mincho"/>
      <w:color w:val="000000"/>
      <w:spacing w:val="0"/>
      <w:w w:val="100"/>
      <w:position w:val="0"/>
      <w:sz w:val="31"/>
      <w:szCs w:val="31"/>
      <w:lang w:bidi="ar"/>
    </w:rPr>
  </w:style>
  <w:style w:type="character" w:customStyle="1" w:styleId="80">
    <w:name w:val="标题 1 Char"/>
    <w:qFormat/>
    <w:uiPriority w:val="0"/>
    <w:rPr>
      <w:b/>
      <w:kern w:val="44"/>
      <w:sz w:val="44"/>
      <w:szCs w:val="44"/>
    </w:rPr>
  </w:style>
  <w:style w:type="character" w:customStyle="1" w:styleId="81">
    <w:name w:val="不明显强调1"/>
    <w:qFormat/>
    <w:uiPriority w:val="0"/>
    <w:rPr>
      <w:i/>
      <w:color w:val="808080"/>
    </w:rPr>
  </w:style>
  <w:style w:type="character" w:customStyle="1" w:styleId="82">
    <w:name w:val="testimonials-post1"/>
    <w:qFormat/>
    <w:uiPriority w:val="0"/>
    <w:rPr>
      <w:color w:val="656565"/>
      <w:sz w:val="18"/>
      <w:szCs w:val="18"/>
    </w:rPr>
  </w:style>
  <w:style w:type="character" w:customStyle="1" w:styleId="83">
    <w:name w:val="不明显参考111"/>
    <w:qFormat/>
    <w:uiPriority w:val="0"/>
    <w:rPr>
      <w:smallCaps/>
      <w:color w:val="C0504D"/>
      <w:u w:val="single"/>
    </w:rPr>
  </w:style>
  <w:style w:type="character" w:customStyle="1" w:styleId="84">
    <w:name w:val="标题 Char"/>
    <w:qFormat/>
    <w:uiPriority w:val="0"/>
    <w:rPr>
      <w:rFonts w:hint="default" w:ascii="Cambria" w:hAnsi="Cambria" w:eastAsia="Cambria" w:cs="Times New Roman"/>
      <w:b/>
      <w:kern w:val="2"/>
      <w:sz w:val="32"/>
      <w:szCs w:val="32"/>
    </w:rPr>
  </w:style>
  <w:style w:type="character" w:customStyle="1" w:styleId="85">
    <w:name w:val="Char Char10"/>
    <w:qFormat/>
    <w:uiPriority w:val="0"/>
    <w:rPr>
      <w:rFonts w:hint="default" w:ascii="Arial" w:hAnsi="Arial" w:eastAsia="黑体" w:cs="Arial"/>
      <w:b/>
      <w:kern w:val="2"/>
      <w:sz w:val="32"/>
      <w:szCs w:val="32"/>
      <w:lang w:val="en-US" w:eastAsia="zh-CN" w:bidi="ar"/>
    </w:rPr>
  </w:style>
  <w:style w:type="character" w:customStyle="1" w:styleId="86">
    <w:name w:val="批注主题 Char1"/>
    <w:qFormat/>
    <w:uiPriority w:val="99"/>
    <w:rPr>
      <w:rFonts w:hint="default" w:ascii="Times New Roman" w:hAnsi="Times New Roman" w:eastAsia="宋体" w:cs="Times New Roman"/>
      <w:b/>
      <w:szCs w:val="24"/>
    </w:rPr>
  </w:style>
  <w:style w:type="character" w:customStyle="1" w:styleId="87">
    <w:name w:val="apple-converted-space"/>
    <w:qFormat/>
    <w:uiPriority w:val="0"/>
  </w:style>
  <w:style w:type="character" w:customStyle="1" w:styleId="88">
    <w:name w:val="Char2 Char1"/>
    <w:qFormat/>
    <w:uiPriority w:val="0"/>
    <w:rPr>
      <w:rFonts w:hint="default" w:ascii="Arial" w:hAnsi="Arial" w:eastAsia="黑体" w:cs="Arial"/>
      <w:b/>
      <w:kern w:val="2"/>
      <w:sz w:val="32"/>
      <w:szCs w:val="32"/>
      <w:lang w:val="en-US" w:eastAsia="zh-CN" w:bidi="ar"/>
    </w:rPr>
  </w:style>
  <w:style w:type="character" w:customStyle="1" w:styleId="89">
    <w:name w:val="WW8Num9z0"/>
    <w:qFormat/>
    <w:uiPriority w:val="0"/>
    <w:rPr>
      <w:rFonts w:hint="default" w:ascii="Wingdings" w:hAnsi="Wingdings"/>
    </w:rPr>
  </w:style>
  <w:style w:type="character" w:customStyle="1" w:styleId="90">
    <w:name w:val="huei12b1"/>
    <w:qFormat/>
    <w:uiPriority w:val="0"/>
    <w:rPr>
      <w:b/>
      <w:bCs/>
      <w:color w:val="333333"/>
      <w:sz w:val="18"/>
      <w:szCs w:val="18"/>
    </w:rPr>
  </w:style>
  <w:style w:type="character" w:customStyle="1" w:styleId="91">
    <w:name w:val="WW8Num3z0"/>
    <w:qFormat/>
    <w:uiPriority w:val="0"/>
    <w:rPr>
      <w:sz w:val="24"/>
      <w:szCs w:val="24"/>
    </w:rPr>
  </w:style>
  <w:style w:type="character" w:customStyle="1" w:styleId="92">
    <w:name w:val="明显参考111"/>
    <w:qFormat/>
    <w:uiPriority w:val="0"/>
    <w:rPr>
      <w:b/>
      <w:smallCaps/>
      <w:color w:val="C0504D"/>
      <w:spacing w:val="5"/>
      <w:u w:val="single"/>
    </w:rPr>
  </w:style>
  <w:style w:type="character" w:customStyle="1" w:styleId="93">
    <w:name w:val="批注文字 Char Char"/>
    <w:qFormat/>
    <w:uiPriority w:val="0"/>
    <w:rPr>
      <w:rFonts w:hint="eastAsia" w:ascii="宋体" w:hAnsi="宋体" w:eastAsia="宋体" w:cs="宋体"/>
      <w:szCs w:val="24"/>
      <w:lang w:bidi="ar"/>
    </w:rPr>
  </w:style>
  <w:style w:type="character" w:customStyle="1" w:styleId="94">
    <w:name w:val="Char Char12"/>
    <w:qFormat/>
    <w:uiPriority w:val="0"/>
    <w:rPr>
      <w:b/>
      <w:kern w:val="44"/>
      <w:sz w:val="44"/>
    </w:rPr>
  </w:style>
  <w:style w:type="character" w:customStyle="1" w:styleId="95">
    <w:name w:val="HTML 预设格式 Char1"/>
    <w:qFormat/>
    <w:uiPriority w:val="99"/>
    <w:rPr>
      <w:rFonts w:hint="default" w:ascii="Courier New" w:hAnsi="Courier New" w:eastAsia="宋体" w:cs="Courier New"/>
      <w:sz w:val="20"/>
      <w:szCs w:val="20"/>
    </w:rPr>
  </w:style>
  <w:style w:type="character" w:customStyle="1" w:styleId="96">
    <w:name w:val="正文文本 3 字符"/>
    <w:link w:val="23"/>
    <w:qFormat/>
    <w:uiPriority w:val="99"/>
    <w:rPr>
      <w:rFonts w:hint="eastAsia" w:ascii="宋体" w:hAnsi="宋体" w:eastAsia="宋体" w:cs="宋体"/>
      <w:sz w:val="24"/>
      <w:lang w:bidi="ar"/>
    </w:rPr>
  </w:style>
  <w:style w:type="character" w:customStyle="1" w:styleId="97">
    <w:name w:val="Char Char11"/>
    <w:qFormat/>
    <w:uiPriority w:val="0"/>
    <w:rPr>
      <w:rFonts w:hint="eastAsia" w:ascii="宋体" w:hAnsi="宋体" w:eastAsia="宋体" w:cs="宋体"/>
      <w:b/>
      <w:kern w:val="44"/>
      <w:sz w:val="44"/>
      <w:szCs w:val="44"/>
      <w:lang w:val="en-US" w:eastAsia="zh-CN" w:bidi="ar"/>
    </w:rPr>
  </w:style>
  <w:style w:type="character" w:customStyle="1" w:styleId="98">
    <w:name w:val="标题 2 Char"/>
    <w:qFormat/>
    <w:uiPriority w:val="0"/>
    <w:rPr>
      <w:rFonts w:hint="default" w:ascii="Cambria" w:hAnsi="Cambria" w:eastAsia="宋体" w:cs="Times New Roman"/>
      <w:b/>
      <w:kern w:val="2"/>
      <w:sz w:val="32"/>
      <w:szCs w:val="32"/>
    </w:rPr>
  </w:style>
  <w:style w:type="character" w:customStyle="1" w:styleId="99">
    <w:name w:val="titlered1"/>
    <w:qFormat/>
    <w:uiPriority w:val="0"/>
    <w:rPr>
      <w:color w:val="CE0702"/>
      <w:sz w:val="18"/>
    </w:rPr>
  </w:style>
  <w:style w:type="character" w:customStyle="1" w:styleId="100">
    <w:name w:val="节标 Char Char"/>
    <w:link w:val="101"/>
    <w:qFormat/>
    <w:uiPriority w:val="0"/>
  </w:style>
  <w:style w:type="paragraph" w:customStyle="1" w:styleId="101">
    <w:name w:val="节标"/>
    <w:basedOn w:val="102"/>
    <w:link w:val="100"/>
    <w:qFormat/>
    <w:uiPriority w:val="0"/>
    <w:pPr>
      <w:spacing w:before="0" w:after="156" w:line="300" w:lineRule="auto"/>
      <w:jc w:val="center"/>
    </w:pPr>
  </w:style>
  <w:style w:type="paragraph" w:customStyle="1" w:styleId="102">
    <w:name w:val="样式 标题 2 + Times New Roman 四号 非加粗 段前: 5 磅 段后: 0 磅 行距: 固定值 20..."/>
    <w:basedOn w:val="5"/>
    <w:link w:val="175"/>
    <w:qFormat/>
    <w:uiPriority w:val="0"/>
    <w:pPr>
      <w:spacing w:before="100" w:after="0" w:line="400" w:lineRule="exact"/>
    </w:pPr>
    <w:rPr>
      <w:rFonts w:ascii="Times New Roman" w:hAnsi="Times New Roman"/>
      <w:b w:val="0"/>
      <w:sz w:val="28"/>
      <w:szCs w:val="20"/>
    </w:rPr>
  </w:style>
  <w:style w:type="character" w:customStyle="1" w:styleId="103">
    <w:name w:val="引用 Char"/>
    <w:qFormat/>
    <w:uiPriority w:val="0"/>
    <w:rPr>
      <w:i/>
      <w:color w:val="000000"/>
      <w:kern w:val="2"/>
      <w:sz w:val="21"/>
      <w:lang w:bidi="ar"/>
    </w:rPr>
  </w:style>
  <w:style w:type="character" w:customStyle="1" w:styleId="104">
    <w:name w:val="明显强调111"/>
    <w:qFormat/>
    <w:uiPriority w:val="0"/>
    <w:rPr>
      <w:b/>
      <w:i/>
      <w:color w:val="4F81BD"/>
    </w:rPr>
  </w:style>
  <w:style w:type="character" w:customStyle="1" w:styleId="105">
    <w:name w:val="正文文本首行缩进 2 字符"/>
    <w:link w:val="61"/>
    <w:qFormat/>
    <w:uiPriority w:val="0"/>
    <w:rPr>
      <w:kern w:val="2"/>
      <w:sz w:val="21"/>
      <w:szCs w:val="24"/>
      <w:lang w:bidi="ar"/>
    </w:rPr>
  </w:style>
  <w:style w:type="character" w:customStyle="1" w:styleId="106">
    <w:name w:val="标题 5 字符"/>
    <w:link w:val="7"/>
    <w:qFormat/>
    <w:uiPriority w:val="0"/>
    <w:rPr>
      <w:rFonts w:hint="default" w:ascii="Arial" w:hAnsi="Arial" w:eastAsia="宋体" w:cs="Arial"/>
      <w:b/>
      <w:color w:val="000000"/>
      <w:sz w:val="24"/>
      <w:szCs w:val="24"/>
      <w:lang w:val="en-US" w:eastAsia="zh-CN" w:bidi="ar"/>
    </w:rPr>
  </w:style>
  <w:style w:type="character" w:customStyle="1" w:styleId="107">
    <w:name w:val="正文文本 Char"/>
    <w:qFormat/>
    <w:uiPriority w:val="0"/>
    <w:rPr>
      <w:rFonts w:hint="eastAsia" w:ascii="宋体" w:hAnsi="宋体" w:eastAsia="宋体" w:cs="宋体"/>
      <w:szCs w:val="24"/>
    </w:rPr>
  </w:style>
  <w:style w:type="character" w:customStyle="1" w:styleId="108">
    <w:name w:val="标题 3 字符"/>
    <w:link w:val="6"/>
    <w:qFormat/>
    <w:uiPriority w:val="0"/>
    <w:rPr>
      <w:rFonts w:hint="eastAsia" w:ascii="黑体" w:hAnsi="宋体" w:eastAsia="黑体" w:cs="黑体"/>
      <w:bCs/>
      <w:sz w:val="28"/>
      <w:szCs w:val="28"/>
      <w:lang w:val="en-US" w:eastAsia="zh-CN" w:bidi="ar"/>
    </w:rPr>
  </w:style>
  <w:style w:type="character" w:customStyle="1" w:styleId="109">
    <w:name w:val="样式 正文文本 Char"/>
    <w:qFormat/>
    <w:uiPriority w:val="0"/>
    <w:rPr>
      <w:rFonts w:hint="default" w:ascii="Arial" w:hAnsi="Arial" w:cs="Arial"/>
      <w:color w:val="000000"/>
      <w:sz w:val="21"/>
      <w:lang w:bidi="ar"/>
    </w:rPr>
  </w:style>
  <w:style w:type="character" w:customStyle="1" w:styleId="110">
    <w:name w:val="标题 #2 + 15.5 pt"/>
    <w:qFormat/>
    <w:uiPriority w:val="0"/>
    <w:rPr>
      <w:rFonts w:hint="eastAsia" w:ascii="MingLiU" w:hAnsi="MingLiU" w:eastAsia="MingLiU" w:cs="MingLiU"/>
      <w:color w:val="000000"/>
      <w:spacing w:val="0"/>
      <w:w w:val="100"/>
      <w:position w:val="0"/>
      <w:sz w:val="31"/>
      <w:szCs w:val="31"/>
      <w:u w:val="none"/>
      <w:lang w:val="zh-CN" w:bidi="ar"/>
    </w:rPr>
  </w:style>
  <w:style w:type="character" w:customStyle="1" w:styleId="111">
    <w:name w:val="HTML 预设格式 Char"/>
    <w:qFormat/>
    <w:uiPriority w:val="0"/>
    <w:rPr>
      <w:rFonts w:hint="default" w:ascii="Courier New" w:hAnsi="Courier New" w:cs="Courier New"/>
      <w:kern w:val="2"/>
    </w:rPr>
  </w:style>
  <w:style w:type="character" w:customStyle="1" w:styleId="112">
    <w:name w:val="标题 3 Char"/>
    <w:qFormat/>
    <w:uiPriority w:val="0"/>
    <w:rPr>
      <w:b/>
      <w:kern w:val="2"/>
      <w:sz w:val="32"/>
      <w:szCs w:val="32"/>
    </w:rPr>
  </w:style>
  <w:style w:type="character" w:customStyle="1" w:styleId="113">
    <w:name w:val="明显强调1"/>
    <w:qFormat/>
    <w:uiPriority w:val="0"/>
    <w:rPr>
      <w:b/>
      <w:i/>
      <w:color w:val="4F81BD"/>
    </w:rPr>
  </w:style>
  <w:style w:type="character" w:customStyle="1" w:styleId="114">
    <w:name w:val="正文缩进 字符"/>
    <w:link w:val="17"/>
    <w:qFormat/>
    <w:uiPriority w:val="0"/>
    <w:rPr>
      <w:kern w:val="2"/>
      <w:sz w:val="21"/>
      <w:szCs w:val="24"/>
      <w:lang w:bidi="ar"/>
    </w:rPr>
  </w:style>
  <w:style w:type="character" w:customStyle="1" w:styleId="115">
    <w:name w:val="书籍标题11"/>
    <w:qFormat/>
    <w:uiPriority w:val="0"/>
    <w:rPr>
      <w:b/>
      <w:smallCaps/>
      <w:spacing w:val="5"/>
    </w:rPr>
  </w:style>
  <w:style w:type="character" w:customStyle="1" w:styleId="116">
    <w:name w:val="日期 字符"/>
    <w:link w:val="34"/>
    <w:qFormat/>
    <w:uiPriority w:val="99"/>
    <w:rPr>
      <w:sz w:val="24"/>
      <w:lang w:bidi="ar"/>
    </w:rPr>
  </w:style>
  <w:style w:type="character" w:customStyle="1" w:styleId="117">
    <w:name w:val="point_normal1"/>
    <w:qFormat/>
    <w:uiPriority w:val="0"/>
    <w:rPr>
      <w:rFonts w:hint="default" w:ascii="Arial" w:hAnsi="Arial" w:cs="Arial"/>
      <w:sz w:val="24"/>
      <w:szCs w:val="24"/>
    </w:rPr>
  </w:style>
  <w:style w:type="character" w:customStyle="1" w:styleId="118">
    <w:name w:val="列表2 Char Char"/>
    <w:link w:val="119"/>
    <w:qFormat/>
    <w:locked/>
    <w:uiPriority w:val="0"/>
    <w:rPr>
      <w:rFonts w:ascii="宋体" w:hAnsi="宋体"/>
      <w:sz w:val="26"/>
    </w:rPr>
  </w:style>
  <w:style w:type="paragraph" w:customStyle="1" w:styleId="119">
    <w:name w:val="列表2"/>
    <w:basedOn w:val="1"/>
    <w:link w:val="118"/>
    <w:qFormat/>
    <w:uiPriority w:val="0"/>
    <w:pPr>
      <w:tabs>
        <w:tab w:val="left" w:pos="420"/>
      </w:tabs>
      <w:adjustRightInd w:val="0"/>
      <w:snapToGrid w:val="0"/>
      <w:spacing w:line="360" w:lineRule="auto"/>
      <w:ind w:firstLine="420"/>
    </w:pPr>
    <w:rPr>
      <w:rFonts w:ascii="宋体" w:hAnsi="宋体"/>
      <w:kern w:val="0"/>
      <w:sz w:val="26"/>
      <w:szCs w:val="20"/>
    </w:rPr>
  </w:style>
  <w:style w:type="character" w:customStyle="1" w:styleId="120">
    <w:name w:val="正 文 1 Char Char"/>
    <w:qFormat/>
    <w:uiPriority w:val="0"/>
    <w:rPr>
      <w:rFonts w:hint="eastAsia" w:ascii="宋体" w:hAnsi="Courier New" w:eastAsia="宋体" w:cs="宋体"/>
      <w:kern w:val="2"/>
      <w:sz w:val="21"/>
      <w:szCs w:val="24"/>
      <w:lang w:val="en-US" w:eastAsia="zh-CN" w:bidi="ar"/>
    </w:rPr>
  </w:style>
  <w:style w:type="character" w:customStyle="1" w:styleId="121">
    <w:name w:val="尾注文本 Char1"/>
    <w:qFormat/>
    <w:uiPriority w:val="0"/>
    <w:rPr>
      <w:rFonts w:hint="default" w:ascii="Times New Roman" w:hAnsi="Times New Roman" w:eastAsia="宋体" w:cs="Times New Roman"/>
      <w:szCs w:val="24"/>
    </w:rPr>
  </w:style>
  <w:style w:type="character" w:customStyle="1" w:styleId="122">
    <w:name w:val="正文文本 2 字符"/>
    <w:link w:val="54"/>
    <w:qFormat/>
    <w:uiPriority w:val="99"/>
    <w:rPr>
      <w:szCs w:val="24"/>
      <w:lang w:bidi="ar"/>
    </w:rPr>
  </w:style>
  <w:style w:type="character" w:customStyle="1" w:styleId="123">
    <w:name w:val="标题 1 Char1"/>
    <w:qFormat/>
    <w:uiPriority w:val="0"/>
    <w:rPr>
      <w:rFonts w:hint="eastAsia" w:ascii="宋体" w:hAnsi="宋体" w:eastAsia="宋体" w:cs="宋体"/>
      <w:b/>
      <w:kern w:val="44"/>
      <w:sz w:val="44"/>
      <w:szCs w:val="44"/>
      <w:lang w:val="en-US" w:eastAsia="zh-CN" w:bidi="ar"/>
    </w:rPr>
  </w:style>
  <w:style w:type="character" w:customStyle="1" w:styleId="124">
    <w:name w:val="Char Char Char"/>
    <w:qFormat/>
    <w:uiPriority w:val="0"/>
    <w:rPr>
      <w:rFonts w:hint="eastAsia" w:ascii="楷体_GB2312" w:eastAsia="楷体_GB2312"/>
      <w:b/>
      <w:kern w:val="2"/>
      <w:sz w:val="21"/>
    </w:rPr>
  </w:style>
  <w:style w:type="character" w:customStyle="1" w:styleId="125">
    <w:name w:val="副标题 字符"/>
    <w:link w:val="45"/>
    <w:qFormat/>
    <w:uiPriority w:val="0"/>
    <w:rPr>
      <w:rFonts w:hint="default" w:ascii="Cambria" w:hAnsi="Cambria" w:eastAsia="Cambria" w:cs="Cambria"/>
      <w:i/>
      <w:color w:val="4F81BD"/>
      <w:spacing w:val="15"/>
      <w:kern w:val="2"/>
      <w:sz w:val="24"/>
      <w:lang w:bidi="ar"/>
    </w:rPr>
  </w:style>
  <w:style w:type="character" w:customStyle="1" w:styleId="126">
    <w:name w:val="二级条标题 Char"/>
    <w:qFormat/>
    <w:uiPriority w:val="0"/>
    <w:rPr>
      <w:rFonts w:hint="eastAsia" w:ascii="黑体" w:eastAsia="黑体" w:cs="黑体"/>
      <w:sz w:val="21"/>
      <w:lang w:bidi="ar"/>
    </w:rPr>
  </w:style>
  <w:style w:type="character" w:customStyle="1" w:styleId="127">
    <w:name w:val="尾注文本 字符"/>
    <w:link w:val="36"/>
    <w:qFormat/>
    <w:uiPriority w:val="99"/>
    <w:rPr>
      <w:lang w:bidi="ar"/>
    </w:rPr>
  </w:style>
  <w:style w:type="character" w:customStyle="1" w:styleId="128">
    <w:name w:val="书籍标题1"/>
    <w:qFormat/>
    <w:uiPriority w:val="0"/>
    <w:rPr>
      <w:b/>
      <w:smallCaps/>
      <w:spacing w:val="5"/>
    </w:rPr>
  </w:style>
  <w:style w:type="character" w:customStyle="1" w:styleId="129">
    <w:name w:val="Char Char1"/>
    <w:qFormat/>
    <w:uiPriority w:val="0"/>
    <w:rPr>
      <w:rFonts w:hint="eastAsia" w:ascii="楷体_GB2312" w:eastAsia="楷体_GB2312"/>
      <w:sz w:val="28"/>
      <w:lang w:val="en-US" w:eastAsia="zh-CN" w:bidi="ar-SA"/>
    </w:rPr>
  </w:style>
  <w:style w:type="character" w:customStyle="1" w:styleId="130">
    <w:name w:val="tw4winMark"/>
    <w:qFormat/>
    <w:uiPriority w:val="0"/>
    <w:rPr>
      <w:rFonts w:hint="default" w:ascii="Courier New" w:hAnsi="Courier New" w:cs="Courier New"/>
      <w:vanish/>
      <w:color w:val="800080"/>
      <w:vertAlign w:val="subscript"/>
    </w:rPr>
  </w:style>
  <w:style w:type="character" w:customStyle="1" w:styleId="131">
    <w:name w:val="style31"/>
    <w:qFormat/>
    <w:uiPriority w:val="0"/>
    <w:rPr>
      <w:color w:val="000000"/>
    </w:rPr>
  </w:style>
  <w:style w:type="character" w:customStyle="1" w:styleId="132">
    <w:name w:val="表格 Char"/>
    <w:link w:val="133"/>
    <w:qFormat/>
    <w:uiPriority w:val="0"/>
    <w:rPr>
      <w:rFonts w:hint="eastAsia" w:ascii="华文细黑" w:hAnsi="华文细黑" w:eastAsia="华文细黑" w:cs="华文细黑"/>
      <w:sz w:val="21"/>
      <w:lang w:bidi="ar"/>
    </w:rPr>
  </w:style>
  <w:style w:type="paragraph" w:customStyle="1" w:styleId="133">
    <w:name w:val="表格"/>
    <w:basedOn w:val="1"/>
    <w:link w:val="132"/>
    <w:qFormat/>
    <w:uiPriority w:val="0"/>
    <w:pPr>
      <w:jc w:val="center"/>
    </w:pPr>
    <w:rPr>
      <w:rFonts w:hint="eastAsia" w:ascii="华文细黑" w:hAnsi="华文细黑" w:eastAsia="华文细黑"/>
      <w:kern w:val="0"/>
      <w:szCs w:val="20"/>
    </w:rPr>
  </w:style>
  <w:style w:type="character" w:customStyle="1" w:styleId="134">
    <w:name w:val="hover27"/>
    <w:qFormat/>
    <w:uiPriority w:val="0"/>
    <w:rPr>
      <w:shd w:val="clear" w:color="auto" w:fill="EEEEEE"/>
    </w:rPr>
  </w:style>
  <w:style w:type="character" w:customStyle="1" w:styleId="135">
    <w:name w:val="正文文本 + MS Mincho"/>
    <w:qFormat/>
    <w:uiPriority w:val="0"/>
    <w:rPr>
      <w:rFonts w:hint="eastAsia" w:ascii="MS Mincho" w:hAnsi="MS Mincho" w:eastAsia="MS Mincho" w:cs="MS Mincho"/>
      <w:color w:val="000000"/>
      <w:spacing w:val="0"/>
      <w:w w:val="100"/>
      <w:position w:val="0"/>
      <w:sz w:val="21"/>
      <w:szCs w:val="21"/>
      <w:lang w:val="en-US" w:bidi="ar"/>
    </w:rPr>
  </w:style>
  <w:style w:type="character" w:customStyle="1" w:styleId="136">
    <w:name w:val="标题 2 字符"/>
    <w:link w:val="5"/>
    <w:qFormat/>
    <w:uiPriority w:val="0"/>
    <w:rPr>
      <w:rFonts w:hint="default" w:ascii="Arial" w:hAnsi="Arial" w:eastAsia="黑体" w:cs="Arial"/>
      <w:b/>
      <w:sz w:val="32"/>
      <w:szCs w:val="32"/>
      <w:lang w:val="en-US" w:eastAsia="zh-CN" w:bidi="ar"/>
    </w:rPr>
  </w:style>
  <w:style w:type="character" w:customStyle="1" w:styleId="137">
    <w:name w:val="Comment Text Char"/>
    <w:semiHidden/>
    <w:qFormat/>
    <w:locked/>
    <w:uiPriority w:val="0"/>
    <w:rPr>
      <w:rFonts w:ascii="Times New Roman" w:hAnsi="Times New Roman" w:eastAsia="宋体" w:cs="Times New Roman"/>
      <w:sz w:val="24"/>
      <w:szCs w:val="24"/>
    </w:rPr>
  </w:style>
  <w:style w:type="character" w:customStyle="1" w:styleId="138">
    <w:name w:val="文一 Char Char"/>
    <w:link w:val="139"/>
    <w:qFormat/>
    <w:uiPriority w:val="0"/>
    <w:rPr>
      <w:snapToGrid w:val="0"/>
      <w:spacing w:val="4"/>
      <w:sz w:val="24"/>
      <w:szCs w:val="24"/>
      <w:lang w:bidi="ar"/>
    </w:rPr>
  </w:style>
  <w:style w:type="paragraph" w:customStyle="1" w:styleId="139">
    <w:name w:val="文一"/>
    <w:basedOn w:val="1"/>
    <w:link w:val="138"/>
    <w:qFormat/>
    <w:uiPriority w:val="0"/>
    <w:pPr>
      <w:topLinePunct/>
      <w:adjustRightInd w:val="0"/>
      <w:snapToGrid w:val="0"/>
      <w:spacing w:line="360" w:lineRule="auto"/>
      <w:ind w:firstLine="200" w:firstLineChars="200"/>
    </w:pPr>
    <w:rPr>
      <w:snapToGrid w:val="0"/>
      <w:spacing w:val="4"/>
      <w:kern w:val="0"/>
      <w:sz w:val="24"/>
    </w:rPr>
  </w:style>
  <w:style w:type="character" w:customStyle="1" w:styleId="140">
    <w:name w:val="正文文本缩进 Char"/>
    <w:qFormat/>
    <w:uiPriority w:val="0"/>
    <w:rPr>
      <w:kern w:val="2"/>
      <w:sz w:val="21"/>
      <w:szCs w:val="22"/>
    </w:rPr>
  </w:style>
  <w:style w:type="character" w:customStyle="1" w:styleId="141">
    <w:name w:val="标题 #7_"/>
    <w:qFormat/>
    <w:uiPriority w:val="0"/>
    <w:rPr>
      <w:rFonts w:hint="default" w:ascii="Arial Unicode MS" w:hAnsi="Arial Unicode MS" w:eastAsia="Arial Unicode MS" w:cs="Arial Unicode MS"/>
      <w:shd w:val="clear" w:color="auto" w:fill="FFFFFF"/>
      <w:lang w:bidi="ar"/>
    </w:rPr>
  </w:style>
  <w:style w:type="character" w:customStyle="1" w:styleId="142">
    <w:name w:val="Char Char15"/>
    <w:qFormat/>
    <w:uiPriority w:val="0"/>
    <w:rPr>
      <w:sz w:val="18"/>
      <w:szCs w:val="18"/>
    </w:rPr>
  </w:style>
  <w:style w:type="character" w:customStyle="1" w:styleId="143">
    <w:name w:val="注 Char Char"/>
    <w:qFormat/>
    <w:uiPriority w:val="0"/>
    <w:rPr>
      <w:lang w:bidi="ar"/>
    </w:rPr>
  </w:style>
  <w:style w:type="character" w:customStyle="1" w:styleId="144">
    <w:name w:val="图片标题_"/>
    <w:qFormat/>
    <w:uiPriority w:val="0"/>
    <w:rPr>
      <w:rFonts w:hint="default" w:ascii="Arial Unicode MS" w:hAnsi="Arial Unicode MS" w:eastAsia="Arial Unicode MS" w:cs="Arial Unicode MS"/>
      <w:shd w:val="clear" w:color="auto" w:fill="FFFFFF"/>
      <w:lang w:bidi="ar"/>
    </w:rPr>
  </w:style>
  <w:style w:type="character" w:customStyle="1" w:styleId="145">
    <w:name w:val="表格标题 + SimSun"/>
    <w:qFormat/>
    <w:uiPriority w:val="0"/>
    <w:rPr>
      <w:rFonts w:hint="eastAsia" w:ascii="宋体" w:hAnsi="宋体" w:eastAsia="宋体" w:cs="宋体"/>
      <w:color w:val="000000"/>
      <w:spacing w:val="0"/>
      <w:w w:val="100"/>
      <w:position w:val="0"/>
      <w:sz w:val="20"/>
      <w:szCs w:val="20"/>
      <w:u w:val="single"/>
      <w:lang w:val="en-US" w:bidi="ar"/>
    </w:rPr>
  </w:style>
  <w:style w:type="character" w:customStyle="1" w:styleId="146">
    <w:name w:val="页脚 字符"/>
    <w:qFormat/>
    <w:uiPriority w:val="99"/>
  </w:style>
  <w:style w:type="character" w:customStyle="1" w:styleId="147">
    <w:name w:val="标题 6 字符"/>
    <w:link w:val="8"/>
    <w:qFormat/>
    <w:uiPriority w:val="0"/>
    <w:rPr>
      <w:rFonts w:hint="default" w:ascii="Arial" w:hAnsi="Arial" w:eastAsia="黑体" w:cs="Arial"/>
      <w:b/>
      <w:sz w:val="24"/>
      <w:szCs w:val="24"/>
      <w:lang w:val="en-US" w:eastAsia="zh-CN" w:bidi="ar"/>
    </w:rPr>
  </w:style>
  <w:style w:type="character" w:customStyle="1" w:styleId="148">
    <w:name w:val="11 Char Char"/>
    <w:link w:val="149"/>
    <w:qFormat/>
    <w:uiPriority w:val="0"/>
    <w:rPr>
      <w:rFonts w:ascii="Arial" w:hAnsi="Arial" w:eastAsia="黑体" w:cs="宋体"/>
      <w:b/>
      <w:color w:val="000000"/>
      <w:sz w:val="28"/>
      <w:szCs w:val="24"/>
    </w:rPr>
  </w:style>
  <w:style w:type="paragraph" w:customStyle="1" w:styleId="149">
    <w:name w:val="11"/>
    <w:basedOn w:val="102"/>
    <w:link w:val="148"/>
    <w:qFormat/>
    <w:uiPriority w:val="0"/>
    <w:pPr>
      <w:spacing w:before="0" w:after="240"/>
    </w:pPr>
    <w:rPr>
      <w:rFonts w:ascii="Arial" w:hAnsi="Arial"/>
      <w:b/>
      <w:color w:val="000000"/>
      <w:szCs w:val="24"/>
    </w:rPr>
  </w:style>
  <w:style w:type="character" w:customStyle="1" w:styleId="150">
    <w:name w:val="标题 9 Char"/>
    <w:qFormat/>
    <w:uiPriority w:val="0"/>
    <w:rPr>
      <w:rFonts w:hint="default" w:ascii="Cambria" w:hAnsi="Cambria" w:eastAsia="宋体" w:cs="Times New Roman"/>
      <w:kern w:val="2"/>
      <w:sz w:val="21"/>
      <w:szCs w:val="21"/>
    </w:rPr>
  </w:style>
  <w:style w:type="character" w:customStyle="1" w:styleId="151">
    <w:name w:val="标题 8 字符"/>
    <w:link w:val="10"/>
    <w:qFormat/>
    <w:uiPriority w:val="0"/>
    <w:rPr>
      <w:rFonts w:hint="default" w:ascii="Arial" w:hAnsi="Arial" w:eastAsia="黑体" w:cs="Arial"/>
      <w:sz w:val="24"/>
      <w:szCs w:val="24"/>
      <w:lang w:val="en-US" w:eastAsia="zh-CN" w:bidi="ar"/>
    </w:rPr>
  </w:style>
  <w:style w:type="character" w:customStyle="1" w:styleId="152">
    <w:name w:val="line1"/>
    <w:qFormat/>
    <w:uiPriority w:val="0"/>
    <w:rPr>
      <w:sz w:val="18"/>
      <w:szCs w:val="18"/>
    </w:rPr>
  </w:style>
  <w:style w:type="character" w:customStyle="1" w:styleId="153">
    <w:name w:val="小节 Cha"/>
    <w:qFormat/>
    <w:uiPriority w:val="0"/>
    <w:rPr>
      <w:rFonts w:hint="eastAsia" w:ascii="宋体" w:hAnsi="宋体" w:eastAsia="宋体" w:cs="宋体"/>
      <w:b/>
      <w:kern w:val="2"/>
      <w:sz w:val="32"/>
      <w:lang w:val="en-US" w:eastAsia="zh-CN"/>
    </w:rPr>
  </w:style>
  <w:style w:type="character" w:customStyle="1" w:styleId="154">
    <w:name w:val="111 Char Char"/>
    <w:link w:val="155"/>
    <w:qFormat/>
    <w:uiPriority w:val="0"/>
    <w:rPr>
      <w:rFonts w:ascii="Calibri" w:hAnsi="Calibri" w:eastAsia="黑体"/>
      <w:b/>
      <w:color w:val="000000"/>
      <w:sz w:val="24"/>
      <w:szCs w:val="24"/>
    </w:rPr>
  </w:style>
  <w:style w:type="paragraph" w:customStyle="1" w:styleId="155">
    <w:name w:val="111"/>
    <w:basedOn w:val="6"/>
    <w:link w:val="154"/>
    <w:qFormat/>
    <w:uiPriority w:val="0"/>
    <w:pPr>
      <w:spacing w:before="0" w:after="0" w:line="400" w:lineRule="exact"/>
      <w:ind w:firstLine="0" w:firstLineChars="0"/>
    </w:pPr>
    <w:rPr>
      <w:rFonts w:hint="default" w:ascii="Calibri" w:hAnsi="Calibri"/>
      <w:b/>
      <w:bCs w:val="0"/>
      <w:color w:val="000000"/>
      <w:sz w:val="24"/>
      <w:szCs w:val="24"/>
    </w:rPr>
  </w:style>
  <w:style w:type="character" w:customStyle="1" w:styleId="156">
    <w:name w:val="引用 Char1"/>
    <w:qFormat/>
    <w:uiPriority w:val="0"/>
    <w:rPr>
      <w:i/>
      <w:color w:val="000000"/>
      <w:kern w:val="2"/>
      <w:sz w:val="21"/>
      <w:szCs w:val="22"/>
    </w:rPr>
  </w:style>
  <w:style w:type="character" w:customStyle="1" w:styleId="157">
    <w:name w:val="正文首行缩进 Char"/>
    <w:qFormat/>
    <w:uiPriority w:val="0"/>
    <w:rPr>
      <w:rFonts w:hint="eastAsia" w:ascii="宋体" w:hAnsi="宋体" w:eastAsia="宋体" w:cs="宋体"/>
      <w:kern w:val="2"/>
      <w:sz w:val="21"/>
      <w:szCs w:val="22"/>
      <w:lang w:val="en-US" w:eastAsia="zh-CN" w:bidi="ar"/>
    </w:rPr>
  </w:style>
  <w:style w:type="character" w:customStyle="1" w:styleId="158">
    <w:name w:val="Char Char2"/>
    <w:qFormat/>
    <w:uiPriority w:val="0"/>
    <w:rPr>
      <w:rFonts w:ascii="宋体" w:hAnsi="Courier New" w:cs="宋体"/>
      <w:color w:val="000000"/>
      <w:kern w:val="2"/>
      <w:sz w:val="21"/>
      <w:szCs w:val="21"/>
    </w:rPr>
  </w:style>
  <w:style w:type="character" w:customStyle="1" w:styleId="159">
    <w:name w:val="批注主题 字符"/>
    <w:link w:val="59"/>
    <w:qFormat/>
    <w:uiPriority w:val="0"/>
    <w:rPr>
      <w:b/>
      <w:szCs w:val="24"/>
      <w:lang w:bidi="ar"/>
    </w:rPr>
  </w:style>
  <w:style w:type="character" w:customStyle="1" w:styleId="160">
    <w:name w:val="正文文本 + 粗体"/>
    <w:qFormat/>
    <w:uiPriority w:val="0"/>
    <w:rPr>
      <w:rFonts w:hint="default" w:ascii="Arial Unicode MS" w:hAnsi="Arial Unicode MS" w:eastAsia="Arial Unicode MS" w:cs="Arial Unicode MS"/>
      <w:b/>
      <w:color w:val="000000"/>
      <w:spacing w:val="0"/>
      <w:w w:val="100"/>
      <w:position w:val="0"/>
      <w:lang w:val="en-US" w:bidi="ar"/>
    </w:rPr>
  </w:style>
  <w:style w:type="character" w:customStyle="1" w:styleId="161">
    <w:name w:val="key_point"/>
    <w:qFormat/>
    <w:uiPriority w:val="0"/>
    <w:rPr>
      <w:rFonts w:hint="eastAsia" w:ascii="宋体" w:hAnsi="宋体" w:eastAsia="宋体" w:cs="宋体"/>
      <w:kern w:val="2"/>
      <w:sz w:val="24"/>
      <w:szCs w:val="24"/>
      <w:lang w:val="en-US" w:eastAsia="zh-CN" w:bidi="ar"/>
    </w:rPr>
  </w:style>
  <w:style w:type="character" w:customStyle="1" w:styleId="162">
    <w:name w:val="分条 Char Char"/>
    <w:qFormat/>
    <w:uiPriority w:val="0"/>
    <w:rPr>
      <w:sz w:val="24"/>
      <w:lang w:bidi="ar"/>
    </w:rPr>
  </w:style>
  <w:style w:type="character" w:customStyle="1" w:styleId="163">
    <w:name w:val="Char Char101"/>
    <w:qFormat/>
    <w:uiPriority w:val="0"/>
    <w:rPr>
      <w:rFonts w:ascii="Arial" w:hAnsi="Arial" w:eastAsia="黑体"/>
      <w:b/>
      <w:bCs/>
      <w:kern w:val="2"/>
      <w:sz w:val="32"/>
      <w:szCs w:val="32"/>
      <w:lang w:val="en-US" w:eastAsia="zh-CN" w:bidi="ar-SA"/>
    </w:rPr>
  </w:style>
  <w:style w:type="character" w:customStyle="1" w:styleId="164">
    <w:name w:val="WW8Num15z1"/>
    <w:qFormat/>
    <w:uiPriority w:val="0"/>
    <w:rPr>
      <w:rFonts w:hint="default" w:ascii="Times New Roman" w:hAnsi="Times New Roman" w:cs="Times New Roman"/>
      <w:color w:val="auto"/>
    </w:rPr>
  </w:style>
  <w:style w:type="character" w:customStyle="1" w:styleId="165">
    <w:name w:val="current"/>
    <w:qFormat/>
    <w:uiPriority w:val="0"/>
    <w:rPr>
      <w:color w:val="FFFFFF"/>
      <w:bdr w:val="single" w:color="2B55AF" w:sz="6" w:space="0"/>
      <w:shd w:val="clear" w:color="auto" w:fill="4F616C"/>
    </w:rPr>
  </w:style>
  <w:style w:type="character" w:customStyle="1" w:styleId="166">
    <w:name w:val="正文文本缩进 3 Char1"/>
    <w:qFormat/>
    <w:uiPriority w:val="99"/>
    <w:rPr>
      <w:rFonts w:hint="default" w:ascii="Times New Roman" w:hAnsi="Times New Roman" w:eastAsia="宋体" w:cs="Times New Roman"/>
      <w:sz w:val="16"/>
      <w:szCs w:val="16"/>
    </w:rPr>
  </w:style>
  <w:style w:type="character" w:customStyle="1" w:styleId="167">
    <w:name w:val="正文首行缩进 Char1"/>
    <w:qFormat/>
    <w:uiPriority w:val="99"/>
    <w:rPr>
      <w:rFonts w:hint="default" w:ascii="Times New Roman" w:hAnsi="Times New Roman" w:eastAsia="宋体" w:cs="Times New Roman"/>
      <w:kern w:val="2"/>
      <w:sz w:val="21"/>
      <w:szCs w:val="24"/>
    </w:rPr>
  </w:style>
  <w:style w:type="character" w:customStyle="1" w:styleId="168">
    <w:name w:val="Bullet Response Char Char"/>
    <w:qFormat/>
    <w:uiPriority w:val="0"/>
    <w:rPr>
      <w:rFonts w:hint="default" w:ascii="Arial" w:hAnsi="Arial" w:cs="Arial"/>
      <w:b/>
      <w:i/>
      <w:kern w:val="0"/>
      <w:sz w:val="24"/>
      <w:lang w:eastAsia="en-US"/>
    </w:rPr>
  </w:style>
  <w:style w:type="character" w:customStyle="1" w:styleId="169">
    <w:name w:val="明显引用 Char1"/>
    <w:qFormat/>
    <w:uiPriority w:val="0"/>
    <w:rPr>
      <w:b/>
      <w:i/>
      <w:color w:val="4F81BD"/>
      <w:kern w:val="2"/>
      <w:sz w:val="21"/>
      <w:szCs w:val="22"/>
    </w:rPr>
  </w:style>
  <w:style w:type="character" w:customStyle="1" w:styleId="170">
    <w:name w:val="不明显强调111"/>
    <w:qFormat/>
    <w:uiPriority w:val="0"/>
    <w:rPr>
      <w:i/>
      <w:color w:val="808080"/>
    </w:rPr>
  </w:style>
  <w:style w:type="character" w:customStyle="1" w:styleId="171">
    <w:name w:val="标题 7 字符"/>
    <w:link w:val="9"/>
    <w:qFormat/>
    <w:uiPriority w:val="0"/>
    <w:rPr>
      <w:rFonts w:hint="eastAsia" w:ascii="宋体" w:hAnsi="宋体" w:eastAsia="宋体" w:cs="宋体"/>
      <w:b/>
      <w:sz w:val="24"/>
      <w:szCs w:val="24"/>
      <w:lang w:val="en-US" w:eastAsia="zh-CN" w:bidi="ar"/>
    </w:rPr>
  </w:style>
  <w:style w:type="character" w:customStyle="1" w:styleId="172">
    <w:name w:val="+正文 Char1"/>
    <w:link w:val="173"/>
    <w:qFormat/>
    <w:locked/>
    <w:uiPriority w:val="0"/>
    <w:rPr>
      <w:sz w:val="24"/>
    </w:rPr>
  </w:style>
  <w:style w:type="paragraph" w:customStyle="1" w:styleId="173">
    <w:name w:val="+正文"/>
    <w:basedOn w:val="1"/>
    <w:link w:val="172"/>
    <w:qFormat/>
    <w:uiPriority w:val="0"/>
    <w:pPr>
      <w:spacing w:line="360" w:lineRule="auto"/>
      <w:ind w:firstLine="200" w:firstLineChars="200"/>
    </w:pPr>
    <w:rPr>
      <w:kern w:val="0"/>
      <w:sz w:val="24"/>
      <w:szCs w:val="20"/>
    </w:rPr>
  </w:style>
  <w:style w:type="character" w:customStyle="1" w:styleId="174">
    <w:name w:val="书籍标题12"/>
    <w:qFormat/>
    <w:uiPriority w:val="0"/>
    <w:rPr>
      <w:b/>
      <w:smallCaps/>
      <w:spacing w:val="5"/>
    </w:rPr>
  </w:style>
  <w:style w:type="character" w:customStyle="1" w:styleId="175">
    <w:name w:val="样式 标题 2 + Times New Roman 四号 非加粗 段前: 5 磅 段后: 0 磅 行距: 固定值 20... Char Char"/>
    <w:link w:val="102"/>
    <w:qFormat/>
    <w:uiPriority w:val="0"/>
    <w:rPr>
      <w:rFonts w:eastAsia="黑体"/>
      <w:sz w:val="28"/>
    </w:rPr>
  </w:style>
  <w:style w:type="character" w:customStyle="1" w:styleId="176">
    <w:name w:val="标题 2 Char1"/>
    <w:qFormat/>
    <w:uiPriority w:val="0"/>
    <w:rPr>
      <w:rFonts w:hint="default" w:ascii="Arial" w:hAnsi="Arial" w:eastAsia="黑体" w:cs="Arial"/>
      <w:b/>
      <w:kern w:val="2"/>
      <w:sz w:val="32"/>
      <w:szCs w:val="32"/>
      <w:lang w:val="en-US" w:eastAsia="zh-CN" w:bidi="ar"/>
    </w:rPr>
  </w:style>
  <w:style w:type="character" w:customStyle="1" w:styleId="177">
    <w:name w:val="unnamed31"/>
    <w:qFormat/>
    <w:uiPriority w:val="0"/>
    <w:rPr>
      <w:rFonts w:hint="eastAsia" w:ascii="幼圆" w:eastAsia="幼圆"/>
      <w:sz w:val="21"/>
      <w:szCs w:val="21"/>
    </w:rPr>
  </w:style>
  <w:style w:type="character" w:customStyle="1" w:styleId="178">
    <w:name w:val="+正文 Char4"/>
    <w:qFormat/>
    <w:uiPriority w:val="0"/>
    <w:rPr>
      <w:rFonts w:hint="eastAsia" w:ascii="宋体" w:hAnsi="宋体" w:eastAsia="宋体"/>
      <w:kern w:val="2"/>
      <w:sz w:val="24"/>
      <w:szCs w:val="28"/>
      <w:lang w:val="en-US" w:eastAsia="zh-CN" w:bidi="ar-SA"/>
    </w:rPr>
  </w:style>
  <w:style w:type="character" w:customStyle="1" w:styleId="179">
    <w:name w:val="Char Char111"/>
    <w:qFormat/>
    <w:uiPriority w:val="0"/>
    <w:rPr>
      <w:rFonts w:eastAsia="宋体"/>
      <w:b/>
      <w:bCs/>
      <w:kern w:val="44"/>
      <w:sz w:val="44"/>
      <w:szCs w:val="44"/>
      <w:lang w:val="en-US" w:eastAsia="zh-CN" w:bidi="ar-SA"/>
    </w:rPr>
  </w:style>
  <w:style w:type="character" w:customStyle="1" w:styleId="180">
    <w:name w:val="（1） Char"/>
    <w:qFormat/>
    <w:uiPriority w:val="0"/>
    <w:rPr>
      <w:rFonts w:hint="default" w:ascii="Cambria" w:hAnsi="Cambria" w:eastAsia="宋体" w:cs="Cambria"/>
      <w:i/>
      <w:color w:val="404040"/>
      <w:kern w:val="0"/>
      <w:sz w:val="22"/>
      <w:lang w:eastAsia="en-US"/>
    </w:rPr>
  </w:style>
  <w:style w:type="character" w:customStyle="1" w:styleId="181">
    <w:name w:val="批注文字 Char1"/>
    <w:qFormat/>
    <w:uiPriority w:val="0"/>
    <w:rPr>
      <w:rFonts w:hint="default" w:ascii="Times New Roman" w:hAnsi="Times New Roman" w:eastAsia="宋体" w:cs="Times New Roman"/>
      <w:szCs w:val="24"/>
    </w:rPr>
  </w:style>
  <w:style w:type="character" w:customStyle="1" w:styleId="182">
    <w:name w:val="公式 Char Char"/>
    <w:qFormat/>
    <w:uiPriority w:val="0"/>
    <w:rPr>
      <w:sz w:val="24"/>
      <w:lang w:bidi="ar"/>
    </w:rPr>
  </w:style>
  <w:style w:type="character" w:customStyle="1" w:styleId="183">
    <w:name w:val="脚注文本 字符"/>
    <w:link w:val="47"/>
    <w:qFormat/>
    <w:uiPriority w:val="0"/>
    <w:rPr>
      <w:kern w:val="2"/>
      <w:sz w:val="18"/>
      <w:lang w:bidi="ar"/>
    </w:rPr>
  </w:style>
  <w:style w:type="character" w:customStyle="1" w:styleId="184">
    <w:name w:val="small-text"/>
    <w:qFormat/>
    <w:uiPriority w:val="0"/>
  </w:style>
  <w:style w:type="character" w:customStyle="1" w:styleId="185">
    <w:name w:val="Footer-Even Char Char"/>
    <w:qFormat/>
    <w:uiPriority w:val="0"/>
    <w:rPr>
      <w:kern w:val="0"/>
      <w:sz w:val="18"/>
      <w:lang w:eastAsia="en-US"/>
    </w:rPr>
  </w:style>
  <w:style w:type="character" w:customStyle="1" w:styleId="186">
    <w:name w:val="H212 C"/>
    <w:qFormat/>
    <w:uiPriority w:val="0"/>
    <w:rPr>
      <w:rFonts w:hint="default" w:ascii="Arial" w:hAnsi="Arial" w:eastAsia="黑体" w:cs="Arial"/>
      <w:b/>
      <w:kern w:val="2"/>
      <w:sz w:val="32"/>
      <w:lang w:val="en-US" w:eastAsia="zh-CN"/>
    </w:rPr>
  </w:style>
  <w:style w:type="character" w:customStyle="1" w:styleId="187">
    <w:name w:val="cuti1"/>
    <w:qFormat/>
    <w:uiPriority w:val="0"/>
    <w:rPr>
      <w:b/>
      <w:sz w:val="21"/>
      <w:u w:val="none"/>
    </w:rPr>
  </w:style>
  <w:style w:type="character" w:customStyle="1" w:styleId="188">
    <w:name w:val="sep"/>
    <w:qFormat/>
    <w:uiPriority w:val="0"/>
    <w:rPr>
      <w:shd w:val="clear" w:color="auto" w:fill="EAEAEA"/>
    </w:rPr>
  </w:style>
  <w:style w:type="character" w:customStyle="1" w:styleId="189">
    <w:name w:val="正文文本 (2)_"/>
    <w:qFormat/>
    <w:uiPriority w:val="0"/>
    <w:rPr>
      <w:rFonts w:hint="eastAsia" w:ascii="宋体" w:hAnsi="宋体" w:eastAsia="宋体" w:cs="宋体"/>
      <w:shd w:val="clear" w:color="auto" w:fill="FFFFFF"/>
      <w:lang w:bidi="ar"/>
    </w:rPr>
  </w:style>
  <w:style w:type="character" w:customStyle="1" w:styleId="190">
    <w:name w:val="Char Char9"/>
    <w:qFormat/>
    <w:uiPriority w:val="0"/>
    <w:rPr>
      <w:rFonts w:hint="eastAsia" w:ascii="黑体" w:hAnsi="宋体" w:eastAsia="黑体" w:cs="黑体"/>
      <w:bCs/>
      <w:kern w:val="2"/>
      <w:sz w:val="28"/>
      <w:szCs w:val="28"/>
      <w:lang w:val="en-US" w:eastAsia="zh-CN" w:bidi="ar"/>
    </w:rPr>
  </w:style>
  <w:style w:type="character" w:customStyle="1" w:styleId="191">
    <w:name w:val="页脚 字符1"/>
    <w:link w:val="38"/>
    <w:qFormat/>
    <w:uiPriority w:val="99"/>
    <w:rPr>
      <w:sz w:val="18"/>
      <w:szCs w:val="18"/>
      <w:lang w:bidi="ar"/>
    </w:rPr>
  </w:style>
  <w:style w:type="character" w:customStyle="1" w:styleId="192">
    <w:name w:val="标题 #4 (2) + 10.5 pt"/>
    <w:qFormat/>
    <w:uiPriority w:val="0"/>
    <w:rPr>
      <w:rFonts w:hint="eastAsia" w:ascii="宋体" w:hAnsi="宋体" w:eastAsia="宋体" w:cs="宋体"/>
      <w:b/>
      <w:color w:val="000000"/>
      <w:spacing w:val="0"/>
      <w:w w:val="100"/>
      <w:position w:val="0"/>
      <w:sz w:val="21"/>
      <w:szCs w:val="21"/>
      <w:u w:val="single"/>
      <w:lang w:val="zh-CN" w:bidi="ar"/>
    </w:rPr>
  </w:style>
  <w:style w:type="character" w:customStyle="1" w:styleId="193">
    <w:name w:val="尾注文本 Char"/>
    <w:qFormat/>
    <w:uiPriority w:val="0"/>
    <w:rPr>
      <w:kern w:val="2"/>
      <w:sz w:val="21"/>
      <w:szCs w:val="22"/>
    </w:rPr>
  </w:style>
  <w:style w:type="character" w:customStyle="1" w:styleId="194">
    <w:name w:val="H6 Char"/>
    <w:qFormat/>
    <w:uiPriority w:val="0"/>
    <w:rPr>
      <w:rFonts w:hint="default" w:ascii="Cambria" w:hAnsi="Cambria" w:eastAsia="宋体" w:cs="Cambria"/>
      <w:i/>
      <w:color w:val="243F60"/>
      <w:kern w:val="0"/>
      <w:sz w:val="22"/>
      <w:lang w:eastAsia="en-US"/>
    </w:rPr>
  </w:style>
  <w:style w:type="character" w:customStyle="1" w:styleId="195">
    <w:name w:val="章标 Char Char"/>
    <w:link w:val="196"/>
    <w:qFormat/>
    <w:uiPriority w:val="0"/>
    <w:rPr>
      <w:rFonts w:ascii="黑体" w:hAnsi="黑体" w:eastAsia="黑体" w:cs="宋体"/>
      <w:b/>
      <w:bCs/>
      <w:kern w:val="44"/>
      <w:sz w:val="32"/>
      <w:szCs w:val="44"/>
    </w:rPr>
  </w:style>
  <w:style w:type="paragraph" w:customStyle="1" w:styleId="196">
    <w:name w:val="章标"/>
    <w:basedOn w:val="4"/>
    <w:link w:val="195"/>
    <w:qFormat/>
    <w:uiPriority w:val="0"/>
    <w:pPr>
      <w:spacing w:before="120" w:after="120" w:line="400" w:lineRule="exact"/>
      <w:jc w:val="center"/>
    </w:pPr>
    <w:rPr>
      <w:rFonts w:hint="default" w:ascii="黑体" w:hAnsi="黑体"/>
      <w:bCs/>
      <w:sz w:val="32"/>
    </w:rPr>
  </w:style>
  <w:style w:type="character" w:customStyle="1" w:styleId="197">
    <w:name w:val="text_darkgray1"/>
    <w:qFormat/>
    <w:uiPriority w:val="0"/>
    <w:rPr>
      <w:color w:val="000000"/>
      <w:spacing w:val="380"/>
      <w:sz w:val="22"/>
    </w:rPr>
  </w:style>
  <w:style w:type="character" w:customStyle="1" w:styleId="198">
    <w:name w:val="orange1"/>
    <w:qFormat/>
    <w:uiPriority w:val="0"/>
    <w:rPr>
      <w:rFonts w:hint="default" w:ascii="Arial" w:hAnsi="Arial" w:cs="Arial"/>
      <w:b/>
      <w:color w:val="FF6600"/>
      <w:sz w:val="18"/>
    </w:rPr>
  </w:style>
  <w:style w:type="character" w:customStyle="1" w:styleId="199">
    <w:name w:val="标题 #4 (2)_"/>
    <w:qFormat/>
    <w:uiPriority w:val="0"/>
    <w:rPr>
      <w:rFonts w:hint="eastAsia" w:ascii="宋体" w:hAnsi="宋体" w:eastAsia="宋体" w:cs="宋体"/>
      <w:shd w:val="clear" w:color="auto" w:fill="FFFFFF"/>
      <w:lang w:bidi="ar"/>
    </w:rPr>
  </w:style>
  <w:style w:type="character" w:customStyle="1" w:styleId="200">
    <w:name w:val="标题 #3 + SimSun"/>
    <w:qFormat/>
    <w:uiPriority w:val="0"/>
    <w:rPr>
      <w:rFonts w:hint="eastAsia" w:ascii="宋体" w:hAnsi="宋体" w:eastAsia="宋体" w:cs="宋体"/>
      <w:color w:val="000000"/>
      <w:spacing w:val="0"/>
      <w:w w:val="100"/>
      <w:position w:val="0"/>
      <w:sz w:val="32"/>
      <w:szCs w:val="32"/>
      <w:lang w:bidi="ar"/>
    </w:rPr>
  </w:style>
  <w:style w:type="character" w:customStyle="1" w:styleId="201">
    <w:name w:val="正文首行缩进1 Char Char"/>
    <w:qFormat/>
    <w:uiPriority w:val="0"/>
    <w:rPr>
      <w:kern w:val="0"/>
      <w:sz w:val="22"/>
      <w:lang w:eastAsia="en-US"/>
    </w:rPr>
  </w:style>
  <w:style w:type="character" w:customStyle="1" w:styleId="202">
    <w:name w:val="txt1"/>
    <w:qFormat/>
    <w:uiPriority w:val="0"/>
    <w:rPr>
      <w:color w:val="000099"/>
      <w:sz w:val="20"/>
      <w:szCs w:val="20"/>
      <w:u w:val="none"/>
    </w:rPr>
  </w:style>
  <w:style w:type="character" w:customStyle="1" w:styleId="203">
    <w:name w:val="正文文本 3 Char"/>
    <w:qFormat/>
    <w:uiPriority w:val="0"/>
    <w:rPr>
      <w:kern w:val="2"/>
      <w:sz w:val="16"/>
      <w:szCs w:val="16"/>
    </w:rPr>
  </w:style>
  <w:style w:type="character" w:customStyle="1" w:styleId="204">
    <w:name w:val="尾注文本 Char Char"/>
    <w:qFormat/>
    <w:uiPriority w:val="0"/>
    <w:rPr>
      <w:rFonts w:hint="eastAsia" w:ascii="宋体" w:hAnsi="宋体" w:eastAsia="宋体"/>
      <w:kern w:val="2"/>
      <w:sz w:val="21"/>
      <w:szCs w:val="24"/>
      <w:lang w:val="en-US" w:eastAsia="zh-CN" w:bidi="ar-SA"/>
    </w:rPr>
  </w:style>
  <w:style w:type="character" w:customStyle="1" w:styleId="205">
    <w:name w:val="批注框文本 字符"/>
    <w:link w:val="37"/>
    <w:qFormat/>
    <w:uiPriority w:val="99"/>
    <w:rPr>
      <w:sz w:val="18"/>
      <w:szCs w:val="18"/>
      <w:lang w:bidi="ar"/>
    </w:rPr>
  </w:style>
  <w:style w:type="character" w:customStyle="1" w:styleId="206">
    <w:name w:val="cnfont1"/>
    <w:qFormat/>
    <w:uiPriority w:val="0"/>
  </w:style>
  <w:style w:type="character" w:customStyle="1" w:styleId="207">
    <w:name w:val="标题 9 字符"/>
    <w:link w:val="11"/>
    <w:qFormat/>
    <w:uiPriority w:val="0"/>
    <w:rPr>
      <w:rFonts w:hint="default" w:ascii="Arial" w:hAnsi="Arial" w:eastAsia="黑体" w:cs="Arial"/>
      <w:szCs w:val="21"/>
      <w:lang w:val="en-US" w:eastAsia="zh-CN" w:bidi="ar"/>
    </w:rPr>
  </w:style>
  <w:style w:type="character" w:customStyle="1" w:styleId="208">
    <w:name w:val="9ft1"/>
    <w:qFormat/>
    <w:uiPriority w:val="0"/>
    <w:rPr>
      <w:rFonts w:hint="eastAsia" w:ascii="宋体" w:hAnsi="宋体" w:eastAsia="宋体" w:cs="宋体"/>
      <w:color w:val="000000"/>
      <w:sz w:val="18"/>
      <w:u w:val="none"/>
    </w:rPr>
  </w:style>
  <w:style w:type="character" w:customStyle="1" w:styleId="209">
    <w:name w:val="纯文本 字符"/>
    <w:link w:val="32"/>
    <w:qFormat/>
    <w:uiPriority w:val="0"/>
    <w:rPr>
      <w:rFonts w:hint="eastAsia" w:ascii="宋体" w:hAnsi="Courier New" w:eastAsia="宋体" w:cs="宋体"/>
      <w:lang w:bidi="ar"/>
    </w:rPr>
  </w:style>
  <w:style w:type="character" w:customStyle="1" w:styleId="210">
    <w:name w:val="明显引用 Char"/>
    <w:qFormat/>
    <w:uiPriority w:val="0"/>
    <w:rPr>
      <w:b/>
      <w:i/>
      <w:color w:val="4F81BD"/>
      <w:kern w:val="2"/>
      <w:sz w:val="21"/>
      <w:lang w:bidi="ar"/>
    </w:rPr>
  </w:style>
  <w:style w:type="character" w:customStyle="1" w:styleId="211">
    <w:name w:val="正文文本 3 Char1"/>
    <w:qFormat/>
    <w:uiPriority w:val="99"/>
    <w:rPr>
      <w:rFonts w:hint="default" w:ascii="Times New Roman" w:hAnsi="Times New Roman" w:eastAsia="宋体" w:cs="Times New Roman"/>
      <w:sz w:val="16"/>
      <w:szCs w:val="16"/>
    </w:rPr>
  </w:style>
  <w:style w:type="character" w:customStyle="1" w:styleId="212">
    <w:name w:val="批注主题 Char"/>
    <w:qFormat/>
    <w:uiPriority w:val="0"/>
    <w:rPr>
      <w:b/>
      <w:kern w:val="2"/>
      <w:sz w:val="21"/>
      <w:szCs w:val="22"/>
    </w:rPr>
  </w:style>
  <w:style w:type="character" w:customStyle="1" w:styleId="213">
    <w:name w:val="纯文本 Char"/>
    <w:qFormat/>
    <w:uiPriority w:val="0"/>
    <w:rPr>
      <w:rFonts w:hint="eastAsia" w:ascii="宋体" w:hAnsi="Courier New" w:eastAsia="宋体" w:cs="宋体"/>
      <w:kern w:val="2"/>
      <w:sz w:val="21"/>
      <w:szCs w:val="21"/>
      <w:lang w:bidi="ar"/>
    </w:rPr>
  </w:style>
  <w:style w:type="character" w:customStyle="1" w:styleId="214">
    <w:name w:val="表正文 Char"/>
    <w:qFormat/>
    <w:uiPriority w:val="0"/>
    <w:rPr>
      <w:rFonts w:hint="eastAsia" w:ascii="宋体" w:hAnsi="宋体" w:eastAsia="宋体" w:cs="宋体"/>
      <w:kern w:val="2"/>
      <w:sz w:val="24"/>
      <w:lang w:val="en-US" w:eastAsia="zh-CN" w:bidi="ar"/>
    </w:rPr>
  </w:style>
  <w:style w:type="character" w:customStyle="1" w:styleId="215">
    <w:name w:val="标题 3 Char Char"/>
    <w:qFormat/>
    <w:uiPriority w:val="0"/>
    <w:rPr>
      <w:rFonts w:hint="eastAsia" w:ascii="宋体" w:hAnsi="宋体" w:eastAsia="宋体" w:cs="宋体"/>
      <w:b/>
      <w:color w:val="FF0000"/>
      <w:kern w:val="2"/>
      <w:sz w:val="24"/>
      <w:szCs w:val="24"/>
      <w:lang w:val="zh-CN" w:eastAsia="zh-CN" w:bidi="ar"/>
    </w:rPr>
  </w:style>
  <w:style w:type="character" w:customStyle="1" w:styleId="216">
    <w:name w:val="标题 #2_"/>
    <w:qFormat/>
    <w:uiPriority w:val="0"/>
    <w:rPr>
      <w:rFonts w:hint="eastAsia" w:ascii="MingLiU" w:hAnsi="MingLiU" w:eastAsia="MingLiU" w:cs="MingLiU"/>
      <w:sz w:val="36"/>
      <w:szCs w:val="36"/>
      <w:shd w:val="clear" w:color="auto" w:fill="FFFFFF"/>
      <w:lang w:bidi="ar"/>
    </w:rPr>
  </w:style>
  <w:style w:type="character" w:customStyle="1" w:styleId="217">
    <w:name w:val="正文文本缩进 2 Char1"/>
    <w:qFormat/>
    <w:uiPriority w:val="99"/>
    <w:rPr>
      <w:rFonts w:hint="default" w:ascii="Times New Roman" w:hAnsi="Times New Roman" w:eastAsia="宋体" w:cs="Times New Roman"/>
      <w:szCs w:val="24"/>
    </w:rPr>
  </w:style>
  <w:style w:type="character" w:customStyle="1" w:styleId="218">
    <w:name w:val="big1"/>
    <w:qFormat/>
    <w:uiPriority w:val="0"/>
    <w:rPr>
      <w:sz w:val="30"/>
      <w:szCs w:val="30"/>
    </w:rPr>
  </w:style>
  <w:style w:type="character" w:customStyle="1" w:styleId="219">
    <w:name w:val="明显参考1"/>
    <w:qFormat/>
    <w:uiPriority w:val="0"/>
    <w:rPr>
      <w:b/>
      <w:smallCaps/>
      <w:color w:val="C0504D"/>
      <w:spacing w:val="5"/>
      <w:u w:val="single"/>
    </w:rPr>
  </w:style>
  <w:style w:type="character" w:customStyle="1" w:styleId="220">
    <w:name w:val="标题 1 Char Char"/>
    <w:qFormat/>
    <w:uiPriority w:val="0"/>
    <w:rPr>
      <w:rFonts w:hint="eastAsia" w:ascii="仿宋_GB2312" w:hAnsi="宋体" w:eastAsia="仿宋_GB2312" w:cs="宋体"/>
      <w:b/>
      <w:bCs/>
      <w:kern w:val="2"/>
      <w:sz w:val="30"/>
      <w:szCs w:val="30"/>
      <w:lang w:val="en-US" w:eastAsia="zh-CN" w:bidi="ar-SA"/>
    </w:rPr>
  </w:style>
  <w:style w:type="character" w:customStyle="1" w:styleId="221">
    <w:name w:val="正文文本缩进 字符"/>
    <w:link w:val="26"/>
    <w:qFormat/>
    <w:uiPriority w:val="99"/>
    <w:rPr>
      <w:rFonts w:ascii="宋体" w:hAnsi="宋体"/>
      <w:kern w:val="2"/>
      <w:sz w:val="21"/>
      <w:szCs w:val="22"/>
    </w:rPr>
  </w:style>
  <w:style w:type="character" w:customStyle="1" w:styleId="222">
    <w:name w:val="纯文本 Char2"/>
    <w:qFormat/>
    <w:uiPriority w:val="0"/>
    <w:rPr>
      <w:rFonts w:hint="eastAsia" w:ascii="宋体" w:hAnsi="Courier New" w:eastAsia="宋体" w:cs="Courier New"/>
      <w:szCs w:val="21"/>
    </w:rPr>
  </w:style>
  <w:style w:type="character" w:customStyle="1" w:styleId="223">
    <w:name w:val="页码1"/>
    <w:qFormat/>
    <w:uiPriority w:val="0"/>
  </w:style>
  <w:style w:type="character" w:customStyle="1" w:styleId="224">
    <w:name w:val="正文文本缩进 3 字符"/>
    <w:link w:val="50"/>
    <w:qFormat/>
    <w:uiPriority w:val="99"/>
    <w:rPr>
      <w:sz w:val="16"/>
      <w:szCs w:val="16"/>
      <w:lang w:bidi="ar"/>
    </w:rPr>
  </w:style>
  <w:style w:type="character" w:customStyle="1" w:styleId="225">
    <w:name w:val="Level 3 Head Char1"/>
    <w:qFormat/>
    <w:uiPriority w:val="0"/>
    <w:rPr>
      <w:rFonts w:hint="default" w:ascii="Cambria" w:hAnsi="Cambria" w:eastAsia="宋体" w:cs="Cambria"/>
      <w:b/>
      <w:color w:val="4F81BD"/>
      <w:kern w:val="0"/>
      <w:sz w:val="22"/>
      <w:lang w:eastAsia="en-US"/>
    </w:rPr>
  </w:style>
  <w:style w:type="character" w:customStyle="1" w:styleId="226">
    <w:name w:val="目录 + SimSun"/>
    <w:qFormat/>
    <w:uiPriority w:val="0"/>
    <w:rPr>
      <w:rFonts w:hint="eastAsia" w:ascii="宋体" w:hAnsi="宋体" w:eastAsia="宋体" w:cs="宋体"/>
      <w:color w:val="000000"/>
      <w:spacing w:val="0"/>
      <w:w w:val="100"/>
      <w:position w:val="0"/>
      <w:sz w:val="20"/>
      <w:szCs w:val="20"/>
      <w:u w:val="none"/>
      <w:lang w:val="zh-CN"/>
    </w:rPr>
  </w:style>
  <w:style w:type="character" w:customStyle="1" w:styleId="227">
    <w:name w:val="正文文本 2 Char1"/>
    <w:qFormat/>
    <w:uiPriority w:val="99"/>
    <w:rPr>
      <w:rFonts w:hint="default" w:ascii="Times New Roman" w:hAnsi="Times New Roman" w:eastAsia="宋体" w:cs="Times New Roman"/>
      <w:szCs w:val="24"/>
    </w:rPr>
  </w:style>
  <w:style w:type="character" w:customStyle="1" w:styleId="228">
    <w:name w:val="titleblack14px1"/>
    <w:qFormat/>
    <w:uiPriority w:val="0"/>
    <w:rPr>
      <w:b/>
      <w:color w:val="000000"/>
      <w:sz w:val="21"/>
    </w:rPr>
  </w:style>
  <w:style w:type="character" w:customStyle="1" w:styleId="229">
    <w:name w:val="正文文本 + 间距 -1 pt"/>
    <w:qFormat/>
    <w:uiPriority w:val="0"/>
    <w:rPr>
      <w:rFonts w:hint="eastAsia" w:ascii="MingLiU" w:hAnsi="MingLiU" w:eastAsia="MingLiU" w:cs="MingLiU"/>
      <w:color w:val="000000"/>
      <w:spacing w:val="-20"/>
      <w:w w:val="100"/>
      <w:position w:val="0"/>
      <w:sz w:val="28"/>
      <w:szCs w:val="28"/>
      <w:u w:val="none"/>
      <w:lang w:val="en-US" w:bidi="ar"/>
    </w:rPr>
  </w:style>
  <w:style w:type="character" w:customStyle="1" w:styleId="230">
    <w:name w:val="表正文 Char1"/>
    <w:qFormat/>
    <w:uiPriority w:val="0"/>
    <w:rPr>
      <w:rFonts w:hint="eastAsia" w:ascii="宋体" w:hAnsi="宋体" w:eastAsia="宋体" w:cs="宋体"/>
      <w:kern w:val="2"/>
      <w:sz w:val="24"/>
      <w:lang w:val="en-US" w:eastAsia="zh-CN" w:bidi="ar"/>
    </w:rPr>
  </w:style>
  <w:style w:type="character" w:customStyle="1" w:styleId="231">
    <w:name w:val="disabled"/>
    <w:qFormat/>
    <w:uiPriority w:val="0"/>
    <w:rPr>
      <w:vanish/>
    </w:rPr>
  </w:style>
  <w:style w:type="character" w:customStyle="1" w:styleId="232">
    <w:name w:val="页眉 Char1"/>
    <w:qFormat/>
    <w:uiPriority w:val="99"/>
    <w:rPr>
      <w:rFonts w:hint="default" w:ascii="Times New Roman" w:hAnsi="Times New Roman" w:eastAsia="宋体" w:cs="Times New Roman"/>
      <w:sz w:val="18"/>
      <w:szCs w:val="18"/>
    </w:rPr>
  </w:style>
  <w:style w:type="character" w:customStyle="1" w:styleId="233">
    <w:name w:val="标题 4 字符"/>
    <w:link w:val="2"/>
    <w:qFormat/>
    <w:uiPriority w:val="0"/>
    <w:rPr>
      <w:rFonts w:hint="default" w:ascii="Arial" w:hAnsi="Arial" w:eastAsia="黑体" w:cs="Arial"/>
      <w:b/>
      <w:sz w:val="28"/>
      <w:szCs w:val="28"/>
      <w:lang w:val="en-US" w:eastAsia="zh-CN" w:bidi="ar"/>
    </w:rPr>
  </w:style>
  <w:style w:type="character" w:customStyle="1" w:styleId="234">
    <w:name w:val="正文（首行缩进两字）"/>
    <w:qFormat/>
    <w:uiPriority w:val="0"/>
    <w:rPr>
      <w:rFonts w:hint="eastAsia" w:ascii="宋体" w:hAnsi="宋体" w:eastAsia="宋体" w:cs="宋体"/>
      <w:color w:val="000000"/>
      <w:kern w:val="2"/>
      <w:sz w:val="24"/>
      <w:lang w:val="en-US" w:eastAsia="zh-CN"/>
    </w:rPr>
  </w:style>
  <w:style w:type="character" w:customStyle="1" w:styleId="235">
    <w:name w:val="标题 #2 (2) + 间距 -1 pt"/>
    <w:qFormat/>
    <w:uiPriority w:val="0"/>
    <w:rPr>
      <w:rFonts w:hint="eastAsia" w:ascii="宋体" w:hAnsi="宋体" w:eastAsia="宋体" w:cs="宋体"/>
      <w:color w:val="000000"/>
      <w:spacing w:val="-20"/>
      <w:w w:val="100"/>
      <w:position w:val="0"/>
      <w:sz w:val="33"/>
      <w:szCs w:val="33"/>
      <w:u w:val="none"/>
      <w:lang w:val="zh-CN"/>
    </w:rPr>
  </w:style>
  <w:style w:type="character" w:customStyle="1" w:styleId="236">
    <w:name w:val="页眉 字符"/>
    <w:link w:val="39"/>
    <w:qFormat/>
    <w:uiPriority w:val="99"/>
    <w:rPr>
      <w:sz w:val="18"/>
      <w:szCs w:val="18"/>
      <w:lang w:bidi="ar"/>
    </w:rPr>
  </w:style>
  <w:style w:type="character" w:customStyle="1" w:styleId="237">
    <w:name w:val="textcontents1"/>
    <w:qFormat/>
    <w:uiPriority w:val="0"/>
    <w:rPr>
      <w:rFonts w:hint="eastAsia" w:ascii="宋体" w:hAnsi="宋体" w:eastAsia="宋体"/>
      <w:color w:val="000000"/>
      <w:kern w:val="2"/>
      <w:sz w:val="22"/>
      <w:szCs w:val="22"/>
      <w:lang w:val="en-US" w:eastAsia="zh-CN" w:bidi="ar-SA"/>
    </w:rPr>
  </w:style>
  <w:style w:type="character" w:customStyle="1" w:styleId="238">
    <w:name w:val="HTML 预设格式 字符"/>
    <w:link w:val="56"/>
    <w:qFormat/>
    <w:uiPriority w:val="0"/>
    <w:rPr>
      <w:rFonts w:hint="default" w:ascii="Courier New" w:hAnsi="Courier New" w:cs="Courier New"/>
      <w:lang w:bidi="ar"/>
    </w:rPr>
  </w:style>
  <w:style w:type="character" w:customStyle="1" w:styleId="239">
    <w:name w:val="正文文本首行缩进 字符1"/>
    <w:link w:val="60"/>
    <w:qFormat/>
    <w:uiPriority w:val="0"/>
    <w:rPr>
      <w:rFonts w:hint="eastAsia" w:ascii="宋体" w:hAnsi="宋体" w:eastAsia="宋体" w:cs="宋体"/>
      <w:szCs w:val="24"/>
      <w:lang w:bidi="ar"/>
    </w:rPr>
  </w:style>
  <w:style w:type="character" w:customStyle="1" w:styleId="240">
    <w:name w:val="color-mode-label"/>
    <w:qFormat/>
    <w:uiPriority w:val="0"/>
  </w:style>
  <w:style w:type="character" w:customStyle="1" w:styleId="241">
    <w:name w:val="WW8Num1z0"/>
    <w:qFormat/>
    <w:uiPriority w:val="0"/>
    <w:rPr>
      <w:sz w:val="24"/>
    </w:rPr>
  </w:style>
  <w:style w:type="character" w:customStyle="1" w:styleId="242">
    <w:name w:val="font161"/>
    <w:qFormat/>
    <w:uiPriority w:val="0"/>
    <w:rPr>
      <w:b/>
      <w:sz w:val="32"/>
      <w:szCs w:val="32"/>
    </w:rPr>
  </w:style>
  <w:style w:type="character" w:customStyle="1" w:styleId="243">
    <w:name w:val="正文文本 (7)_"/>
    <w:qFormat/>
    <w:uiPriority w:val="0"/>
    <w:rPr>
      <w:rFonts w:hint="eastAsia" w:ascii="宋体" w:hAnsi="宋体" w:eastAsia="宋体" w:cs="宋体"/>
      <w:b/>
      <w:szCs w:val="21"/>
      <w:shd w:val="clear" w:color="auto" w:fill="FFFFFF"/>
      <w:lang w:bidi="ar"/>
    </w:rPr>
  </w:style>
  <w:style w:type="character" w:customStyle="1" w:styleId="244">
    <w:name w:val="签名 字符"/>
    <w:link w:val="40"/>
    <w:qFormat/>
    <w:uiPriority w:val="0"/>
    <w:rPr>
      <w:rFonts w:hint="eastAsia" w:ascii="楷体_GB2312" w:eastAsia="楷体_GB2312" w:cs="楷体_GB2312"/>
      <w:kern w:val="2"/>
      <w:sz w:val="21"/>
      <w:lang w:bidi="ar"/>
    </w:rPr>
  </w:style>
  <w:style w:type="character" w:customStyle="1" w:styleId="245">
    <w:name w:val="正文文本缩进 2 字符"/>
    <w:link w:val="35"/>
    <w:qFormat/>
    <w:uiPriority w:val="99"/>
    <w:rPr>
      <w:szCs w:val="24"/>
      <w:lang w:bidi="ar"/>
    </w:rPr>
  </w:style>
  <w:style w:type="character" w:customStyle="1" w:styleId="246">
    <w:name w:val="标题 5 Char"/>
    <w:qFormat/>
    <w:uiPriority w:val="0"/>
    <w:rPr>
      <w:b/>
      <w:kern w:val="2"/>
      <w:sz w:val="28"/>
      <w:szCs w:val="28"/>
    </w:rPr>
  </w:style>
  <w:style w:type="character" w:customStyle="1" w:styleId="247">
    <w:name w:val="宏文本 字符"/>
    <w:link w:val="3"/>
    <w:qFormat/>
    <w:uiPriority w:val="0"/>
    <w:rPr>
      <w:rFonts w:ascii="Courier New" w:hAnsi="Courier New"/>
      <w:kern w:val="2"/>
      <w:sz w:val="24"/>
      <w:lang w:val="en-US" w:eastAsia="zh-CN" w:bidi="ar-SA"/>
    </w:rPr>
  </w:style>
  <w:style w:type="character" w:customStyle="1" w:styleId="248">
    <w:name w:val="Heading Char"/>
    <w:qFormat/>
    <w:uiPriority w:val="0"/>
    <w:rPr>
      <w:kern w:val="0"/>
      <w:sz w:val="18"/>
      <w:lang w:eastAsia="en-US"/>
    </w:rPr>
  </w:style>
  <w:style w:type="character" w:customStyle="1" w:styleId="249">
    <w:name w:val="正文文字 Char Char Char Char Char Char Char Char Char Char Char Char Char Char Char Char Char Char Char Char Char Char Char Char Char Char Char Char Char Char Char Char Char Char Char Char Char Char Char Char Char Char Char Char Char Char Char Char Char  Ch"/>
    <w:qFormat/>
    <w:uiPriority w:val="0"/>
    <w:rPr>
      <w:rFonts w:hint="eastAsia" w:ascii="宋体" w:hAnsi="宋体" w:eastAsia="宋体" w:cs="宋体"/>
      <w:kern w:val="2"/>
      <w:sz w:val="21"/>
      <w:lang w:val="en-US" w:eastAsia="zh-CN"/>
    </w:rPr>
  </w:style>
  <w:style w:type="character" w:customStyle="1" w:styleId="250">
    <w:name w:val="标题 Char Char"/>
    <w:qFormat/>
    <w:uiPriority w:val="0"/>
    <w:rPr>
      <w:rFonts w:hint="default" w:ascii="Arial" w:hAnsi="Arial" w:eastAsia="楷体_GB2312" w:cs="Arial"/>
      <w:b/>
      <w:kern w:val="2"/>
      <w:sz w:val="44"/>
      <w:szCs w:val="24"/>
      <w:lang w:val="en-US" w:eastAsia="zh-CN" w:bidi="ar-SA"/>
    </w:rPr>
  </w:style>
  <w:style w:type="character" w:customStyle="1" w:styleId="251">
    <w:name w:val="标题 字符"/>
    <w:link w:val="58"/>
    <w:qFormat/>
    <w:uiPriority w:val="10"/>
    <w:rPr>
      <w:rFonts w:hint="default" w:ascii="Arial" w:hAnsi="Arial" w:cs="Arial"/>
      <w:b/>
      <w:sz w:val="32"/>
      <w:lang w:bidi="ar"/>
    </w:rPr>
  </w:style>
  <w:style w:type="character" w:customStyle="1" w:styleId="252">
    <w:name w:val="不明显参考1"/>
    <w:qFormat/>
    <w:uiPriority w:val="0"/>
    <w:rPr>
      <w:smallCaps/>
      <w:color w:val="C0504D"/>
      <w:u w:val="single"/>
    </w:rPr>
  </w:style>
  <w:style w:type="character" w:customStyle="1" w:styleId="253">
    <w:name w:val="Char Char151"/>
    <w:qFormat/>
    <w:uiPriority w:val="0"/>
    <w:rPr>
      <w:sz w:val="18"/>
      <w:szCs w:val="18"/>
    </w:rPr>
  </w:style>
  <w:style w:type="character" w:customStyle="1" w:styleId="254">
    <w:name w:val="new"/>
    <w:qFormat/>
    <w:uiPriority w:val="0"/>
    <w:rPr>
      <w:color w:val="999999"/>
    </w:rPr>
  </w:style>
  <w:style w:type="character" w:customStyle="1" w:styleId="255">
    <w:name w:val="mmm"/>
    <w:qFormat/>
    <w:uiPriority w:val="0"/>
  </w:style>
  <w:style w:type="character" w:customStyle="1" w:styleId="256">
    <w:name w:val="明显强调11"/>
    <w:qFormat/>
    <w:uiPriority w:val="0"/>
    <w:rPr>
      <w:b/>
      <w:i/>
      <w:color w:val="4F81BD"/>
    </w:rPr>
  </w:style>
  <w:style w:type="character" w:customStyle="1" w:styleId="257">
    <w:name w:val="明显参考2"/>
    <w:qFormat/>
    <w:uiPriority w:val="0"/>
    <w:rPr>
      <w:b/>
      <w:smallCaps/>
      <w:color w:val="C0504D"/>
      <w:spacing w:val="5"/>
      <w:u w:val="single"/>
    </w:rPr>
  </w:style>
  <w:style w:type="character" w:customStyle="1" w:styleId="258">
    <w:name w:val="正文1 Char"/>
    <w:qFormat/>
    <w:uiPriority w:val="0"/>
    <w:rPr>
      <w:rFonts w:hint="eastAsia" w:ascii="宋体" w:hAnsi="宋体" w:eastAsia="宋体" w:cs="宋体"/>
      <w:kern w:val="44"/>
      <w:sz w:val="26"/>
      <w:lang w:val="en-US" w:eastAsia="zh-CN" w:bidi="ar-SA"/>
    </w:rPr>
  </w:style>
  <w:style w:type="character" w:customStyle="1" w:styleId="259">
    <w:name w:val="正文文本 字符"/>
    <w:link w:val="25"/>
    <w:qFormat/>
    <w:uiPriority w:val="99"/>
    <w:rPr>
      <w:rFonts w:hint="eastAsia" w:ascii="宋体" w:hAnsi="宋体" w:eastAsia="宋体" w:cs="宋体"/>
      <w:kern w:val="2"/>
      <w:sz w:val="21"/>
      <w:szCs w:val="22"/>
      <w:lang w:val="en-US" w:eastAsia="zh-CN" w:bidi="ar"/>
    </w:rPr>
  </w:style>
  <w:style w:type="character" w:customStyle="1" w:styleId="260">
    <w:name w:val="style131"/>
    <w:qFormat/>
    <w:uiPriority w:val="0"/>
    <w:rPr>
      <w:rFonts w:hint="eastAsia" w:ascii="宋体" w:hAnsi="宋体" w:eastAsia="宋体" w:cs="宋体"/>
      <w:color w:val="555555"/>
      <w:spacing w:val="360"/>
      <w:sz w:val="18"/>
    </w:rPr>
  </w:style>
  <w:style w:type="character" w:customStyle="1" w:styleId="261">
    <w:name w:val="未处理的提及1"/>
    <w:unhideWhenUsed/>
    <w:qFormat/>
    <w:uiPriority w:val="99"/>
    <w:rPr>
      <w:color w:val="605E5C"/>
      <w:shd w:val="clear" w:color="auto" w:fill="E1DFDD"/>
    </w:rPr>
  </w:style>
  <w:style w:type="character" w:customStyle="1" w:styleId="262">
    <w:name w:val="Char Char91"/>
    <w:qFormat/>
    <w:uiPriority w:val="0"/>
    <w:rPr>
      <w:rFonts w:hint="eastAsia" w:ascii="黑体" w:hAnsi="宋体" w:eastAsia="黑体"/>
      <w:bCs/>
      <w:kern w:val="2"/>
      <w:sz w:val="28"/>
      <w:szCs w:val="28"/>
      <w:lang w:val="en-US" w:eastAsia="zh-CN" w:bidi="ar-SA"/>
    </w:rPr>
  </w:style>
  <w:style w:type="character" w:customStyle="1" w:styleId="263">
    <w:name w:val="特点标题 Char Char"/>
    <w:qFormat/>
    <w:uiPriority w:val="0"/>
    <w:rPr>
      <w:kern w:val="0"/>
      <w:sz w:val="22"/>
      <w:lang w:eastAsia="en-US"/>
    </w:rPr>
  </w:style>
  <w:style w:type="character" w:customStyle="1" w:styleId="264">
    <w:name w:val="标题 8 Char"/>
    <w:qFormat/>
    <w:uiPriority w:val="0"/>
    <w:rPr>
      <w:rFonts w:hint="default" w:ascii="Cambria" w:hAnsi="Cambria" w:eastAsia="宋体" w:cs="Times New Roman"/>
      <w:kern w:val="2"/>
      <w:sz w:val="24"/>
      <w:szCs w:val="24"/>
    </w:rPr>
  </w:style>
  <w:style w:type="character" w:customStyle="1" w:styleId="265">
    <w:name w:val="文档结构图 字符"/>
    <w:link w:val="20"/>
    <w:qFormat/>
    <w:uiPriority w:val="0"/>
    <w:rPr>
      <w:szCs w:val="24"/>
      <w:shd w:val="clear" w:color="auto" w:fill="000080"/>
      <w:lang w:bidi="ar"/>
    </w:rPr>
  </w:style>
  <w:style w:type="character" w:customStyle="1" w:styleId="266">
    <w:name w:val="纯文本 Char Char"/>
    <w:qFormat/>
    <w:uiPriority w:val="0"/>
    <w:rPr>
      <w:rFonts w:ascii="宋体" w:hAnsi="Courier New" w:eastAsia="宋体" w:cs="Courier New"/>
      <w:szCs w:val="21"/>
    </w:rPr>
  </w:style>
  <w:style w:type="character" w:customStyle="1" w:styleId="267">
    <w:name w:val="标题 #4_"/>
    <w:qFormat/>
    <w:uiPriority w:val="0"/>
    <w:rPr>
      <w:rFonts w:hint="eastAsia" w:ascii="黑体" w:hAnsi="宋体" w:eastAsia="黑体" w:cs="黑体"/>
      <w:spacing w:val="40"/>
      <w:sz w:val="28"/>
      <w:szCs w:val="28"/>
      <w:shd w:val="clear" w:color="auto" w:fill="FFFFFF"/>
      <w:lang w:bidi="ar"/>
    </w:rPr>
  </w:style>
  <w:style w:type="character" w:customStyle="1" w:styleId="268">
    <w:name w:val="font41"/>
    <w:qFormat/>
    <w:uiPriority w:val="0"/>
    <w:rPr>
      <w:rFonts w:hint="default" w:ascii="Times New Roman" w:hAnsi="Times New Roman" w:cs="Times New Roman"/>
      <w:b/>
      <w:color w:val="000000"/>
      <w:sz w:val="20"/>
      <w:szCs w:val="20"/>
      <w:u w:val="none"/>
    </w:rPr>
  </w:style>
  <w:style w:type="character" w:customStyle="1" w:styleId="269">
    <w:name w:val="批注文字 字符"/>
    <w:link w:val="22"/>
    <w:qFormat/>
    <w:uiPriority w:val="0"/>
    <w:rPr>
      <w:szCs w:val="24"/>
      <w:lang w:bidi="ar"/>
    </w:rPr>
  </w:style>
  <w:style w:type="character" w:customStyle="1" w:styleId="270">
    <w:name w:val="标题 1 字符"/>
    <w:link w:val="4"/>
    <w:qFormat/>
    <w:uiPriority w:val="0"/>
    <w:rPr>
      <w:rFonts w:hint="eastAsia" w:ascii="宋体" w:hAnsi="宋体" w:eastAsia="宋体" w:cs="宋体"/>
      <w:b/>
      <w:kern w:val="44"/>
      <w:sz w:val="44"/>
      <w:szCs w:val="44"/>
      <w:lang w:val="en-US" w:eastAsia="zh-CN" w:bidi="ar"/>
    </w:rPr>
  </w:style>
  <w:style w:type="character" w:customStyle="1" w:styleId="271">
    <w:name w:val="old"/>
    <w:qFormat/>
    <w:uiPriority w:val="0"/>
    <w:rPr>
      <w:color w:val="999999"/>
    </w:rPr>
  </w:style>
  <w:style w:type="character" w:customStyle="1" w:styleId="272">
    <w:name w:val="正文首行缩进 2 Char1"/>
    <w:semiHidden/>
    <w:qFormat/>
    <w:uiPriority w:val="99"/>
  </w:style>
  <w:style w:type="character" w:customStyle="1" w:styleId="273">
    <w:name w:val="图片标题 Exact"/>
    <w:qFormat/>
    <w:uiPriority w:val="0"/>
    <w:rPr>
      <w:rFonts w:hint="default" w:ascii="Arial Unicode MS" w:hAnsi="Arial Unicode MS" w:eastAsia="Arial Unicode MS" w:cs="Arial Unicode MS"/>
      <w:spacing w:val="2"/>
      <w:sz w:val="18"/>
      <w:szCs w:val="18"/>
      <w:u w:val="none"/>
    </w:rPr>
  </w:style>
  <w:style w:type="character" w:customStyle="1" w:styleId="274">
    <w:name w:val="H5 Char"/>
    <w:qFormat/>
    <w:uiPriority w:val="0"/>
    <w:rPr>
      <w:rFonts w:hint="default" w:ascii="Cambria" w:hAnsi="Cambria" w:eastAsia="宋体" w:cs="Cambria"/>
      <w:color w:val="243F60"/>
      <w:kern w:val="0"/>
      <w:sz w:val="22"/>
      <w:lang w:eastAsia="en-US"/>
    </w:rPr>
  </w:style>
  <w:style w:type="character" w:customStyle="1" w:styleId="275">
    <w:name w:val="style321"/>
    <w:qFormat/>
    <w:uiPriority w:val="0"/>
    <w:rPr>
      <w:color w:val="333333"/>
    </w:rPr>
  </w:style>
  <w:style w:type="character" w:customStyle="1" w:styleId="276">
    <w:name w:val="日期 Char1"/>
    <w:qFormat/>
    <w:uiPriority w:val="99"/>
    <w:rPr>
      <w:rFonts w:hint="default" w:ascii="Times New Roman" w:hAnsi="Times New Roman" w:eastAsia="宋体" w:cs="Times New Roman"/>
      <w:szCs w:val="24"/>
    </w:rPr>
  </w:style>
  <w:style w:type="character" w:customStyle="1" w:styleId="277">
    <w:name w:val="段落样式 Char Char"/>
    <w:qFormat/>
    <w:uiPriority w:val="0"/>
    <w:rPr>
      <w:sz w:val="24"/>
      <w:lang w:bidi="ar"/>
    </w:rPr>
  </w:style>
  <w:style w:type="character" w:customStyle="1" w:styleId="278">
    <w:name w:val="v151"/>
    <w:qFormat/>
    <w:uiPriority w:val="0"/>
    <w:rPr>
      <w:sz w:val="18"/>
      <w:szCs w:val="18"/>
    </w:rPr>
  </w:style>
  <w:style w:type="character" w:customStyle="1" w:styleId="279">
    <w:name w:val="标题 4 Char"/>
    <w:qFormat/>
    <w:uiPriority w:val="0"/>
    <w:rPr>
      <w:rFonts w:hint="default" w:ascii="Cambria" w:hAnsi="Cambria" w:eastAsia="宋体" w:cs="Times New Roman"/>
      <w:b/>
      <w:kern w:val="2"/>
      <w:sz w:val="28"/>
      <w:szCs w:val="28"/>
    </w:rPr>
  </w:style>
  <w:style w:type="character" w:customStyle="1" w:styleId="280">
    <w:name w:val="文档结构图 Char1"/>
    <w:qFormat/>
    <w:uiPriority w:val="99"/>
    <w:rPr>
      <w:rFonts w:hint="eastAsia" w:ascii="宋体" w:hAnsi="Times New Roman" w:eastAsia="宋体" w:cs="Times New Roman"/>
      <w:sz w:val="18"/>
      <w:szCs w:val="18"/>
    </w:rPr>
  </w:style>
  <w:style w:type="character" w:customStyle="1" w:styleId="281">
    <w:name w:val="页眉或页脚 + Arial Unicode MS"/>
    <w:qFormat/>
    <w:uiPriority w:val="0"/>
    <w:rPr>
      <w:rFonts w:hint="default" w:ascii="Arial Unicode MS" w:hAnsi="Arial Unicode MS" w:eastAsia="Arial Unicode MS" w:cs="Arial Unicode MS"/>
      <w:color w:val="000000"/>
      <w:spacing w:val="10"/>
      <w:w w:val="100"/>
      <w:position w:val="0"/>
      <w:sz w:val="10"/>
      <w:szCs w:val="10"/>
      <w:u w:val="none"/>
    </w:rPr>
  </w:style>
  <w:style w:type="character" w:customStyle="1" w:styleId="282">
    <w:name w:val="WW8Num4z0"/>
    <w:qFormat/>
    <w:uiPriority w:val="0"/>
    <w:rPr>
      <w:rFonts w:hint="default" w:ascii="Courier New" w:hAnsi="Courier New" w:cs="Courier New"/>
      <w:sz w:val="22"/>
    </w:rPr>
  </w:style>
  <w:style w:type="character" w:customStyle="1" w:styleId="283">
    <w:name w:val="目录 (2) + Arial Unicode MS"/>
    <w:qFormat/>
    <w:uiPriority w:val="0"/>
    <w:rPr>
      <w:rFonts w:hint="default" w:ascii="Arial Unicode MS" w:hAnsi="Arial Unicode MS" w:eastAsia="Arial Unicode MS" w:cs="Arial Unicode MS"/>
      <w:color w:val="000000"/>
      <w:spacing w:val="0"/>
      <w:w w:val="100"/>
      <w:position w:val="0"/>
      <w:sz w:val="20"/>
      <w:szCs w:val="20"/>
      <w:u w:val="none"/>
      <w:lang w:val="zh-CN"/>
    </w:rPr>
  </w:style>
  <w:style w:type="character" w:customStyle="1" w:styleId="284">
    <w:name w:val="apple-style-span"/>
    <w:qFormat/>
    <w:uiPriority w:val="0"/>
    <w:rPr>
      <w:rFonts w:hint="eastAsia" w:ascii="宋体" w:hAnsi="宋体" w:eastAsia="宋体" w:cs="宋体"/>
      <w:kern w:val="2"/>
      <w:sz w:val="24"/>
      <w:szCs w:val="24"/>
      <w:lang w:val="en-US" w:eastAsia="zh-CN" w:bidi="ar"/>
    </w:rPr>
  </w:style>
  <w:style w:type="character" w:customStyle="1" w:styleId="285">
    <w:name w:val="日期 Char"/>
    <w:qFormat/>
    <w:uiPriority w:val="0"/>
    <w:rPr>
      <w:kern w:val="2"/>
      <w:sz w:val="21"/>
      <w:szCs w:val="22"/>
    </w:rPr>
  </w:style>
  <w:style w:type="character" w:customStyle="1" w:styleId="286">
    <w:name w:val="新条文 Char Char"/>
    <w:qFormat/>
    <w:uiPriority w:val="0"/>
    <w:rPr>
      <w:kern w:val="2"/>
      <w:sz w:val="24"/>
      <w:szCs w:val="22"/>
      <w:lang w:val="en-US" w:eastAsia="zh-CN" w:bidi="ar"/>
    </w:rPr>
  </w:style>
  <w:style w:type="character" w:customStyle="1" w:styleId="287">
    <w:name w:val="doc_title1"/>
    <w:qFormat/>
    <w:uiPriority w:val="0"/>
    <w:rPr>
      <w:color w:val="333333"/>
      <w:sz w:val="25"/>
      <w:szCs w:val="25"/>
    </w:rPr>
  </w:style>
  <w:style w:type="character" w:customStyle="1" w:styleId="288">
    <w:name w:val="unnamed1"/>
    <w:qFormat/>
    <w:uiPriority w:val="0"/>
  </w:style>
  <w:style w:type="character" w:customStyle="1" w:styleId="289">
    <w:name w:val="不明显强调112"/>
    <w:qFormat/>
    <w:uiPriority w:val="0"/>
    <w:rPr>
      <w:i/>
      <w:color w:val="808080"/>
    </w:rPr>
  </w:style>
  <w:style w:type="character" w:customStyle="1" w:styleId="290">
    <w:name w:val="font51"/>
    <w:qFormat/>
    <w:uiPriority w:val="0"/>
    <w:rPr>
      <w:rFonts w:hint="default" w:ascii="Times New Roman" w:hAnsi="Times New Roman" w:cs="Times New Roman"/>
      <w:color w:val="000000"/>
      <w:sz w:val="20"/>
      <w:szCs w:val="20"/>
      <w:u w:val="none"/>
    </w:rPr>
  </w:style>
  <w:style w:type="character" w:customStyle="1" w:styleId="291">
    <w:name w:val="文档结构图 Char2"/>
    <w:qFormat/>
    <w:uiPriority w:val="99"/>
    <w:rPr>
      <w:rFonts w:hint="eastAsia" w:ascii="宋体" w:hAnsi="Times New Roman" w:eastAsia="宋体" w:cs="Times New Roman"/>
      <w:sz w:val="18"/>
      <w:szCs w:val="18"/>
    </w:rPr>
  </w:style>
  <w:style w:type="character" w:customStyle="1" w:styleId="292">
    <w:name w:val="testimonials-post"/>
    <w:qFormat/>
    <w:uiPriority w:val="0"/>
    <w:rPr>
      <w:color w:val="656565"/>
      <w:sz w:val="18"/>
      <w:szCs w:val="18"/>
    </w:rPr>
  </w:style>
  <w:style w:type="character" w:customStyle="1" w:styleId="293">
    <w:name w:val="默认段落字体1"/>
    <w:qFormat/>
    <w:uiPriority w:val="0"/>
  </w:style>
  <w:style w:type="character" w:customStyle="1" w:styleId="294">
    <w:name w:val="样式 正文缩进 + 首行缩进:  2 字符 Char Char"/>
    <w:qFormat/>
    <w:uiPriority w:val="0"/>
    <w:rPr>
      <w:rFonts w:hint="eastAsia" w:ascii="宋体" w:hAnsi="宋体" w:eastAsia="宋体" w:cs="宋体"/>
      <w:kern w:val="2"/>
      <w:sz w:val="24"/>
      <w:lang w:val="en-US" w:eastAsia="zh-CN"/>
    </w:rPr>
  </w:style>
  <w:style w:type="character" w:customStyle="1" w:styleId="295">
    <w:name w:val="more8"/>
    <w:qFormat/>
    <w:uiPriority w:val="0"/>
    <w:rPr>
      <w:color w:val="FFFFFF"/>
    </w:rPr>
  </w:style>
  <w:style w:type="character" w:customStyle="1" w:styleId="296">
    <w:name w:val="附件 Char Char"/>
    <w:link w:val="297"/>
    <w:qFormat/>
    <w:uiPriority w:val="0"/>
    <w:rPr>
      <w:rFonts w:ascii="黑体" w:hAnsi="黑体" w:eastAsia="黑体"/>
      <w:b/>
      <w:color w:val="000000"/>
      <w:sz w:val="24"/>
      <w:szCs w:val="32"/>
    </w:rPr>
  </w:style>
  <w:style w:type="paragraph" w:customStyle="1" w:styleId="297">
    <w:name w:val="附件"/>
    <w:basedOn w:val="5"/>
    <w:link w:val="296"/>
    <w:qFormat/>
    <w:uiPriority w:val="0"/>
    <w:pPr>
      <w:spacing w:line="416" w:lineRule="auto"/>
    </w:pPr>
    <w:rPr>
      <w:rFonts w:ascii="黑体" w:hAnsi="黑体"/>
      <w:color w:val="000000"/>
      <w:sz w:val="24"/>
    </w:rPr>
  </w:style>
  <w:style w:type="character" w:customStyle="1" w:styleId="298">
    <w:name w:val="标题2 Char"/>
    <w:link w:val="299"/>
    <w:qFormat/>
    <w:locked/>
    <w:uiPriority w:val="0"/>
    <w:rPr>
      <w:rFonts w:ascii="黑体" w:hAnsi="黑体" w:eastAsia="黑体"/>
      <w:b/>
      <w:bCs/>
      <w:sz w:val="28"/>
      <w:szCs w:val="32"/>
    </w:rPr>
  </w:style>
  <w:style w:type="paragraph" w:customStyle="1" w:styleId="299">
    <w:name w:val="标题2"/>
    <w:basedOn w:val="5"/>
    <w:link w:val="298"/>
    <w:qFormat/>
    <w:uiPriority w:val="0"/>
    <w:pPr>
      <w:tabs>
        <w:tab w:val="left" w:pos="840"/>
      </w:tabs>
      <w:adjustRightInd w:val="0"/>
      <w:snapToGrid w:val="0"/>
      <w:spacing w:before="0" w:after="0" w:line="360" w:lineRule="auto"/>
      <w:ind w:left="840" w:hanging="420"/>
    </w:pPr>
    <w:rPr>
      <w:rFonts w:ascii="黑体" w:hAnsi="黑体"/>
      <w:bCs/>
      <w:sz w:val="28"/>
    </w:rPr>
  </w:style>
  <w:style w:type="character" w:customStyle="1" w:styleId="300">
    <w:name w:val="不明显参考2"/>
    <w:qFormat/>
    <w:uiPriority w:val="0"/>
    <w:rPr>
      <w:smallCaps/>
      <w:color w:val="C0504D"/>
      <w:u w:val="single"/>
    </w:rPr>
  </w:style>
  <w:style w:type="character" w:customStyle="1" w:styleId="301">
    <w:name w:val="标题 #3_"/>
    <w:qFormat/>
    <w:uiPriority w:val="0"/>
    <w:rPr>
      <w:rFonts w:hint="eastAsia" w:ascii="MingLiU" w:hAnsi="MingLiU" w:eastAsia="MingLiU" w:cs="MingLiU"/>
      <w:sz w:val="31"/>
      <w:szCs w:val="31"/>
      <w:shd w:val="clear" w:color="auto" w:fill="FFFFFF"/>
      <w:lang w:bidi="ar"/>
    </w:rPr>
  </w:style>
  <w:style w:type="character" w:customStyle="1" w:styleId="302">
    <w:name w:val="正文文本1"/>
    <w:qFormat/>
    <w:uiPriority w:val="0"/>
    <w:rPr>
      <w:rFonts w:hint="default" w:ascii="Arial Unicode MS" w:hAnsi="Arial Unicode MS" w:eastAsia="Arial Unicode MS" w:cs="Arial Unicode MS"/>
      <w:color w:val="000000"/>
      <w:spacing w:val="0"/>
      <w:w w:val="100"/>
      <w:position w:val="0"/>
      <w:sz w:val="20"/>
      <w:szCs w:val="20"/>
      <w:u w:val="single"/>
      <w:lang w:val="zh-CN" w:bidi="ar"/>
    </w:rPr>
  </w:style>
  <w:style w:type="character" w:customStyle="1" w:styleId="303">
    <w:name w:val="样式3 Char Char"/>
    <w:qFormat/>
    <w:uiPriority w:val="0"/>
    <w:rPr>
      <w:rFonts w:hint="eastAsia" w:ascii="宋体" w:hAnsi="宋体" w:eastAsia="宋体" w:cs="宋体"/>
      <w:lang w:bidi="ar"/>
    </w:rPr>
  </w:style>
  <w:style w:type="character" w:customStyle="1" w:styleId="304">
    <w:name w:val="页脚 Char"/>
    <w:qFormat/>
    <w:uiPriority w:val="0"/>
    <w:rPr>
      <w:kern w:val="2"/>
      <w:sz w:val="18"/>
      <w:szCs w:val="18"/>
    </w:rPr>
  </w:style>
  <w:style w:type="character" w:customStyle="1" w:styleId="305">
    <w:name w:val="明显强调12"/>
    <w:qFormat/>
    <w:uiPriority w:val="0"/>
    <w:rPr>
      <w:b/>
      <w:i/>
      <w:color w:val="4F81BD"/>
    </w:rPr>
  </w:style>
  <w:style w:type="character" w:customStyle="1" w:styleId="306">
    <w:name w:val="正文文本 2 Char"/>
    <w:qFormat/>
    <w:uiPriority w:val="0"/>
    <w:rPr>
      <w:kern w:val="2"/>
      <w:sz w:val="21"/>
      <w:szCs w:val="22"/>
    </w:rPr>
  </w:style>
  <w:style w:type="character" w:customStyle="1" w:styleId="307">
    <w:name w:val="testimonials-name1"/>
    <w:qFormat/>
    <w:uiPriority w:val="0"/>
    <w:rPr>
      <w:color w:val="E6400C"/>
      <w:sz w:val="19"/>
      <w:szCs w:val="19"/>
    </w:rPr>
  </w:style>
  <w:style w:type="character" w:customStyle="1" w:styleId="308">
    <w:name w:val="line1801"/>
    <w:qFormat/>
    <w:uiPriority w:val="0"/>
    <w:rPr>
      <w:spacing w:val="380"/>
      <w:sz w:val="19"/>
    </w:rPr>
  </w:style>
  <w:style w:type="character" w:customStyle="1" w:styleId="309">
    <w:name w:val="纯文本 Char1"/>
    <w:qFormat/>
    <w:uiPriority w:val="99"/>
    <w:rPr>
      <w:rFonts w:hint="eastAsia" w:ascii="宋体" w:hAnsi="Courier New" w:eastAsia="宋体" w:cs="宋体"/>
      <w:kern w:val="2"/>
      <w:sz w:val="21"/>
      <w:lang w:val="en-US" w:eastAsia="zh-CN" w:bidi="ar"/>
    </w:rPr>
  </w:style>
  <w:style w:type="character" w:customStyle="1" w:styleId="310">
    <w:name w:val="正文文本缩进 2 Char"/>
    <w:qFormat/>
    <w:uiPriority w:val="0"/>
    <w:rPr>
      <w:kern w:val="2"/>
      <w:sz w:val="21"/>
      <w:szCs w:val="22"/>
    </w:rPr>
  </w:style>
  <w:style w:type="character" w:customStyle="1" w:styleId="311">
    <w:name w:val="正文文本缩进 3 Char"/>
    <w:qFormat/>
    <w:uiPriority w:val="0"/>
    <w:rPr>
      <w:kern w:val="2"/>
      <w:sz w:val="16"/>
      <w:szCs w:val="16"/>
    </w:rPr>
  </w:style>
  <w:style w:type="character" w:customStyle="1" w:styleId="312">
    <w:name w:val="sort"/>
    <w:qFormat/>
    <w:uiPriority w:val="0"/>
    <w:rPr>
      <w:rFonts w:hint="eastAsia" w:ascii="微软雅黑" w:hAnsi="微软雅黑" w:eastAsia="微软雅黑" w:cs="微软雅黑"/>
      <w:b/>
      <w:color w:val="6D6D6D"/>
    </w:rPr>
  </w:style>
  <w:style w:type="character" w:customStyle="1" w:styleId="313">
    <w:name w:val="说明 Char1"/>
    <w:qFormat/>
    <w:uiPriority w:val="0"/>
    <w:rPr>
      <w:rFonts w:hint="eastAsia" w:ascii="楷体_GB2312" w:eastAsia="楷体_GB2312" w:cs="楷体_GB2312"/>
      <w:sz w:val="24"/>
      <w:lang w:bidi="ar"/>
    </w:rPr>
  </w:style>
  <w:style w:type="character" w:customStyle="1" w:styleId="314">
    <w:name w:val="style261"/>
    <w:qFormat/>
    <w:uiPriority w:val="0"/>
    <w:rPr>
      <w:rFonts w:hint="eastAsia" w:ascii="宋体" w:hAnsi="宋体" w:eastAsia="宋体" w:cs="宋体"/>
      <w:kern w:val="2"/>
      <w:sz w:val="20"/>
      <w:szCs w:val="20"/>
      <w:lang w:val="en-US" w:eastAsia="zh-CN" w:bidi="ar"/>
    </w:rPr>
  </w:style>
  <w:style w:type="character" w:customStyle="1" w:styleId="315">
    <w:name w:val="style11"/>
    <w:qFormat/>
    <w:uiPriority w:val="0"/>
    <w:rPr>
      <w:color w:val="333333"/>
    </w:rPr>
  </w:style>
  <w:style w:type="character" w:customStyle="1" w:styleId="316">
    <w:name w:val="书籍标题111"/>
    <w:qFormat/>
    <w:uiPriority w:val="0"/>
    <w:rPr>
      <w:b/>
      <w:smallCaps/>
      <w:spacing w:val="5"/>
    </w:rPr>
  </w:style>
  <w:style w:type="character" w:customStyle="1" w:styleId="317">
    <w:name w:val="正文文本缩进 Char1"/>
    <w:qFormat/>
    <w:uiPriority w:val="0"/>
    <w:rPr>
      <w:rFonts w:hint="default" w:ascii="Times New Roman" w:hAnsi="Times New Roman" w:eastAsia="宋体" w:cs="Times New Roman"/>
      <w:szCs w:val="24"/>
    </w:rPr>
  </w:style>
  <w:style w:type="character" w:customStyle="1" w:styleId="318">
    <w:name w:val="H3 Char2"/>
    <w:qFormat/>
    <w:uiPriority w:val="0"/>
    <w:rPr>
      <w:rFonts w:hint="eastAsia" w:ascii="宋体" w:hAnsi="Arial" w:eastAsia="宋体" w:cs="宋体"/>
      <w:b/>
      <w:kern w:val="2"/>
      <w:sz w:val="28"/>
      <w:lang w:val="en-US" w:eastAsia="zh-CN" w:bidi="ar"/>
    </w:rPr>
  </w:style>
  <w:style w:type="character" w:customStyle="1" w:styleId="319">
    <w:name w:val="正文文本 + SimSun"/>
    <w:qFormat/>
    <w:uiPriority w:val="0"/>
    <w:rPr>
      <w:rFonts w:hint="eastAsia" w:ascii="宋体" w:hAnsi="宋体" w:eastAsia="宋体" w:cs="宋体"/>
      <w:color w:val="000000"/>
      <w:spacing w:val="0"/>
      <w:w w:val="100"/>
      <w:position w:val="0"/>
      <w:sz w:val="20"/>
      <w:szCs w:val="20"/>
      <w:u w:val="none"/>
      <w:lang w:val="en-US" w:bidi="ar"/>
    </w:rPr>
  </w:style>
  <w:style w:type="character" w:customStyle="1" w:styleId="320">
    <w:name w:val="H2 Char1"/>
    <w:qFormat/>
    <w:uiPriority w:val="0"/>
    <w:rPr>
      <w:rFonts w:hint="default" w:ascii="Cambria" w:hAnsi="Cambria" w:eastAsia="宋体" w:cs="Cambria"/>
      <w:b/>
      <w:color w:val="4F81BD"/>
      <w:kern w:val="0"/>
      <w:sz w:val="26"/>
      <w:lang w:eastAsia="en-US"/>
    </w:rPr>
  </w:style>
  <w:style w:type="character" w:customStyle="1" w:styleId="321">
    <w:name w:val="huh Char"/>
    <w:qFormat/>
    <w:uiPriority w:val="0"/>
    <w:rPr>
      <w:rFonts w:hint="default" w:ascii="Cambria" w:hAnsi="Cambria" w:eastAsia="宋体" w:cs="Cambria"/>
      <w:i/>
      <w:color w:val="404040"/>
      <w:kern w:val="0"/>
      <w:sz w:val="20"/>
      <w:lang w:eastAsia="en-US"/>
    </w:rPr>
  </w:style>
  <w:style w:type="character" w:customStyle="1" w:styleId="322">
    <w:name w:val="（A） Char"/>
    <w:qFormat/>
    <w:uiPriority w:val="0"/>
    <w:rPr>
      <w:rFonts w:hint="default" w:ascii="Cambria" w:hAnsi="Cambria" w:eastAsia="宋体" w:cs="Cambria"/>
      <w:color w:val="4F81BD"/>
      <w:kern w:val="0"/>
      <w:sz w:val="20"/>
      <w:lang w:eastAsia="en-US"/>
    </w:rPr>
  </w:style>
  <w:style w:type="character" w:customStyle="1" w:styleId="323">
    <w:name w:val="p9b"/>
    <w:qFormat/>
    <w:uiPriority w:val="0"/>
  </w:style>
  <w:style w:type="character" w:customStyle="1" w:styleId="324">
    <w:name w:val="H3 Char"/>
    <w:qFormat/>
    <w:uiPriority w:val="0"/>
    <w:rPr>
      <w:rFonts w:hint="eastAsia" w:ascii="宋体" w:hAnsi="Arial" w:eastAsia="宋体" w:cs="宋体"/>
      <w:b/>
      <w:kern w:val="2"/>
      <w:sz w:val="28"/>
    </w:rPr>
  </w:style>
  <w:style w:type="character" w:customStyle="1" w:styleId="325">
    <w:name w:val="正文缩进 Char"/>
    <w:qFormat/>
    <w:uiPriority w:val="0"/>
    <w:rPr>
      <w:rFonts w:hint="default" w:ascii="Times New Roman" w:hAnsi="Times New Roman" w:eastAsia="宋体" w:cs="Times New Roman"/>
      <w:szCs w:val="24"/>
    </w:rPr>
  </w:style>
  <w:style w:type="character" w:customStyle="1" w:styleId="326">
    <w:name w:val="标题 Char1"/>
    <w:qFormat/>
    <w:uiPriority w:val="10"/>
    <w:rPr>
      <w:rFonts w:hint="default" w:ascii="Cambria" w:hAnsi="Cambria" w:eastAsia="宋体" w:cs="Times New Roman"/>
      <w:b/>
      <w:sz w:val="32"/>
      <w:szCs w:val="32"/>
    </w:rPr>
  </w:style>
  <w:style w:type="character" w:customStyle="1" w:styleId="327">
    <w:name w:val="文档结构图 Char"/>
    <w:qFormat/>
    <w:uiPriority w:val="0"/>
    <w:rPr>
      <w:rFonts w:hint="eastAsia" w:ascii="宋体" w:hAnsi="宋体" w:eastAsia="宋体" w:cs="宋体"/>
      <w:kern w:val="2"/>
      <w:sz w:val="18"/>
      <w:szCs w:val="18"/>
    </w:rPr>
  </w:style>
  <w:style w:type="character" w:customStyle="1" w:styleId="328">
    <w:name w:val="正文文本缩进 Char3"/>
    <w:semiHidden/>
    <w:qFormat/>
    <w:uiPriority w:val="99"/>
    <w:rPr>
      <w:rFonts w:ascii="Calibri" w:hAnsi="Calibri" w:eastAsia="宋体" w:cs="Times New Roman"/>
    </w:rPr>
  </w:style>
  <w:style w:type="character" w:customStyle="1" w:styleId="329">
    <w:name w:val="文一 Char"/>
    <w:qFormat/>
    <w:uiPriority w:val="0"/>
    <w:rPr>
      <w:spacing w:val="4"/>
      <w:sz w:val="24"/>
      <w:szCs w:val="24"/>
    </w:rPr>
  </w:style>
  <w:style w:type="character" w:customStyle="1" w:styleId="330">
    <w:name w:val="HTML Markup"/>
    <w:qFormat/>
    <w:uiPriority w:val="0"/>
    <w:rPr>
      <w:vanish/>
      <w:color w:val="FF0000"/>
    </w:rPr>
  </w:style>
  <w:style w:type="character" w:customStyle="1" w:styleId="331">
    <w:name w:val="标题 2 Char Char"/>
    <w:qFormat/>
    <w:uiPriority w:val="0"/>
    <w:rPr>
      <w:rFonts w:hint="default" w:ascii="Arial" w:hAnsi="Arial" w:eastAsia="黑体" w:cs="Arial"/>
      <w:b/>
      <w:kern w:val="2"/>
      <w:sz w:val="32"/>
      <w:szCs w:val="32"/>
      <w:lang w:val="en-US" w:eastAsia="zh-CN" w:bidi="ar"/>
    </w:rPr>
  </w:style>
  <w:style w:type="character" w:customStyle="1" w:styleId="332">
    <w:name w:val="标题 #7 + 间距 2 pt"/>
    <w:qFormat/>
    <w:uiPriority w:val="0"/>
    <w:rPr>
      <w:rFonts w:hint="default" w:ascii="Arial Unicode MS" w:hAnsi="Arial Unicode MS" w:eastAsia="Arial Unicode MS" w:cs="Arial Unicode MS"/>
      <w:color w:val="000000"/>
      <w:spacing w:val="40"/>
      <w:w w:val="100"/>
      <w:position w:val="0"/>
      <w:lang w:val="zh-CN" w:bidi="ar"/>
    </w:rPr>
  </w:style>
  <w:style w:type="character" w:customStyle="1" w:styleId="333">
    <w:name w:val="标题 6 Char"/>
    <w:qFormat/>
    <w:uiPriority w:val="0"/>
    <w:rPr>
      <w:rFonts w:hint="default" w:ascii="Cambria" w:hAnsi="Cambria" w:eastAsia="宋体" w:cs="Times New Roman"/>
      <w:b/>
      <w:kern w:val="2"/>
      <w:sz w:val="24"/>
      <w:szCs w:val="24"/>
    </w:rPr>
  </w:style>
  <w:style w:type="character" w:customStyle="1" w:styleId="334">
    <w:name w:val="页眉 Char"/>
    <w:qFormat/>
    <w:uiPriority w:val="99"/>
    <w:rPr>
      <w:kern w:val="2"/>
      <w:sz w:val="18"/>
      <w:szCs w:val="18"/>
    </w:rPr>
  </w:style>
  <w:style w:type="character" w:customStyle="1" w:styleId="335">
    <w:name w:val="批注框文本 Char"/>
    <w:qFormat/>
    <w:uiPriority w:val="0"/>
    <w:rPr>
      <w:kern w:val="2"/>
      <w:sz w:val="18"/>
      <w:szCs w:val="18"/>
    </w:rPr>
  </w:style>
  <w:style w:type="character" w:customStyle="1" w:styleId="336">
    <w:name w:val="标题 #7 + 粗体"/>
    <w:qFormat/>
    <w:uiPriority w:val="0"/>
    <w:rPr>
      <w:rFonts w:hint="default" w:ascii="Arial Unicode MS" w:hAnsi="Arial Unicode MS" w:eastAsia="Arial Unicode MS" w:cs="Arial Unicode MS"/>
      <w:b/>
      <w:color w:val="000000"/>
      <w:spacing w:val="0"/>
      <w:w w:val="100"/>
      <w:position w:val="0"/>
      <w:lang w:bidi="ar"/>
    </w:rPr>
  </w:style>
  <w:style w:type="character" w:customStyle="1" w:styleId="337">
    <w:name w:val="正文文本 Char2"/>
    <w:qFormat/>
    <w:uiPriority w:val="0"/>
    <w:rPr>
      <w:rFonts w:hint="default" w:ascii="Times New Roman" w:hAnsi="Times New Roman" w:eastAsia="宋体" w:cs="Times New Roman"/>
      <w:szCs w:val="24"/>
    </w:rPr>
  </w:style>
  <w:style w:type="character" w:customStyle="1" w:styleId="338">
    <w:name w:val="批注文字 Char"/>
    <w:qFormat/>
    <w:uiPriority w:val="0"/>
    <w:rPr>
      <w:kern w:val="2"/>
      <w:sz w:val="21"/>
      <w:szCs w:val="22"/>
    </w:rPr>
  </w:style>
  <w:style w:type="character" w:customStyle="1" w:styleId="339">
    <w:name w:val="font11"/>
    <w:qFormat/>
    <w:uiPriority w:val="0"/>
    <w:rPr>
      <w:rFonts w:hint="eastAsia" w:ascii="宋体" w:hAnsi="宋体" w:eastAsia="宋体" w:cs="宋体"/>
      <w:color w:val="000000"/>
      <w:sz w:val="20"/>
      <w:szCs w:val="20"/>
    </w:rPr>
  </w:style>
  <w:style w:type="character" w:customStyle="1" w:styleId="340">
    <w:name w:val="页脚 Char1"/>
    <w:qFormat/>
    <w:uiPriority w:val="99"/>
    <w:rPr>
      <w:rFonts w:hint="default" w:ascii="Times New Roman" w:hAnsi="Times New Roman" w:eastAsia="宋体" w:cs="Times New Roman"/>
      <w:sz w:val="18"/>
      <w:szCs w:val="18"/>
    </w:rPr>
  </w:style>
  <w:style w:type="character" w:customStyle="1" w:styleId="341">
    <w:name w:val="FtrF Char Char"/>
    <w:qFormat/>
    <w:uiPriority w:val="0"/>
    <w:rPr>
      <w:rFonts w:hint="eastAsia" w:ascii="宋体" w:hAnsi="宋体" w:eastAsia="宋体" w:cs="宋体"/>
      <w:kern w:val="2"/>
      <w:sz w:val="18"/>
      <w:lang w:val="en-US" w:eastAsia="zh-CN" w:bidi="ar"/>
    </w:rPr>
  </w:style>
  <w:style w:type="character" w:customStyle="1" w:styleId="342">
    <w:name w:val="font01"/>
    <w:qFormat/>
    <w:uiPriority w:val="0"/>
    <w:rPr>
      <w:rFonts w:hint="default" w:ascii="Times New Roman" w:hAnsi="Times New Roman" w:cs="Times New Roman"/>
      <w:color w:val="000000"/>
      <w:sz w:val="20"/>
      <w:szCs w:val="20"/>
    </w:rPr>
  </w:style>
  <w:style w:type="character" w:customStyle="1" w:styleId="343">
    <w:name w:val="正文文本 Char3"/>
    <w:qFormat/>
    <w:uiPriority w:val="0"/>
    <w:rPr>
      <w:rFonts w:hint="default" w:ascii="Times New Roman" w:hAnsi="Times New Roman" w:eastAsia="宋体" w:cs="Times New Roman"/>
      <w:szCs w:val="24"/>
    </w:rPr>
  </w:style>
  <w:style w:type="character" w:customStyle="1" w:styleId="344">
    <w:name w:val="批注主题 Char2"/>
    <w:qFormat/>
    <w:uiPriority w:val="99"/>
    <w:rPr>
      <w:rFonts w:hint="default" w:ascii="Times New Roman" w:hAnsi="Times New Roman" w:eastAsia="宋体" w:cs="Times New Roman"/>
      <w:b/>
      <w:szCs w:val="24"/>
    </w:rPr>
  </w:style>
  <w:style w:type="character" w:customStyle="1" w:styleId="345">
    <w:name w:val="标题3 Char"/>
    <w:link w:val="346"/>
    <w:qFormat/>
    <w:locked/>
    <w:uiPriority w:val="0"/>
    <w:rPr>
      <w:rFonts w:ascii="黑体" w:hAnsi="黑体" w:eastAsia="黑体"/>
      <w:b/>
      <w:bCs/>
      <w:sz w:val="26"/>
      <w:szCs w:val="32"/>
    </w:rPr>
  </w:style>
  <w:style w:type="paragraph" w:customStyle="1" w:styleId="346">
    <w:name w:val="标题3"/>
    <w:basedOn w:val="6"/>
    <w:link w:val="345"/>
    <w:qFormat/>
    <w:uiPriority w:val="0"/>
    <w:pPr>
      <w:tabs>
        <w:tab w:val="left" w:pos="1875"/>
      </w:tabs>
      <w:adjustRightInd w:val="0"/>
      <w:snapToGrid w:val="0"/>
      <w:spacing w:before="0" w:after="0" w:line="360" w:lineRule="auto"/>
      <w:ind w:left="1875" w:hanging="1035" w:firstLineChars="0"/>
    </w:pPr>
    <w:rPr>
      <w:rFonts w:hint="default" w:hAnsi="黑体"/>
      <w:b/>
      <w:sz w:val="26"/>
      <w:szCs w:val="32"/>
    </w:rPr>
  </w:style>
  <w:style w:type="character" w:customStyle="1" w:styleId="347">
    <w:name w:val="font31"/>
    <w:qFormat/>
    <w:uiPriority w:val="0"/>
    <w:rPr>
      <w:rFonts w:hint="eastAsia" w:ascii="宋体" w:hAnsi="宋体" w:eastAsia="宋体" w:cs="宋体"/>
      <w:b/>
      <w:color w:val="000000"/>
      <w:sz w:val="20"/>
      <w:szCs w:val="20"/>
      <w:u w:val="none"/>
    </w:rPr>
  </w:style>
  <w:style w:type="character" w:customStyle="1" w:styleId="348">
    <w:name w:val="标题 32"/>
    <w:qFormat/>
    <w:uiPriority w:val="0"/>
    <w:rPr>
      <w:rFonts w:hint="eastAsia" w:ascii="宋体" w:hAnsi="宋体" w:eastAsia="宋体" w:cs="宋体"/>
      <w:b/>
      <w:kern w:val="2"/>
      <w:sz w:val="32"/>
      <w:lang w:val="en-US" w:eastAsia="zh-CN"/>
    </w:rPr>
  </w:style>
  <w:style w:type="character" w:customStyle="1" w:styleId="349">
    <w:name w:val="testimonials-name"/>
    <w:qFormat/>
    <w:uiPriority w:val="0"/>
    <w:rPr>
      <w:color w:val="64AED9"/>
      <w:sz w:val="24"/>
      <w:szCs w:val="24"/>
    </w:rPr>
  </w:style>
  <w:style w:type="character" w:customStyle="1" w:styleId="350">
    <w:name w:val="正文文本 (2) + Arial Unicode MS"/>
    <w:qFormat/>
    <w:uiPriority w:val="0"/>
    <w:rPr>
      <w:rFonts w:hint="default" w:ascii="Arial Unicode MS" w:hAnsi="Arial Unicode MS" w:eastAsia="Arial Unicode MS" w:cs="Arial Unicode MS"/>
      <w:color w:val="000000"/>
      <w:spacing w:val="0"/>
      <w:w w:val="100"/>
      <w:position w:val="0"/>
      <w:lang w:val="zh-CN" w:bidi="ar"/>
    </w:rPr>
  </w:style>
  <w:style w:type="character" w:customStyle="1" w:styleId="351">
    <w:name w:val="不明显强调11"/>
    <w:qFormat/>
    <w:uiPriority w:val="0"/>
    <w:rPr>
      <w:i/>
      <w:color w:val="808080"/>
    </w:rPr>
  </w:style>
  <w:style w:type="character" w:customStyle="1" w:styleId="352">
    <w:name w:val="正文文本_"/>
    <w:qFormat/>
    <w:uiPriority w:val="0"/>
    <w:rPr>
      <w:rFonts w:hint="default" w:ascii="Arial Unicode MS" w:hAnsi="Arial Unicode MS" w:eastAsia="Arial Unicode MS" w:cs="Arial Unicode MS"/>
      <w:shd w:val="clear" w:color="auto" w:fill="FFFFFF"/>
      <w:lang w:bidi="ar"/>
    </w:rPr>
  </w:style>
  <w:style w:type="character" w:customStyle="1" w:styleId="353">
    <w:name w:val="正文文本 (5) Exact"/>
    <w:qFormat/>
    <w:uiPriority w:val="0"/>
    <w:rPr>
      <w:rFonts w:hint="eastAsia" w:ascii="黑体" w:hAnsi="宋体" w:eastAsia="黑体" w:cs="黑体"/>
      <w:spacing w:val="-40"/>
      <w:shd w:val="clear" w:color="auto" w:fill="FFFFFF"/>
      <w:lang w:bidi="ar"/>
    </w:rPr>
  </w:style>
  <w:style w:type="character" w:customStyle="1" w:styleId="354">
    <w:name w:val="正文文本首行缩进 字符"/>
    <w:link w:val="355"/>
    <w:qFormat/>
    <w:uiPriority w:val="99"/>
    <w:rPr>
      <w:kern w:val="2"/>
      <w:sz w:val="21"/>
      <w:szCs w:val="24"/>
    </w:rPr>
  </w:style>
  <w:style w:type="paragraph" w:customStyle="1" w:styleId="355">
    <w:name w:val="_Style 87"/>
    <w:basedOn w:val="1"/>
    <w:next w:val="60"/>
    <w:link w:val="354"/>
    <w:unhideWhenUsed/>
    <w:qFormat/>
    <w:uiPriority w:val="99"/>
    <w:pPr>
      <w:ind w:firstLine="420" w:firstLineChars="100"/>
    </w:pPr>
  </w:style>
  <w:style w:type="character" w:customStyle="1" w:styleId="356">
    <w:name w:val="specifications1"/>
    <w:qFormat/>
    <w:uiPriority w:val="0"/>
    <w:rPr>
      <w:rFonts w:hint="default" w:ascii="Arial" w:hAnsi="Arial" w:cs="Arial"/>
      <w:i/>
      <w:color w:val="FF3300"/>
      <w:sz w:val="20"/>
      <w:u w:val="none"/>
    </w:rPr>
  </w:style>
  <w:style w:type="character" w:customStyle="1" w:styleId="357">
    <w:name w:val="明显参考11"/>
    <w:qFormat/>
    <w:uiPriority w:val="0"/>
    <w:rPr>
      <w:b/>
      <w:smallCaps/>
      <w:color w:val="C0504D"/>
      <w:spacing w:val="5"/>
      <w:u w:val="single"/>
    </w:rPr>
  </w:style>
  <w:style w:type="character" w:customStyle="1" w:styleId="358">
    <w:name w:val="C C"/>
    <w:qFormat/>
    <w:uiPriority w:val="0"/>
    <w:rPr>
      <w:rFonts w:hint="eastAsia" w:ascii="宋体" w:hAnsi="宋体" w:eastAsia="宋体" w:cs="宋体"/>
      <w:b/>
      <w:kern w:val="2"/>
      <w:sz w:val="32"/>
      <w:lang w:val="en-US" w:eastAsia="zh-CN"/>
    </w:rPr>
  </w:style>
  <w:style w:type="character" w:customStyle="1" w:styleId="359">
    <w:name w:val="批注框文本 Char1"/>
    <w:qFormat/>
    <w:uiPriority w:val="99"/>
    <w:rPr>
      <w:rFonts w:hint="default" w:ascii="Times New Roman" w:hAnsi="Times New Roman" w:eastAsia="宋体" w:cs="Times New Roman"/>
      <w:sz w:val="18"/>
      <w:szCs w:val="18"/>
    </w:rPr>
  </w:style>
  <w:style w:type="character" w:customStyle="1" w:styleId="360">
    <w:name w:val="weby1"/>
    <w:qFormat/>
    <w:uiPriority w:val="0"/>
  </w:style>
  <w:style w:type="character" w:customStyle="1" w:styleId="361">
    <w:name w:val="批注文字 Char3"/>
    <w:semiHidden/>
    <w:qFormat/>
    <w:uiPriority w:val="99"/>
  </w:style>
  <w:style w:type="character" w:customStyle="1" w:styleId="362">
    <w:name w:val="+正文 Char"/>
    <w:qFormat/>
    <w:uiPriority w:val="0"/>
    <w:rPr>
      <w:rFonts w:hint="eastAsia" w:ascii="宋体" w:hAnsi="宋体" w:eastAsia="宋体"/>
      <w:kern w:val="2"/>
      <w:sz w:val="24"/>
      <w:szCs w:val="28"/>
      <w:lang w:val="en-US" w:eastAsia="zh-CN" w:bidi="ar-SA"/>
    </w:rPr>
  </w:style>
  <w:style w:type="character" w:customStyle="1" w:styleId="363">
    <w:name w:val="不明显参考11"/>
    <w:qFormat/>
    <w:uiPriority w:val="0"/>
    <w:rPr>
      <w:smallCaps/>
      <w:color w:val="C0504D"/>
      <w:u w:val="single"/>
    </w:rPr>
  </w:style>
  <w:style w:type="character" w:customStyle="1" w:styleId="364">
    <w:name w:val="标题 7 Char"/>
    <w:qFormat/>
    <w:uiPriority w:val="0"/>
    <w:rPr>
      <w:b/>
      <w:kern w:val="2"/>
      <w:sz w:val="24"/>
      <w:szCs w:val="24"/>
    </w:rPr>
  </w:style>
  <w:style w:type="character" w:customStyle="1" w:styleId="365">
    <w:name w:val="附表 Char Char"/>
    <w:link w:val="366"/>
    <w:qFormat/>
    <w:uiPriority w:val="0"/>
    <w:rPr>
      <w:rFonts w:ascii="楷体_GB2312" w:hAnsi="楷体_GB2312" w:eastAsia="楷体_GB2312"/>
      <w:b/>
      <w:color w:val="000000"/>
      <w:sz w:val="24"/>
      <w:szCs w:val="24"/>
    </w:rPr>
  </w:style>
  <w:style w:type="paragraph" w:customStyle="1" w:styleId="366">
    <w:name w:val="附表"/>
    <w:basedOn w:val="155"/>
    <w:link w:val="365"/>
    <w:qFormat/>
    <w:uiPriority w:val="0"/>
    <w:rPr>
      <w:rFonts w:ascii="楷体_GB2312" w:hAnsi="楷体_GB2312" w:eastAsia="楷体_GB2312"/>
    </w:rPr>
  </w:style>
  <w:style w:type="character" w:customStyle="1" w:styleId="367">
    <w:name w:val="正文首行缩进 Char2"/>
    <w:qFormat/>
    <w:uiPriority w:val="99"/>
    <w:rPr>
      <w:rFonts w:hint="default" w:ascii="Times New Roman" w:hAnsi="Times New Roman" w:eastAsia="宋体" w:cs="Times New Roman"/>
      <w:szCs w:val="24"/>
    </w:rPr>
  </w:style>
  <w:style w:type="character" w:customStyle="1" w:styleId="368">
    <w:name w:val="unnamed21"/>
    <w:qFormat/>
    <w:uiPriority w:val="0"/>
    <w:rPr>
      <w:color w:val="CC6633"/>
      <w:u w:val="none"/>
    </w:rPr>
  </w:style>
  <w:style w:type="character" w:customStyle="1" w:styleId="369">
    <w:name w:val="WW8Num8z0"/>
    <w:qFormat/>
    <w:uiPriority w:val="0"/>
    <w:rPr>
      <w:sz w:val="24"/>
    </w:rPr>
  </w:style>
  <w:style w:type="paragraph" w:customStyle="1" w:styleId="370">
    <w:name w:val="v15"/>
    <w:basedOn w:val="1"/>
    <w:qFormat/>
    <w:uiPriority w:val="0"/>
    <w:pPr>
      <w:widowControl/>
      <w:spacing w:before="100" w:beforeAutospacing="1" w:after="100" w:afterAutospacing="1" w:line="280" w:lineRule="atLeast"/>
      <w:jc w:val="left"/>
    </w:pPr>
    <w:rPr>
      <w:rFonts w:ascii="Arial" w:hAnsi="Arial" w:cs="Arial"/>
      <w:color w:val="000000"/>
      <w:kern w:val="0"/>
      <w:sz w:val="18"/>
      <w:szCs w:val="18"/>
    </w:rPr>
  </w:style>
  <w:style w:type="paragraph" w:customStyle="1" w:styleId="371">
    <w:name w:val="xl2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72">
    <w:name w:val="font6"/>
    <w:basedOn w:val="1"/>
    <w:qFormat/>
    <w:uiPriority w:val="0"/>
    <w:pPr>
      <w:widowControl/>
      <w:spacing w:before="100" w:beforeAutospacing="1" w:after="100" w:afterAutospacing="1"/>
      <w:jc w:val="left"/>
    </w:pPr>
    <w:rPr>
      <w:kern w:val="0"/>
      <w:sz w:val="16"/>
      <w:szCs w:val="16"/>
    </w:rPr>
  </w:style>
  <w:style w:type="paragraph" w:customStyle="1" w:styleId="373">
    <w:name w:val="Char"/>
    <w:basedOn w:val="1"/>
    <w:qFormat/>
    <w:uiPriority w:val="0"/>
    <w:pPr>
      <w:tabs>
        <w:tab w:val="left" w:pos="360"/>
      </w:tabs>
    </w:pPr>
    <w:rPr>
      <w:sz w:val="24"/>
    </w:rPr>
  </w:style>
  <w:style w:type="paragraph" w:customStyle="1" w:styleId="374">
    <w:name w:val="xl29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5">
    <w:name w:val="表格正文居中"/>
    <w:basedOn w:val="1"/>
    <w:qFormat/>
    <w:uiPriority w:val="0"/>
    <w:pPr>
      <w:autoSpaceDE w:val="0"/>
      <w:autoSpaceDN w:val="0"/>
      <w:adjustRightInd w:val="0"/>
      <w:snapToGrid w:val="0"/>
      <w:spacing w:line="380" w:lineRule="exact"/>
      <w:ind w:left="57" w:right="57"/>
      <w:textAlignment w:val="baseline"/>
    </w:pPr>
    <w:rPr>
      <w:rFonts w:ascii="宋体"/>
      <w:color w:val="000000"/>
      <w:spacing w:val="8"/>
      <w:kern w:val="0"/>
      <w:sz w:val="24"/>
      <w:szCs w:val="20"/>
    </w:rPr>
  </w:style>
  <w:style w:type="paragraph" w:customStyle="1" w:styleId="376">
    <w:name w:val="xl2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7">
    <w:name w:val="标题（章节）"/>
    <w:basedOn w:val="7"/>
    <w:qFormat/>
    <w:uiPriority w:val="0"/>
    <w:pPr>
      <w:tabs>
        <w:tab w:val="left" w:pos="4448"/>
      </w:tabs>
      <w:adjustRightInd w:val="0"/>
      <w:snapToGrid w:val="0"/>
      <w:spacing w:line="360" w:lineRule="auto"/>
      <w:jc w:val="center"/>
    </w:pPr>
    <w:rPr>
      <w:rFonts w:ascii="黑体" w:hAnsi="黑体"/>
      <w:bCs/>
      <w:color w:val="auto"/>
      <w:sz w:val="30"/>
      <w:szCs w:val="28"/>
    </w:rPr>
  </w:style>
  <w:style w:type="paragraph" w:customStyle="1" w:styleId="378">
    <w:name w:val="xl3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79">
    <w:name w:val="xl2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80">
    <w:name w:val="xl3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81">
    <w:name w:val="cjk"/>
    <w:basedOn w:val="1"/>
    <w:qFormat/>
    <w:uiPriority w:val="0"/>
    <w:pPr>
      <w:widowControl/>
      <w:spacing w:before="284" w:after="100" w:afterAutospacing="1" w:line="360" w:lineRule="auto"/>
      <w:jc w:val="left"/>
    </w:pPr>
    <w:rPr>
      <w:rFonts w:ascii="宋体" w:hAnsi="宋体"/>
      <w:kern w:val="0"/>
      <w:sz w:val="22"/>
      <w:szCs w:val="22"/>
    </w:rPr>
  </w:style>
  <w:style w:type="paragraph" w:customStyle="1" w:styleId="382">
    <w:name w:val="xl3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83">
    <w:name w:val="xl2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4">
    <w:name w:val="xl327"/>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385">
    <w:name w:val="小标题1"/>
    <w:basedOn w:val="1"/>
    <w:qFormat/>
    <w:uiPriority w:val="0"/>
    <w:pPr>
      <w:spacing w:line="300" w:lineRule="auto"/>
    </w:pPr>
    <w:rPr>
      <w:sz w:val="24"/>
    </w:rPr>
  </w:style>
  <w:style w:type="paragraph" w:customStyle="1" w:styleId="386">
    <w:name w:val="xl2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87">
    <w:name w:val="默认段落字体 Para Char Char Char Char Char Char Char Char Char Char"/>
    <w:basedOn w:val="1"/>
    <w:qFormat/>
    <w:uiPriority w:val="0"/>
    <w:pPr>
      <w:adjustRightInd w:val="0"/>
      <w:spacing w:line="360" w:lineRule="atLeast"/>
      <w:textAlignment w:val="baseline"/>
    </w:pPr>
    <w:rPr>
      <w:rFonts w:ascii="Verdana" w:hAnsi="Verdana"/>
      <w:sz w:val="32"/>
      <w:lang w:eastAsia="en-US"/>
    </w:rPr>
  </w:style>
  <w:style w:type="paragraph" w:customStyle="1" w:styleId="388">
    <w:name w:val="xl30"/>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389">
    <w:name w:val="xl31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90">
    <w:name w:val="xl36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391">
    <w:name w:val="产品描述"/>
    <w:qFormat/>
    <w:uiPriority w:val="0"/>
    <w:pPr>
      <w:widowControl w:val="0"/>
      <w:autoSpaceDE w:val="0"/>
      <w:autoSpaceDN w:val="0"/>
      <w:adjustRightInd w:val="0"/>
      <w:spacing w:line="270" w:lineRule="atLeast"/>
      <w:ind w:firstLine="397"/>
      <w:jc w:val="both"/>
    </w:pPr>
    <w:rPr>
      <w:rFonts w:ascii="宋体" w:hAnsi="Times New Roman" w:eastAsia="黑体" w:cs="Times New Roman"/>
      <w:sz w:val="18"/>
      <w:szCs w:val="18"/>
      <w:lang w:val="en-US" w:eastAsia="zh-CN" w:bidi="ar-SA"/>
    </w:rPr>
  </w:style>
  <w:style w:type="paragraph" w:customStyle="1" w:styleId="392">
    <w:name w:val="xl29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93">
    <w:name w:val="xl31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394">
    <w:name w:val="Preformatted"/>
    <w:basedOn w:val="1"/>
    <w:qFormat/>
    <w:uiPriority w:val="0"/>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kern w:val="0"/>
      <w:sz w:val="20"/>
      <w:szCs w:val="20"/>
    </w:rPr>
  </w:style>
  <w:style w:type="paragraph" w:customStyle="1" w:styleId="395">
    <w:name w:val="_Style 41"/>
    <w:basedOn w:val="1"/>
    <w:qFormat/>
    <w:uiPriority w:val="0"/>
    <w:rPr>
      <w:rFonts w:ascii="宋体" w:hAnsi="CG Times (W1)"/>
      <w:kern w:val="0"/>
      <w:szCs w:val="20"/>
    </w:rPr>
  </w:style>
  <w:style w:type="paragraph" w:customStyle="1" w:styleId="396">
    <w:name w:val="xl26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7">
    <w:name w:val="样式 标题 3 + 小四"/>
    <w:basedOn w:val="6"/>
    <w:qFormat/>
    <w:uiPriority w:val="0"/>
    <w:pPr>
      <w:widowControl/>
      <w:tabs>
        <w:tab w:val="left" w:pos="645"/>
        <w:tab w:val="left" w:pos="921"/>
        <w:tab w:val="left" w:pos="1125"/>
      </w:tabs>
      <w:adjustRightInd w:val="0"/>
      <w:spacing w:before="0" w:after="0" w:line="360" w:lineRule="auto"/>
      <w:ind w:left="645" w:hanging="645" w:firstLineChars="0"/>
      <w:jc w:val="left"/>
      <w:textAlignment w:val="baseline"/>
    </w:pPr>
    <w:rPr>
      <w:rFonts w:hint="default" w:ascii="Times New Roman" w:hAnsi="Times New Roman"/>
      <w:b/>
      <w:spacing w:val="6"/>
      <w:sz w:val="24"/>
      <w:szCs w:val="24"/>
    </w:rPr>
  </w:style>
  <w:style w:type="paragraph" w:customStyle="1" w:styleId="398">
    <w:name w:val="xl3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399">
    <w:name w:val="xl32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0">
    <w:name w:val="手册页眉"/>
    <w:basedOn w:val="1"/>
    <w:qFormat/>
    <w:uiPriority w:val="0"/>
    <w:pPr>
      <w:spacing w:line="400" w:lineRule="exact"/>
    </w:pPr>
    <w:rPr>
      <w:rFonts w:ascii="Arial" w:hAnsi="Arial"/>
      <w:sz w:val="18"/>
    </w:rPr>
  </w:style>
  <w:style w:type="paragraph" w:customStyle="1" w:styleId="401">
    <w:name w:val="标签"/>
    <w:basedOn w:val="1"/>
    <w:qFormat/>
    <w:uiPriority w:val="0"/>
    <w:pPr>
      <w:suppressLineNumbers/>
      <w:suppressAutoHyphens/>
      <w:spacing w:before="120" w:after="120"/>
    </w:pPr>
    <w:rPr>
      <w:i/>
      <w:iCs/>
      <w:sz w:val="24"/>
      <w:lang w:eastAsia="ar-SA"/>
    </w:rPr>
  </w:style>
  <w:style w:type="paragraph" w:customStyle="1" w:styleId="402">
    <w:name w:val="xl28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3">
    <w:name w:val="1正文 Char1"/>
    <w:basedOn w:val="1"/>
    <w:qFormat/>
    <w:uiPriority w:val="0"/>
    <w:pPr>
      <w:widowControl/>
      <w:adjustRightInd w:val="0"/>
      <w:snapToGrid w:val="0"/>
      <w:spacing w:line="440" w:lineRule="exact"/>
    </w:pPr>
    <w:rPr>
      <w:rFonts w:ascii="宋体" w:hAnsi="宋体"/>
      <w:sz w:val="24"/>
      <w:szCs w:val="20"/>
    </w:rPr>
  </w:style>
  <w:style w:type="paragraph" w:customStyle="1" w:styleId="404">
    <w:name w:val="xl29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05">
    <w:name w:val="xl30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6">
    <w:name w:val="xl34"/>
    <w:basedOn w:val="1"/>
    <w:qFormat/>
    <w:uiPriority w:val="0"/>
    <w:pPr>
      <w:widowControl/>
      <w:pBdr>
        <w:top w:val="single" w:color="auto" w:sz="4" w:space="0"/>
        <w:bottom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07">
    <w:name w:val="Char Char Char Char"/>
    <w:basedOn w:val="1"/>
    <w:qFormat/>
    <w:uiPriority w:val="0"/>
  </w:style>
  <w:style w:type="paragraph" w:customStyle="1" w:styleId="408">
    <w:name w:val="xl3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09">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410">
    <w:name w:val="样式4"/>
    <w:basedOn w:val="1"/>
    <w:qFormat/>
    <w:uiPriority w:val="0"/>
    <w:pPr>
      <w:tabs>
        <w:tab w:val="left" w:pos="1984"/>
      </w:tabs>
      <w:ind w:left="1984" w:hanging="708"/>
    </w:pPr>
  </w:style>
  <w:style w:type="paragraph" w:customStyle="1" w:styleId="411">
    <w:name w:val="xl31"/>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12">
    <w:name w:val="1级标题样式"/>
    <w:basedOn w:val="413"/>
    <w:qFormat/>
    <w:uiPriority w:val="0"/>
    <w:pPr>
      <w:tabs>
        <w:tab w:val="left" w:pos="360"/>
      </w:tabs>
    </w:pPr>
  </w:style>
  <w:style w:type="paragraph" w:customStyle="1" w:styleId="413">
    <w:name w:val="1级标题"/>
    <w:basedOn w:val="414"/>
    <w:qFormat/>
    <w:uiPriority w:val="0"/>
    <w:pPr>
      <w:tabs>
        <w:tab w:val="left" w:pos="360"/>
      </w:tabs>
      <w:spacing w:after="240" w:afterLines="100" w:line="480" w:lineRule="exact"/>
      <w:jc w:val="center"/>
    </w:pPr>
    <w:rPr>
      <w:rFonts w:ascii="宋体" w:hAnsi="宋体"/>
      <w:b/>
      <w:snapToGrid w:val="0"/>
      <w:sz w:val="44"/>
      <w:szCs w:val="44"/>
    </w:rPr>
  </w:style>
  <w:style w:type="paragraph" w:customStyle="1" w:styleId="414">
    <w:name w:val="Char1"/>
    <w:basedOn w:val="1"/>
    <w:qFormat/>
    <w:uiPriority w:val="0"/>
    <w:pPr>
      <w:tabs>
        <w:tab w:val="left" w:pos="360"/>
      </w:tabs>
    </w:pPr>
    <w:rPr>
      <w:sz w:val="24"/>
    </w:rPr>
  </w:style>
  <w:style w:type="paragraph" w:customStyle="1" w:styleId="415">
    <w:name w:val="font0"/>
    <w:basedOn w:val="1"/>
    <w:qFormat/>
    <w:uiPriority w:val="0"/>
    <w:pPr>
      <w:widowControl/>
      <w:spacing w:before="100" w:beforeAutospacing="1" w:after="100" w:afterAutospacing="1"/>
      <w:jc w:val="left"/>
    </w:pPr>
    <w:rPr>
      <w:rFonts w:ascii="宋体" w:hAnsi="宋体" w:cs="宋体"/>
      <w:kern w:val="0"/>
      <w:sz w:val="24"/>
    </w:rPr>
  </w:style>
  <w:style w:type="paragraph" w:customStyle="1" w:styleId="416">
    <w:name w:val="font8"/>
    <w:basedOn w:val="1"/>
    <w:qFormat/>
    <w:uiPriority w:val="0"/>
    <w:pPr>
      <w:widowControl/>
      <w:spacing w:before="100" w:beforeAutospacing="1" w:after="100" w:afterAutospacing="1"/>
      <w:jc w:val="left"/>
    </w:pPr>
    <w:rPr>
      <w:rFonts w:ascii="宋体" w:hAnsi="宋体"/>
      <w:b/>
      <w:bCs/>
      <w:color w:val="000000"/>
      <w:kern w:val="0"/>
      <w:sz w:val="18"/>
      <w:szCs w:val="18"/>
    </w:rPr>
  </w:style>
  <w:style w:type="paragraph" w:customStyle="1" w:styleId="417">
    <w:name w:val="font12"/>
    <w:basedOn w:val="1"/>
    <w:qFormat/>
    <w:uiPriority w:val="0"/>
    <w:pPr>
      <w:widowControl/>
      <w:spacing w:before="100" w:after="100" w:line="360" w:lineRule="auto"/>
      <w:jc w:val="left"/>
    </w:pPr>
    <w:rPr>
      <w:rFonts w:ascii="宋体" w:hAnsi="宋体"/>
      <w:b/>
      <w:kern w:val="0"/>
      <w:sz w:val="20"/>
      <w:szCs w:val="20"/>
    </w:rPr>
  </w:style>
  <w:style w:type="paragraph" w:customStyle="1" w:styleId="418">
    <w:name w:val="xl26"/>
    <w:basedOn w:val="1"/>
    <w:qFormat/>
    <w:uiPriority w:val="0"/>
    <w:pPr>
      <w:widowControl/>
      <w:pBdr>
        <w:left w:val="single" w:color="000000" w:sz="4" w:space="0"/>
        <w:bottom w:val="single" w:color="000000" w:sz="4" w:space="0"/>
        <w:right w:val="single" w:color="000000" w:sz="4" w:space="0"/>
      </w:pBdr>
      <w:suppressAutoHyphens/>
      <w:spacing w:before="280" w:after="280"/>
      <w:jc w:val="center"/>
    </w:pPr>
    <w:rPr>
      <w:rFonts w:ascii="宋体" w:hAnsi="宋体"/>
      <w:sz w:val="24"/>
      <w:szCs w:val="20"/>
      <w:lang w:eastAsia="ar-SA"/>
    </w:rPr>
  </w:style>
  <w:style w:type="paragraph" w:customStyle="1" w:styleId="419">
    <w:name w:val="font10"/>
    <w:basedOn w:val="1"/>
    <w:qFormat/>
    <w:uiPriority w:val="0"/>
    <w:pPr>
      <w:widowControl/>
      <w:spacing w:before="100" w:beforeAutospacing="1" w:after="100" w:afterAutospacing="1"/>
      <w:jc w:val="left"/>
    </w:pPr>
    <w:rPr>
      <w:rFonts w:ascii="仿宋_GB2312" w:hAnsi="宋体" w:eastAsia="仿宋_GB2312"/>
      <w:kern w:val="0"/>
      <w:sz w:val="16"/>
      <w:szCs w:val="16"/>
    </w:rPr>
  </w:style>
  <w:style w:type="paragraph" w:customStyle="1" w:styleId="420">
    <w:name w:val="xl28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21">
    <w:name w:val="xl24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22">
    <w:name w:val="font9"/>
    <w:basedOn w:val="1"/>
    <w:qFormat/>
    <w:uiPriority w:val="0"/>
    <w:pPr>
      <w:widowControl/>
      <w:spacing w:before="100" w:beforeAutospacing="1" w:after="100" w:afterAutospacing="1"/>
      <w:jc w:val="left"/>
    </w:pPr>
    <w:rPr>
      <w:rFonts w:ascii="Arial" w:hAnsi="Arial" w:cs="Arial"/>
      <w:kern w:val="0"/>
      <w:sz w:val="16"/>
      <w:szCs w:val="16"/>
    </w:rPr>
  </w:style>
  <w:style w:type="paragraph" w:customStyle="1" w:styleId="423">
    <w:name w:val="公文标题"/>
    <w:basedOn w:val="6"/>
    <w:qFormat/>
    <w:uiPriority w:val="0"/>
    <w:pPr>
      <w:spacing w:line="240" w:lineRule="auto"/>
      <w:ind w:left="1469" w:right="1542" w:firstLine="0" w:firstLineChars="0"/>
      <w:jc w:val="center"/>
    </w:pPr>
    <w:rPr>
      <w:rFonts w:hint="default" w:ascii="Times New Roman" w:hAnsi="Times New Roman" w:eastAsia="宋体"/>
      <w:b/>
      <w:bCs w:val="0"/>
      <w:sz w:val="44"/>
      <w:szCs w:val="24"/>
    </w:rPr>
  </w:style>
  <w:style w:type="paragraph" w:customStyle="1" w:styleId="424">
    <w:name w:val="样式 标题 2 + 小四 段前: 0.5 行 段后: 0.5 行"/>
    <w:basedOn w:val="5"/>
    <w:qFormat/>
    <w:uiPriority w:val="0"/>
    <w:pPr>
      <w:tabs>
        <w:tab w:val="left" w:pos="645"/>
      </w:tabs>
      <w:spacing w:before="0" w:after="0" w:line="360" w:lineRule="auto"/>
      <w:ind w:left="645" w:hanging="645"/>
    </w:pPr>
    <w:rPr>
      <w:rFonts w:ascii="Times New Roman" w:hAnsi="Times New Roman" w:cs="宋体"/>
      <w:bCs/>
      <w:spacing w:val="6"/>
      <w:sz w:val="24"/>
      <w:szCs w:val="24"/>
    </w:rPr>
  </w:style>
  <w:style w:type="paragraph" w:customStyle="1" w:styleId="425">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w:hAnsi="Arial" w:cs="Arial"/>
      <w:kern w:val="0"/>
      <w:sz w:val="16"/>
      <w:szCs w:val="16"/>
    </w:rPr>
  </w:style>
  <w:style w:type="paragraph" w:customStyle="1" w:styleId="426">
    <w:name w:val="xl31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427">
    <w:name w:val="修订1"/>
    <w:semiHidden/>
    <w:qFormat/>
    <w:uiPriority w:val="99"/>
    <w:rPr>
      <w:rFonts w:ascii="Times New Roman" w:hAnsi="Times New Roman" w:eastAsia="黑体" w:cs="Times New Roman"/>
      <w:kern w:val="2"/>
      <w:sz w:val="21"/>
      <w:szCs w:val="24"/>
      <w:lang w:val="en-US" w:eastAsia="zh-CN" w:bidi="ar-SA"/>
    </w:rPr>
  </w:style>
  <w:style w:type="paragraph" w:customStyle="1" w:styleId="428">
    <w:name w:val="p0"/>
    <w:basedOn w:val="1"/>
    <w:qFormat/>
    <w:uiPriority w:val="0"/>
    <w:pPr>
      <w:widowControl/>
    </w:pPr>
    <w:rPr>
      <w:kern w:val="0"/>
      <w:szCs w:val="21"/>
    </w:rPr>
  </w:style>
  <w:style w:type="paragraph" w:customStyle="1" w:styleId="429">
    <w:name w:val="xl3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30">
    <w:name w:val="样式 四号 左 行距: 1.5 倍行距 首行缩进:  2 字符"/>
    <w:basedOn w:val="1"/>
    <w:qFormat/>
    <w:uiPriority w:val="0"/>
    <w:pPr>
      <w:spacing w:line="360" w:lineRule="auto"/>
      <w:ind w:firstLine="560" w:firstLineChars="200"/>
      <w:jc w:val="left"/>
    </w:pPr>
    <w:rPr>
      <w:sz w:val="24"/>
      <w:szCs w:val="20"/>
    </w:rPr>
  </w:style>
  <w:style w:type="paragraph" w:customStyle="1" w:styleId="431">
    <w:name w:val="封三"/>
    <w:basedOn w:val="139"/>
    <w:next w:val="139"/>
    <w:qFormat/>
    <w:uiPriority w:val="0"/>
    <w:pPr>
      <w:ind w:firstLine="0" w:firstLineChars="0"/>
      <w:jc w:val="center"/>
    </w:pPr>
    <w:rPr>
      <w:rFonts w:ascii="Calibri" w:hAnsi="Calibri"/>
      <w:sz w:val="30"/>
    </w:rPr>
  </w:style>
  <w:style w:type="paragraph" w:customStyle="1" w:styleId="432">
    <w:name w:val="Blockquote"/>
    <w:basedOn w:val="1"/>
    <w:qFormat/>
    <w:uiPriority w:val="0"/>
    <w:pPr>
      <w:autoSpaceDE w:val="0"/>
      <w:autoSpaceDN w:val="0"/>
      <w:adjustRightInd w:val="0"/>
      <w:spacing w:before="100" w:after="100"/>
      <w:ind w:left="360" w:right="360"/>
      <w:jc w:val="left"/>
    </w:pPr>
    <w:rPr>
      <w:kern w:val="0"/>
      <w:sz w:val="24"/>
      <w:szCs w:val="20"/>
    </w:rPr>
  </w:style>
  <w:style w:type="paragraph" w:customStyle="1" w:styleId="433">
    <w:name w:val="IK_TabText"/>
    <w:basedOn w:val="1"/>
    <w:qFormat/>
    <w:uiPriority w:val="0"/>
    <w:pPr>
      <w:autoSpaceDE w:val="0"/>
      <w:autoSpaceDN w:val="0"/>
      <w:adjustRightInd w:val="0"/>
      <w:spacing w:before="60" w:after="60"/>
      <w:ind w:left="113" w:right="57"/>
      <w:jc w:val="left"/>
    </w:pPr>
    <w:rPr>
      <w:rFonts w:ascii="宋体" w:cs="宋体"/>
      <w:kern w:val="0"/>
      <w:sz w:val="18"/>
      <w:szCs w:val="18"/>
    </w:rPr>
  </w:style>
  <w:style w:type="paragraph" w:customStyle="1" w:styleId="434">
    <w:name w:val="xl2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Cs w:val="21"/>
    </w:rPr>
  </w:style>
  <w:style w:type="paragraph" w:customStyle="1" w:styleId="435">
    <w:name w:val="xl3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36">
    <w:name w:val="纯文本1"/>
    <w:basedOn w:val="1"/>
    <w:qFormat/>
    <w:uiPriority w:val="0"/>
    <w:pPr>
      <w:suppressAutoHyphens/>
    </w:pPr>
    <w:rPr>
      <w:rFonts w:ascii="宋体" w:hAnsi="宋体"/>
      <w:szCs w:val="20"/>
      <w:lang w:eastAsia="ar-SA"/>
    </w:rPr>
  </w:style>
  <w:style w:type="paragraph" w:customStyle="1" w:styleId="437">
    <w:name w:val="xl329"/>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438">
    <w:name w:val="xl2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39">
    <w:name w:val="样式3"/>
    <w:basedOn w:val="5"/>
    <w:qFormat/>
    <w:uiPriority w:val="0"/>
    <w:pPr>
      <w:spacing w:line="415" w:lineRule="auto"/>
    </w:pPr>
    <w:rPr>
      <w:szCs w:val="20"/>
    </w:rPr>
  </w:style>
  <w:style w:type="paragraph" w:customStyle="1" w:styleId="440">
    <w:name w:val="xl2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1">
    <w:name w:val="xl2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2">
    <w:name w:val="xl31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3">
    <w:name w:val="+标题2"/>
    <w:basedOn w:val="5"/>
    <w:qFormat/>
    <w:uiPriority w:val="0"/>
    <w:pPr>
      <w:spacing w:before="120" w:after="120" w:line="360" w:lineRule="auto"/>
      <w:ind w:left="840" w:hanging="420"/>
    </w:pPr>
    <w:rPr>
      <w:rFonts w:ascii="Times New Roman" w:hAnsi="Times New Roman" w:eastAsia="宋体"/>
      <w:bCs/>
      <w:sz w:val="24"/>
      <w:szCs w:val="28"/>
    </w:rPr>
  </w:style>
  <w:style w:type="paragraph" w:customStyle="1" w:styleId="444">
    <w:name w:val="正文文本缩进 31"/>
    <w:basedOn w:val="1"/>
    <w:qFormat/>
    <w:uiPriority w:val="0"/>
    <w:pPr>
      <w:suppressAutoHyphens/>
      <w:spacing w:after="120"/>
      <w:ind w:left="420"/>
    </w:pPr>
    <w:rPr>
      <w:sz w:val="16"/>
      <w:szCs w:val="20"/>
      <w:lang w:eastAsia="ar-SA"/>
    </w:rPr>
  </w:style>
  <w:style w:type="paragraph" w:customStyle="1" w:styleId="445">
    <w:name w:val="xl40"/>
    <w:basedOn w:val="1"/>
    <w:qFormat/>
    <w:uiPriority w:val="0"/>
    <w:pPr>
      <w:widowControl/>
      <w:pBdr>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46">
    <w:name w:val="xl24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47">
    <w:name w:val="xl36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48">
    <w:name w:val="xl44"/>
    <w:basedOn w:val="1"/>
    <w:qFormat/>
    <w:uiPriority w:val="0"/>
    <w:pPr>
      <w:widowControl/>
      <w:pBdr>
        <w:left w:val="single" w:color="000000" w:sz="8" w:space="0"/>
        <w:bottom w:val="single" w:color="000000" w:sz="8" w:space="0"/>
        <w:right w:val="single" w:color="000000" w:sz="8" w:space="0"/>
      </w:pBdr>
      <w:spacing w:before="100" w:beforeAutospacing="1" w:after="100" w:afterAutospacing="1"/>
      <w:jc w:val="center"/>
    </w:pPr>
    <w:rPr>
      <w:rFonts w:ascii="宋体" w:hAnsi="宋体" w:cs="Arial Unicode MS"/>
      <w:kern w:val="0"/>
      <w:sz w:val="22"/>
      <w:szCs w:val="22"/>
      <w:lang w:eastAsia="en-US"/>
    </w:rPr>
  </w:style>
  <w:style w:type="paragraph" w:customStyle="1" w:styleId="449">
    <w:name w:val="公文正文"/>
    <w:qFormat/>
    <w:uiPriority w:val="0"/>
    <w:pPr>
      <w:widowControl w:val="0"/>
      <w:spacing w:line="360" w:lineRule="auto"/>
      <w:ind w:firstLine="629"/>
      <w:jc w:val="both"/>
    </w:pPr>
    <w:rPr>
      <w:rFonts w:ascii="仿宋_GB2312" w:hAnsi="Calisto MT" w:eastAsia="仿宋_GB2312" w:cs="Times New Roman"/>
      <w:color w:val="000000"/>
      <w:sz w:val="32"/>
      <w:szCs w:val="22"/>
      <w:lang w:val="en-US" w:eastAsia="zh-CN" w:bidi="ar-SA"/>
    </w:rPr>
  </w:style>
  <w:style w:type="paragraph" w:customStyle="1" w:styleId="450">
    <w:name w:val="xl25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1">
    <w:name w:val="xl3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52">
    <w:name w:val="xl34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53">
    <w:name w:val="xl2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4">
    <w:name w:val="xl28"/>
    <w:basedOn w:val="1"/>
    <w:qFormat/>
    <w:uiPriority w:val="0"/>
    <w:pPr>
      <w:widowControl/>
      <w:pBdr>
        <w:left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55">
    <w:name w:val="Char Char Char1 Char1"/>
    <w:basedOn w:val="1"/>
    <w:qFormat/>
    <w:uiPriority w:val="0"/>
  </w:style>
  <w:style w:type="paragraph" w:customStyle="1" w:styleId="456">
    <w:name w:val="medaps_tab_03"/>
    <w:basedOn w:val="1"/>
    <w:qFormat/>
    <w:uiPriority w:val="0"/>
    <w:pPr>
      <w:widowControl/>
      <w:spacing w:before="100" w:beforeAutospacing="1" w:after="100" w:afterAutospacing="1"/>
      <w:jc w:val="left"/>
    </w:pPr>
    <w:rPr>
      <w:rFonts w:ascii="宋体" w:hAnsi="宋体" w:cs="宋体"/>
      <w:kern w:val="0"/>
      <w:sz w:val="24"/>
    </w:rPr>
  </w:style>
  <w:style w:type="paragraph" w:customStyle="1" w:styleId="457">
    <w:name w:val="xl36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58">
    <w:name w:val="xl36"/>
    <w:basedOn w:val="1"/>
    <w:qFormat/>
    <w:uiPriority w:val="0"/>
    <w:pPr>
      <w:widowControl/>
      <w:pBdr>
        <w:top w:val="single" w:color="auto" w:sz="4" w:space="0"/>
        <w:lef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59">
    <w:name w:val="xl30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styleId="460">
    <w:name w:val="List Paragraph"/>
    <w:basedOn w:val="1"/>
    <w:qFormat/>
    <w:uiPriority w:val="34"/>
    <w:pPr>
      <w:ind w:firstLine="420" w:firstLineChars="200"/>
    </w:pPr>
  </w:style>
  <w:style w:type="paragraph" w:customStyle="1" w:styleId="461">
    <w:name w:val="xl39"/>
    <w:basedOn w:val="1"/>
    <w:qFormat/>
    <w:uiPriority w:val="0"/>
    <w:pPr>
      <w:widowControl/>
      <w:pBdr>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462">
    <w:name w:val="xl24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63">
    <w:name w:val="xl3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64">
    <w:name w:val="文提"/>
    <w:basedOn w:val="139"/>
    <w:qFormat/>
    <w:uiPriority w:val="0"/>
    <w:pPr>
      <w:ind w:firstLine="0" w:firstLineChars="0"/>
    </w:pPr>
    <w:rPr>
      <w:rFonts w:ascii="Calibri" w:hAnsi="Calibri" w:cs="宋体"/>
      <w:b/>
    </w:rPr>
  </w:style>
  <w:style w:type="paragraph" w:customStyle="1" w:styleId="465">
    <w:name w:val="xl30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66">
    <w:name w:val="封二"/>
    <w:basedOn w:val="139"/>
    <w:next w:val="139"/>
    <w:qFormat/>
    <w:uiPriority w:val="0"/>
    <w:pPr>
      <w:ind w:firstLine="0" w:firstLineChars="0"/>
      <w:jc w:val="center"/>
    </w:pPr>
    <w:rPr>
      <w:rFonts w:ascii="Calibri" w:hAnsi="Calibri"/>
      <w:b/>
      <w:sz w:val="36"/>
      <w:szCs w:val="36"/>
    </w:rPr>
  </w:style>
  <w:style w:type="paragraph" w:customStyle="1" w:styleId="467">
    <w:name w:val="表格内文字"/>
    <w:basedOn w:val="25"/>
    <w:qFormat/>
    <w:uiPriority w:val="0"/>
    <w:pPr>
      <w:widowControl/>
      <w:spacing w:after="0"/>
      <w:jc w:val="center"/>
    </w:pPr>
    <w:rPr>
      <w:rFonts w:hint="default" w:ascii="Times New Roman" w:hAnsi="Times New Roman"/>
      <w:bCs/>
      <w:kern w:val="0"/>
      <w:sz w:val="20"/>
      <w:szCs w:val="21"/>
    </w:rPr>
  </w:style>
  <w:style w:type="paragraph" w:customStyle="1" w:styleId="468">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69">
    <w:name w:val="xl28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70">
    <w:name w:val="正题"/>
    <w:basedOn w:val="139"/>
    <w:next w:val="139"/>
    <w:qFormat/>
    <w:uiPriority w:val="0"/>
    <w:pPr>
      <w:ind w:firstLine="0" w:firstLineChars="0"/>
      <w:jc w:val="center"/>
    </w:pPr>
    <w:rPr>
      <w:rFonts w:ascii="Calibri" w:hAnsi="Calibri"/>
      <w:b/>
      <w:sz w:val="36"/>
      <w:szCs w:val="36"/>
    </w:rPr>
  </w:style>
  <w:style w:type="paragraph" w:customStyle="1" w:styleId="471">
    <w:name w:val="列表项目符号 21"/>
    <w:basedOn w:val="472"/>
    <w:qFormat/>
    <w:uiPriority w:val="0"/>
    <w:pPr>
      <w:widowControl/>
      <w:tabs>
        <w:tab w:val="left" w:pos="360"/>
      </w:tabs>
      <w:spacing w:after="220" w:line="220" w:lineRule="atLeast"/>
      <w:ind w:left="360" w:right="720"/>
      <w:jc w:val="left"/>
    </w:pPr>
  </w:style>
  <w:style w:type="paragraph" w:customStyle="1" w:styleId="472">
    <w:name w:val="列表项目符号1"/>
    <w:basedOn w:val="1"/>
    <w:qFormat/>
    <w:uiPriority w:val="0"/>
    <w:pPr>
      <w:tabs>
        <w:tab w:val="left" w:pos="360"/>
      </w:tabs>
      <w:suppressAutoHyphens/>
    </w:pPr>
    <w:rPr>
      <w:szCs w:val="20"/>
      <w:lang w:eastAsia="ar-SA"/>
    </w:rPr>
  </w:style>
  <w:style w:type="paragraph" w:customStyle="1" w:styleId="473">
    <w:name w:val="subject_matter"/>
    <w:basedOn w:val="1"/>
    <w:qFormat/>
    <w:uiPriority w:val="0"/>
    <w:pPr>
      <w:widowControl/>
      <w:spacing w:before="100" w:beforeAutospacing="1" w:after="100" w:afterAutospacing="1"/>
      <w:jc w:val="left"/>
    </w:pPr>
    <w:rPr>
      <w:rFonts w:ascii="Arial" w:hAnsi="Arial" w:cs="Arial"/>
      <w:color w:val="000000"/>
      <w:kern w:val="0"/>
      <w:sz w:val="20"/>
    </w:rPr>
  </w:style>
  <w:style w:type="paragraph" w:customStyle="1" w:styleId="474">
    <w:name w:val="xl2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75">
    <w:name w:val="样式 标题 1 + 黑体 小三 段前: 0 磅 段后: 0 磅 行距: 1.5 倍行距"/>
    <w:basedOn w:val="4"/>
    <w:qFormat/>
    <w:uiPriority w:val="0"/>
    <w:pPr>
      <w:tabs>
        <w:tab w:val="left" w:pos="1440"/>
      </w:tabs>
      <w:adjustRightInd w:val="0"/>
      <w:spacing w:before="0" w:after="0" w:line="360" w:lineRule="auto"/>
    </w:pPr>
    <w:rPr>
      <w:rFonts w:hint="default" w:ascii="黑体" w:hAnsi="Times New Roman" w:cs="宋体"/>
      <w:bCs/>
      <w:sz w:val="30"/>
      <w:szCs w:val="20"/>
    </w:rPr>
  </w:style>
  <w:style w:type="paragraph" w:customStyle="1" w:styleId="476">
    <w:name w:val="正文文本缩进 21"/>
    <w:basedOn w:val="1"/>
    <w:qFormat/>
    <w:uiPriority w:val="0"/>
    <w:pPr>
      <w:suppressAutoHyphens/>
      <w:spacing w:after="120" w:line="480" w:lineRule="auto"/>
      <w:ind w:left="420"/>
    </w:pPr>
    <w:rPr>
      <w:szCs w:val="20"/>
      <w:lang w:eastAsia="ar-SA"/>
    </w:rPr>
  </w:style>
  <w:style w:type="paragraph" w:customStyle="1" w:styleId="477">
    <w:name w:val="font7"/>
    <w:basedOn w:val="1"/>
    <w:qFormat/>
    <w:uiPriority w:val="0"/>
    <w:pPr>
      <w:widowControl/>
      <w:spacing w:before="100" w:beforeAutospacing="1" w:after="100" w:afterAutospacing="1"/>
      <w:jc w:val="left"/>
    </w:pPr>
    <w:rPr>
      <w:rFonts w:ascii="宋体" w:hAnsi="宋体"/>
      <w:color w:val="000000"/>
      <w:kern w:val="0"/>
      <w:sz w:val="18"/>
      <w:szCs w:val="18"/>
    </w:rPr>
  </w:style>
  <w:style w:type="paragraph" w:customStyle="1" w:styleId="478">
    <w:name w:val="标题1"/>
    <w:basedOn w:val="1"/>
    <w:next w:val="25"/>
    <w:qFormat/>
    <w:uiPriority w:val="0"/>
    <w:pPr>
      <w:keepNext/>
      <w:suppressAutoHyphens/>
      <w:spacing w:before="240" w:after="120"/>
    </w:pPr>
    <w:rPr>
      <w:rFonts w:ascii="DejaVu Sans" w:hAnsi="DejaVu Sans" w:eastAsia="DejaVu Sans" w:cs="DejaVu Sans"/>
      <w:sz w:val="28"/>
      <w:szCs w:val="28"/>
      <w:lang w:eastAsia="ar-SA"/>
    </w:rPr>
  </w:style>
  <w:style w:type="paragraph" w:customStyle="1" w:styleId="479">
    <w:name w:val="xl347"/>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480">
    <w:name w:val="+标题3"/>
    <w:basedOn w:val="6"/>
    <w:qFormat/>
    <w:uiPriority w:val="0"/>
    <w:pPr>
      <w:tabs>
        <w:tab w:val="left" w:pos="560"/>
      </w:tabs>
      <w:spacing w:before="120" w:after="120" w:line="360" w:lineRule="auto"/>
      <w:ind w:left="1260" w:hanging="420" w:firstLineChars="0"/>
      <w:jc w:val="left"/>
    </w:pPr>
    <w:rPr>
      <w:rFonts w:hint="default" w:ascii="Times New Roman" w:hAnsi="Times New Roman" w:eastAsia="宋体"/>
      <w:b/>
      <w:sz w:val="24"/>
    </w:rPr>
  </w:style>
  <w:style w:type="paragraph" w:customStyle="1" w:styleId="481">
    <w:name w:val="xl3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2">
    <w:name w:val="1"/>
    <w:basedOn w:val="1"/>
    <w:qFormat/>
    <w:uiPriority w:val="0"/>
  </w:style>
  <w:style w:type="paragraph" w:customStyle="1" w:styleId="483">
    <w:name w:val="xl29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84">
    <w:name w:val="样式 标题 3 + 首行缩进:  1.06 厘米"/>
    <w:basedOn w:val="6"/>
    <w:qFormat/>
    <w:uiPriority w:val="0"/>
    <w:pPr>
      <w:spacing w:before="120" w:after="0" w:line="240" w:lineRule="auto"/>
      <w:ind w:firstLine="0" w:firstLineChars="0"/>
      <w:jc w:val="center"/>
    </w:pPr>
    <w:rPr>
      <w:rFonts w:hint="default" w:ascii="宋体" w:eastAsia="宋体" w:cs="宋体"/>
      <w:b/>
      <w:bCs w:val="0"/>
      <w:color w:val="000000"/>
      <w:sz w:val="32"/>
      <w:szCs w:val="32"/>
    </w:rPr>
  </w:style>
  <w:style w:type="paragraph" w:customStyle="1" w:styleId="485">
    <w:name w:val="xl3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6">
    <w:name w:val="样式 标题 3H3h33rd level3l3CT头标题 3(节)sect1.2.3Heading 3 - ..."/>
    <w:basedOn w:val="6"/>
    <w:qFormat/>
    <w:uiPriority w:val="0"/>
    <w:pPr>
      <w:adjustRightInd w:val="0"/>
      <w:snapToGrid w:val="0"/>
      <w:spacing w:before="0" w:after="0" w:line="360" w:lineRule="auto"/>
      <w:ind w:firstLine="0" w:firstLineChars="0"/>
    </w:pPr>
    <w:rPr>
      <w:rFonts w:hint="default" w:hAnsi="Times New Roman" w:cs="宋体"/>
      <w:b/>
      <w:sz w:val="26"/>
      <w:szCs w:val="20"/>
    </w:rPr>
  </w:style>
  <w:style w:type="paragraph" w:customStyle="1" w:styleId="487">
    <w:name w:val="xl3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8">
    <w:name w:val="xl302"/>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89">
    <w:name w:val="xl45"/>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仿宋_GB2312" w:hAnsi="宋体" w:eastAsia="仿宋_GB2312"/>
      <w:kern w:val="0"/>
      <w:sz w:val="16"/>
      <w:szCs w:val="16"/>
    </w:rPr>
  </w:style>
  <w:style w:type="paragraph" w:customStyle="1" w:styleId="490">
    <w:name w:val="xl3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1">
    <w:name w:val="xl3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2">
    <w:name w:val="Char1 Char Char Char1"/>
    <w:basedOn w:val="1"/>
    <w:qFormat/>
    <w:uiPriority w:val="0"/>
    <w:rPr>
      <w:rFonts w:ascii="Tahoma" w:hAnsi="Tahoma"/>
      <w:sz w:val="24"/>
      <w:szCs w:val="20"/>
    </w:rPr>
  </w:style>
  <w:style w:type="paragraph" w:customStyle="1" w:styleId="493">
    <w:name w:val="xl25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494">
    <w:name w:val="内部列表"/>
    <w:basedOn w:val="1"/>
    <w:qFormat/>
    <w:uiPriority w:val="0"/>
    <w:pPr>
      <w:tabs>
        <w:tab w:val="left" w:pos="420"/>
      </w:tabs>
      <w:adjustRightInd w:val="0"/>
      <w:snapToGrid w:val="0"/>
      <w:spacing w:line="300" w:lineRule="auto"/>
      <w:ind w:left="420" w:hanging="420"/>
    </w:pPr>
  </w:style>
  <w:style w:type="paragraph" w:customStyle="1" w:styleId="495">
    <w:name w:val="表格内容"/>
    <w:basedOn w:val="1"/>
    <w:qFormat/>
    <w:uiPriority w:val="0"/>
    <w:pPr>
      <w:suppressLineNumbers/>
      <w:suppressAutoHyphens/>
    </w:pPr>
    <w:rPr>
      <w:szCs w:val="20"/>
      <w:lang w:eastAsia="ar-SA"/>
    </w:rPr>
  </w:style>
  <w:style w:type="paragraph" w:customStyle="1" w:styleId="496">
    <w:name w:val="样式 标题 3 + 仿宋_GB2312 小四 加粗 两端对齐 段后: 6 磅 行距: 单倍行距"/>
    <w:basedOn w:val="6"/>
    <w:qFormat/>
    <w:uiPriority w:val="0"/>
    <w:pPr>
      <w:widowControl/>
      <w:tabs>
        <w:tab w:val="left" w:pos="1200"/>
      </w:tabs>
      <w:adjustRightInd w:val="0"/>
      <w:spacing w:before="120" w:after="120" w:line="240" w:lineRule="auto"/>
      <w:ind w:left="1200" w:hanging="720" w:firstLineChars="0"/>
    </w:pPr>
    <w:rPr>
      <w:rFonts w:hint="default" w:ascii="仿宋_GB2312" w:hAnsi="Times New Roman" w:eastAsia="仿宋_GB2312"/>
      <w:b/>
      <w:sz w:val="24"/>
      <w:szCs w:val="20"/>
    </w:rPr>
  </w:style>
  <w:style w:type="paragraph" w:customStyle="1" w:styleId="497">
    <w:name w:val="样式 标题 2 + 宋体"/>
    <w:basedOn w:val="5"/>
    <w:qFormat/>
    <w:uiPriority w:val="0"/>
    <w:pPr>
      <w:keepNext w:val="0"/>
      <w:keepLines w:val="0"/>
      <w:spacing w:before="100" w:beforeAutospacing="1" w:after="100" w:afterAutospacing="1" w:line="360" w:lineRule="auto"/>
    </w:pPr>
    <w:rPr>
      <w:rFonts w:ascii="宋体" w:hAnsi="宋体" w:eastAsia="宋体"/>
      <w:bCs/>
      <w:color w:val="000000"/>
      <w:sz w:val="30"/>
      <w:szCs w:val="24"/>
    </w:rPr>
  </w:style>
  <w:style w:type="paragraph" w:customStyle="1" w:styleId="498">
    <w:name w:val="xl28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499">
    <w:name w:val="章节二"/>
    <w:basedOn w:val="1"/>
    <w:next w:val="1"/>
    <w:qFormat/>
    <w:uiPriority w:val="0"/>
    <w:pPr>
      <w:topLinePunct/>
      <w:adjustRightInd w:val="0"/>
      <w:snapToGrid w:val="0"/>
      <w:spacing w:before="156" w:beforeLines="50" w:after="156" w:afterLines="50"/>
      <w:jc w:val="center"/>
      <w:outlineLvl w:val="1"/>
    </w:pPr>
    <w:rPr>
      <w:b/>
      <w:snapToGrid w:val="0"/>
      <w:spacing w:val="4"/>
      <w:kern w:val="0"/>
      <w:sz w:val="30"/>
      <w:szCs w:val="30"/>
    </w:rPr>
  </w:style>
  <w:style w:type="paragraph" w:customStyle="1" w:styleId="500">
    <w:name w:val="列出段落1"/>
    <w:basedOn w:val="1"/>
    <w:qFormat/>
    <w:uiPriority w:val="34"/>
    <w:pPr>
      <w:ind w:firstLine="420" w:firstLineChars="200"/>
    </w:pPr>
    <w:rPr>
      <w:szCs w:val="22"/>
    </w:rPr>
  </w:style>
  <w:style w:type="paragraph" w:customStyle="1" w:styleId="501">
    <w:name w:val="Char1 Char Char Char Char Char Char11"/>
    <w:basedOn w:val="1"/>
    <w:qFormat/>
    <w:uiPriority w:val="0"/>
    <w:rPr>
      <w:sz w:val="24"/>
    </w:rPr>
  </w:style>
  <w:style w:type="paragraph" w:customStyle="1" w:styleId="502">
    <w:name w:val="xl24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503">
    <w:name w:val="Char Char Char Char Char Char2 Char"/>
    <w:basedOn w:val="1"/>
    <w:qFormat/>
    <w:uiPriority w:val="0"/>
    <w:pPr>
      <w:spacing w:line="360" w:lineRule="auto"/>
      <w:ind w:firstLine="200" w:firstLineChars="200"/>
    </w:pPr>
    <w:rPr>
      <w:rFonts w:hint="eastAsia" w:ascii="宋体" w:hAnsi="宋体" w:eastAsia="宋体"/>
      <w:sz w:val="24"/>
    </w:rPr>
  </w:style>
  <w:style w:type="paragraph" w:customStyle="1" w:styleId="504">
    <w:name w:val="表格标题"/>
    <w:basedOn w:val="495"/>
    <w:qFormat/>
    <w:uiPriority w:val="0"/>
    <w:pPr>
      <w:jc w:val="center"/>
    </w:pPr>
    <w:rPr>
      <w:b/>
      <w:bCs/>
    </w:rPr>
  </w:style>
  <w:style w:type="paragraph" w:customStyle="1" w:styleId="505">
    <w:name w:val="IK_TabAufzaehl_1"/>
    <w:basedOn w:val="1"/>
    <w:qFormat/>
    <w:uiPriority w:val="0"/>
    <w:pPr>
      <w:tabs>
        <w:tab w:val="left" w:pos="113"/>
      </w:tabs>
      <w:autoSpaceDE w:val="0"/>
      <w:autoSpaceDN w:val="0"/>
      <w:adjustRightInd w:val="0"/>
      <w:spacing w:before="60" w:after="60"/>
      <w:ind w:right="57"/>
      <w:jc w:val="left"/>
    </w:pPr>
    <w:rPr>
      <w:rFonts w:ascii="宋体" w:cs="宋体"/>
      <w:kern w:val="0"/>
      <w:sz w:val="18"/>
      <w:szCs w:val="18"/>
    </w:rPr>
  </w:style>
  <w:style w:type="paragraph" w:customStyle="1" w:styleId="506">
    <w:name w:val="xl2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507">
    <w:name w:val="xl26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08">
    <w:name w:val="文本样式1"/>
    <w:basedOn w:val="57"/>
    <w:qFormat/>
    <w:uiPriority w:val="0"/>
    <w:pPr>
      <w:widowControl/>
      <w:adjustRightInd w:val="0"/>
      <w:snapToGrid w:val="0"/>
      <w:spacing w:line="360" w:lineRule="auto"/>
      <w:ind w:firstLine="480" w:firstLineChars="200"/>
      <w:jc w:val="left"/>
    </w:pPr>
    <w:rPr>
      <w:rFonts w:ascii="宋体" w:hAnsi="宋体"/>
      <w:kern w:val="0"/>
    </w:rPr>
  </w:style>
  <w:style w:type="paragraph" w:customStyle="1" w:styleId="509">
    <w:name w:val="表标"/>
    <w:basedOn w:val="1"/>
    <w:next w:val="1"/>
    <w:qFormat/>
    <w:uiPriority w:val="0"/>
    <w:pPr>
      <w:keepNext/>
      <w:keepLines/>
      <w:widowControl/>
      <w:autoSpaceDE w:val="0"/>
      <w:autoSpaceDN w:val="0"/>
      <w:adjustRightInd w:val="0"/>
      <w:snapToGrid w:val="0"/>
      <w:spacing w:before="80" w:after="80" w:line="300" w:lineRule="auto"/>
      <w:jc w:val="center"/>
      <w:textAlignment w:val="baseline"/>
    </w:pPr>
    <w:rPr>
      <w:rFonts w:ascii="黑体"/>
      <w:color w:val="000000"/>
      <w:kern w:val="0"/>
      <w:sz w:val="24"/>
      <w:szCs w:val="20"/>
    </w:rPr>
  </w:style>
  <w:style w:type="paragraph" w:customStyle="1" w:styleId="510">
    <w:name w:val="目录文字"/>
    <w:basedOn w:val="1"/>
    <w:qFormat/>
    <w:uiPriority w:val="0"/>
    <w:pPr>
      <w:widowControl/>
      <w:spacing w:line="480" w:lineRule="auto"/>
      <w:jc w:val="left"/>
    </w:pPr>
    <w:rPr>
      <w:rFonts w:ascii="宋体" w:hAnsi="宋体"/>
      <w:kern w:val="0"/>
      <w:sz w:val="24"/>
      <w:szCs w:val="20"/>
    </w:rPr>
  </w:style>
  <w:style w:type="paragraph" w:customStyle="1" w:styleId="511">
    <w:name w:val="修订2"/>
    <w:semiHidden/>
    <w:qFormat/>
    <w:uiPriority w:val="99"/>
    <w:rPr>
      <w:rFonts w:ascii="Times New Roman" w:hAnsi="Times New Roman" w:eastAsia="黑体" w:cs="Times New Roman"/>
      <w:kern w:val="2"/>
      <w:sz w:val="21"/>
      <w:szCs w:val="24"/>
      <w:lang w:val="en-US" w:eastAsia="zh-CN" w:bidi="ar-SA"/>
    </w:rPr>
  </w:style>
  <w:style w:type="paragraph" w:customStyle="1" w:styleId="512">
    <w:name w:val="设计方案"/>
    <w:basedOn w:val="1"/>
    <w:qFormat/>
    <w:uiPriority w:val="0"/>
    <w:pPr>
      <w:widowControl/>
      <w:spacing w:after="160" w:line="240" w:lineRule="exact"/>
      <w:jc w:val="left"/>
    </w:pPr>
    <w:rPr>
      <w:rFonts w:ascii="Verdana" w:hAnsi="Verdana"/>
      <w:kern w:val="0"/>
      <w:szCs w:val="20"/>
      <w:lang w:eastAsia="en-US"/>
    </w:rPr>
  </w:style>
  <w:style w:type="paragraph" w:customStyle="1" w:styleId="513">
    <w:name w:val="TOC 标题1"/>
    <w:basedOn w:val="4"/>
    <w:next w:val="1"/>
    <w:qFormat/>
    <w:uiPriority w:val="39"/>
    <w:pPr>
      <w:widowControl/>
      <w:spacing w:before="480" w:after="0" w:line="276" w:lineRule="auto"/>
      <w:jc w:val="left"/>
      <w:outlineLvl w:val="9"/>
    </w:pPr>
    <w:rPr>
      <w:rFonts w:hint="default" w:ascii="Cambria" w:hAnsi="Cambria"/>
      <w:bCs/>
      <w:color w:val="365F91"/>
      <w:kern w:val="0"/>
      <w:sz w:val="28"/>
      <w:szCs w:val="28"/>
    </w:rPr>
  </w:style>
  <w:style w:type="paragraph" w:customStyle="1" w:styleId="514">
    <w:name w:val="xl27"/>
    <w:basedOn w:val="1"/>
    <w:qFormat/>
    <w:uiPriority w:val="0"/>
    <w:pPr>
      <w:widowControl/>
      <w:pBdr>
        <w:top w:val="single" w:color="auto" w:sz="4" w:space="0"/>
        <w:left w:val="single" w:color="auto" w:sz="4" w:space="0"/>
        <w:right w:val="single" w:color="auto" w:sz="4" w:space="0"/>
      </w:pBdr>
      <w:tabs>
        <w:tab w:val="left" w:pos="720"/>
      </w:tabs>
      <w:spacing w:before="100" w:beforeAutospacing="1" w:after="100" w:afterAutospacing="1"/>
      <w:ind w:left="700" w:hanging="340"/>
      <w:jc w:val="center"/>
    </w:pPr>
    <w:rPr>
      <w:rFonts w:ascii="仿宋_GB2312" w:hAnsi="宋体" w:eastAsia="仿宋_GB2312"/>
      <w:kern w:val="0"/>
      <w:sz w:val="16"/>
      <w:szCs w:val="16"/>
    </w:rPr>
  </w:style>
  <w:style w:type="paragraph" w:customStyle="1" w:styleId="515">
    <w:name w:val="封四"/>
    <w:basedOn w:val="139"/>
    <w:next w:val="139"/>
    <w:qFormat/>
    <w:uiPriority w:val="0"/>
    <w:pPr>
      <w:jc w:val="left"/>
    </w:pPr>
    <w:rPr>
      <w:rFonts w:ascii="Calibri" w:hAnsi="Calibri"/>
      <w:sz w:val="30"/>
      <w:szCs w:val="30"/>
    </w:rPr>
  </w:style>
  <w:style w:type="paragraph" w:customStyle="1" w:styleId="516">
    <w:name w:val="xl33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7">
    <w:name w:val="Char1 Char Char Char Char Char Char1"/>
    <w:basedOn w:val="1"/>
    <w:qFormat/>
    <w:uiPriority w:val="0"/>
    <w:rPr>
      <w:sz w:val="24"/>
    </w:rPr>
  </w:style>
  <w:style w:type="paragraph" w:customStyle="1" w:styleId="518">
    <w:name w:val="xl28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19">
    <w:name w:val="文二"/>
    <w:basedOn w:val="1"/>
    <w:qFormat/>
    <w:uiPriority w:val="0"/>
    <w:pPr>
      <w:jc w:val="left"/>
    </w:pPr>
    <w:rPr>
      <w:rFonts w:hint="eastAsia" w:ascii="宋体" w:hAnsi="宋体" w:eastAsia="宋体"/>
      <w:szCs w:val="21"/>
    </w:rPr>
  </w:style>
  <w:style w:type="paragraph" w:customStyle="1" w:styleId="520">
    <w:name w:val="保留正文"/>
    <w:basedOn w:val="25"/>
    <w:qFormat/>
    <w:uiPriority w:val="0"/>
    <w:pPr>
      <w:keepNext/>
      <w:spacing w:after="160"/>
    </w:pPr>
    <w:rPr>
      <w:rFonts w:hint="default" w:ascii="Times New Roman" w:hAnsi="Times New Roman"/>
      <w:kern w:val="0"/>
      <w:sz w:val="20"/>
      <w:szCs w:val="24"/>
    </w:rPr>
  </w:style>
  <w:style w:type="paragraph" w:customStyle="1" w:styleId="521">
    <w:name w:val="xl23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22">
    <w:name w:val="普通 (Web)"/>
    <w:basedOn w:val="1"/>
    <w:qFormat/>
    <w:uiPriority w:val="0"/>
    <w:pPr>
      <w:widowControl/>
      <w:spacing w:before="100" w:after="100"/>
      <w:jc w:val="left"/>
    </w:pPr>
    <w:rPr>
      <w:rFonts w:ascii="Arial Unicode MS" w:hAnsi="Arial Unicode MS" w:eastAsia="Arial Unicode MS"/>
      <w:kern w:val="0"/>
      <w:sz w:val="24"/>
      <w:szCs w:val="20"/>
    </w:rPr>
  </w:style>
  <w:style w:type="paragraph" w:customStyle="1" w:styleId="523">
    <w:name w:val="手册文字"/>
    <w:qFormat/>
    <w:uiPriority w:val="0"/>
    <w:pPr>
      <w:spacing w:beforeLines="50" w:line="360" w:lineRule="auto"/>
      <w:ind w:firstLine="538" w:firstLineChars="256"/>
      <w:jc w:val="both"/>
    </w:pPr>
    <w:rPr>
      <w:rFonts w:ascii="Times New Roman" w:hAnsi="Times New Roman" w:eastAsia="黑体" w:cs="Times New Roman"/>
      <w:sz w:val="21"/>
      <w:szCs w:val="21"/>
      <w:lang w:val="en-US" w:eastAsia="zh-CN" w:bidi="ar-SA"/>
    </w:rPr>
  </w:style>
  <w:style w:type="paragraph" w:customStyle="1" w:styleId="524">
    <w:name w:val="xl2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25">
    <w:name w:val="Char Char2 Char"/>
    <w:basedOn w:val="1"/>
    <w:qFormat/>
    <w:uiPriority w:val="0"/>
    <w:pPr>
      <w:keepNext/>
      <w:keepLines/>
      <w:pageBreakBefore/>
      <w:tabs>
        <w:tab w:val="left" w:pos="845"/>
      </w:tabs>
      <w:ind w:left="845" w:hanging="420"/>
    </w:pPr>
    <w:rPr>
      <w:rFonts w:ascii="Tahoma" w:hAnsi="Tahoma"/>
      <w:sz w:val="24"/>
      <w:szCs w:val="20"/>
    </w:rPr>
  </w:style>
  <w:style w:type="paragraph" w:customStyle="1" w:styleId="526">
    <w:name w:val="xl23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27">
    <w:name w:val="01正文"/>
    <w:qFormat/>
    <w:uiPriority w:val="0"/>
    <w:pPr>
      <w:widowControl w:val="0"/>
      <w:adjustRightInd w:val="0"/>
      <w:snapToGrid w:val="0"/>
      <w:spacing w:line="360" w:lineRule="auto"/>
      <w:ind w:firstLine="880" w:firstLineChars="200"/>
      <w:jc w:val="both"/>
    </w:pPr>
    <w:rPr>
      <w:rFonts w:ascii="Times New Roman" w:hAnsi="Times New Roman" w:eastAsia="黑体" w:cs="Times New Roman"/>
      <w:kern w:val="2"/>
      <w:sz w:val="28"/>
      <w:szCs w:val="24"/>
      <w:lang w:val="en-US" w:eastAsia="zh-CN" w:bidi="ar-SA"/>
    </w:rPr>
  </w:style>
  <w:style w:type="paragraph" w:customStyle="1" w:styleId="528">
    <w:name w:val="+标题1"/>
    <w:basedOn w:val="4"/>
    <w:qFormat/>
    <w:uiPriority w:val="0"/>
    <w:pPr>
      <w:pageBreakBefore/>
      <w:spacing w:before="240" w:after="240" w:line="360" w:lineRule="auto"/>
      <w:ind w:left="360" w:hanging="360"/>
      <w:jc w:val="left"/>
    </w:pPr>
    <w:rPr>
      <w:rFonts w:hint="default" w:ascii="Times New Roman" w:hAnsi="Times New Roman"/>
      <w:bCs/>
      <w:kern w:val="32"/>
      <w:sz w:val="28"/>
      <w:szCs w:val="28"/>
    </w:rPr>
  </w:style>
  <w:style w:type="paragraph" w:customStyle="1" w:styleId="529">
    <w:name w:val="xl359"/>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30">
    <w:name w:val="xl31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1">
    <w:name w:val="xl339"/>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32">
    <w:name w:val="章节三"/>
    <w:basedOn w:val="139"/>
    <w:next w:val="139"/>
    <w:qFormat/>
    <w:uiPriority w:val="0"/>
    <w:pPr>
      <w:spacing w:beforeLines="50" w:line="240" w:lineRule="auto"/>
      <w:ind w:firstLine="0" w:firstLineChars="0"/>
      <w:jc w:val="left"/>
      <w:outlineLvl w:val="2"/>
    </w:pPr>
    <w:rPr>
      <w:rFonts w:hint="eastAsia" w:ascii="黑体" w:hAnsi="宋体"/>
      <w:b/>
      <w:snapToGrid/>
    </w:rPr>
  </w:style>
  <w:style w:type="paragraph" w:customStyle="1" w:styleId="533">
    <w:name w:val="公文抬头"/>
    <w:basedOn w:val="17"/>
    <w:qFormat/>
    <w:uiPriority w:val="0"/>
    <w:pPr>
      <w:ind w:firstLine="0" w:firstLineChars="0"/>
    </w:pPr>
    <w:rPr>
      <w:rFonts w:ascii="仿宋_GB2312" w:hAnsi="Calibri" w:eastAsia="仿宋_GB2312"/>
      <w:kern w:val="0"/>
      <w:sz w:val="30"/>
    </w:rPr>
  </w:style>
  <w:style w:type="paragraph" w:customStyle="1" w:styleId="534">
    <w:name w:val="xl30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5">
    <w:name w:val="标书正文"/>
    <w:basedOn w:val="1"/>
    <w:qFormat/>
    <w:uiPriority w:val="0"/>
    <w:pPr>
      <w:overflowPunct w:val="0"/>
      <w:topLinePunct/>
      <w:adjustRightInd w:val="0"/>
      <w:snapToGrid w:val="0"/>
      <w:spacing w:line="360" w:lineRule="auto"/>
      <w:ind w:firstLine="520" w:firstLineChars="200"/>
      <w:jc w:val="left"/>
    </w:pPr>
    <w:rPr>
      <w:rFonts w:ascii="宋体" w:hAnsi="宋体"/>
      <w:kern w:val="0"/>
      <w:sz w:val="26"/>
      <w:szCs w:val="26"/>
    </w:rPr>
  </w:style>
  <w:style w:type="paragraph" w:customStyle="1" w:styleId="536">
    <w:name w:val="xl2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37">
    <w:name w:val="xl30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38">
    <w:name w:val="图标标题"/>
    <w:next w:val="527"/>
    <w:qFormat/>
    <w:uiPriority w:val="0"/>
    <w:pPr>
      <w:widowControl w:val="0"/>
      <w:adjustRightInd w:val="0"/>
      <w:snapToGrid w:val="0"/>
      <w:spacing w:line="360" w:lineRule="auto"/>
      <w:jc w:val="center"/>
    </w:pPr>
    <w:rPr>
      <w:rFonts w:ascii="Times New Roman" w:hAnsi="Times New Roman" w:eastAsia="黑体" w:cs="Times New Roman"/>
      <w:kern w:val="2"/>
      <w:sz w:val="24"/>
      <w:szCs w:val="24"/>
      <w:lang w:val="en-US" w:eastAsia="zh-CN" w:bidi="ar-SA"/>
    </w:rPr>
  </w:style>
  <w:style w:type="paragraph" w:customStyle="1" w:styleId="539">
    <w:name w:val="样式 标题 3 + (中文) 黑体 小四 非加粗 段前: 7.8 磅 段后: 0 磅 行距: 固定值 20 磅"/>
    <w:basedOn w:val="6"/>
    <w:qFormat/>
    <w:uiPriority w:val="0"/>
    <w:pPr>
      <w:spacing w:before="0" w:after="0" w:line="400" w:lineRule="exact"/>
    </w:pPr>
    <w:rPr>
      <w:rFonts w:hint="default" w:cs="宋体"/>
      <w:bCs w:val="0"/>
      <w:sz w:val="24"/>
      <w:szCs w:val="20"/>
    </w:rPr>
  </w:style>
  <w:style w:type="paragraph" w:customStyle="1" w:styleId="540">
    <w:name w:val="xl2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1">
    <w:name w:val="+标题4"/>
    <w:basedOn w:val="2"/>
    <w:qFormat/>
    <w:uiPriority w:val="0"/>
    <w:pPr>
      <w:tabs>
        <w:tab w:val="left" w:pos="280"/>
      </w:tabs>
      <w:spacing w:before="120" w:after="120" w:line="360" w:lineRule="auto"/>
      <w:ind w:left="-1"/>
    </w:pPr>
    <w:rPr>
      <w:rFonts w:ascii="Times New Roman" w:hAnsi="Times New Roman" w:eastAsia="宋体"/>
      <w:bCs/>
      <w:sz w:val="24"/>
    </w:rPr>
  </w:style>
  <w:style w:type="paragraph" w:customStyle="1" w:styleId="542">
    <w:name w:val="xl2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3">
    <w:name w:val="xl2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44">
    <w:name w:val="00"/>
    <w:basedOn w:val="1"/>
    <w:qFormat/>
    <w:uiPriority w:val="0"/>
    <w:pPr>
      <w:autoSpaceDE w:val="0"/>
      <w:autoSpaceDN w:val="0"/>
      <w:adjustRightInd w:val="0"/>
      <w:jc w:val="left"/>
    </w:pPr>
    <w:rPr>
      <w:rFonts w:ascii="黑体"/>
      <w:b/>
      <w:bCs/>
      <w:kern w:val="0"/>
      <w:sz w:val="20"/>
      <w:szCs w:val="20"/>
    </w:rPr>
  </w:style>
  <w:style w:type="paragraph" w:customStyle="1" w:styleId="545">
    <w:name w:val="Char Char Char Char Char Char"/>
    <w:basedOn w:val="1"/>
    <w:qFormat/>
    <w:uiPriority w:val="0"/>
    <w:rPr>
      <w:szCs w:val="21"/>
    </w:rPr>
  </w:style>
  <w:style w:type="paragraph" w:customStyle="1" w:styleId="546">
    <w:name w:val="xl32"/>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547">
    <w:name w:val="封一"/>
    <w:basedOn w:val="139"/>
    <w:next w:val="139"/>
    <w:qFormat/>
    <w:uiPriority w:val="0"/>
    <w:pPr>
      <w:ind w:firstLine="0" w:firstLineChars="0"/>
      <w:jc w:val="center"/>
    </w:pPr>
    <w:rPr>
      <w:rFonts w:ascii="Calibri" w:hAnsi="Calibri"/>
      <w:b/>
      <w:sz w:val="84"/>
      <w:szCs w:val="84"/>
    </w:rPr>
  </w:style>
  <w:style w:type="paragraph" w:customStyle="1" w:styleId="548">
    <w:name w:val="正文（2）"/>
    <w:qFormat/>
    <w:uiPriority w:val="0"/>
    <w:pPr>
      <w:spacing w:line="560" w:lineRule="exact"/>
      <w:ind w:firstLine="200" w:firstLineChars="200"/>
    </w:pPr>
    <w:rPr>
      <w:rFonts w:ascii="宋体" w:hAnsi="Times New Roman" w:eastAsia="黑体" w:cs="Times New Roman"/>
      <w:snapToGrid w:val="0"/>
      <w:spacing w:val="10"/>
      <w:sz w:val="24"/>
      <w:lang w:val="en-US" w:eastAsia="zh-CN" w:bidi="ar-SA"/>
    </w:rPr>
  </w:style>
  <w:style w:type="paragraph" w:customStyle="1" w:styleId="549">
    <w:name w:val="xl32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0">
    <w:name w:val="xl306"/>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51">
    <w:name w:val="样式1"/>
    <w:basedOn w:val="1"/>
    <w:next w:val="2"/>
    <w:qFormat/>
    <w:uiPriority w:val="0"/>
    <w:pPr>
      <w:spacing w:line="360" w:lineRule="auto"/>
      <w:ind w:firstLine="420" w:firstLineChars="200"/>
    </w:pPr>
    <w:rPr>
      <w:rFonts w:ascii="宋体" w:hAnsi="宋体"/>
      <w:szCs w:val="21"/>
    </w:rPr>
  </w:style>
  <w:style w:type="paragraph" w:customStyle="1" w:styleId="552">
    <w:name w:val="xl25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3">
    <w:name w:val="标题 11"/>
    <w:basedOn w:val="1"/>
    <w:qFormat/>
    <w:uiPriority w:val="0"/>
    <w:rPr>
      <w:szCs w:val="20"/>
    </w:rPr>
  </w:style>
  <w:style w:type="paragraph" w:customStyle="1" w:styleId="554">
    <w:name w:val="普通(网站)1"/>
    <w:basedOn w:val="1"/>
    <w:qFormat/>
    <w:uiPriority w:val="0"/>
    <w:pPr>
      <w:widowControl/>
      <w:suppressAutoHyphens/>
      <w:spacing w:before="284" w:after="280" w:line="360" w:lineRule="auto"/>
      <w:jc w:val="left"/>
    </w:pPr>
    <w:rPr>
      <w:rFonts w:ascii="宋体" w:hAnsi="宋体"/>
      <w:sz w:val="24"/>
      <w:szCs w:val="20"/>
      <w:lang w:eastAsia="ar-SA"/>
    </w:rPr>
  </w:style>
  <w:style w:type="paragraph" w:customStyle="1" w:styleId="555">
    <w:name w:val="xl28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6">
    <w:name w:val="xl2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57">
    <w:name w:val="xl2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58">
    <w:name w:val="样式 标题 2 + 段前: 0.5 行"/>
    <w:basedOn w:val="5"/>
    <w:qFormat/>
    <w:uiPriority w:val="0"/>
    <w:pPr>
      <w:tabs>
        <w:tab w:val="left" w:pos="645"/>
        <w:tab w:val="left" w:pos="2730"/>
      </w:tabs>
      <w:spacing w:before="156" w:beforeLines="50" w:after="156" w:afterLines="50" w:line="360" w:lineRule="auto"/>
      <w:ind w:left="645" w:right="91" w:hanging="645"/>
    </w:pPr>
    <w:rPr>
      <w:rFonts w:ascii="Times New Roman" w:hAnsi="宋体" w:eastAsia="宋体"/>
      <w:bCs/>
      <w:spacing w:val="6"/>
      <w:sz w:val="28"/>
      <w:szCs w:val="20"/>
    </w:rPr>
  </w:style>
  <w:style w:type="paragraph" w:customStyle="1" w:styleId="559">
    <w:name w:val="xl43"/>
    <w:basedOn w:val="1"/>
    <w:qFormat/>
    <w:uiPriority w:val="0"/>
    <w:pPr>
      <w:widowControl/>
      <w:spacing w:before="100" w:beforeAutospacing="1" w:after="100" w:afterAutospacing="1"/>
      <w:jc w:val="center"/>
    </w:pPr>
    <w:rPr>
      <w:rFonts w:ascii="仿宋_GB2312" w:hAnsi="宋体" w:eastAsia="仿宋_GB2312"/>
      <w:kern w:val="0"/>
      <w:sz w:val="16"/>
      <w:szCs w:val="16"/>
    </w:rPr>
  </w:style>
  <w:style w:type="paragraph" w:customStyle="1" w:styleId="560">
    <w:name w:val="xl30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1">
    <w:name w:val="Style2"/>
    <w:basedOn w:val="1"/>
    <w:qFormat/>
    <w:uiPriority w:val="0"/>
    <w:pPr>
      <w:autoSpaceDE w:val="0"/>
      <w:autoSpaceDN w:val="0"/>
      <w:adjustRightInd w:val="0"/>
      <w:spacing w:line="360" w:lineRule="auto"/>
      <w:jc w:val="left"/>
      <w:textAlignment w:val="baseline"/>
    </w:pPr>
    <w:rPr>
      <w:rFonts w:ascii="Arial" w:hAnsi="Arial" w:eastAsia="Times New Roman"/>
      <w:spacing w:val="10"/>
      <w:kern w:val="0"/>
      <w:sz w:val="28"/>
      <w:szCs w:val="20"/>
    </w:rPr>
  </w:style>
  <w:style w:type="paragraph" w:customStyle="1" w:styleId="562">
    <w:name w:val="xl265"/>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3">
    <w:name w:val="正文 New New New New New New New New New New New"/>
    <w:qFormat/>
    <w:uiPriority w:val="0"/>
    <w:pPr>
      <w:widowControl w:val="0"/>
      <w:jc w:val="both"/>
    </w:pPr>
    <w:rPr>
      <w:rFonts w:ascii="Times New Roman" w:hAnsi="Times New Roman" w:eastAsia="黑体" w:cs="Times New Roman"/>
      <w:kern w:val="2"/>
      <w:sz w:val="21"/>
      <w:szCs w:val="24"/>
      <w:lang w:val="en-US" w:eastAsia="zh-CN" w:bidi="ar-SA"/>
    </w:rPr>
  </w:style>
  <w:style w:type="paragraph" w:customStyle="1" w:styleId="564">
    <w:name w:val="xl29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65">
    <w:name w:val="xl37"/>
    <w:basedOn w:val="1"/>
    <w:qFormat/>
    <w:uiPriority w:val="0"/>
    <w:pPr>
      <w:widowControl/>
      <w:pBdr>
        <w:top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566">
    <w:name w:val="2级标题"/>
    <w:basedOn w:val="414"/>
    <w:qFormat/>
    <w:uiPriority w:val="0"/>
    <w:pPr>
      <w:spacing w:before="240" w:beforeLines="100" w:after="120" w:afterLines="50" w:line="480" w:lineRule="exact"/>
      <w:ind w:firstLine="643" w:firstLineChars="200"/>
    </w:pPr>
    <w:rPr>
      <w:rFonts w:ascii="宋体" w:hAnsi="宋体"/>
      <w:b/>
      <w:bCs/>
      <w:snapToGrid w:val="0"/>
      <w:sz w:val="32"/>
      <w:szCs w:val="32"/>
    </w:rPr>
  </w:style>
  <w:style w:type="paragraph" w:customStyle="1" w:styleId="567">
    <w:name w:val="Char Char Char Char Char Char Char Char Char Char Char Char Char"/>
    <w:basedOn w:val="20"/>
    <w:qFormat/>
    <w:uiPriority w:val="0"/>
    <w:rPr>
      <w:rFonts w:ascii="Tahoma" w:hAnsi="Tahoma"/>
      <w:sz w:val="24"/>
    </w:rPr>
  </w:style>
  <w:style w:type="paragraph" w:customStyle="1" w:styleId="568">
    <w:name w:val="xl2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69">
    <w:name w:val="xl3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0">
    <w:name w:val="xl29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71">
    <w:name w:val="样式一"/>
    <w:basedOn w:val="1"/>
    <w:qFormat/>
    <w:uiPriority w:val="0"/>
    <w:pPr>
      <w:autoSpaceDE w:val="0"/>
      <w:autoSpaceDN w:val="0"/>
      <w:adjustRightInd w:val="0"/>
      <w:spacing w:line="360" w:lineRule="auto"/>
      <w:ind w:firstLine="480" w:firstLineChars="200"/>
    </w:pPr>
    <w:rPr>
      <w:rFonts w:hint="eastAsia" w:ascii="宋体" w:hAnsi="宋体"/>
      <w:kern w:val="0"/>
      <w:sz w:val="24"/>
      <w:szCs w:val="20"/>
      <w:lang w:val="en-GB"/>
    </w:rPr>
  </w:style>
  <w:style w:type="paragraph" w:customStyle="1" w:styleId="572">
    <w:name w:val="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573">
    <w:name w:val="xl24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4">
    <w:name w:val="xl338"/>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75">
    <w:name w:val="表格文字"/>
    <w:basedOn w:val="1"/>
    <w:next w:val="527"/>
    <w:qFormat/>
    <w:uiPriority w:val="0"/>
    <w:pPr>
      <w:adjustRightInd w:val="0"/>
      <w:spacing w:line="420" w:lineRule="atLeast"/>
      <w:jc w:val="left"/>
      <w:textAlignment w:val="baseline"/>
    </w:pPr>
    <w:rPr>
      <w:kern w:val="0"/>
      <w:szCs w:val="20"/>
    </w:rPr>
  </w:style>
  <w:style w:type="paragraph" w:customStyle="1" w:styleId="576">
    <w:name w:val="xl330"/>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577">
    <w:name w:val="xl29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78">
    <w:name w:val="表内容"/>
    <w:basedOn w:val="1"/>
    <w:qFormat/>
    <w:uiPriority w:val="0"/>
    <w:pPr>
      <w:autoSpaceDE w:val="0"/>
      <w:autoSpaceDN w:val="0"/>
      <w:adjustRightInd w:val="0"/>
      <w:spacing w:before="60" w:after="60" w:line="288" w:lineRule="auto"/>
      <w:jc w:val="center"/>
    </w:pPr>
    <w:rPr>
      <w:rFonts w:ascii="Arial" w:hAnsi="Arial"/>
      <w:kern w:val="0"/>
      <w:szCs w:val="20"/>
    </w:rPr>
  </w:style>
  <w:style w:type="paragraph" w:customStyle="1" w:styleId="579">
    <w:name w:val="xl2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0">
    <w:name w:val="xl2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81">
    <w:name w:val="xl2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2">
    <w:name w:val="表头"/>
    <w:basedOn w:val="1"/>
    <w:qFormat/>
    <w:uiPriority w:val="0"/>
    <w:pPr>
      <w:spacing w:line="360" w:lineRule="auto"/>
      <w:jc w:val="center"/>
    </w:pPr>
    <w:rPr>
      <w:rFonts w:hint="eastAsia" w:ascii="黑体"/>
      <w:kern w:val="0"/>
      <w:sz w:val="24"/>
      <w:szCs w:val="20"/>
    </w:rPr>
  </w:style>
  <w:style w:type="paragraph" w:customStyle="1" w:styleId="583">
    <w:name w:val="xl29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4">
    <w:name w:val="正文 New New"/>
    <w:qFormat/>
    <w:uiPriority w:val="0"/>
    <w:pPr>
      <w:widowControl w:val="0"/>
      <w:jc w:val="both"/>
    </w:pPr>
    <w:rPr>
      <w:rFonts w:ascii="Times New Roman" w:hAnsi="Times New Roman" w:eastAsia="楷体_GB2312" w:cs="Times New Roman"/>
      <w:lang w:val="en-US" w:eastAsia="zh-CN" w:bidi="ar-SA"/>
    </w:rPr>
  </w:style>
  <w:style w:type="paragraph" w:customStyle="1" w:styleId="585">
    <w:name w:val="ÕýÎÄ"/>
    <w:qFormat/>
    <w:uiPriority w:val="0"/>
    <w:pPr>
      <w:widowControl w:val="0"/>
      <w:overflowPunct w:val="0"/>
      <w:autoSpaceDE w:val="0"/>
      <w:autoSpaceDN w:val="0"/>
      <w:adjustRightInd w:val="0"/>
    </w:pPr>
    <w:rPr>
      <w:rFonts w:ascii="Courier New" w:hAnsi="Courier New" w:eastAsia="黑体" w:cs="Times New Roman"/>
      <w:sz w:val="24"/>
      <w:lang w:val="en-US" w:eastAsia="zh-CN" w:bidi="ar-SA"/>
    </w:rPr>
  </w:style>
  <w:style w:type="paragraph" w:styleId="586">
    <w:name w:val="No Spacing"/>
    <w:qFormat/>
    <w:uiPriority w:val="1"/>
    <w:pPr>
      <w:widowControl w:val="0"/>
      <w:jc w:val="both"/>
    </w:pPr>
    <w:rPr>
      <w:rFonts w:ascii="Times New Roman" w:hAnsi="Times New Roman" w:eastAsia="黑体" w:cs="Times New Roman"/>
      <w:kern w:val="2"/>
      <w:sz w:val="21"/>
      <w:szCs w:val="24"/>
      <w:lang w:val="en-US" w:eastAsia="zh-CN" w:bidi="ar-SA"/>
    </w:rPr>
  </w:style>
  <w:style w:type="paragraph" w:customStyle="1" w:styleId="587">
    <w:name w:val="xl2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88">
    <w:name w:val="xl3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89">
    <w:name w:val="xl2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590">
    <w:name w:val="xl32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1">
    <w:name w:val="_Style 113"/>
    <w:next w:val="1"/>
    <w:qFormat/>
    <w:uiPriority w:val="0"/>
    <w:pPr>
      <w:widowControl w:val="0"/>
      <w:jc w:val="both"/>
    </w:pPr>
    <w:rPr>
      <w:rFonts w:ascii="Times New Roman" w:hAnsi="Times New Roman" w:eastAsia="黑体" w:cs="Times New Roman"/>
      <w:kern w:val="2"/>
      <w:sz w:val="21"/>
      <w:szCs w:val="24"/>
      <w:lang w:val="en-US" w:eastAsia="zh-CN" w:bidi="ar-SA"/>
    </w:rPr>
  </w:style>
  <w:style w:type="paragraph" w:customStyle="1" w:styleId="592">
    <w:name w:val="xl2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593">
    <w:name w:val="默认段落字体 Para Char Char Char Char Char Char Char"/>
    <w:basedOn w:val="20"/>
    <w:qFormat/>
    <w:uiPriority w:val="0"/>
    <w:pPr>
      <w:adjustRightInd w:val="0"/>
      <w:spacing w:line="436" w:lineRule="exact"/>
      <w:ind w:left="357"/>
      <w:jc w:val="left"/>
      <w:outlineLvl w:val="3"/>
    </w:pPr>
    <w:rPr>
      <w:rFonts w:ascii="Tahoma" w:hAnsi="Tahoma"/>
      <w:b/>
      <w:sz w:val="24"/>
    </w:rPr>
  </w:style>
  <w:style w:type="paragraph" w:customStyle="1" w:styleId="594">
    <w:name w:val="xl29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5">
    <w:name w:val="内容目录 10"/>
    <w:basedOn w:val="596"/>
    <w:qFormat/>
    <w:uiPriority w:val="0"/>
    <w:pPr>
      <w:tabs>
        <w:tab w:val="right" w:leader="dot" w:pos="9637"/>
      </w:tabs>
      <w:ind w:left="2547"/>
    </w:pPr>
  </w:style>
  <w:style w:type="paragraph" w:customStyle="1" w:styleId="596">
    <w:name w:val="目录"/>
    <w:basedOn w:val="1"/>
    <w:qFormat/>
    <w:uiPriority w:val="0"/>
    <w:pPr>
      <w:suppressLineNumbers/>
      <w:suppressAutoHyphens/>
    </w:pPr>
    <w:rPr>
      <w:szCs w:val="20"/>
      <w:lang w:eastAsia="ar-SA"/>
    </w:rPr>
  </w:style>
  <w:style w:type="paragraph" w:customStyle="1" w:styleId="597">
    <w:name w:val="xl36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598">
    <w:name w:val="xl3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599">
    <w:name w:val="批注文字1"/>
    <w:basedOn w:val="1"/>
    <w:qFormat/>
    <w:uiPriority w:val="0"/>
    <w:pPr>
      <w:suppressAutoHyphens/>
      <w:jc w:val="left"/>
    </w:pPr>
    <w:rPr>
      <w:szCs w:val="20"/>
      <w:lang w:eastAsia="ar-SA"/>
    </w:rPr>
  </w:style>
  <w:style w:type="paragraph" w:customStyle="1" w:styleId="600">
    <w:name w:val="xl3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601">
    <w:name w:val="xl29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2">
    <w:name w:val="xl3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3">
    <w:name w:val="Char Char Char Char1"/>
    <w:basedOn w:val="1"/>
    <w:qFormat/>
    <w:uiPriority w:val="0"/>
  </w:style>
  <w:style w:type="paragraph" w:customStyle="1" w:styleId="604">
    <w:name w:val="条文1"/>
    <w:basedOn w:val="1"/>
    <w:qFormat/>
    <w:uiPriority w:val="0"/>
    <w:pPr>
      <w:tabs>
        <w:tab w:val="left" w:pos="2565"/>
      </w:tabs>
      <w:spacing w:line="360" w:lineRule="auto"/>
      <w:ind w:left="1845"/>
    </w:pPr>
    <w:rPr>
      <w:rFonts w:ascii="MS UI Gothic" w:hAnsi="MS UI Gothic"/>
      <w:bCs/>
      <w:kern w:val="44"/>
      <w:sz w:val="24"/>
      <w:szCs w:val="44"/>
    </w:rPr>
  </w:style>
  <w:style w:type="paragraph" w:customStyle="1" w:styleId="605">
    <w:name w:val="xl31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06">
    <w:name w:val="xl28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7">
    <w:name w:val="xl361"/>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08">
    <w:name w:val="xl25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09">
    <w:name w:val="xl345"/>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0">
    <w:name w:val="默认段落字体 Para Char Char Char Char"/>
    <w:basedOn w:val="1"/>
    <w:qFormat/>
    <w:uiPriority w:val="0"/>
    <w:pPr>
      <w:tabs>
        <w:tab w:val="left" w:pos="960"/>
      </w:tabs>
      <w:spacing w:line="400" w:lineRule="exact"/>
      <w:ind w:left="960" w:hanging="420"/>
    </w:pPr>
    <w:rPr>
      <w:sz w:val="24"/>
    </w:rPr>
  </w:style>
  <w:style w:type="paragraph" w:customStyle="1" w:styleId="611">
    <w:name w:val="Char2"/>
    <w:basedOn w:val="1"/>
    <w:qFormat/>
    <w:uiPriority w:val="0"/>
    <w:pPr>
      <w:tabs>
        <w:tab w:val="left" w:pos="1360"/>
      </w:tabs>
      <w:ind w:left="1360" w:hanging="720"/>
    </w:pPr>
    <w:rPr>
      <w:szCs w:val="20"/>
    </w:rPr>
  </w:style>
  <w:style w:type="paragraph" w:customStyle="1" w:styleId="612">
    <w:name w:val="xl26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宋体" w:hAnsi="宋体" w:cs="宋体"/>
      <w:kern w:val="0"/>
      <w:sz w:val="24"/>
    </w:rPr>
  </w:style>
  <w:style w:type="paragraph" w:customStyle="1" w:styleId="613">
    <w:name w:val="xl41"/>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Arial" w:hAnsi="Arial" w:cs="Arial"/>
      <w:kern w:val="0"/>
      <w:sz w:val="16"/>
      <w:szCs w:val="16"/>
    </w:rPr>
  </w:style>
  <w:style w:type="paragraph" w:customStyle="1" w:styleId="614">
    <w:name w:val="xl2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5">
    <w:name w:val="正文 New New New New New New New New New New"/>
    <w:qFormat/>
    <w:uiPriority w:val="0"/>
    <w:pPr>
      <w:widowControl w:val="0"/>
      <w:jc w:val="both"/>
    </w:pPr>
    <w:rPr>
      <w:rFonts w:ascii="Times New Roman" w:hAnsi="Times New Roman" w:eastAsia="黑体" w:cs="Times New Roman"/>
      <w:kern w:val="2"/>
      <w:sz w:val="21"/>
      <w:lang w:val="en-US" w:eastAsia="zh-CN" w:bidi="ar-SA"/>
    </w:rPr>
  </w:style>
  <w:style w:type="paragraph" w:customStyle="1" w:styleId="616">
    <w:name w:val="xl325"/>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b/>
      <w:bCs/>
      <w:kern w:val="0"/>
      <w:sz w:val="24"/>
    </w:rPr>
  </w:style>
  <w:style w:type="paragraph" w:customStyle="1" w:styleId="617">
    <w:name w:val="xl31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18">
    <w:name w:val="xl326"/>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19">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b/>
      <w:bCs/>
      <w:kern w:val="0"/>
      <w:sz w:val="24"/>
    </w:rPr>
  </w:style>
  <w:style w:type="paragraph" w:customStyle="1" w:styleId="620">
    <w:name w:val="xl38"/>
    <w:basedOn w:val="1"/>
    <w:qFormat/>
    <w:uiPriority w:val="0"/>
    <w:pPr>
      <w:widowControl/>
      <w:pBdr>
        <w:left w:val="single" w:color="auto" w:sz="4" w:space="0"/>
        <w:bottom w:val="single" w:color="auto" w:sz="4" w:space="0"/>
      </w:pBdr>
      <w:spacing w:before="100" w:beforeAutospacing="1" w:after="100" w:afterAutospacing="1"/>
      <w:jc w:val="center"/>
    </w:pPr>
    <w:rPr>
      <w:rFonts w:ascii="仿宋_GB2312" w:hAnsi="宋体" w:eastAsia="仿宋_GB2312"/>
      <w:kern w:val="0"/>
      <w:sz w:val="16"/>
      <w:szCs w:val="16"/>
    </w:rPr>
  </w:style>
  <w:style w:type="paragraph" w:customStyle="1" w:styleId="621">
    <w:name w:val="Char Char Char1 Char"/>
    <w:basedOn w:val="20"/>
    <w:qFormat/>
    <w:uiPriority w:val="0"/>
    <w:rPr>
      <w:rFonts w:ascii="Tahoma" w:hAnsi="Tahoma"/>
      <w:sz w:val="24"/>
    </w:rPr>
  </w:style>
  <w:style w:type="paragraph" w:customStyle="1" w:styleId="622">
    <w:name w:val="样式 标题 1 + 黑体 三号 非加粗 居中 段前: 6 磅 段后: 6 磅 行距: 固定值 20 磅"/>
    <w:basedOn w:val="4"/>
    <w:qFormat/>
    <w:uiPriority w:val="0"/>
    <w:pPr>
      <w:spacing w:before="120" w:after="120" w:line="400" w:lineRule="exact"/>
      <w:jc w:val="center"/>
    </w:pPr>
    <w:rPr>
      <w:rFonts w:hint="default" w:ascii="黑体" w:hAnsi="黑体" w:cs="宋体"/>
      <w:b w:val="0"/>
      <w:sz w:val="32"/>
      <w:szCs w:val="20"/>
    </w:rPr>
  </w:style>
  <w:style w:type="paragraph" w:customStyle="1" w:styleId="623">
    <w:name w:val="IK_Ueberschrift"/>
    <w:basedOn w:val="1"/>
    <w:qFormat/>
    <w:uiPriority w:val="0"/>
    <w:pPr>
      <w:autoSpaceDE w:val="0"/>
      <w:autoSpaceDN w:val="0"/>
      <w:adjustRightInd w:val="0"/>
      <w:spacing w:before="20" w:after="20"/>
      <w:ind w:left="113"/>
      <w:jc w:val="left"/>
    </w:pPr>
    <w:rPr>
      <w:rFonts w:ascii="宋体" w:cs="宋体"/>
      <w:kern w:val="0"/>
      <w:sz w:val="18"/>
      <w:szCs w:val="18"/>
    </w:rPr>
  </w:style>
  <w:style w:type="paragraph" w:customStyle="1" w:styleId="624">
    <w:name w:val="Char Char Char Char Char Char Char Char Char Char Char"/>
    <w:basedOn w:val="2"/>
    <w:qFormat/>
    <w:uiPriority w:val="0"/>
    <w:pPr>
      <w:spacing w:line="376" w:lineRule="auto"/>
      <w:ind w:left="3"/>
    </w:pPr>
    <w:rPr>
      <w:rFonts w:ascii="Times New Roman" w:hAnsi="Times New Roman" w:eastAsia="宋体"/>
      <w:b w:val="0"/>
      <w:sz w:val="24"/>
      <w:szCs w:val="24"/>
    </w:rPr>
  </w:style>
  <w:style w:type="paragraph" w:customStyle="1" w:styleId="625">
    <w:name w:val="xl3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26">
    <w:name w:val="xl2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27">
    <w:name w:val="para"/>
    <w:basedOn w:val="1"/>
    <w:qFormat/>
    <w:uiPriority w:val="0"/>
    <w:pPr>
      <w:widowControl/>
      <w:spacing w:before="100" w:beforeAutospacing="1" w:after="100" w:afterAutospacing="1"/>
      <w:jc w:val="left"/>
    </w:pPr>
    <w:rPr>
      <w:rFonts w:ascii="Arial" w:hAnsi="Arial" w:cs="Arial"/>
      <w:kern w:val="0"/>
      <w:sz w:val="24"/>
    </w:rPr>
  </w:style>
  <w:style w:type="paragraph" w:customStyle="1" w:styleId="628">
    <w:name w:val="修订11"/>
    <w:qFormat/>
    <w:uiPriority w:val="0"/>
    <w:rPr>
      <w:rFonts w:ascii="Times New Roman" w:hAnsi="Times New Roman" w:eastAsia="黑体" w:cs="Times New Roman"/>
      <w:kern w:val="2"/>
      <w:sz w:val="21"/>
      <w:szCs w:val="24"/>
      <w:lang w:val="en-US" w:eastAsia="zh-CN" w:bidi="ar-SA"/>
    </w:rPr>
  </w:style>
  <w:style w:type="paragraph" w:customStyle="1" w:styleId="629">
    <w:name w:val="7"/>
    <w:basedOn w:val="1"/>
    <w:qFormat/>
    <w:uiPriority w:val="0"/>
    <w:pPr>
      <w:autoSpaceDE w:val="0"/>
      <w:autoSpaceDN w:val="0"/>
      <w:adjustRightInd w:val="0"/>
      <w:spacing w:line="270" w:lineRule="atLeast"/>
      <w:jc w:val="left"/>
    </w:pPr>
    <w:rPr>
      <w:rFonts w:ascii="宋体"/>
      <w:kern w:val="0"/>
      <w:sz w:val="18"/>
      <w:szCs w:val="18"/>
    </w:rPr>
  </w:style>
  <w:style w:type="paragraph" w:customStyle="1" w:styleId="630">
    <w:name w:val="手册正文"/>
    <w:basedOn w:val="1"/>
    <w:qFormat/>
    <w:uiPriority w:val="0"/>
    <w:pPr>
      <w:spacing w:line="500" w:lineRule="exact"/>
      <w:ind w:firstLine="200" w:firstLineChars="200"/>
    </w:pPr>
    <w:rPr>
      <w:rFonts w:ascii="Arial" w:hAnsi="Arial"/>
      <w:sz w:val="24"/>
    </w:rPr>
  </w:style>
  <w:style w:type="paragraph" w:customStyle="1" w:styleId="631">
    <w:name w:val="xl2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32">
    <w:name w:val="文字框居中"/>
    <w:basedOn w:val="1"/>
    <w:qFormat/>
    <w:uiPriority w:val="0"/>
    <w:pPr>
      <w:overflowPunct w:val="0"/>
      <w:topLinePunct/>
      <w:adjustRightInd w:val="0"/>
      <w:snapToGrid w:val="0"/>
      <w:spacing w:line="360" w:lineRule="auto"/>
      <w:jc w:val="center"/>
    </w:pPr>
    <w:rPr>
      <w:rFonts w:ascii="幼圆" w:hAnsi="宋体" w:eastAsia="幼圆"/>
      <w:snapToGrid w:val="0"/>
      <w:kern w:val="21"/>
      <w:sz w:val="24"/>
      <w:szCs w:val="20"/>
    </w:rPr>
  </w:style>
  <w:style w:type="paragraph" w:customStyle="1" w:styleId="633">
    <w:name w:val="xl343"/>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34">
    <w:name w:val="xl3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35">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36">
    <w:name w:val="font5"/>
    <w:basedOn w:val="1"/>
    <w:qFormat/>
    <w:uiPriority w:val="0"/>
    <w:pPr>
      <w:widowControl/>
      <w:spacing w:before="100" w:beforeAutospacing="1" w:after="100" w:afterAutospacing="1"/>
      <w:jc w:val="left"/>
    </w:pPr>
    <w:rPr>
      <w:rFonts w:ascii="宋体" w:hAnsi="宋体"/>
      <w:kern w:val="0"/>
      <w:sz w:val="18"/>
      <w:szCs w:val="18"/>
    </w:rPr>
  </w:style>
  <w:style w:type="paragraph" w:customStyle="1" w:styleId="637">
    <w:name w:val="+1."/>
    <w:basedOn w:val="1"/>
    <w:qFormat/>
    <w:uiPriority w:val="0"/>
    <w:pPr>
      <w:spacing w:line="360" w:lineRule="auto"/>
    </w:pPr>
    <w:rPr>
      <w:sz w:val="24"/>
      <w:szCs w:val="28"/>
    </w:rPr>
  </w:style>
  <w:style w:type="paragraph" w:customStyle="1" w:styleId="638">
    <w:name w:val="xl322"/>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宋体" w:hAnsi="宋体" w:cs="宋体"/>
      <w:kern w:val="0"/>
      <w:sz w:val="24"/>
    </w:rPr>
  </w:style>
  <w:style w:type="paragraph" w:customStyle="1" w:styleId="639">
    <w:name w:val="文档结构图1"/>
    <w:basedOn w:val="1"/>
    <w:qFormat/>
    <w:uiPriority w:val="0"/>
    <w:pPr>
      <w:shd w:val="clear" w:color="auto" w:fill="000080"/>
      <w:suppressAutoHyphens/>
    </w:pPr>
    <w:rPr>
      <w:szCs w:val="20"/>
      <w:lang w:eastAsia="ar-SA"/>
    </w:rPr>
  </w:style>
  <w:style w:type="paragraph" w:customStyle="1" w:styleId="640">
    <w:name w:val="xl30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41">
    <w:name w:val="xl31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42">
    <w:name w:val="xl362"/>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3">
    <w:name w:val="xl31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44">
    <w:name w:val="正文 New New New New New New New"/>
    <w:basedOn w:val="1"/>
    <w:qFormat/>
    <w:uiPriority w:val="0"/>
    <w:rPr>
      <w:rFonts w:eastAsia="宋体"/>
    </w:rPr>
  </w:style>
  <w:style w:type="paragraph" w:customStyle="1" w:styleId="645">
    <w:name w:val="xl315"/>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46">
    <w:name w:val="xl349"/>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47">
    <w:name w:val="xl1244"/>
    <w:basedOn w:val="1"/>
    <w:qFormat/>
    <w:uiPriority w:val="0"/>
    <w:pPr>
      <w:widowControl/>
      <w:pBdr>
        <w:top w:val="single" w:color="auto" w:sz="4" w:space="0"/>
        <w:left w:val="single" w:color="auto" w:sz="4" w:space="0"/>
        <w:bottom w:val="single" w:color="auto" w:sz="4" w:space="0"/>
      </w:pBdr>
      <w:spacing w:before="100" w:after="100" w:line="360" w:lineRule="auto"/>
      <w:jc w:val="left"/>
    </w:pPr>
    <w:rPr>
      <w:rFonts w:ascii="宋体" w:hAnsi="宋体"/>
      <w:b/>
      <w:kern w:val="0"/>
      <w:sz w:val="20"/>
      <w:szCs w:val="20"/>
    </w:rPr>
  </w:style>
  <w:style w:type="paragraph" w:customStyle="1" w:styleId="648">
    <w:name w:val="xl2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49">
    <w:name w:val="样式2"/>
    <w:basedOn w:val="6"/>
    <w:qFormat/>
    <w:uiPriority w:val="0"/>
    <w:pPr>
      <w:spacing w:line="415" w:lineRule="auto"/>
    </w:pPr>
    <w:rPr>
      <w:rFonts w:hint="default"/>
      <w:i/>
    </w:rPr>
  </w:style>
  <w:style w:type="paragraph" w:customStyle="1" w:styleId="650">
    <w:name w:val="xl3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51">
    <w:name w:val="正文 New New New New New New New New"/>
    <w:qFormat/>
    <w:uiPriority w:val="0"/>
    <w:pPr>
      <w:widowControl w:val="0"/>
      <w:jc w:val="both"/>
    </w:pPr>
    <w:rPr>
      <w:rFonts w:ascii="Times New Roman" w:hAnsi="Times New Roman" w:eastAsia="黑体" w:cs="Times New Roman"/>
      <w:kern w:val="2"/>
      <w:sz w:val="21"/>
      <w:lang w:val="en-US" w:eastAsia="zh-CN" w:bidi="ar-SA"/>
    </w:rPr>
  </w:style>
  <w:style w:type="paragraph" w:customStyle="1" w:styleId="652">
    <w:name w:val="正文2"/>
    <w:basedOn w:val="1"/>
    <w:qFormat/>
    <w:uiPriority w:val="0"/>
    <w:pPr>
      <w:widowControl/>
      <w:spacing w:after="160" w:line="360" w:lineRule="auto"/>
      <w:ind w:firstLine="200" w:firstLineChars="200"/>
      <w:jc w:val="left"/>
    </w:pPr>
    <w:rPr>
      <w:rFonts w:ascii="Verdana" w:hAnsi="Verdana"/>
      <w:kern w:val="0"/>
      <w:szCs w:val="20"/>
      <w:lang w:eastAsia="en-US"/>
    </w:rPr>
  </w:style>
  <w:style w:type="paragraph" w:customStyle="1" w:styleId="653">
    <w:name w:val="默认段落字体 Para Char Char Char1 Char"/>
    <w:basedOn w:val="1"/>
    <w:qFormat/>
    <w:uiPriority w:val="0"/>
    <w:pPr>
      <w:spacing w:line="360" w:lineRule="auto"/>
      <w:ind w:left="420" w:firstLine="420"/>
    </w:pPr>
    <w:rPr>
      <w:kern w:val="0"/>
      <w:sz w:val="24"/>
      <w:szCs w:val="21"/>
    </w:rPr>
  </w:style>
  <w:style w:type="paragraph" w:customStyle="1" w:styleId="654">
    <w:name w:val="xl28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5">
    <w:name w:val="日期1"/>
    <w:basedOn w:val="1"/>
    <w:next w:val="1"/>
    <w:qFormat/>
    <w:uiPriority w:val="0"/>
    <w:pPr>
      <w:suppressAutoHyphens/>
      <w:ind w:left="100"/>
    </w:pPr>
    <w:rPr>
      <w:szCs w:val="20"/>
      <w:lang w:eastAsia="ar-SA"/>
    </w:rPr>
  </w:style>
  <w:style w:type="paragraph" w:customStyle="1" w:styleId="656">
    <w:name w:val="方框图"/>
    <w:basedOn w:val="1"/>
    <w:qFormat/>
    <w:uiPriority w:val="0"/>
    <w:pPr>
      <w:jc w:val="center"/>
    </w:pPr>
    <w:rPr>
      <w:bCs/>
    </w:rPr>
  </w:style>
  <w:style w:type="paragraph" w:customStyle="1" w:styleId="657">
    <w:name w:val="文字"/>
    <w:basedOn w:val="1"/>
    <w:qFormat/>
    <w:uiPriority w:val="0"/>
    <w:pPr>
      <w:tabs>
        <w:tab w:val="left" w:pos="8520"/>
      </w:tabs>
      <w:spacing w:line="312" w:lineRule="auto"/>
      <w:ind w:right="-210" w:firstLine="556"/>
    </w:pPr>
    <w:rPr>
      <w:rFonts w:ascii="楷体_GB2312" w:eastAsia="楷体_GB2312"/>
      <w:sz w:val="28"/>
      <w:szCs w:val="20"/>
    </w:rPr>
  </w:style>
  <w:style w:type="paragraph" w:customStyle="1" w:styleId="658">
    <w:name w:val="xl2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59">
    <w:name w:val="xl28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0">
    <w:name w:val="正文文本 21"/>
    <w:basedOn w:val="1"/>
    <w:qFormat/>
    <w:uiPriority w:val="0"/>
    <w:pPr>
      <w:suppressAutoHyphens/>
    </w:pPr>
    <w:rPr>
      <w:rFonts w:eastAsia="楷体_GB2312"/>
      <w:b/>
      <w:szCs w:val="20"/>
      <w:lang w:eastAsia="ar-SA"/>
    </w:rPr>
  </w:style>
  <w:style w:type="paragraph" w:customStyle="1" w:styleId="661">
    <w:name w:val="xl24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62">
    <w:name w:val="6'"/>
    <w:basedOn w:val="1"/>
    <w:qFormat/>
    <w:uiPriority w:val="0"/>
    <w:pPr>
      <w:autoSpaceDE w:val="0"/>
      <w:autoSpaceDN w:val="0"/>
      <w:adjustRightInd w:val="0"/>
      <w:snapToGrid w:val="0"/>
      <w:spacing w:line="320" w:lineRule="exact"/>
      <w:jc w:val="center"/>
      <w:textAlignment w:val="baseline"/>
    </w:pPr>
    <w:rPr>
      <w:spacing w:val="20"/>
      <w:kern w:val="28"/>
      <w:szCs w:val="20"/>
    </w:rPr>
  </w:style>
  <w:style w:type="paragraph" w:customStyle="1" w:styleId="663">
    <w:name w:val="xl333"/>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宋体" w:hAnsi="宋体" w:cs="宋体"/>
      <w:b/>
      <w:bCs/>
      <w:kern w:val="0"/>
      <w:sz w:val="24"/>
    </w:rPr>
  </w:style>
  <w:style w:type="paragraph" w:customStyle="1" w:styleId="664">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5">
    <w:name w:val="xl2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66">
    <w:name w:val="发文落款"/>
    <w:basedOn w:val="449"/>
    <w:qFormat/>
    <w:uiPriority w:val="0"/>
    <w:pPr>
      <w:ind w:left="4094" w:right="607" w:firstLine="0"/>
      <w:jc w:val="center"/>
    </w:pPr>
    <w:rPr>
      <w:szCs w:val="20"/>
    </w:rPr>
  </w:style>
  <w:style w:type="paragraph" w:customStyle="1" w:styleId="667">
    <w:name w:val="－列表2"/>
    <w:basedOn w:val="1"/>
    <w:qFormat/>
    <w:uiPriority w:val="0"/>
    <w:pPr>
      <w:jc w:val="left"/>
    </w:pPr>
    <w:rPr>
      <w:rFonts w:hAnsi="Arial"/>
      <w:sz w:val="24"/>
    </w:rPr>
  </w:style>
  <w:style w:type="paragraph" w:customStyle="1" w:styleId="668">
    <w:name w:val="xl253"/>
    <w:basedOn w:val="1"/>
    <w:qFormat/>
    <w:uiPriority w:val="0"/>
    <w:pPr>
      <w:widowControl/>
      <w:pBdr>
        <w:top w:val="single" w:color="auto" w:sz="4" w:space="0"/>
        <w:left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69">
    <w:name w:val="yyn"/>
    <w:basedOn w:val="1"/>
    <w:qFormat/>
    <w:uiPriority w:val="0"/>
    <w:pPr>
      <w:keepNext/>
      <w:widowControl/>
      <w:overflowPunct w:val="0"/>
      <w:autoSpaceDE w:val="0"/>
      <w:autoSpaceDN w:val="0"/>
      <w:adjustRightInd w:val="0"/>
      <w:spacing w:line="360" w:lineRule="auto"/>
      <w:ind w:right="562" w:firstLine="601"/>
    </w:pPr>
    <w:rPr>
      <w:rFonts w:ascii="宋体"/>
      <w:spacing w:val="10"/>
      <w:kern w:val="16"/>
      <w:sz w:val="24"/>
      <w:szCs w:val="20"/>
    </w:rPr>
  </w:style>
  <w:style w:type="paragraph" w:customStyle="1" w:styleId="670">
    <w:name w:val="正文 New New New New New New New New New New New New New New New New New New New New New New New"/>
    <w:qFormat/>
    <w:uiPriority w:val="0"/>
    <w:pPr>
      <w:widowControl w:val="0"/>
      <w:jc w:val="both"/>
    </w:pPr>
    <w:rPr>
      <w:rFonts w:ascii="Times New Roman" w:hAnsi="Times New Roman" w:eastAsia="黑体" w:cs="Times New Roman"/>
      <w:kern w:val="2"/>
      <w:sz w:val="21"/>
      <w:szCs w:val="24"/>
      <w:lang w:val="en-US" w:eastAsia="zh-CN" w:bidi="ar-SA"/>
    </w:rPr>
  </w:style>
  <w:style w:type="paragraph" w:customStyle="1" w:styleId="671">
    <w:name w:val="Char Char Char Char Char Char1 Char"/>
    <w:basedOn w:val="1"/>
    <w:qFormat/>
    <w:uiPriority w:val="0"/>
    <w:pPr>
      <w:widowControl/>
      <w:spacing w:after="160" w:line="240" w:lineRule="exact"/>
      <w:jc w:val="left"/>
    </w:pPr>
    <w:rPr>
      <w:rFonts w:ascii="Verdana" w:hAnsi="Verdana" w:eastAsia="仿宋_GB2312"/>
      <w:kern w:val="0"/>
      <w:sz w:val="24"/>
      <w:szCs w:val="32"/>
      <w:lang w:eastAsia="en-US"/>
    </w:rPr>
  </w:style>
  <w:style w:type="paragraph" w:customStyle="1" w:styleId="672">
    <w:name w:val="+列表1"/>
    <w:basedOn w:val="1"/>
    <w:qFormat/>
    <w:uiPriority w:val="0"/>
    <w:pPr>
      <w:jc w:val="center"/>
    </w:pPr>
  </w:style>
  <w:style w:type="paragraph" w:customStyle="1" w:styleId="673">
    <w:name w:val="标准"/>
    <w:basedOn w:val="1"/>
    <w:qFormat/>
    <w:uiPriority w:val="0"/>
    <w:pPr>
      <w:overflowPunct w:val="0"/>
      <w:autoSpaceDE w:val="0"/>
      <w:autoSpaceDN w:val="0"/>
      <w:adjustRightInd w:val="0"/>
      <w:spacing w:line="240" w:lineRule="atLeast"/>
    </w:pPr>
    <w:rPr>
      <w:rFonts w:eastAsia="楷体_GB2312"/>
      <w:kern w:val="0"/>
      <w:sz w:val="24"/>
      <w:szCs w:val="20"/>
    </w:rPr>
  </w:style>
  <w:style w:type="paragraph" w:customStyle="1" w:styleId="674">
    <w:name w:val="xl3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4"/>
    </w:rPr>
  </w:style>
  <w:style w:type="paragraph" w:customStyle="1" w:styleId="675">
    <w:name w:val="表格正文缩进"/>
    <w:basedOn w:val="1"/>
    <w:qFormat/>
    <w:uiPriority w:val="0"/>
    <w:pPr>
      <w:autoSpaceDE w:val="0"/>
      <w:autoSpaceDN w:val="0"/>
      <w:snapToGrid w:val="0"/>
      <w:ind w:firstLine="244"/>
    </w:pPr>
    <w:rPr>
      <w:rFonts w:ascii="宋体" w:eastAsia="仿宋体"/>
      <w:color w:val="000000"/>
      <w:spacing w:val="8"/>
      <w:kern w:val="0"/>
      <w:szCs w:val="20"/>
    </w:rPr>
  </w:style>
  <w:style w:type="paragraph" w:customStyle="1" w:styleId="676">
    <w:name w:val="xl344"/>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77">
    <w:name w:val="Char1 Char Char Char"/>
    <w:basedOn w:val="1"/>
    <w:qFormat/>
    <w:uiPriority w:val="0"/>
    <w:rPr>
      <w:rFonts w:ascii="Tahoma" w:hAnsi="Tahoma"/>
      <w:sz w:val="24"/>
      <w:szCs w:val="20"/>
    </w:rPr>
  </w:style>
  <w:style w:type="paragraph" w:customStyle="1" w:styleId="678">
    <w:name w:val="默认段落字体 Para Char"/>
    <w:basedOn w:val="1"/>
    <w:qFormat/>
    <w:uiPriority w:val="0"/>
    <w:pPr>
      <w:spacing w:line="360" w:lineRule="auto"/>
      <w:jc w:val="left"/>
    </w:pPr>
  </w:style>
  <w:style w:type="paragraph" w:customStyle="1" w:styleId="679">
    <w:name w:val="xl264"/>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0">
    <w:name w:val="xl42"/>
    <w:basedOn w:val="1"/>
    <w:qFormat/>
    <w:uiPriority w:val="0"/>
    <w:pPr>
      <w:widowControl/>
      <w:spacing w:before="100" w:beforeAutospacing="1" w:after="100" w:afterAutospacing="1"/>
      <w:jc w:val="center"/>
    </w:pPr>
    <w:rPr>
      <w:rFonts w:ascii="Arial" w:hAnsi="Arial" w:cs="Arial"/>
      <w:kern w:val="0"/>
      <w:sz w:val="16"/>
      <w:szCs w:val="16"/>
    </w:rPr>
  </w:style>
  <w:style w:type="paragraph" w:customStyle="1" w:styleId="681">
    <w:name w:val="xl30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rPr>
  </w:style>
  <w:style w:type="paragraph" w:customStyle="1" w:styleId="682">
    <w:name w:val="样式 宋体 行距: 1.5 倍行距"/>
    <w:basedOn w:val="1"/>
    <w:qFormat/>
    <w:uiPriority w:val="0"/>
    <w:pPr>
      <w:jc w:val="center"/>
    </w:pPr>
    <w:rPr>
      <w:b/>
    </w:rPr>
  </w:style>
  <w:style w:type="paragraph" w:customStyle="1" w:styleId="683">
    <w:name w:val="修订3"/>
    <w:hidden/>
    <w:unhideWhenUsed/>
    <w:uiPriority w:val="99"/>
    <w:rPr>
      <w:rFonts w:ascii="Times New Roman" w:hAnsi="Times New Roman" w:eastAsia="黑体" w:cs="Times New Roman"/>
      <w:kern w:val="2"/>
      <w:sz w:val="21"/>
      <w:szCs w:val="24"/>
      <w:lang w:val="en-US" w:eastAsia="zh-CN" w:bidi="ar-SA"/>
    </w:rPr>
  </w:style>
  <w:style w:type="paragraph" w:customStyle="1" w:styleId="684">
    <w:name w:val="修订4"/>
    <w:hidden/>
    <w:unhideWhenUsed/>
    <w:uiPriority w:val="99"/>
    <w:rPr>
      <w:rFonts w:ascii="Times New Roman" w:hAnsi="Times New Roman" w:eastAsia="黑体" w:cs="Times New Roman"/>
      <w:kern w:val="2"/>
      <w:sz w:val="21"/>
      <w:szCs w:val="24"/>
      <w:lang w:val="en-US" w:eastAsia="zh-CN" w:bidi="ar-SA"/>
    </w:rPr>
  </w:style>
  <w:style w:type="paragraph" w:customStyle="1" w:styleId="685">
    <w:name w:val="Revision"/>
    <w:hidden/>
    <w:unhideWhenUsed/>
    <w:uiPriority w:val="99"/>
    <w:rPr>
      <w:rFonts w:ascii="Times New Roman" w:hAnsi="Times New Roman" w:eastAsia="黑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1.xml"/><Relationship Id="rId8" Type="http://schemas.openxmlformats.org/officeDocument/2006/relationships/footer" Target="footer6.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customXml" Target="../customXml/item1.xml"/><Relationship Id="rId13" Type="http://schemas.openxmlformats.org/officeDocument/2006/relationships/image" Target="media/image3.png"/><Relationship Id="rId12" Type="http://schemas.openxmlformats.org/officeDocument/2006/relationships/image" Target="media/image2.png"/><Relationship Id="rId11" Type="http://schemas.openxmlformats.org/officeDocument/2006/relationships/image" Target="media/image1.png"/><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2EF2069-4F9A-4957-8769-240E1C5C8403}">
  <ds:schemaRefs/>
</ds:datastoreItem>
</file>

<file path=docProps/app.xml><?xml version="1.0" encoding="utf-8"?>
<Properties xmlns="http://schemas.openxmlformats.org/officeDocument/2006/extended-properties" xmlns:vt="http://schemas.openxmlformats.org/officeDocument/2006/docPropsVTypes">
  <Template>Normal.dotm</Template>
  <TotalTime>413</TotalTime>
  <Pages>131</Pages>
  <Words>19056</Words>
  <Characters>20455</Characters>
  <DocSecurity>0</DocSecurity>
  <Lines>687</Lines>
  <Paragraphs>193</Paragraphs>
  <ScaleCrop>false</ScaleCrop>
  <LinksUpToDate>false</LinksUpToDate>
  <CharactersWithSpaces>21015</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2025-05-20T01:23:00Z</cp:lastPrinted>
  <dcterms:created xsi:type="dcterms:W3CDTF">2019-05-29T02:46:00Z</dcterms:created>
  <dcterms:modified xsi:type="dcterms:W3CDTF">2025-05-24T09:19:08Z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E9A29831C54A4B03B8C187A46F3F4022</vt:lpwstr>
  </property>
  <property fmtid="{D5CDD505-2E9C-101B-9397-08002B2CF9AE}" pid="4" name="KSOTemplateDocerSaveRecord">
    <vt:lpwstr>eyJoZGlkIjoiN2YzNjBkOTgyNWQ1YTMxYzM3MzMwNWFiODNmOWIzYWMiLCJ1c2VySWQiOiI1NjY5NzQ3MjEifQ==</vt:lpwstr>
  </property>
</Properties>
</file>